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467" w:lineRule="exact"/>
        <w:ind w:left="42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944499" cy="93173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4499" cy="931735"/>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063" w:right="3040" w:firstLine="0"/>
        <w:jc w:val="center"/>
        <w:rPr>
          <w:rFonts w:ascii="宋体" w:hAnsi="宋体" w:cs="宋体" w:eastAsia="宋体" w:hint="default"/>
          <w:sz w:val="36"/>
          <w:szCs w:val="36"/>
        </w:rPr>
      </w:pPr>
      <w:r>
        <w:rPr>
          <w:rFonts w:ascii="宋体" w:hAnsi="宋体" w:cs="宋体" w:eastAsia="宋体" w:hint="default"/>
          <w:b/>
          <w:bCs/>
          <w:sz w:val="36"/>
          <w:szCs w:val="36"/>
        </w:rPr>
        <w:t>深圳天源迪科信息技术股份有限公司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063" w:right="3039" w:firstLine="0"/>
        <w:jc w:val="center"/>
        <w:rPr>
          <w:rFonts w:ascii="Times New Roman" w:hAnsi="Times New Roman" w:cs="Times New Roman" w:eastAsia="Times New Roman" w:hint="default"/>
          <w:sz w:val="22"/>
          <w:szCs w:val="22"/>
        </w:rPr>
      </w:pPr>
      <w:r>
        <w:rPr>
          <w:rFonts w:ascii="Times New Roman"/>
          <w:b/>
          <w:sz w:val="22"/>
        </w:rPr>
        <w:t>2019-05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063"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972"/>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left="154"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left="154" w:right="1132" w:firstLine="562"/>
        <w:jc w:val="both"/>
        <w:rPr>
          <w:b w:val="0"/>
          <w:bCs w:val="0"/>
        </w:rPr>
      </w:pPr>
      <w:r>
        <w:rPr>
          <w:w w:val="95"/>
        </w:rPr>
        <w:t>公司负责人陈友、主管会计工作负责人钱文胜及会计机构负责人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章菁菁声明：保证年度报告中财务报告的真实、准确、完整。</w:t>
      </w:r>
      <w:r>
        <w:rPr>
          <w:b w:val="0"/>
          <w:bCs w:val="0"/>
        </w:rPr>
      </w:r>
    </w:p>
    <w:p>
      <w:pPr>
        <w:pStyle w:val="Heading2"/>
        <w:spacing w:line="472" w:lineRule="auto" w:before="147"/>
        <w:ind w:right="1972"/>
        <w:jc w:val="left"/>
        <w:rPr>
          <w:b w:val="0"/>
          <w:bCs w:val="0"/>
        </w:rPr>
      </w:pPr>
      <w:r>
        <w:rPr>
          <w:w w:val="95"/>
        </w:rPr>
        <w:t>所有董事均已出席了审议本报告的董事会会议。</w:t>
      </w:r>
      <w:r>
        <w:rPr>
          <w:spacing w:val="5"/>
          <w:w w:val="95"/>
        </w:rPr>
        <w:t> </w:t>
      </w:r>
      <w:r>
        <w:rPr>
          <w:spacing w:val="5"/>
          <w:w w:val="95"/>
        </w:rPr>
      </w:r>
      <w:r>
        <w:rPr/>
        <w:t>请特别注意以下风险：</w:t>
      </w:r>
      <w:r>
        <w:rPr>
          <w:b w:val="0"/>
          <w:bCs w:val="0"/>
        </w:rPr>
      </w:r>
    </w:p>
    <w:p>
      <w:pPr>
        <w:pStyle w:val="BodyText"/>
        <w:spacing w:line="338" w:lineRule="auto" w:before="0"/>
        <w:ind w:left="574" w:right="0"/>
        <w:jc w:val="left"/>
      </w:pPr>
      <w:r>
        <w:rPr>
          <w:rFonts w:ascii="Times New Roman" w:hAnsi="Times New Roman" w:cs="Times New Roman" w:eastAsia="Times New Roman" w:hint="default"/>
        </w:rPr>
        <w:t>1</w:t>
      </w:r>
      <w:r>
        <w:rPr/>
        <w:t>、并购项目协同效应不达预期的风险 </w:t>
      </w:r>
      <w:r>
        <w:rPr>
          <w:spacing w:val="-1"/>
        </w:rPr>
        <w:t>公司上市后，为实现规模化增长，进行了一些同行业的并购活动。这些并购活动在带来全新技术能力</w:t>
      </w:r>
    </w:p>
    <w:p>
      <w:pPr>
        <w:pStyle w:val="BodyText"/>
        <w:spacing w:line="226" w:lineRule="exact" w:before="0"/>
        <w:ind w:right="0"/>
        <w:jc w:val="left"/>
      </w:pPr>
      <w:r>
        <w:rPr/>
        <w:t>和业务增长的同时，也带来企业文化和管理体系融合的挑战，由此带来的不确定性，可能影响预期的协同</w:t>
      </w:r>
    </w:p>
    <w:p>
      <w:pPr>
        <w:pStyle w:val="BodyText"/>
        <w:spacing w:line="357" w:lineRule="auto" w:before="38"/>
        <w:ind w:left="574" w:right="0" w:hanging="420"/>
        <w:jc w:val="left"/>
      </w:pPr>
      <w:r>
        <w:rPr/>
        <w:t>效应的充分发挥，对业务经营造成一定影响。 </w:t>
      </w:r>
      <w:r>
        <w:rPr>
          <w:spacing w:val="-1"/>
        </w:rPr>
        <w:t>针对上述风险，公司以战略发展目标为指引，企业文化建设为依托，体系横向合作为抓手，缩短融合</w:t>
      </w:r>
    </w:p>
    <w:p>
      <w:pPr>
        <w:pStyle w:val="BodyText"/>
        <w:spacing w:line="210" w:lineRule="exact" w:before="0"/>
        <w:ind w:right="1972"/>
        <w:jc w:val="left"/>
      </w:pPr>
      <w:r>
        <w:rPr/>
        <w:t>时间消耗，最大限度降低重组负面影响，快速提升协同正面效益。</w:t>
      </w:r>
    </w:p>
    <w:p>
      <w:pPr>
        <w:pStyle w:val="BodyText"/>
        <w:spacing w:line="338" w:lineRule="auto" w:before="138"/>
        <w:ind w:left="574" w:right="0"/>
        <w:jc w:val="left"/>
      </w:pPr>
      <w:r>
        <w:rPr>
          <w:rFonts w:ascii="Times New Roman" w:hAnsi="Times New Roman" w:cs="Times New Roman" w:eastAsia="Times New Roman" w:hint="default"/>
        </w:rPr>
        <w:t>2</w:t>
      </w:r>
      <w:r>
        <w:rPr/>
        <w:t>、业务收入季度性波动的风险 公司主要客户为电信运营商、银行和政府部门等大型行业客户，由于其招投标流程、采购评审节奏、</w:t>
      </w:r>
    </w:p>
    <w:p>
      <w:pPr>
        <w:pStyle w:val="BodyText"/>
        <w:spacing w:line="226" w:lineRule="exact" w:before="0"/>
        <w:ind w:right="0"/>
        <w:jc w:val="left"/>
      </w:pPr>
      <w:r>
        <w:rPr/>
        <w:t>季度性投资预算控制和大型建设项目整体进度等因素影响，业务结算一般集中在下半年甚至第四季度，部</w:t>
      </w:r>
    </w:p>
    <w:p>
      <w:pPr>
        <w:pStyle w:val="BodyText"/>
        <w:spacing w:line="273" w:lineRule="auto" w:before="37"/>
        <w:ind w:right="0"/>
        <w:jc w:val="left"/>
      </w:pPr>
      <w:r>
        <w:rPr>
          <w:spacing w:val="-1"/>
        </w:rPr>
        <w:t>分中标项目存在不能按期结算的风险。而公司的季度费用支出以人力成本为主，相对固定，可能造成季度</w:t>
      </w:r>
      <w:r>
        <w:rPr>
          <w:spacing w:val="-83"/>
        </w:rPr>
        <w:t> </w:t>
      </w:r>
      <w:r>
        <w:rPr>
          <w:spacing w:val="-83"/>
        </w:rPr>
      </w:r>
      <w:r>
        <w:rPr/>
        <w:t>性经营业绩波动。</w:t>
      </w:r>
    </w:p>
    <w:p>
      <w:pPr>
        <w:pStyle w:val="BodyText"/>
        <w:spacing w:line="273" w:lineRule="auto" w:before="106"/>
        <w:ind w:right="1133" w:firstLine="420"/>
        <w:jc w:val="both"/>
      </w:pPr>
      <w:r>
        <w:rPr>
          <w:spacing w:val="-1"/>
        </w:rPr>
        <w:t>针对上述风险，公司以流程优化为抓手，划小成本核算单元，加强项目管理和商务流程管控，建立项</w:t>
      </w:r>
      <w:r>
        <w:rPr/>
        <w:t> </w:t>
      </w:r>
      <w:r>
        <w:rPr>
          <w:spacing w:val="-1"/>
        </w:rPr>
        <w:t>目实施质量保障体系，实施项目验收延迟预警制度，促进按时验收结算，提高运营效率，逐步降低业务收</w:t>
      </w:r>
      <w:r>
        <w:rPr>
          <w:spacing w:val="-86"/>
        </w:rPr>
        <w:t> </w:t>
      </w:r>
      <w:r>
        <w:rPr>
          <w:spacing w:val="-86"/>
        </w:rPr>
      </w:r>
      <w:r>
        <w:rPr/>
        <w:t>入季节性波动。</w:t>
      </w:r>
    </w:p>
    <w:p>
      <w:pPr>
        <w:pStyle w:val="BodyText"/>
        <w:spacing w:line="338" w:lineRule="auto" w:before="108"/>
        <w:ind w:left="574" w:right="0"/>
        <w:jc w:val="left"/>
      </w:pPr>
      <w:r>
        <w:rPr>
          <w:rFonts w:ascii="Times New Roman" w:hAnsi="Times New Roman" w:cs="Times New Roman" w:eastAsia="Times New Roman" w:hint="default"/>
        </w:rPr>
        <w:t>3</w:t>
      </w:r>
      <w:r>
        <w:rPr/>
        <w:t>、核心人才流失风险 </w:t>
      </w:r>
      <w:r>
        <w:rPr>
          <w:spacing w:val="-1"/>
        </w:rPr>
        <w:t>公司向大数据和产业互联网应用方向转型，企业对于高端人才的需求日益增长，企业对高端人才的争</w:t>
      </w:r>
    </w:p>
    <w:p>
      <w:pPr>
        <w:pStyle w:val="BodyText"/>
        <w:spacing w:line="227" w:lineRule="exact" w:before="0"/>
        <w:ind w:right="1972"/>
        <w:jc w:val="left"/>
      </w:pPr>
      <w:r>
        <w:rPr/>
        <w:t>夺已经超出行业范围，核心人员流失对于公司业务发展影响加大。</w:t>
      </w:r>
    </w:p>
    <w:p>
      <w:pPr>
        <w:pStyle w:val="BodyText"/>
        <w:spacing w:line="273" w:lineRule="auto" w:before="135"/>
        <w:ind w:right="1131" w:firstLine="420"/>
        <w:jc w:val="both"/>
      </w:pPr>
      <w:r>
        <w:rPr>
          <w:spacing w:val="-1"/>
        </w:rPr>
        <w:t>针对上述风险，公司已进行了以下几个方面的管理改革：实施股权激励，核心骨干利益与企业利益绑</w:t>
      </w:r>
      <w:r>
        <w:rPr/>
        <w:t> </w:t>
      </w:r>
      <w:r>
        <w:rPr>
          <w:spacing w:val="-1"/>
        </w:rPr>
        <w:t>定；组织架构扁平化，根据业务单元按照子公司、事业部管理模式充分授权；加强岗位轮动，为员工搭建</w:t>
      </w:r>
      <w:r>
        <w:rPr>
          <w:spacing w:val="-83"/>
        </w:rPr>
        <w:t> </w:t>
      </w:r>
      <w:r>
        <w:rPr>
          <w:spacing w:val="-83"/>
        </w:rPr>
      </w:r>
      <w:r>
        <w:rPr/>
        <w:t>持续发展的平台，建立多层次员工关怀体系，重视员工学习与培养和培训。</w:t>
      </w:r>
    </w:p>
    <w:p>
      <w:pPr>
        <w:pStyle w:val="BodyText"/>
        <w:spacing w:line="240" w:lineRule="auto" w:before="108"/>
        <w:ind w:left="574" w:right="1972"/>
        <w:jc w:val="left"/>
      </w:pPr>
      <w:r>
        <w:rPr>
          <w:rFonts w:ascii="Times New Roman" w:hAnsi="Times New Roman" w:cs="Times New Roman" w:eastAsia="Times New Roman" w:hint="default"/>
        </w:rPr>
        <w:t>4</w:t>
      </w:r>
      <w:r>
        <w:rPr/>
        <w:t>、新客户资信风险</w:t>
      </w:r>
    </w:p>
    <w:p>
      <w:pPr>
        <w:spacing w:after="0" w:line="240"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BodyText"/>
        <w:spacing w:line="273" w:lineRule="auto" w:before="35"/>
        <w:ind w:right="1131" w:firstLine="420"/>
        <w:jc w:val="both"/>
      </w:pPr>
      <w:r>
        <w:rPr>
          <w:spacing w:val="-1"/>
        </w:rPr>
        <w:t>近年来公司积极拓展产业互联网和大数据行业应用市场，行业覆盖日益扩大，客户群体迅速增长，部</w:t>
      </w:r>
      <w:r>
        <w:rPr/>
        <w:t> 分新增客户的信用管理日渐复杂，对商务回款等合同执行环节带来新的压力。</w:t>
      </w:r>
    </w:p>
    <w:p>
      <w:pPr>
        <w:pStyle w:val="BodyText"/>
        <w:spacing w:line="273" w:lineRule="auto" w:before="106"/>
        <w:ind w:right="1130" w:firstLine="420"/>
        <w:jc w:val="both"/>
      </w:pPr>
      <w:r>
        <w:rPr>
          <w:spacing w:val="-6"/>
        </w:rPr>
        <w:t>针对上述风险，公司主要通过客户资信调查、合同品质评审和商务流程管控，及时甄别信用不良客户，</w:t>
      </w:r>
      <w:r>
        <w:rPr/>
        <w:t> 实施信用管控，控制和降低新客户资信风险。</w:t>
      </w:r>
    </w:p>
    <w:p>
      <w:pPr>
        <w:pStyle w:val="BodyText"/>
        <w:spacing w:line="240" w:lineRule="auto" w:before="109"/>
        <w:ind w:left="574" w:right="1972"/>
        <w:jc w:val="left"/>
      </w:pPr>
      <w:r>
        <w:rPr>
          <w:rFonts w:ascii="Times New Roman" w:hAnsi="Times New Roman" w:cs="Times New Roman" w:eastAsia="Times New Roman" w:hint="default"/>
        </w:rPr>
        <w:t>5</w:t>
      </w:r>
      <w:r>
        <w:rPr/>
        <w:t>、人工智能领域竞争加剧风险</w:t>
      </w:r>
    </w:p>
    <w:p>
      <w:pPr>
        <w:pStyle w:val="BodyText"/>
        <w:spacing w:line="266" w:lineRule="auto" w:before="119"/>
        <w:ind w:right="1131" w:firstLine="420"/>
        <w:jc w:val="both"/>
      </w:pPr>
      <w:r>
        <w:rPr>
          <w:spacing w:val="-3"/>
        </w:rPr>
        <w:t>随着大数据技术、</w:t>
      </w:r>
      <w:r>
        <w:rPr>
          <w:rFonts w:ascii="Times New Roman" w:hAnsi="Times New Roman" w:cs="Times New Roman" w:eastAsia="Times New Roman" w:hint="default"/>
          <w:spacing w:val="-3"/>
        </w:rPr>
        <w:t>AI</w:t>
      </w:r>
      <w:r>
        <w:rPr>
          <w:rFonts w:ascii="Times New Roman" w:hAnsi="Times New Roman" w:cs="Times New Roman" w:eastAsia="Times New Roman" w:hint="default"/>
          <w:spacing w:val="9"/>
        </w:rPr>
        <w:t> </w:t>
      </w:r>
      <w:r>
        <w:rPr>
          <w:spacing w:val="-2"/>
        </w:rPr>
        <w:t>技术和云化技术的快速演变发展，行业应用需求持续增长，市场参与者不断加大</w:t>
      </w:r>
      <w:r>
        <w:rPr/>
        <w:t> </w:t>
      </w:r>
      <w:r>
        <w:rPr>
          <w:spacing w:val="-1"/>
        </w:rPr>
        <w:t>技术研发及市场开拓的投入，高端数据科学和人工智能研发人才成为各企业激烈争夺的稀缺资源，市场竞</w:t>
      </w:r>
      <w:r>
        <w:rPr>
          <w:spacing w:val="-81"/>
        </w:rPr>
        <w:t> </w:t>
      </w:r>
      <w:r>
        <w:rPr>
          <w:spacing w:val="-81"/>
        </w:rPr>
      </w:r>
      <w:r>
        <w:rPr/>
        <w:t>争日益加剧，可能演变为同质化竞争和价格战，甚至可能导致零和博弈，对公司的经营业绩造成冲击。</w:t>
      </w:r>
    </w:p>
    <w:p>
      <w:pPr>
        <w:pStyle w:val="BodyText"/>
        <w:spacing w:line="273" w:lineRule="auto" w:before="112"/>
        <w:ind w:right="1131" w:firstLine="420"/>
        <w:jc w:val="both"/>
      </w:pPr>
      <w:r>
        <w:rPr>
          <w:spacing w:val="-1"/>
        </w:rPr>
        <w:t>针对上述风险，公司通过持之以恒的技术创新不断提升企业的核心竞争力，充分发挥行业积累深厚的</w:t>
      </w:r>
      <w:r>
        <w:rPr/>
        <w:t> 巨大优势，打造差异化的解决方案，健全贴身敏捷的服务体系，确保经营业绩的可持续增长。</w:t>
      </w: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r>
        <w:rPr/>
        <w:t>公司经本次董事会审议通过的利润分配预案为：以</w:t>
      </w:r>
      <w:r>
        <w:rPr>
          <w:spacing w:val="-93"/>
        </w:rPr>
        <w:t> </w:t>
      </w:r>
      <w:r>
        <w:rPr>
          <w:rFonts w:ascii="Times New Roman" w:hAnsi="Times New Roman" w:cs="Times New Roman" w:eastAsia="Times New Roman" w:hint="default"/>
        </w:rPr>
        <w:t>399,083,860</w:t>
      </w:r>
      <w:r>
        <w:rPr>
          <w:rFonts w:ascii="Times New Roman" w:hAnsi="Times New Roman" w:cs="Times New Roman" w:eastAsia="Times New Roman" w:hint="default"/>
          <w:spacing w:val="-26"/>
        </w:rPr>
        <w:t> </w:t>
      </w:r>
      <w:r>
        <w:rPr>
          <w:spacing w:val="-6"/>
        </w:rPr>
        <w:t>为基数，向</w:t>
      </w:r>
      <w:r>
        <w:rPr>
          <w:b w:val="0"/>
          <w:bCs w:val="0"/>
          <w:spacing w:val="-6"/>
        </w:rPr>
      </w:r>
    </w:p>
    <w:p>
      <w:pPr>
        <w:pStyle w:val="Heading2"/>
        <w:spacing w:line="240" w:lineRule="auto" w:before="236"/>
        <w:ind w:left="154" w:right="0"/>
        <w:jc w:val="left"/>
        <w:rPr>
          <w:b w:val="0"/>
          <w:bCs w:val="0"/>
        </w:rPr>
      </w:pPr>
      <w:r>
        <w:rPr>
          <w:w w:val="99"/>
        </w:rPr>
        <w:t>全体股</w:t>
      </w:r>
      <w:r>
        <w:rPr>
          <w:spacing w:val="2"/>
          <w:w w:val="99"/>
        </w:rPr>
        <w:t>东</w:t>
      </w:r>
      <w:r>
        <w:rPr>
          <w:w w:val="99"/>
        </w:rPr>
        <w:t>每</w:t>
      </w:r>
      <w:r>
        <w:rPr>
          <w:spacing w:val="-68"/>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rPr>
        <w:t> </w:t>
      </w:r>
      <w:r>
        <w:rPr>
          <w:w w:val="99"/>
        </w:rPr>
        <w:t>股派发现</w:t>
      </w:r>
      <w:r>
        <w:rPr>
          <w:spacing w:val="2"/>
          <w:w w:val="99"/>
        </w:rPr>
        <w:t>金</w:t>
      </w:r>
      <w:r>
        <w:rPr>
          <w:w w:val="99"/>
        </w:rPr>
        <w:t>红利</w:t>
      </w:r>
      <w:r>
        <w:rPr>
          <w:spacing w:val="-68"/>
        </w:rPr>
        <w:t> </w:t>
      </w:r>
      <w:r>
        <w:rPr>
          <w:rFonts w:ascii="Times New Roman" w:hAnsi="Times New Roman" w:cs="Times New Roman" w:eastAsia="Times New Roman" w:hint="default"/>
          <w:w w:val="99"/>
        </w:rPr>
        <w:t>0.60</w:t>
      </w:r>
      <w:r>
        <w:rPr>
          <w:rFonts w:ascii="Times New Roman" w:hAnsi="Times New Roman" w:cs="Times New Roman" w:eastAsia="Times New Roman" w:hint="default"/>
        </w:rPr>
        <w:t> </w:t>
      </w:r>
      <w:r>
        <w:rPr>
          <w:spacing w:val="-28"/>
          <w:w w:val="99"/>
        </w:rPr>
        <w:t>元</w:t>
      </w:r>
      <w:r>
        <w:rPr>
          <w:w w:val="99"/>
        </w:rPr>
        <w:t>（含</w:t>
      </w:r>
      <w:r>
        <w:rPr>
          <w:spacing w:val="2"/>
          <w:w w:val="99"/>
        </w:rPr>
        <w:t>税</w:t>
      </w:r>
      <w:r>
        <w:rPr>
          <w:spacing w:val="-140"/>
          <w:w w:val="99"/>
        </w:rPr>
        <w:t>）</w:t>
      </w:r>
      <w:r>
        <w:rPr>
          <w:spacing w:val="-28"/>
          <w:w w:val="99"/>
        </w:rPr>
        <w:t>，</w:t>
      </w:r>
      <w:r>
        <w:rPr>
          <w:w w:val="99"/>
        </w:rPr>
        <w:t>送</w:t>
      </w:r>
      <w:r>
        <w:rPr>
          <w:spacing w:val="2"/>
          <w:w w:val="99"/>
        </w:rPr>
        <w:t>红</w:t>
      </w:r>
      <w:r>
        <w:rPr>
          <w:w w:val="99"/>
        </w:rPr>
        <w:t>股</w:t>
      </w:r>
      <w:r>
        <w:rPr>
          <w:spacing w:val="-68"/>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9"/>
        </w:rPr>
        <w:t> </w:t>
      </w:r>
      <w:r>
        <w:rPr>
          <w:spacing w:val="-28"/>
          <w:w w:val="99"/>
        </w:rPr>
        <w:t>股</w:t>
      </w:r>
      <w:r>
        <w:rPr>
          <w:w w:val="99"/>
        </w:rPr>
        <w:t>（含税</w:t>
      </w:r>
      <w:r>
        <w:rPr>
          <w:spacing w:val="-140"/>
          <w:w w:val="99"/>
        </w:rPr>
        <w:t>）</w:t>
      </w:r>
      <w:r>
        <w:rPr>
          <w:spacing w:val="-27"/>
          <w:w w:val="99"/>
        </w:rPr>
        <w:t>，</w:t>
      </w:r>
      <w:r>
        <w:rPr>
          <w:w w:val="99"/>
        </w:rPr>
        <w:t>以资本公</w:t>
      </w:r>
      <w:r>
        <w:rPr>
          <w:b w:val="0"/>
          <w:bCs w:val="0"/>
        </w:rPr>
      </w:r>
    </w:p>
    <w:p>
      <w:pPr>
        <w:pStyle w:val="Heading2"/>
        <w:spacing w:line="240" w:lineRule="auto" w:before="237"/>
        <w:ind w:left="154" w:right="1972"/>
        <w:jc w:val="left"/>
        <w:rPr>
          <w:b w:val="0"/>
          <w:bCs w:val="0"/>
        </w:rPr>
      </w:pPr>
      <w:r>
        <w:rPr/>
        <w:t>积金向全体股东每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7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股。</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06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110</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117</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251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99.96%</w:t>
            </w:r>
            <w:r>
              <w:rPr>
                <w:rFonts w:ascii="宋体" w:hAnsi="宋体" w:cs="宋体" w:eastAsia="宋体" w:hint="default"/>
                <w:sz w:val="18"/>
                <w:szCs w:val="18"/>
              </w:rPr>
              <w:t>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北京维恩贝特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北京维恩贝特信息技术有限公司，维恩贝特的全资子公司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澳门维恩贝特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澳门维恩贝特信息技术有限公司，维恩贝特持股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上海维恩孛特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上海维恩孛特信息技术有限公司，维恩贝特持股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前海维恩贝特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深圳前海维恩贝特互联网金融服务有限公司，维恩贝特持股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73.35%</w:t>
            </w:r>
            <w:r>
              <w:rPr>
                <w:rFonts w:ascii="宋体" w:hAnsi="宋体" w:cs="宋体" w:eastAsia="宋体" w:hint="default"/>
                <w:sz w:val="18"/>
                <w:szCs w:val="18"/>
              </w:rPr>
              <w:t>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金华威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宋体" w:hAnsi="宋体" w:cs="宋体" w:eastAsia="宋体" w:hint="default"/>
                <w:sz w:val="18"/>
                <w:szCs w:val="18"/>
              </w:rPr>
              <w:t>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合肥科技产业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合肥天源迪科科技产业发展有限公司，合肥天源迪科持股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安徽迪科数金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安徽迪科数金科技有限公司，合肥天源迪科持股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亳州迪科数金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亳州迪科数金科技有限公司，安徽迪科数金持股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合肥人才服务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合肥迪科数金人才服务有限公司，安徽迪科数金持股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61.40%</w:t>
            </w:r>
            <w:r>
              <w:rPr>
                <w:rFonts w:ascii="宋体" w:hAnsi="宋体" w:cs="宋体" w:eastAsia="宋体" w:hint="default"/>
                <w:sz w:val="18"/>
                <w:szCs w:val="18"/>
              </w:rPr>
              <w:t>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天源股份</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38" w:lineRule="auto" w:before="51"/>
              <w:ind w:left="27"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广州天源信息科技有限公司，持股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31.83%</w:t>
            </w:r>
            <w:r>
              <w:rPr>
                <w:rFonts w:ascii="宋体" w:hAnsi="宋体" w:cs="宋体" w:eastAsia="宋体" w:hint="default"/>
                <w:sz w:val="18"/>
                <w:szCs w:val="18"/>
              </w:rPr>
              <w:t>的子公司，新三板代码： </w:t>
            </w:r>
            <w:r>
              <w:rPr>
                <w:rFonts w:ascii="Times New Roman" w:hAnsi="Times New Roman" w:cs="Times New Roman" w:eastAsia="Times New Roman" w:hint="default"/>
                <w:sz w:val="18"/>
                <w:szCs w:val="18"/>
              </w:rPr>
              <w:t>872811</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深圳汇巨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信邦科技</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北京信邦安达信息科技股份有限公司，持股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24.23%</w:t>
            </w:r>
            <w:r>
              <w:rPr>
                <w:rFonts w:ascii="宋体" w:hAnsi="宋体" w:cs="宋体" w:eastAsia="宋体" w:hint="default"/>
                <w:sz w:val="18"/>
                <w:szCs w:val="18"/>
              </w:rPr>
              <w:t>的子公司，新三 板代码：</w:t>
            </w:r>
            <w:r>
              <w:rPr>
                <w:rFonts w:ascii="Times New Roman" w:hAnsi="Times New Roman" w:cs="Times New Roman" w:eastAsia="Times New Roman" w:hint="default"/>
                <w:sz w:val="18"/>
                <w:szCs w:val="18"/>
              </w:rPr>
              <w:t>839513</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阿里云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阿里云（</w:t>
            </w:r>
            <w:hyperlink r:id="rId9">
              <w:r>
                <w:rPr>
                  <w:rFonts w:ascii="Times New Roman" w:hAnsi="Times New Roman" w:cs="Times New Roman" w:eastAsia="Times New Roman" w:hint="default"/>
                  <w:sz w:val="18"/>
                  <w:szCs w:val="18"/>
                </w:rPr>
                <w:t>www.aliyun.com</w:t>
              </w:r>
            </w:hyperlink>
            <w:r>
              <w:rPr>
                <w:rFonts w:ascii="宋体" w:hAnsi="宋体" w:cs="宋体" w:eastAsia="宋体" w:hint="default"/>
                <w:sz w:val="18"/>
                <w:szCs w:val="18"/>
              </w:rPr>
              <w:t>）创立于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年，是全球领先的云计算及</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人工智能科技公司，为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多个国家和地区的企业、开发者和政府机 构提供服务</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华为云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华为云是华为公有云品牌，致力于提供专业的公有云服务，提供弹性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云服务器、对象存储服务、软件开发云等云计算服务，以</w:t>
            </w:r>
            <w:r>
              <w:rPr>
                <w:rFonts w:ascii="Times New Roman" w:hAnsi="Times New Roman" w:cs="Times New Roman" w:eastAsia="Times New Roman" w:hint="default"/>
                <w:sz w:val="18"/>
                <w:szCs w:val="18"/>
              </w:rPr>
              <w:t>"</w:t>
            </w:r>
            <w:r>
              <w:rPr>
                <w:rFonts w:ascii="宋体" w:hAnsi="宋体" w:cs="宋体" w:eastAsia="宋体" w:hint="default"/>
                <w:sz w:val="18"/>
                <w:szCs w:val="18"/>
              </w:rPr>
              <w:t>可信、开 放、全球服务</w:t>
            </w:r>
            <w:r>
              <w:rPr>
                <w:rFonts w:ascii="Times New Roman" w:hAnsi="Times New Roman" w:cs="Times New Roman" w:eastAsia="Times New Roman" w:hint="default"/>
                <w:sz w:val="18"/>
                <w:szCs w:val="18"/>
              </w:rPr>
              <w:t>"</w:t>
            </w:r>
            <w:r>
              <w:rPr>
                <w:rFonts w:ascii="宋体" w:hAnsi="宋体" w:cs="宋体" w:eastAsia="宋体" w:hint="default"/>
                <w:sz w:val="18"/>
                <w:szCs w:val="18"/>
              </w:rPr>
              <w:t>三大核心优势服务全球用户</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产业云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BOSS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基于云端的运营支撑软件项目，是针对现在互联网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的浪潮以及云计 </w:t>
            </w:r>
            <w:r>
              <w:rPr>
                <w:rFonts w:ascii="宋体" w:hAnsi="宋体" w:cs="宋体" w:eastAsia="宋体" w:hint="default"/>
                <w:spacing w:val="-2"/>
                <w:sz w:val="18"/>
                <w:szCs w:val="18"/>
              </w:rPr>
              <w:t>算的发展，以自有知识产权的技术和部分分布式开源技术为基础，打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造一个以行业服务为核心的的云计算平台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五代移动通信网络，标志着网络社会的到来</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即海量数据，是指需要新处理模式才能具有更强的决策力、洞察发现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力和流程优化能力的海量、高增长率和多样化的信息资产</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基于互联网的相关服务的增加、使用和交付模式，通常涉及通过互联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网来提供动态易扩展且经常是虚拟化的资源</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Artificial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Intelligence</w:t>
            </w:r>
            <w:r>
              <w:rPr>
                <w:rFonts w:ascii="宋体" w:hAnsi="宋体" w:cs="宋体" w:eastAsia="宋体" w:hint="default"/>
                <w:sz w:val="18"/>
                <w:szCs w:val="18"/>
              </w:rPr>
              <w:t>，用机器来模拟和执行人脑的某些智力功能，并</w:t>
            </w:r>
            <w:r>
              <w:rPr>
                <w:rFonts w:ascii="宋体" w:hAnsi="宋体" w:cs="宋体" w:eastAsia="宋体" w:hint="default"/>
                <w:w w:val="99"/>
                <w:sz w:val="18"/>
                <w:szCs w:val="18"/>
              </w:rPr>
              <w:t> </w:t>
            </w:r>
            <w:r>
              <w:rPr>
                <w:rFonts w:ascii="宋体" w:hAnsi="宋体" w:cs="宋体" w:eastAsia="宋体" w:hint="default"/>
                <w:sz w:val="18"/>
                <w:szCs w:val="18"/>
              </w:rPr>
              <w:t>开发相关理论和技术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CRM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，客户关系管理的简称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BSS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Basic Service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Set</w:t>
            </w:r>
            <w:r>
              <w:rPr>
                <w:rFonts w:ascii="宋体" w:hAnsi="宋体" w:cs="宋体" w:eastAsia="宋体" w:hint="default"/>
                <w:sz w:val="18"/>
                <w:szCs w:val="18"/>
              </w:rPr>
              <w:t>，基本服务集运营支持系统</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BOSS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5"/>
                <w:w w:val="99"/>
                <w:sz w:val="18"/>
                <w:szCs w:val="18"/>
              </w:rPr>
              <w:t>融合了业务支撑系统（</w:t>
            </w:r>
            <w:r>
              <w:rPr>
                <w:rFonts w:ascii="Times New Roman" w:hAnsi="Times New Roman" w:cs="Times New Roman" w:eastAsia="Times New Roman" w:hint="default"/>
                <w:spacing w:val="-5"/>
                <w:w w:val="99"/>
                <w:sz w:val="18"/>
                <w:szCs w:val="18"/>
              </w:rPr>
              <w:t>BSS</w:t>
            </w:r>
            <w:r>
              <w:rPr>
                <w:rFonts w:ascii="宋体" w:hAnsi="宋体" w:cs="宋体" w:eastAsia="宋体" w:hint="default"/>
                <w:spacing w:val="-5"/>
                <w:w w:val="99"/>
                <w:sz w:val="18"/>
                <w:szCs w:val="18"/>
              </w:rPr>
              <w:t>）与运营支撑系统（</w:t>
            </w:r>
            <w:r>
              <w:rPr>
                <w:rFonts w:ascii="Times New Roman" w:hAnsi="Times New Roman" w:cs="Times New Roman" w:eastAsia="Times New Roman" w:hint="default"/>
                <w:spacing w:val="-5"/>
                <w:w w:val="99"/>
                <w:sz w:val="18"/>
                <w:szCs w:val="18"/>
              </w:rPr>
              <w:t>OSS</w:t>
            </w:r>
            <w:r>
              <w:rPr>
                <w:rFonts w:ascii="宋体" w:hAnsi="宋体" w:cs="宋体" w:eastAsia="宋体" w:hint="default"/>
                <w:spacing w:val="-5"/>
                <w:w w:val="99"/>
                <w:sz w:val="18"/>
                <w:szCs w:val="18"/>
              </w:rPr>
              <w:t>），是一个综合的</w:t>
            </w:r>
            <w:r>
              <w:rPr>
                <w:rFonts w:ascii="宋体" w:hAnsi="宋体" w:cs="宋体" w:eastAsia="宋体" w:hint="default"/>
                <w:spacing w:val="-75"/>
                <w:w w:val="99"/>
                <w:sz w:val="18"/>
                <w:szCs w:val="18"/>
              </w:rPr>
              <w:t> </w:t>
            </w:r>
            <w:r>
              <w:rPr>
                <w:rFonts w:ascii="宋体" w:hAnsi="宋体" w:cs="宋体" w:eastAsia="宋体" w:hint="default"/>
                <w:spacing w:val="-75"/>
                <w:w w:val="99"/>
                <w:sz w:val="18"/>
                <w:szCs w:val="18"/>
              </w:rPr>
            </w:r>
            <w:r>
              <w:rPr>
                <w:rFonts w:ascii="宋体" w:hAnsi="宋体" w:cs="宋体" w:eastAsia="宋体" w:hint="default"/>
                <w:sz w:val="18"/>
                <w:szCs w:val="18"/>
              </w:rPr>
              <w:t>业务运营和管理平台</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软件即服务（</w:t>
            </w:r>
            <w:r>
              <w:rPr>
                <w:rFonts w:ascii="Times New Roman" w:hAnsi="Times New Roman" w:cs="Times New Roman" w:eastAsia="Times New Roman" w:hint="default"/>
                <w:spacing w:val="-6"/>
                <w:sz w:val="18"/>
                <w:szCs w:val="18"/>
              </w:rPr>
              <w:t>Software </w:t>
            </w:r>
            <w:r>
              <w:rPr>
                <w:rFonts w:ascii="Times New Roman" w:hAnsi="Times New Roman" w:cs="Times New Roman" w:eastAsia="Times New Roman" w:hint="default"/>
                <w:sz w:val="18"/>
                <w:szCs w:val="18"/>
              </w:rPr>
              <w:t>as 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是一种基于互联网提供软件服务的 应用模式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中国证券监督管理委员会深圳证券监管局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1972"/>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972"/>
        <w:jc w:val="left"/>
        <w:rPr>
          <w:b w:val="0"/>
          <w:bCs w:val="0"/>
        </w:rPr>
      </w:pPr>
      <w:r>
        <w:rPr/>
        <w:pict>
          <v:group style="position:absolute;margin-left:172.339996pt;margin-top:114.735596pt;width:361.5pt;height:19.6pt;mso-position-horizontal-relative:page;mso-position-vertical-relative:paragraph;z-index:-144116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300047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300047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w:t>
            </w:r>
            <w:r>
              <w:rPr>
                <w:rFonts w:ascii="Times New Roman"/>
                <w:spacing w:val="-8"/>
                <w:sz w:val="18"/>
              </w:rPr>
              <w:t> </w:t>
            </w:r>
            <w:r>
              <w:rPr>
                <w:rFonts w:ascii="Times New Roman"/>
                <w:sz w:val="18"/>
              </w:rPr>
              <w:t>TIANYUAN</w:t>
            </w:r>
            <w:r>
              <w:rPr>
                <w:rFonts w:ascii="Times New Roman"/>
                <w:spacing w:val="-5"/>
                <w:sz w:val="18"/>
              </w:rPr>
              <w:t> </w:t>
            </w:r>
            <w:r>
              <w:rPr>
                <w:rFonts w:ascii="Times New Roman"/>
                <w:sz w:val="18"/>
              </w:rPr>
              <w:t>DIC</w:t>
            </w:r>
            <w:r>
              <w:rPr>
                <w:rFonts w:ascii="Times New Roman"/>
                <w:spacing w:val="-5"/>
                <w:sz w:val="18"/>
              </w:rPr>
              <w:t> </w:t>
            </w:r>
            <w:r>
              <w:rPr>
                <w:rFonts w:ascii="Times New Roman"/>
                <w:sz w:val="18"/>
              </w:rPr>
              <w:t>INFORMATION</w:t>
            </w:r>
            <w:r>
              <w:rPr>
                <w:rFonts w:ascii="Times New Roman"/>
                <w:spacing w:val="-8"/>
                <w:sz w:val="18"/>
              </w:rPr>
              <w:t> </w:t>
            </w:r>
            <w:r>
              <w:rPr>
                <w:rFonts w:ascii="Times New Roman"/>
                <w:sz w:val="18"/>
              </w:rPr>
              <w:t>TECHNOLOGY</w:t>
            </w:r>
            <w:r>
              <w:rPr>
                <w:rFonts w:ascii="Times New Roman"/>
                <w:spacing w:val="-1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TYDIC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深圳市南山区粤海街道高新区南区市高新技术工业村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http://www.tydic.com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v-mailbox@tydic.com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1972"/>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谢维</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深圳市南山区沙河西路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号国实大厦</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深圳市南山区沙河西路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号国实大厦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0755-26745678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0755-26745600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0755-26745600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v-mailbox@tydic.com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v-mailbox@tydic.com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1972"/>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3"/>
        <w:spacing w:line="240" w:lineRule="auto" w:before="26"/>
        <w:ind w:right="1972"/>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号中投国际商务中心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陈勇、吕红涛</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9"/>
              <w:jc w:val="left"/>
              <w:rPr>
                <w:rFonts w:ascii="宋体" w:hAnsi="宋体" w:cs="宋体" w:eastAsia="宋体" w:hint="default"/>
                <w:sz w:val="18"/>
                <w:szCs w:val="18"/>
              </w:rPr>
            </w:pPr>
            <w:r>
              <w:rPr>
                <w:rFonts w:ascii="宋体" w:hAnsi="宋体" w:cs="宋体" w:eastAsia="宋体" w:hint="default"/>
                <w:sz w:val="18"/>
                <w:szCs w:val="18"/>
              </w:rPr>
              <w:t>深圳市福田区福华路</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111</w:t>
            </w:r>
            <w:r>
              <w:rPr>
                <w:rFonts w:ascii="Times New Roman" w:hAnsi="Times New Roman" w:cs="Times New Roman" w:eastAsia="Times New Roman" w:hint="default"/>
                <w:sz w:val="18"/>
                <w:szCs w:val="18"/>
              </w:rPr>
              <w:t> </w:t>
            </w:r>
            <w:r>
              <w:rPr>
                <w:rFonts w:ascii="宋体" w:hAnsi="宋体" w:cs="宋体" w:eastAsia="宋体" w:hint="default"/>
                <w:sz w:val="18"/>
                <w:szCs w:val="18"/>
              </w:rPr>
              <w:t>号招</w:t>
            </w:r>
            <w:r>
              <w:rPr>
                <w:rFonts w:ascii="宋体" w:hAnsi="宋体" w:cs="宋体" w:eastAsia="宋体" w:hint="default"/>
                <w:spacing w:val="1"/>
                <w:sz w:val="18"/>
                <w:szCs w:val="18"/>
              </w:rPr>
              <w:t> </w:t>
            </w:r>
            <w:r>
              <w:rPr>
                <w:rFonts w:ascii="宋体" w:hAnsi="宋体" w:cs="宋体" w:eastAsia="宋体" w:hint="default"/>
                <w:sz w:val="18"/>
                <w:szCs w:val="18"/>
              </w:rPr>
              <w:t>商证券大厦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徐斌、王玲玲</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深圳市福田区福华路</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111</w:t>
            </w:r>
            <w:r>
              <w:rPr>
                <w:rFonts w:ascii="Times New Roman" w:hAnsi="Times New Roman" w:cs="Times New Roman" w:eastAsia="Times New Roman" w:hint="default"/>
                <w:sz w:val="18"/>
                <w:szCs w:val="18"/>
              </w:rPr>
              <w:t> </w:t>
            </w:r>
            <w:r>
              <w:rPr>
                <w:rFonts w:ascii="宋体" w:hAnsi="宋体" w:cs="宋体" w:eastAsia="宋体" w:hint="default"/>
                <w:sz w:val="18"/>
                <w:szCs w:val="18"/>
              </w:rPr>
              <w:t>号招</w:t>
            </w:r>
            <w:r>
              <w:rPr>
                <w:rFonts w:ascii="宋体" w:hAnsi="宋体" w:cs="宋体" w:eastAsia="宋体" w:hint="default"/>
                <w:spacing w:val="1"/>
                <w:sz w:val="18"/>
                <w:szCs w:val="18"/>
              </w:rPr>
              <w:t> </w:t>
            </w:r>
            <w:r>
              <w:rPr>
                <w:rFonts w:ascii="宋体" w:hAnsi="宋体" w:cs="宋体" w:eastAsia="宋体" w:hint="default"/>
                <w:sz w:val="18"/>
                <w:szCs w:val="18"/>
              </w:rPr>
              <w:t>商证券大厦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文小俊、曹晓旭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line="240" w:lineRule="auto" w:before="2"/>
        <w:rPr>
          <w:rFonts w:ascii="宋体" w:hAnsi="宋体" w:cs="宋体" w:eastAsia="宋体" w:hint="default"/>
          <w:sz w:val="18"/>
          <w:szCs w:val="18"/>
        </w:rPr>
      </w:pPr>
    </w:p>
    <w:p>
      <w:pPr>
        <w:pStyle w:val="Heading3"/>
        <w:spacing w:line="240" w:lineRule="auto" w:before="26"/>
        <w:ind w:right="1972"/>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3,766,826,442.85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2,963,058,965.15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2,448,219,642.11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215,542,694.97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155,932,941.08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114,903,708.11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188,993,757.06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133,545,073.92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91,174,966.90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-94,002,279.21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77,094,475.47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-221.93%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-212,574,270.33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4,678,931,278.15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4,095,014,277.32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3,182,734,894.60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3,023,700,594.44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2,829,131,492.52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1,976,878,017.30</w:t>
            </w:r>
          </w:p>
        </w:tc>
      </w:tr>
    </w:tbl>
    <w:p>
      <w:pPr>
        <w:spacing w:line="240" w:lineRule="auto" w:before="2"/>
        <w:rPr>
          <w:rFonts w:ascii="宋体" w:hAnsi="宋体" w:cs="宋体" w:eastAsia="宋体" w:hint="default"/>
          <w:sz w:val="18"/>
          <w:szCs w:val="18"/>
        </w:rPr>
      </w:pPr>
    </w:p>
    <w:p>
      <w:pPr>
        <w:pStyle w:val="Heading3"/>
        <w:spacing w:line="240" w:lineRule="auto" w:before="26"/>
        <w:ind w:right="1972"/>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497,495,682.60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685,201,330.17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746,733,459.08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1,837,395,971.00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5,122,172.22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33,240,219.26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39,864,954.58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137,315,348.91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1,517,549.30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27,058,691.55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36,128,846.59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124,288,669.62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7,148,759.26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-69,409,490.04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110,290,475.71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-142,032,024.14</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3"/>
        <w:spacing w:line="240" w:lineRule="auto"/>
        <w:ind w:right="1972"/>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1972"/>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1972"/>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-65,934.02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-351,607.15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-266,756.40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31,050,206.54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23,448,608.83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9,372,773.21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-1,387,476.00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3,209,303.02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18,801,993.33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83,597.83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120,763.70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115,508.85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2,311,803.70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3,411,994.39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3,802,796.62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819,652.74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627,206.85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491,981.16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26,548,937.91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22,387,867.16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23,728,741.21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2" w:lineRule="auto" w:before="44"/>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2"/>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4"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73" w:lineRule="auto" w:before="77"/>
        <w:ind w:left="574" w:right="0" w:firstLine="6"/>
        <w:jc w:val="left"/>
        <w:rPr>
          <w:rFonts w:ascii="宋体" w:hAnsi="宋体" w:cs="宋体" w:eastAsia="宋体" w:hint="default"/>
          <w:sz w:val="21"/>
          <w:szCs w:val="21"/>
        </w:rPr>
      </w:pPr>
      <w:r>
        <w:rPr>
          <w:rFonts w:ascii="宋体" w:hAnsi="宋体" w:cs="宋体" w:eastAsia="宋体" w:hint="default"/>
          <w:b/>
          <w:bCs/>
          <w:sz w:val="21"/>
          <w:szCs w:val="21"/>
        </w:rPr>
        <w:t>（一）报告期内公司从事的主要业务</w:t>
      </w:r>
      <w:r>
        <w:rPr>
          <w:rFonts w:ascii="宋体" w:hAnsi="宋体" w:cs="宋体" w:eastAsia="宋体" w:hint="default"/>
          <w:b/>
          <w:bCs/>
          <w:w w:val="99"/>
          <w:sz w:val="21"/>
          <w:szCs w:val="21"/>
        </w:rPr>
        <w:t> </w:t>
      </w:r>
      <w:r>
        <w:rPr>
          <w:rFonts w:ascii="宋体" w:hAnsi="宋体" w:cs="宋体" w:eastAsia="宋体" w:hint="default"/>
          <w:sz w:val="21"/>
          <w:szCs w:val="21"/>
        </w:rPr>
        <w:t>公司是国内领先的产业云</w:t>
      </w:r>
      <w:r>
        <w:rPr>
          <w:rFonts w:ascii="Times New Roman" w:hAnsi="Times New Roman" w:cs="Times New Roman" w:eastAsia="Times New Roman" w:hint="default"/>
          <w:sz w:val="21"/>
          <w:szCs w:val="21"/>
        </w:rPr>
        <w:t>BOSS</w:t>
      </w:r>
      <w:r>
        <w:rPr>
          <w:rFonts w:ascii="宋体" w:hAnsi="宋体" w:cs="宋体" w:eastAsia="宋体" w:hint="default"/>
          <w:sz w:val="21"/>
          <w:szCs w:val="21"/>
        </w:rPr>
        <w:t>和大数据综合解决方案提供商，产业互联网全程注智的大数据公司。</w:t>
      </w:r>
    </w:p>
    <w:p>
      <w:pPr>
        <w:pStyle w:val="BodyText"/>
        <w:spacing w:line="256" w:lineRule="auto" w:before="0"/>
        <w:ind w:right="1131"/>
        <w:jc w:val="both"/>
      </w:pPr>
      <w:r>
        <w:rPr>
          <w:spacing w:val="-1"/>
        </w:rPr>
        <w:t>公司在电信行业和公安行业具有</w:t>
      </w:r>
      <w:r>
        <w:rPr>
          <w:rFonts w:ascii="Times New Roman" w:hAnsi="Times New Roman" w:cs="Times New Roman" w:eastAsia="Times New Roman" w:hint="default"/>
          <w:spacing w:val="-1"/>
        </w:rPr>
        <w:t>20</w:t>
      </w:r>
      <w:r>
        <w:rPr>
          <w:spacing w:val="-1"/>
        </w:rPr>
        <w:t>余年的业务经验和行业进入优势，不断提升研发实力，逐步形成以运营</w:t>
      </w:r>
      <w:r>
        <w:rPr>
          <w:spacing w:val="-81"/>
        </w:rPr>
        <w:t> </w:t>
      </w:r>
      <w:r>
        <w:rPr>
          <w:spacing w:val="-81"/>
        </w:rPr>
      </w:r>
      <w:r>
        <w:rPr>
          <w:spacing w:val="-1"/>
        </w:rPr>
        <w:t>商</w:t>
      </w:r>
      <w:r>
        <w:rPr>
          <w:rFonts w:ascii="Times New Roman" w:hAnsi="Times New Roman" w:cs="Times New Roman" w:eastAsia="Times New Roman" w:hint="default"/>
          <w:spacing w:val="-1"/>
        </w:rPr>
        <w:t>IT</w:t>
      </w:r>
      <w:r>
        <w:rPr>
          <w:spacing w:val="-1"/>
        </w:rPr>
        <w:t>支撑业务为基础，产业云</w:t>
      </w:r>
      <w:r>
        <w:rPr>
          <w:rFonts w:ascii="Times New Roman" w:hAnsi="Times New Roman" w:cs="Times New Roman" w:eastAsia="Times New Roman" w:hint="default"/>
          <w:spacing w:val="-1"/>
        </w:rPr>
        <w:t>BOSS+</w:t>
      </w:r>
      <w:r>
        <w:rPr>
          <w:spacing w:val="-1"/>
        </w:rPr>
        <w:t>为引领，大数据和移动互联网为技术支撑的云服务运营供应商。聚焦</w:t>
      </w:r>
      <w:r>
        <w:rPr>
          <w:spacing w:val="-85"/>
        </w:rPr>
        <w:t> </w:t>
      </w:r>
      <w:r>
        <w:rPr>
          <w:spacing w:val="-85"/>
        </w:rPr>
      </w:r>
      <w:r>
        <w:rPr/>
        <w:t>电信、公安和金融三大市场，并进入跨行业发展。</w:t>
      </w:r>
    </w:p>
    <w:p>
      <w:pPr>
        <w:pStyle w:val="BodyText"/>
        <w:spacing w:line="266" w:lineRule="auto" w:before="22"/>
        <w:ind w:right="1131" w:firstLine="420"/>
        <w:jc w:val="both"/>
      </w:pPr>
      <w:r>
        <w:rPr>
          <w:spacing w:val="-1"/>
        </w:rPr>
        <w:t>在通信行业，公司的基础业务是为通信行业提供准实时计费帐务类、实时在线计费类、客户关系管理</w:t>
      </w:r>
      <w:r>
        <w:rPr/>
        <w:t> 类、数据仓库类等全面的业务支撑系统软件解决方案及服务咨询，即</w:t>
      </w:r>
      <w:r>
        <w:rPr>
          <w:rFonts w:ascii="Times New Roman" w:hAnsi="Times New Roman" w:cs="Times New Roman" w:eastAsia="Times New Roman" w:hint="default"/>
        </w:rPr>
        <w:t>BOSS</w:t>
      </w:r>
      <w:r>
        <w:rPr/>
        <w:t>系统及相关软件产品业务。随</w:t>
      </w:r>
      <w:r>
        <w:rPr>
          <w:spacing w:val="-29"/>
        </w:rPr>
        <w:t> </w:t>
      </w:r>
      <w:r>
        <w:rPr>
          <w:spacing w:val="-29"/>
        </w:rPr>
      </w:r>
      <w:r>
        <w:rPr>
          <w:spacing w:val="-1"/>
        </w:rPr>
        <w:t>着通信行业支撑系统云化、智慧化发展，公司加大在云计算和大数据方向的投入，在应用层领域占据核心</w:t>
      </w:r>
      <w:r>
        <w:rPr>
          <w:spacing w:val="-83"/>
        </w:rPr>
        <w:t> </w:t>
      </w:r>
      <w:r>
        <w:rPr>
          <w:spacing w:val="-83"/>
        </w:rPr>
      </w:r>
      <w:r>
        <w:rPr/>
        <w:t>竞争力和领头羊地位。</w:t>
      </w:r>
    </w:p>
    <w:p>
      <w:pPr>
        <w:pStyle w:val="BodyText"/>
        <w:spacing w:line="266" w:lineRule="auto" w:before="14"/>
        <w:ind w:right="1130" w:firstLine="420"/>
        <w:jc w:val="both"/>
      </w:pPr>
      <w:r>
        <w:rPr>
          <w:spacing w:val="-1"/>
        </w:rPr>
        <w:t>公司在公安行业深耕多年，深度理解公安业务，已形成的产品线有：新一代出入境管理软件、情报线</w:t>
      </w:r>
      <w:r>
        <w:rPr/>
        <w:t> </w:t>
      </w:r>
      <w:r>
        <w:rPr>
          <w:spacing w:val="-1"/>
        </w:rPr>
        <w:t>索分析软件、交通大数据指挥平台等。</w:t>
      </w:r>
      <w:r>
        <w:rPr>
          <w:rFonts w:ascii="Times New Roman" w:hAnsi="Times New Roman" w:cs="Times New Roman" w:eastAsia="Times New Roman" w:hint="default"/>
          <w:spacing w:val="-1"/>
        </w:rPr>
        <w:t>2010</w:t>
      </w:r>
      <w:r>
        <w:rPr>
          <w:spacing w:val="-1"/>
        </w:rPr>
        <w:t>年上市后，根据行业发展趋势，加大警务云大数据平台和交通</w:t>
      </w:r>
      <w:r>
        <w:rPr>
          <w:spacing w:val="-84"/>
        </w:rPr>
        <w:t> </w:t>
      </w:r>
      <w:r>
        <w:rPr>
          <w:spacing w:val="-84"/>
        </w:rPr>
      </w:r>
      <w:r>
        <w:rPr>
          <w:spacing w:val="-1"/>
        </w:rPr>
        <w:t>大数据平台的开发，警务云大数据平台是实现跨警种、跨区域，实现数据通、业务通、机制通，高度整合</w:t>
      </w:r>
      <w:r>
        <w:rPr>
          <w:spacing w:val="-83"/>
        </w:rPr>
        <w:t> </w:t>
      </w:r>
      <w:r>
        <w:rPr>
          <w:spacing w:val="-83"/>
        </w:rPr>
      </w:r>
      <w:r>
        <w:rPr>
          <w:spacing w:val="-1"/>
        </w:rPr>
        <w:t>的公安一体化平台。交通大数据平台实现情报、指挥、勤务一体化。随着公安行业云化、数据化发展，</w:t>
      </w:r>
      <w:r>
        <w:rPr>
          <w:rFonts w:ascii="Times New Roman" w:hAnsi="Times New Roman" w:cs="Times New Roman" w:eastAsia="Times New Roman" w:hint="default"/>
          <w:spacing w:val="-1"/>
        </w:rPr>
        <w:t>IT</w:t>
      </w:r>
      <w:r>
        <w:rPr>
          <w:rFonts w:ascii="Times New Roman" w:hAnsi="Times New Roman" w:cs="Times New Roman" w:eastAsia="Times New Roman" w:hint="default"/>
          <w:spacing w:val="-20"/>
        </w:rPr>
        <w:t> </w:t>
      </w:r>
      <w:r>
        <w:rPr>
          <w:spacing w:val="-1"/>
        </w:rPr>
        <w:t>厂商由分散到逐步集中，公司公安客户也由过去的上海、深圳、广州等地向全国主要核心城市扩展，是国</w:t>
      </w:r>
      <w:r>
        <w:rPr>
          <w:spacing w:val="-86"/>
        </w:rPr>
        <w:t> </w:t>
      </w:r>
      <w:r>
        <w:rPr>
          <w:spacing w:val="-86"/>
        </w:rPr>
      </w:r>
      <w:r>
        <w:rPr>
          <w:spacing w:val="-1"/>
        </w:rPr>
        <w:t>内公安行业在该领域的主要标杆厂商。公司政府业务由公安大数据向政法、城市应急指挥、智慧安全生产</w:t>
      </w:r>
      <w:r>
        <w:rPr>
          <w:spacing w:val="-83"/>
        </w:rPr>
        <w:t> </w:t>
      </w:r>
      <w:r>
        <w:rPr>
          <w:spacing w:val="-83"/>
        </w:rPr>
      </w:r>
      <w:r>
        <w:rPr/>
        <w:t>大数据方向延伸。</w:t>
      </w:r>
    </w:p>
    <w:p>
      <w:pPr>
        <w:pStyle w:val="BodyText"/>
        <w:spacing w:line="273" w:lineRule="auto" w:before="14"/>
        <w:ind w:right="0" w:firstLine="420"/>
        <w:jc w:val="left"/>
      </w:pPr>
      <w:r>
        <w:rPr/>
        <w:t>在金融行业，提供面向证券行业的云计算平台，保险核心系统的移动端应用。公司子公司维恩贝特主 要业务是银行核心系统的开发和服务；互联网直销银行云平台，消费金融云平台，大数据风控云平台等。</w:t>
      </w:r>
      <w:r>
        <w:rPr>
          <w:spacing w:val="-26"/>
        </w:rPr>
        <w:t> </w:t>
      </w:r>
      <w:r>
        <w:rPr>
          <w:spacing w:val="-26"/>
        </w:rPr>
      </w:r>
      <w:r>
        <w:rPr/>
        <w:t>随着并购后的整合，在银行业，公司将加大在银行核心系统云化、大数据、人工智能方向的投入，以及泛</w:t>
      </w:r>
      <w:r>
        <w:rPr/>
        <w:t> 金融</w:t>
      </w:r>
      <w:r>
        <w:rPr>
          <w:rFonts w:ascii="Times New Roman" w:hAnsi="Times New Roman" w:cs="Times New Roman" w:eastAsia="Times New Roman" w:hint="default"/>
        </w:rPr>
        <w:t>IT</w:t>
      </w:r>
      <w:r>
        <w:rPr/>
        <w:t>解决方案（支付、互金）和合作运营。</w:t>
      </w:r>
    </w:p>
    <w:p>
      <w:pPr>
        <w:pStyle w:val="BodyText"/>
        <w:spacing w:line="279" w:lineRule="exact" w:before="0"/>
        <w:ind w:left="574" w:right="0"/>
        <w:jc w:val="left"/>
      </w:pPr>
      <w:r>
        <w:rPr/>
        <w:t>为大中型企业客户提供大数据</w:t>
      </w:r>
      <w:r>
        <w:rPr>
          <w:rFonts w:ascii="Times New Roman" w:hAnsi="Times New Roman" w:cs="Times New Roman" w:eastAsia="Times New Roman" w:hint="default"/>
        </w:rPr>
        <w:t>+</w:t>
      </w:r>
      <w:r>
        <w:rPr/>
        <w:t>物业、农业、能源、制造业等行业综合解决方案和云化解决方案。</w:t>
      </w:r>
    </w:p>
    <w:p>
      <w:pPr>
        <w:spacing w:line="240" w:lineRule="auto" w:before="6"/>
        <w:rPr>
          <w:rFonts w:ascii="宋体" w:hAnsi="宋体" w:cs="宋体" w:eastAsia="宋体" w:hint="default"/>
          <w:sz w:val="25"/>
          <w:szCs w:val="25"/>
        </w:rPr>
      </w:pPr>
    </w:p>
    <w:p>
      <w:pPr>
        <w:pStyle w:val="Heading5"/>
        <w:spacing w:line="240" w:lineRule="auto"/>
        <w:ind w:right="0"/>
        <w:jc w:val="both"/>
        <w:rPr>
          <w:b w:val="0"/>
          <w:bCs w:val="0"/>
        </w:rPr>
      </w:pPr>
      <w:r>
        <w:rPr/>
        <w:t>（二）报告期内公司所属行业的发展阶段、周期性特点以及公司的行业地位</w:t>
      </w:r>
      <w:r>
        <w:rPr>
          <w:b w:val="0"/>
          <w:bCs w:val="0"/>
        </w:rPr>
      </w:r>
    </w:p>
    <w:p>
      <w:pPr>
        <w:spacing w:line="240" w:lineRule="auto" w:before="9"/>
        <w:rPr>
          <w:rFonts w:ascii="宋体" w:hAnsi="宋体" w:cs="宋体" w:eastAsia="宋体" w:hint="default"/>
          <w:b/>
          <w:bCs/>
          <w:sz w:val="26"/>
          <w:szCs w:val="26"/>
        </w:rPr>
      </w:pPr>
    </w:p>
    <w:p>
      <w:pPr>
        <w:pStyle w:val="BodyText"/>
        <w:spacing w:line="256" w:lineRule="auto" w:before="0"/>
        <w:ind w:right="1130" w:firstLine="420"/>
        <w:jc w:val="both"/>
      </w:pPr>
      <w:r>
        <w:rPr>
          <w:rFonts w:ascii="Times New Roman" w:hAnsi="Times New Roman" w:cs="Times New Roman" w:eastAsia="Times New Roman" w:hint="default"/>
          <w:spacing w:val="-3"/>
        </w:rPr>
        <w:t>IT</w:t>
      </w:r>
      <w:r>
        <w:rPr>
          <w:spacing w:val="-3"/>
        </w:rPr>
        <w:t>产业云化加速。根据</w:t>
      </w:r>
      <w:r>
        <w:rPr>
          <w:rFonts w:ascii="Times New Roman" w:hAnsi="Times New Roman" w:cs="Times New Roman" w:eastAsia="Times New Roman" w:hint="default"/>
          <w:spacing w:val="-3"/>
        </w:rPr>
        <w:t>IDC</w:t>
      </w:r>
      <w:r>
        <w:rPr>
          <w:spacing w:val="-3"/>
        </w:rPr>
        <w:t>全球云</w:t>
      </w:r>
      <w:r>
        <w:rPr>
          <w:rFonts w:ascii="Times New Roman" w:hAnsi="Times New Roman" w:cs="Times New Roman" w:eastAsia="Times New Roman" w:hint="default"/>
          <w:spacing w:val="-3"/>
        </w:rPr>
        <w:t>IT</w:t>
      </w:r>
      <w:r>
        <w:rPr>
          <w:spacing w:val="-3"/>
        </w:rPr>
        <w:t>基础设施追踪报告显示，未来五年，传统</w:t>
      </w:r>
      <w:r>
        <w:rPr>
          <w:rFonts w:ascii="Times New Roman" w:hAnsi="Times New Roman" w:cs="Times New Roman" w:eastAsia="Times New Roman" w:hint="default"/>
          <w:spacing w:val="-3"/>
        </w:rPr>
        <w:t>IT</w:t>
      </w:r>
      <w:r>
        <w:rPr>
          <w:spacing w:val="-3"/>
        </w:rPr>
        <w:t>支出的占比持续下降，</w:t>
      </w:r>
      <w:r>
        <w:rPr>
          <w:w w:val="99"/>
        </w:rPr>
        <w:t> </w:t>
      </w:r>
      <w:r>
        <w:rPr>
          <w:rFonts w:ascii="Times New Roman" w:hAnsi="Times New Roman" w:cs="Times New Roman" w:eastAsia="Times New Roman" w:hint="default"/>
        </w:rPr>
        <w:t>IT</w:t>
      </w:r>
      <w:r>
        <w:rPr/>
        <w:t>产业云化将加速。中国云计算市场规模加速增长，占整体</w:t>
      </w:r>
      <w:r>
        <w:rPr>
          <w:rFonts w:ascii="Times New Roman" w:hAnsi="Times New Roman" w:cs="Times New Roman" w:eastAsia="Times New Roman" w:hint="default"/>
        </w:rPr>
        <w:t>IT</w:t>
      </w:r>
      <w:r>
        <w:rPr/>
        <w:t>支出比例进一步扩大。</w:t>
      </w:r>
    </w:p>
    <w:p>
      <w:pPr>
        <w:pStyle w:val="BodyText"/>
        <w:spacing w:line="273" w:lineRule="auto" w:before="4"/>
        <w:ind w:right="1131" w:firstLine="420"/>
        <w:jc w:val="both"/>
      </w:pPr>
      <w:r>
        <w:rPr>
          <w:spacing w:val="-1"/>
        </w:rPr>
        <w:t>云计算从互联网行业逐渐渗透至传统行业，企业云服务市场规模提升。云计算在技术应用和商业模式</w:t>
      </w:r>
      <w:r>
        <w:rPr/>
        <w:t> </w:t>
      </w:r>
      <w:r>
        <w:rPr>
          <w:spacing w:val="-1"/>
        </w:rPr>
        <w:t>上日渐成熟，使得云计算在传统行业中的应用逐渐爆发，从游戏、电商、移动、社交等在内的互联网行业</w:t>
      </w:r>
      <w:r>
        <w:rPr>
          <w:spacing w:val="-83"/>
        </w:rPr>
        <w:t> </w:t>
      </w:r>
      <w:r>
        <w:rPr>
          <w:spacing w:val="-83"/>
        </w:rPr>
      </w:r>
      <w:r>
        <w:rPr/>
        <w:t>向制造、政府、金融、交通、医疗健康等传统行业渗透。</w:t>
      </w:r>
    </w:p>
    <w:p>
      <w:pPr>
        <w:pStyle w:val="BodyText"/>
        <w:spacing w:line="273" w:lineRule="auto" w:before="8"/>
        <w:ind w:right="1133" w:firstLine="420"/>
        <w:jc w:val="both"/>
      </w:pPr>
      <w:r>
        <w:rPr>
          <w:spacing w:val="-1"/>
        </w:rPr>
        <w:t>智能硬件的快速推广和普及，大数据爆发式增长。数据挖掘、机器学习和人工智能等相关技术，将改</w:t>
      </w:r>
      <w:r>
        <w:rPr/>
        <w:t> 变数据世界的算法和基础理论，实现科学技术上的突破。</w:t>
      </w:r>
    </w:p>
    <w:p>
      <w:pPr>
        <w:pStyle w:val="BodyText"/>
        <w:spacing w:line="273" w:lineRule="auto"/>
        <w:ind w:right="1131" w:firstLine="420"/>
        <w:jc w:val="both"/>
      </w:pPr>
      <w:r>
        <w:rPr>
          <w:spacing w:val="-1"/>
        </w:rPr>
        <w:t>大数据与云计算深度融合。云计算为大数据提供弹性可扩展的基础设施支撑环境及数据服务的高效模</w:t>
      </w:r>
      <w:r>
        <w:rPr/>
        <w:t> </w:t>
      </w:r>
      <w:r>
        <w:rPr>
          <w:spacing w:val="-1"/>
        </w:rPr>
        <w:t>式，大数据则为云计算提供新的商业价值，大数据技术与云计算技术必有更完美的结合。各国的基础设施</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16"/>
        <w:jc w:val="left"/>
      </w:pPr>
      <w:r>
        <w:rPr/>
        <w:t>越来越紧密地和云计算结合越来，更多的制造企业和金融机构开始用</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，云计算将促进科技金融提高效 益。</w:t>
      </w:r>
    </w:p>
    <w:p>
      <w:pPr>
        <w:pStyle w:val="BodyText"/>
        <w:spacing w:line="256" w:lineRule="auto" w:before="22"/>
        <w:ind w:right="1131" w:firstLine="336"/>
        <w:jc w:val="both"/>
      </w:pPr>
      <w:r>
        <w:rPr>
          <w:rFonts w:ascii="Times New Roman" w:hAnsi="Times New Roman" w:cs="Times New Roman" w:eastAsia="Times New Roman" w:hint="default"/>
          <w:spacing w:val="-2"/>
        </w:rPr>
        <w:t>2018</w:t>
      </w:r>
      <w:r>
        <w:rPr>
          <w:spacing w:val="-2"/>
        </w:rPr>
        <w:t>年，三大运营商实际资本开支完成额为</w:t>
      </w:r>
      <w:r>
        <w:rPr>
          <w:rFonts w:ascii="Times New Roman" w:hAnsi="Times New Roman" w:cs="Times New Roman" w:eastAsia="Times New Roman" w:hint="default"/>
          <w:spacing w:val="-2"/>
        </w:rPr>
        <w:t>2,869</w:t>
      </w:r>
      <w:r>
        <w:rPr>
          <w:spacing w:val="-2"/>
        </w:rPr>
        <w:t>亿元，同比下滑</w:t>
      </w:r>
      <w:r>
        <w:rPr>
          <w:rFonts w:ascii="Times New Roman" w:hAnsi="Times New Roman" w:cs="Times New Roman" w:eastAsia="Times New Roman" w:hint="default"/>
          <w:spacing w:val="-2"/>
        </w:rPr>
        <w:t>7%</w:t>
      </w:r>
      <w:r>
        <w:rPr>
          <w:spacing w:val="-2"/>
        </w:rPr>
        <w:t>，云、大数据和集中化是电信运营</w:t>
      </w:r>
      <w:r>
        <w:rPr/>
        <w:t> </w:t>
      </w:r>
      <w:r>
        <w:rPr>
          <w:spacing w:val="-1"/>
        </w:rPr>
        <w:t>商</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IT</w:t>
      </w:r>
      <w:r>
        <w:rPr>
          <w:spacing w:val="-1"/>
        </w:rPr>
        <w:t>支撑系统的发展重点。政府行业是云计算和大数据的主要突破口，云计算在金融行业的市场空</w:t>
      </w:r>
      <w:r>
        <w:rPr>
          <w:spacing w:val="-68"/>
        </w:rPr>
        <w:t> </w:t>
      </w:r>
      <w:r>
        <w:rPr>
          <w:spacing w:val="-68"/>
        </w:rPr>
      </w:r>
      <w:r>
        <w:rPr/>
        <w:t>间正逐步打开。</w:t>
      </w:r>
    </w:p>
    <w:p>
      <w:pPr>
        <w:pStyle w:val="BodyText"/>
        <w:spacing w:line="261" w:lineRule="auto" w:before="22"/>
        <w:ind w:right="1130" w:firstLine="420"/>
        <w:jc w:val="both"/>
      </w:pPr>
      <w:r>
        <w:rPr>
          <w:spacing w:val="-1"/>
        </w:rPr>
        <w:t>通信行业是公司服务的主要行业，公司是中国电信、中国联通业务系统应用层大数据、云化试点的主</w:t>
      </w:r>
      <w:r>
        <w:rPr/>
        <w:t> </w:t>
      </w:r>
      <w:r>
        <w:rPr>
          <w:spacing w:val="-1"/>
        </w:rPr>
        <w:t>要厂商，领头羊地位，具有明显的</w:t>
      </w:r>
      <w:r>
        <w:rPr>
          <w:rFonts w:ascii="Times New Roman" w:hAnsi="Times New Roman" w:cs="Times New Roman" w:eastAsia="Times New Roman" w:hint="default"/>
          <w:spacing w:val="-1"/>
        </w:rPr>
        <w:t>IT</w:t>
      </w:r>
      <w:r>
        <w:rPr>
          <w:spacing w:val="-1"/>
        </w:rPr>
        <w:t>技术领先性。公司上市后，加大对公安行业解决方案的研发和开拓力</w:t>
      </w:r>
      <w:r>
        <w:rPr>
          <w:spacing w:val="-71"/>
        </w:rPr>
        <w:t> </w:t>
      </w:r>
      <w:r>
        <w:rPr>
          <w:spacing w:val="-71"/>
        </w:rPr>
      </w:r>
      <w:r>
        <w:rPr>
          <w:spacing w:val="-5"/>
        </w:rPr>
        <w:t>度，并在国内公安市场形成品牌和竞争优势。</w:t>
      </w:r>
      <w:r>
        <w:rPr>
          <w:rFonts w:ascii="Times New Roman" w:hAnsi="Times New Roman" w:cs="Times New Roman" w:eastAsia="Times New Roman" w:hint="default"/>
          <w:spacing w:val="-5"/>
        </w:rPr>
        <w:t>2017</w:t>
      </w:r>
      <w:r>
        <w:rPr>
          <w:spacing w:val="-5"/>
        </w:rPr>
        <w:t>年第四季度，公司与维恩贝特重组审核通过并合并报表，</w:t>
      </w:r>
      <w:r>
        <w:rPr>
          <w:spacing w:val="-90"/>
        </w:rPr>
        <w:t> </w:t>
      </w:r>
      <w:r>
        <w:rPr>
          <w:spacing w:val="-90"/>
        </w:rPr>
      </w:r>
      <w:r>
        <w:rPr/>
        <w:t>由此深度进入金融业，逐步实现与维恩贝特在技术与市场上的融合互补。</w:t>
      </w:r>
    </w:p>
    <w:p>
      <w:pPr>
        <w:pStyle w:val="BodyText"/>
        <w:spacing w:line="273" w:lineRule="auto" w:before="18"/>
        <w:ind w:right="1035" w:firstLine="420"/>
        <w:jc w:val="both"/>
      </w:pPr>
      <w:r>
        <w:rPr/>
        <w:t>携手合作伙伴，更快更好地为客户提供价值。在云计算、大数据、人工智能领域，已与阿里、华为、 腾讯、电信运营商政企部等合作伙伴紧密合作，共同交付行业市场。在智能制造、能源、大交通、军工、</w:t>
      </w:r>
      <w:r>
        <w:rPr>
          <w:spacing w:val="-35"/>
        </w:rPr>
        <w:t> </w:t>
      </w:r>
      <w:r>
        <w:rPr>
          <w:spacing w:val="-35"/>
        </w:rPr>
      </w:r>
      <w:r>
        <w:rPr/>
        <w:t>政府等行业已形成可复制的产品和解决方案，并在大型央企及政府行业形成影响力。</w:t>
      </w:r>
    </w:p>
    <w:p>
      <w:pPr>
        <w:pStyle w:val="BodyText"/>
        <w:spacing w:line="273" w:lineRule="auto"/>
        <w:ind w:right="1133" w:firstLine="420"/>
        <w:jc w:val="both"/>
      </w:pPr>
      <w:r>
        <w:rPr>
          <w:spacing w:val="-1"/>
        </w:rPr>
        <w:t>公司以云计算、大数据技术为核心，深耕电信、政府、金融行业，在行业内实现产品化、模块化，提</w:t>
      </w:r>
      <w:r>
        <w:rPr/>
        <w:t> 升技术复用度和生产效率，产业云</w:t>
      </w:r>
      <w:r>
        <w:rPr>
          <w:rFonts w:ascii="Times New Roman" w:hAnsi="Times New Roman" w:cs="Times New Roman" w:eastAsia="Times New Roman" w:hint="default"/>
        </w:rPr>
        <w:t>BOSS</w:t>
      </w:r>
      <w:r>
        <w:rPr/>
        <w:t>在多个超大型企业应用，报告期内，营业收入实现稳健增长。</w:t>
      </w:r>
    </w:p>
    <w:p>
      <w:pPr>
        <w:spacing w:line="240" w:lineRule="auto" w:before="5"/>
        <w:rPr>
          <w:rFonts w:ascii="宋体" w:hAnsi="宋体" w:cs="宋体" w:eastAsia="宋体" w:hint="default"/>
          <w:sz w:val="20"/>
          <w:szCs w:val="20"/>
        </w:rPr>
      </w:pPr>
    </w:p>
    <w:p>
      <w:pPr>
        <w:pStyle w:val="Heading3"/>
        <w:spacing w:line="240" w:lineRule="auto"/>
        <w:ind w:right="1972"/>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42"/>
        <w:gridCol w:w="7426"/>
      </w:tblGrid>
      <w:tr>
        <w:trPr>
          <w:trHeight w:val="397" w:hRule="exact"/>
        </w:trPr>
        <w:tc>
          <w:tcPr>
            <w:tcW w:w="214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70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42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17" w:hRule="exact"/>
        </w:trPr>
        <w:tc>
          <w:tcPr>
            <w:tcW w:w="2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2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26"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54"/>
                <w:sz w:val="18"/>
                <w:szCs w:val="18"/>
              </w:rPr>
              <w:t> </w:t>
            </w:r>
            <w:r>
              <w:rPr>
                <w:rFonts w:ascii="宋体" w:hAnsi="宋体" w:cs="宋体" w:eastAsia="宋体" w:hint="default"/>
                <w:sz w:val="18"/>
                <w:szCs w:val="18"/>
              </w:rPr>
              <w:t>12,341.24</w:t>
            </w:r>
            <w:r>
              <w:rPr>
                <w:rFonts w:ascii="宋体" w:hAnsi="宋体" w:cs="宋体" w:eastAsia="宋体" w:hint="default"/>
                <w:spacing w:val="-54"/>
                <w:sz w:val="18"/>
                <w:szCs w:val="18"/>
              </w:rPr>
              <w:t> </w:t>
            </w:r>
            <w:r>
              <w:rPr>
                <w:rFonts w:ascii="宋体" w:hAnsi="宋体" w:cs="宋体" w:eastAsia="宋体" w:hint="default"/>
                <w:spacing w:val="-6"/>
                <w:sz w:val="18"/>
                <w:szCs w:val="18"/>
              </w:rPr>
              <w:t>万元，增长</w:t>
            </w:r>
            <w:r>
              <w:rPr>
                <w:rFonts w:ascii="宋体" w:hAnsi="宋体" w:cs="宋体" w:eastAsia="宋体" w:hint="default"/>
                <w:spacing w:val="-53"/>
                <w:sz w:val="18"/>
                <w:szCs w:val="18"/>
              </w:rPr>
              <w:t> </w:t>
            </w:r>
            <w:r>
              <w:rPr>
                <w:rFonts w:ascii="宋体" w:hAnsi="宋体" w:cs="宋体" w:eastAsia="宋体" w:hint="default"/>
                <w:sz w:val="18"/>
                <w:szCs w:val="18"/>
              </w:rPr>
              <w:t>50.55%</w:t>
            </w:r>
            <w:r>
              <w:rPr>
                <w:rFonts w:ascii="宋体" w:hAnsi="宋体" w:cs="宋体" w:eastAsia="宋体" w:hint="default"/>
                <w:sz w:val="18"/>
                <w:szCs w:val="18"/>
              </w:rPr>
              <w:t>，主要原因是子公司合肥天源迪科和武汉天 源迪科在建工程转入。</w:t>
            </w:r>
          </w:p>
        </w:tc>
      </w:tr>
      <w:tr>
        <w:trPr>
          <w:trHeight w:val="392" w:hRule="exact"/>
        </w:trPr>
        <w:tc>
          <w:tcPr>
            <w:tcW w:w="21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426" w:type="dxa"/>
            <w:vMerge/>
            <w:tcBorders>
              <w:left w:val="single" w:sz="9" w:space="0" w:color="D2D2D2"/>
              <w:right w:val="single" w:sz="4" w:space="0" w:color="000000"/>
            </w:tcBorders>
          </w:tcPr>
          <w:p>
            <w:pPr/>
          </w:p>
        </w:tc>
      </w:tr>
      <w:tr>
        <w:trPr>
          <w:trHeight w:val="161" w:hRule="exact"/>
        </w:trPr>
        <w:tc>
          <w:tcPr>
            <w:tcW w:w="2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26" w:type="dxa"/>
            <w:vMerge/>
            <w:tcBorders>
              <w:left w:val="single" w:sz="9" w:space="0" w:color="D2D2D2"/>
              <w:bottom w:val="single" w:sz="4" w:space="0" w:color="000000"/>
              <w:right w:val="single" w:sz="4" w:space="0" w:color="000000"/>
            </w:tcBorders>
          </w:tcPr>
          <w:p>
            <w:pP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88" w:hRule="exact"/>
        </w:trPr>
        <w:tc>
          <w:tcPr>
            <w:tcW w:w="2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26" w:type="dxa"/>
            <w:vMerge w:val="restart"/>
            <w:tcBorders>
              <w:top w:val="single" w:sz="4" w:space="0" w:color="000000"/>
              <w:left w:val="single" w:sz="9" w:space="0" w:color="D2D2D2"/>
              <w:right w:val="single" w:sz="4" w:space="0" w:color="000000"/>
            </w:tcBorders>
          </w:tcPr>
          <w:p>
            <w:pPr>
              <w:pStyle w:val="TableParagraph"/>
              <w:spacing w:line="319" w:lineRule="auto" w:before="79"/>
              <w:ind w:left="16" w:right="57"/>
              <w:jc w:val="left"/>
              <w:rPr>
                <w:rFonts w:ascii="宋体" w:hAnsi="宋体" w:cs="宋体" w:eastAsia="宋体" w:hint="default"/>
                <w:sz w:val="18"/>
                <w:szCs w:val="18"/>
              </w:rPr>
            </w:pPr>
            <w:r>
              <w:rPr>
                <w:rFonts w:ascii="宋体" w:hAnsi="宋体" w:cs="宋体" w:eastAsia="宋体" w:hint="default"/>
                <w:sz w:val="18"/>
                <w:szCs w:val="18"/>
              </w:rPr>
              <w:t>年末比年初余额减少</w:t>
            </w:r>
            <w:r>
              <w:rPr>
                <w:rFonts w:ascii="宋体" w:hAnsi="宋体" w:cs="宋体" w:eastAsia="宋体" w:hint="default"/>
                <w:spacing w:val="-46"/>
                <w:sz w:val="18"/>
                <w:szCs w:val="18"/>
              </w:rPr>
              <w:t> </w:t>
            </w:r>
            <w:r>
              <w:rPr>
                <w:rFonts w:ascii="宋体" w:hAnsi="宋体" w:cs="宋体" w:eastAsia="宋体" w:hint="default"/>
                <w:sz w:val="18"/>
                <w:szCs w:val="18"/>
              </w:rPr>
              <w:t>15,246.86</w:t>
            </w:r>
            <w:r>
              <w:rPr>
                <w:rFonts w:ascii="宋体" w:hAnsi="宋体" w:cs="宋体" w:eastAsia="宋体" w:hint="default"/>
                <w:spacing w:val="-46"/>
                <w:sz w:val="18"/>
                <w:szCs w:val="18"/>
              </w:rPr>
              <w:t> </w:t>
            </w:r>
            <w:r>
              <w:rPr>
                <w:rFonts w:ascii="宋体" w:hAnsi="宋体" w:cs="宋体" w:eastAsia="宋体" w:hint="default"/>
                <w:sz w:val="18"/>
                <w:szCs w:val="18"/>
              </w:rPr>
              <w:t>万元，减少</w:t>
            </w:r>
            <w:r>
              <w:rPr>
                <w:rFonts w:ascii="宋体" w:hAnsi="宋体" w:cs="宋体" w:eastAsia="宋体" w:hint="default"/>
                <w:spacing w:val="-45"/>
                <w:sz w:val="18"/>
                <w:szCs w:val="18"/>
              </w:rPr>
              <w:t> </w:t>
            </w:r>
            <w:r>
              <w:rPr>
                <w:rFonts w:ascii="宋体" w:hAnsi="宋体" w:cs="宋体" w:eastAsia="宋体" w:hint="default"/>
                <w:sz w:val="18"/>
                <w:szCs w:val="18"/>
              </w:rPr>
              <w:t>100.00%</w:t>
            </w:r>
            <w:r>
              <w:rPr>
                <w:rFonts w:ascii="宋体" w:hAnsi="宋体" w:cs="宋体" w:eastAsia="宋体" w:hint="default"/>
                <w:sz w:val="18"/>
                <w:szCs w:val="18"/>
              </w:rPr>
              <w:t>，主要原因是子公司合肥天源迪科和武汉 天源迪科在建工程转出。</w:t>
            </w:r>
          </w:p>
        </w:tc>
      </w:tr>
      <w:tr>
        <w:trPr>
          <w:trHeight w:val="392" w:hRule="exact"/>
        </w:trPr>
        <w:tc>
          <w:tcPr>
            <w:tcW w:w="21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426" w:type="dxa"/>
            <w:vMerge/>
            <w:tcBorders>
              <w:left w:val="single" w:sz="9" w:space="0" w:color="D2D2D2"/>
              <w:right w:val="single" w:sz="4" w:space="0" w:color="000000"/>
            </w:tcBorders>
          </w:tcPr>
          <w:p>
            <w:pPr/>
          </w:p>
        </w:tc>
      </w:tr>
      <w:tr>
        <w:trPr>
          <w:trHeight w:val="188" w:hRule="exact"/>
        </w:trPr>
        <w:tc>
          <w:tcPr>
            <w:tcW w:w="2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26" w:type="dxa"/>
            <w:vMerge/>
            <w:tcBorders>
              <w:left w:val="single" w:sz="9" w:space="0" w:color="D2D2D2"/>
              <w:bottom w:val="single" w:sz="4" w:space="0" w:color="000000"/>
              <w:right w:val="single" w:sz="4" w:space="0" w:color="000000"/>
            </w:tcBorders>
          </w:tcPr>
          <w:p>
            <w:pPr/>
          </w:p>
        </w:tc>
      </w:tr>
      <w:tr>
        <w:trPr>
          <w:trHeight w:val="714" w:hRule="exact"/>
        </w:trPr>
        <w:tc>
          <w:tcPr>
            <w:tcW w:w="214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年末比年初余额减少</w:t>
            </w:r>
            <w:r>
              <w:rPr>
                <w:rFonts w:ascii="宋体" w:hAnsi="宋体" w:cs="宋体" w:eastAsia="宋体" w:hint="default"/>
                <w:spacing w:val="-46"/>
                <w:sz w:val="18"/>
                <w:szCs w:val="18"/>
              </w:rPr>
              <w:t> </w:t>
            </w:r>
            <w:r>
              <w:rPr>
                <w:rFonts w:ascii="宋体" w:hAnsi="宋体" w:cs="宋体" w:eastAsia="宋体" w:hint="default"/>
                <w:sz w:val="18"/>
                <w:szCs w:val="18"/>
              </w:rPr>
              <w:t>4,826.97</w:t>
            </w:r>
            <w:r>
              <w:rPr>
                <w:rFonts w:ascii="宋体" w:hAnsi="宋体" w:cs="宋体" w:eastAsia="宋体" w:hint="default"/>
                <w:spacing w:val="-46"/>
                <w:sz w:val="18"/>
                <w:szCs w:val="18"/>
              </w:rPr>
              <w:t> </w:t>
            </w:r>
            <w:r>
              <w:rPr>
                <w:rFonts w:ascii="宋体" w:hAnsi="宋体" w:cs="宋体" w:eastAsia="宋体" w:hint="default"/>
                <w:sz w:val="18"/>
                <w:szCs w:val="18"/>
              </w:rPr>
              <w:t>万元，减少</w:t>
            </w:r>
            <w:r>
              <w:rPr>
                <w:rFonts w:ascii="宋体" w:hAnsi="宋体" w:cs="宋体" w:eastAsia="宋体" w:hint="default"/>
                <w:spacing w:val="-46"/>
                <w:sz w:val="18"/>
                <w:szCs w:val="18"/>
              </w:rPr>
              <w:t> </w:t>
            </w:r>
            <w:r>
              <w:rPr>
                <w:rFonts w:ascii="宋体" w:hAnsi="宋体" w:cs="宋体" w:eastAsia="宋体" w:hint="default"/>
                <w:sz w:val="18"/>
                <w:szCs w:val="18"/>
              </w:rPr>
              <w:t>33.13%</w:t>
            </w:r>
            <w:r>
              <w:rPr>
                <w:rFonts w:ascii="宋体" w:hAnsi="宋体" w:cs="宋体" w:eastAsia="宋体" w:hint="default"/>
                <w:sz w:val="18"/>
                <w:szCs w:val="18"/>
              </w:rPr>
              <w:t>，主要原因是子公司金华威预付华为货款减 少。</w:t>
            </w: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6"/>
                <w:sz w:val="18"/>
                <w:szCs w:val="18"/>
              </w:rPr>
              <w:t> </w:t>
            </w:r>
            <w:r>
              <w:rPr>
                <w:rFonts w:ascii="宋体" w:hAnsi="宋体" w:cs="宋体" w:eastAsia="宋体" w:hint="default"/>
                <w:sz w:val="18"/>
                <w:szCs w:val="18"/>
              </w:rPr>
              <w:t>1,646.86</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40.56%</w:t>
            </w:r>
            <w:r>
              <w:rPr>
                <w:rFonts w:ascii="宋体" w:hAnsi="宋体" w:cs="宋体" w:eastAsia="宋体" w:hint="default"/>
                <w:sz w:val="18"/>
                <w:szCs w:val="18"/>
              </w:rPr>
              <w:t>，主要原因是支付保证金增加。</w:t>
            </w: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6"/>
                <w:sz w:val="18"/>
                <w:szCs w:val="18"/>
              </w:rPr>
              <w:t> </w:t>
            </w:r>
            <w:r>
              <w:rPr>
                <w:rFonts w:ascii="宋体" w:hAnsi="宋体" w:cs="宋体" w:eastAsia="宋体" w:hint="default"/>
                <w:sz w:val="18"/>
                <w:szCs w:val="18"/>
              </w:rPr>
              <w:t>32,643.21</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5"/>
                <w:sz w:val="18"/>
                <w:szCs w:val="18"/>
              </w:rPr>
              <w:t> </w:t>
            </w:r>
            <w:r>
              <w:rPr>
                <w:rFonts w:ascii="宋体" w:hAnsi="宋体" w:cs="宋体" w:eastAsia="宋体" w:hint="default"/>
                <w:sz w:val="18"/>
                <w:szCs w:val="18"/>
              </w:rPr>
              <w:t>60.87%</w:t>
            </w:r>
            <w:r>
              <w:rPr>
                <w:rFonts w:ascii="宋体" w:hAnsi="宋体" w:cs="宋体" w:eastAsia="宋体" w:hint="default"/>
                <w:sz w:val="18"/>
                <w:szCs w:val="18"/>
              </w:rPr>
              <w:t>，主要原因是子公司金华威备货增加。</w:t>
            </w: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6"/>
                <w:sz w:val="18"/>
                <w:szCs w:val="18"/>
              </w:rPr>
              <w:t> </w:t>
            </w:r>
            <w:r>
              <w:rPr>
                <w:rFonts w:ascii="宋体" w:hAnsi="宋体" w:cs="宋体" w:eastAsia="宋体" w:hint="default"/>
                <w:sz w:val="18"/>
                <w:szCs w:val="18"/>
              </w:rPr>
              <w:t>1,786.36</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32.44%</w:t>
            </w:r>
            <w:r>
              <w:rPr>
                <w:rFonts w:ascii="宋体" w:hAnsi="宋体" w:cs="宋体" w:eastAsia="宋体" w:hint="default"/>
                <w:sz w:val="18"/>
                <w:szCs w:val="18"/>
              </w:rPr>
              <w:t>，主要原因是对参股公司投资增加。</w:t>
            </w: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6"/>
                <w:sz w:val="18"/>
                <w:szCs w:val="18"/>
              </w:rPr>
              <w:t> </w:t>
            </w:r>
            <w:r>
              <w:rPr>
                <w:rFonts w:ascii="宋体" w:hAnsi="宋体" w:cs="宋体" w:eastAsia="宋体" w:hint="default"/>
                <w:sz w:val="18"/>
                <w:szCs w:val="18"/>
              </w:rPr>
              <w:t>969.48</w:t>
            </w:r>
            <w:r>
              <w:rPr>
                <w:rFonts w:ascii="宋体" w:hAnsi="宋体" w:cs="宋体" w:eastAsia="宋体" w:hint="default"/>
                <w:spacing w:val="-45"/>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128.16%</w:t>
            </w:r>
            <w:r>
              <w:rPr>
                <w:rFonts w:ascii="宋体" w:hAnsi="宋体" w:cs="宋体" w:eastAsia="宋体" w:hint="default"/>
                <w:sz w:val="18"/>
                <w:szCs w:val="18"/>
              </w:rPr>
              <w:t>，主要原因是母公司租赁的办公室装修增加。</w:t>
            </w:r>
          </w:p>
        </w:tc>
      </w:tr>
      <w:tr>
        <w:trPr>
          <w:trHeight w:val="714" w:hRule="exact"/>
        </w:trPr>
        <w:tc>
          <w:tcPr>
            <w:tcW w:w="214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年末比年初余额减少</w:t>
            </w:r>
            <w:r>
              <w:rPr>
                <w:rFonts w:ascii="宋体" w:hAnsi="宋体" w:cs="宋体" w:eastAsia="宋体" w:hint="default"/>
                <w:spacing w:val="-46"/>
                <w:sz w:val="18"/>
                <w:szCs w:val="18"/>
              </w:rPr>
              <w:t> </w:t>
            </w:r>
            <w:r>
              <w:rPr>
                <w:rFonts w:ascii="宋体" w:hAnsi="宋体" w:cs="宋体" w:eastAsia="宋体" w:hint="default"/>
                <w:sz w:val="18"/>
                <w:szCs w:val="18"/>
              </w:rPr>
              <w:t>8,114.08</w:t>
            </w:r>
            <w:r>
              <w:rPr>
                <w:rFonts w:ascii="宋体" w:hAnsi="宋体" w:cs="宋体" w:eastAsia="宋体" w:hint="default"/>
                <w:spacing w:val="-46"/>
                <w:sz w:val="18"/>
                <w:szCs w:val="18"/>
              </w:rPr>
              <w:t> </w:t>
            </w:r>
            <w:r>
              <w:rPr>
                <w:rFonts w:ascii="宋体" w:hAnsi="宋体" w:cs="宋体" w:eastAsia="宋体" w:hint="default"/>
                <w:sz w:val="18"/>
                <w:szCs w:val="18"/>
              </w:rPr>
              <w:t>万元，减少</w:t>
            </w:r>
            <w:r>
              <w:rPr>
                <w:rFonts w:ascii="宋体" w:hAnsi="宋体" w:cs="宋体" w:eastAsia="宋体" w:hint="default"/>
                <w:spacing w:val="-46"/>
                <w:sz w:val="18"/>
                <w:szCs w:val="18"/>
              </w:rPr>
              <w:t> </w:t>
            </w:r>
            <w:r>
              <w:rPr>
                <w:rFonts w:ascii="宋体" w:hAnsi="宋体" w:cs="宋体" w:eastAsia="宋体" w:hint="default"/>
                <w:sz w:val="18"/>
                <w:szCs w:val="18"/>
              </w:rPr>
              <w:t>98.93%</w:t>
            </w:r>
            <w:r>
              <w:rPr>
                <w:rFonts w:ascii="宋体" w:hAnsi="宋体" w:cs="宋体" w:eastAsia="宋体" w:hint="default"/>
                <w:sz w:val="18"/>
                <w:szCs w:val="18"/>
              </w:rPr>
              <w:t>，主要原因是子公司武汉天源迪科研发楼预 付款转出到在建工程。</w:t>
            </w: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6"/>
                <w:sz w:val="18"/>
                <w:szCs w:val="18"/>
              </w:rPr>
              <w:t> </w:t>
            </w:r>
            <w:r>
              <w:rPr>
                <w:rFonts w:ascii="宋体" w:hAnsi="宋体" w:cs="宋体" w:eastAsia="宋体" w:hint="default"/>
                <w:sz w:val="18"/>
                <w:szCs w:val="18"/>
              </w:rPr>
              <w:t>936.78</w:t>
            </w:r>
            <w:r>
              <w:rPr>
                <w:rFonts w:ascii="宋体" w:hAnsi="宋体" w:cs="宋体" w:eastAsia="宋体" w:hint="default"/>
                <w:spacing w:val="-45"/>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232.55%</w:t>
            </w:r>
            <w:r>
              <w:rPr>
                <w:rFonts w:ascii="宋体" w:hAnsi="宋体" w:cs="宋体" w:eastAsia="宋体" w:hint="default"/>
                <w:sz w:val="18"/>
                <w:szCs w:val="18"/>
              </w:rPr>
              <w:t>，主要原因是未抵扣增值税进项税转入。</w:t>
            </w:r>
          </w:p>
        </w:tc>
      </w:tr>
      <w:tr>
        <w:trPr>
          <w:trHeight w:val="402" w:hRule="exact"/>
        </w:trPr>
        <w:tc>
          <w:tcPr>
            <w:tcW w:w="214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46"/>
                <w:sz w:val="18"/>
                <w:szCs w:val="18"/>
              </w:rPr>
              <w:t> </w:t>
            </w:r>
            <w:r>
              <w:rPr>
                <w:rFonts w:ascii="宋体" w:hAnsi="宋体" w:cs="宋体" w:eastAsia="宋体" w:hint="default"/>
                <w:sz w:val="18"/>
                <w:szCs w:val="18"/>
              </w:rPr>
              <w:t>13,335.23</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5"/>
                <w:sz w:val="18"/>
                <w:szCs w:val="18"/>
              </w:rPr>
              <w:t> </w:t>
            </w:r>
            <w:r>
              <w:rPr>
                <w:rFonts w:ascii="宋体" w:hAnsi="宋体" w:cs="宋体" w:eastAsia="宋体" w:hint="default"/>
                <w:sz w:val="18"/>
                <w:szCs w:val="18"/>
              </w:rPr>
              <w:t>2,050.43%</w:t>
            </w:r>
            <w:r>
              <w:rPr>
                <w:rFonts w:ascii="宋体" w:hAnsi="宋体" w:cs="宋体" w:eastAsia="宋体" w:hint="default"/>
                <w:sz w:val="18"/>
                <w:szCs w:val="18"/>
              </w:rPr>
              <w:t>，主要原因是固定资产重分类转入。</w:t>
            </w:r>
          </w:p>
        </w:tc>
      </w:tr>
    </w:tbl>
    <w:p>
      <w:pPr>
        <w:spacing w:line="240" w:lineRule="auto" w:before="2"/>
        <w:rPr>
          <w:rFonts w:ascii="宋体" w:hAnsi="宋体" w:cs="宋体" w:eastAsia="宋体" w:hint="default"/>
          <w:b/>
          <w:bCs/>
          <w:sz w:val="19"/>
          <w:szCs w:val="19"/>
        </w:rPr>
      </w:pPr>
    </w:p>
    <w:p>
      <w:pPr>
        <w:pStyle w:val="Heading5"/>
        <w:spacing w:line="240" w:lineRule="auto" w:before="35"/>
        <w:ind w:right="1972"/>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972"/>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197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BodyText"/>
        <w:spacing w:line="240" w:lineRule="auto" w:before="90"/>
        <w:ind w:left="574" w:right="1972"/>
        <w:jc w:val="left"/>
      </w:pPr>
      <w:r>
        <w:rPr/>
        <w:t>报告期内，公司按照既定战略规划，不断增强公司核心竞争能力。</w:t>
      </w:r>
    </w:p>
    <w:p>
      <w:pPr>
        <w:pStyle w:val="BodyText"/>
        <w:spacing w:line="307" w:lineRule="auto" w:before="76"/>
        <w:ind w:left="574" w:right="1127"/>
        <w:jc w:val="left"/>
      </w:pPr>
      <w:r>
        <w:rPr/>
        <w:t>（一）紧跟行业趋势、技术发展和客户需求，具备多行业云化、大数据架构能力 运营商加速数字化转型，具有将</w:t>
      </w:r>
      <w:r>
        <w:rPr>
          <w:rFonts w:ascii="Times New Roman" w:hAnsi="Times New Roman" w:cs="Times New Roman" w:eastAsia="Times New Roman" w:hint="default"/>
        </w:rPr>
        <w:t>IT</w:t>
      </w:r>
      <w:r>
        <w:rPr/>
        <w:t>业务支撑系统搬迁上</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以及大数据平台建设需求，公司在运营商</w:t>
      </w:r>
    </w:p>
    <w:p>
      <w:pPr>
        <w:pStyle w:val="BodyText"/>
        <w:spacing w:line="232" w:lineRule="exact" w:before="0"/>
        <w:ind w:left="574" w:right="0" w:hanging="420"/>
        <w:jc w:val="left"/>
      </w:pPr>
      <w:r>
        <w:rPr/>
        <w:t>云化和大数据系统建设具备行业领先优势，已落地中国电信集团和多省市及中国联通集团云化业务。</w:t>
      </w:r>
    </w:p>
    <w:p>
      <w:pPr>
        <w:pStyle w:val="BodyText"/>
        <w:spacing w:line="268" w:lineRule="auto" w:before="75"/>
        <w:ind w:right="1132" w:firstLine="420"/>
        <w:jc w:val="left"/>
      </w:pPr>
      <w:r>
        <w:rPr/>
        <w:t>基于公安行业体制机制改革，全国各地公安、交警要通过大数据信息化手段再造警务机制流程， </w:t>
      </w:r>
      <w:r>
        <w:rPr>
          <w:rFonts w:ascii="Times New Roman" w:hAnsi="Times New Roman" w:cs="Times New Roman" w:eastAsia="Times New Roman" w:hint="default"/>
          <w:spacing w:val="-5"/>
        </w:rPr>
        <w:t>2018-2020</w:t>
      </w:r>
      <w:r>
        <w:rPr>
          <w:spacing w:val="-5"/>
        </w:rPr>
        <w:t>年期间，是公安行业落实三年机层规划设计的黄金期。公司采取业务咨询</w:t>
      </w:r>
      <w:r>
        <w:rPr>
          <w:rFonts w:ascii="Times New Roman" w:hAnsi="Times New Roman" w:cs="Times New Roman" w:eastAsia="Times New Roman" w:hint="default"/>
          <w:spacing w:val="-5"/>
        </w:rPr>
        <w:t>+</w:t>
      </w:r>
      <w:r>
        <w:rPr>
          <w:spacing w:val="-5"/>
        </w:rPr>
        <w:t>解决方案</w:t>
      </w:r>
      <w:r>
        <w:rPr>
          <w:rFonts w:ascii="Times New Roman" w:hAnsi="Times New Roman" w:cs="Times New Roman" w:eastAsia="Times New Roman" w:hint="default"/>
          <w:spacing w:val="-5"/>
        </w:rPr>
        <w:t>+</w:t>
      </w:r>
      <w:r>
        <w:rPr>
          <w:spacing w:val="-5"/>
        </w:rPr>
        <w:t>落地服务</w:t>
      </w:r>
      <w:r>
        <w:rPr>
          <w:spacing w:val="21"/>
        </w:rPr>
        <w:t> </w:t>
      </w:r>
      <w:r>
        <w:rPr/>
        <w:t>的</w:t>
      </w:r>
      <w:r>
        <w:rPr>
          <w:spacing w:val="-100"/>
        </w:rPr>
        <w:t> </w:t>
      </w:r>
      <w:r>
        <w:rPr>
          <w:spacing w:val="-100"/>
        </w:rPr>
      </w:r>
      <w:r>
        <w:rPr>
          <w:spacing w:val="-3"/>
        </w:rPr>
        <w:t>综合战术，已落地珠三角、长三角及华中等发达地市警务云大数据项目。和华为在公共安全领域结成战</w:t>
      </w:r>
      <w:r>
        <w:rPr>
          <w:spacing w:val="3"/>
        </w:rPr>
        <w:t> </w:t>
      </w:r>
      <w:r>
        <w:rPr/>
        <w:t>略</w:t>
      </w:r>
      <w:r>
        <w:rPr>
          <w:spacing w:val="-103"/>
        </w:rPr>
        <w:t> </w:t>
      </w:r>
      <w:r>
        <w:rPr>
          <w:spacing w:val="-103"/>
        </w:rPr>
      </w:r>
      <w:r>
        <w:rPr/>
        <w:t>合作，实现最强软硬件组合。</w:t>
      </w:r>
    </w:p>
    <w:p>
      <w:pPr>
        <w:pStyle w:val="BodyText"/>
        <w:spacing w:line="264" w:lineRule="auto" w:before="50"/>
        <w:ind w:right="0" w:firstLine="420"/>
        <w:jc w:val="left"/>
      </w:pPr>
      <w:r>
        <w:rPr>
          <w:spacing w:val="-1"/>
        </w:rPr>
        <w:t>基于大中型企业后台</w:t>
      </w:r>
      <w:r>
        <w:rPr>
          <w:rFonts w:ascii="Times New Roman" w:hAnsi="Times New Roman" w:cs="Times New Roman" w:eastAsia="Times New Roman" w:hint="default"/>
          <w:spacing w:val="-1"/>
        </w:rPr>
        <w:t>IT</w:t>
      </w:r>
      <w:r>
        <w:rPr>
          <w:spacing w:val="-1"/>
        </w:rPr>
        <w:t>系统以及服务向云计算方向迁移的需求，公司与阿里云合作承接了多家大型国</w:t>
      </w:r>
      <w:r>
        <w:rPr/>
        <w:t> </w:t>
      </w:r>
      <w:r>
        <w:rPr>
          <w:spacing w:val="-1"/>
        </w:rPr>
        <w:t>企的采购和电商平台云化，同时，公司利用全技术领域为客户进行细分领域的创新，提供如智能客服、智</w:t>
      </w:r>
      <w:r>
        <w:rPr>
          <w:spacing w:val="-85"/>
        </w:rPr>
        <w:t> </w:t>
      </w:r>
      <w:r>
        <w:rPr>
          <w:spacing w:val="-85"/>
        </w:rPr>
      </w:r>
      <w:r>
        <w:rPr/>
        <w:t>能预测、智能装备管理、智能指挥等</w:t>
      </w:r>
      <w:r>
        <w:rPr>
          <w:rFonts w:ascii="Times New Roman" w:hAnsi="Times New Roman" w:cs="Times New Roman" w:eastAsia="Times New Roman" w:hint="default"/>
        </w:rPr>
        <w:t>saas</w:t>
      </w:r>
      <w:r>
        <w:rPr/>
        <w:t>应用。</w:t>
      </w:r>
      <w:r>
        <w:rPr>
          <w:rFonts w:ascii="Times New Roman" w:hAnsi="Times New Roman" w:cs="Times New Roman" w:eastAsia="Times New Roman" w:hint="default"/>
        </w:rPr>
        <w:t>2018</w:t>
      </w:r>
      <w:r>
        <w:rPr/>
        <w:t>年，公司成为阿里云企业服务合作伙伴计划及</w:t>
      </w:r>
      <w:r>
        <w:rPr>
          <w:rFonts w:ascii="Times New Roman" w:hAnsi="Times New Roman" w:cs="Times New Roman" w:eastAsia="Times New Roman" w:hint="default"/>
        </w:rPr>
        <w:t>Apsara</w:t>
      </w:r>
      <w:r>
        <w:rPr>
          <w:rFonts w:ascii="Times New Roman" w:hAnsi="Times New Roman" w:cs="Times New Roman" w:eastAsia="Times New Roman" w:hint="default"/>
          <w:w w:val="99"/>
        </w:rPr>
        <w:t> </w:t>
      </w:r>
      <w:r>
        <w:rPr>
          <w:rFonts w:ascii="Times New Roman" w:hAnsi="Times New Roman" w:cs="Times New Roman" w:eastAsia="Times New Roman" w:hint="default"/>
        </w:rPr>
        <w:t>Aliware</w:t>
      </w:r>
      <w:r>
        <w:rPr/>
        <w:t>合作计划之首家铂金合作伙伴。</w:t>
      </w:r>
    </w:p>
    <w:p>
      <w:pPr>
        <w:pStyle w:val="BodyText"/>
        <w:spacing w:line="259" w:lineRule="auto" w:before="37"/>
        <w:ind w:right="1207" w:firstLine="420"/>
        <w:jc w:val="left"/>
      </w:pPr>
      <w:r>
        <w:rPr/>
        <w:t>维恩贝特与公司研发管理整合，维恩贝特金融</w:t>
      </w:r>
      <w:r>
        <w:rPr>
          <w:rFonts w:ascii="Times New Roman" w:hAnsi="Times New Roman" w:cs="Times New Roman" w:eastAsia="Times New Roman" w:hint="default"/>
        </w:rPr>
        <w:t>IT</w:t>
      </w:r>
      <w:r>
        <w:rPr/>
        <w:t>与公司大数据技术融合，推出传统银行</w:t>
      </w:r>
      <w:r>
        <w:rPr>
          <w:rFonts w:ascii="Times New Roman" w:hAnsi="Times New Roman" w:cs="Times New Roman" w:eastAsia="Times New Roman" w:hint="default"/>
        </w:rPr>
        <w:t>IT+</w:t>
      </w:r>
      <w:r>
        <w:rPr/>
        <w:t>新业务拓 展模式，落地大数据反洗钱等新业务。</w:t>
      </w:r>
    </w:p>
    <w:p>
      <w:pPr>
        <w:pStyle w:val="BodyText"/>
        <w:spacing w:line="307" w:lineRule="auto" w:before="60"/>
        <w:ind w:left="574" w:right="0"/>
        <w:jc w:val="left"/>
      </w:pPr>
      <w:r>
        <w:rPr/>
        <w:t>（二）形成统一的基础技术平台，帮助多行业客户实现数字化转型 </w:t>
      </w:r>
      <w:r>
        <w:rPr>
          <w:spacing w:val="-1"/>
        </w:rPr>
        <w:t>基于天源迪科多年行业沉淀，自主研发信息安全、云化架构、大数据分析、人工智能应用的全链条技</w:t>
      </w:r>
    </w:p>
    <w:p>
      <w:pPr>
        <w:pStyle w:val="BodyText"/>
        <w:spacing w:line="269" w:lineRule="exact" w:before="0"/>
        <w:ind w:right="0"/>
        <w:jc w:val="left"/>
      </w:pPr>
      <w:r>
        <w:rPr/>
        <w:t>术平台，具体为信息安全平台</w:t>
      </w:r>
      <w:r>
        <w:rPr>
          <w:rFonts w:ascii="Times New Roman" w:hAnsi="Times New Roman" w:cs="Times New Roman" w:eastAsia="Times New Roman" w:hint="default"/>
        </w:rPr>
        <w:t>“</w:t>
      </w:r>
      <w:r>
        <w:rPr/>
        <w:t>迪安</w:t>
      </w:r>
      <w:r>
        <w:rPr>
          <w:rFonts w:ascii="Times New Roman" w:hAnsi="Times New Roman" w:cs="Times New Roman" w:eastAsia="Times New Roman" w:hint="default"/>
        </w:rPr>
        <w:t>”</w:t>
      </w:r>
      <w:r>
        <w:rPr/>
        <w:t>、云平台</w:t>
      </w:r>
      <w:r>
        <w:rPr>
          <w:rFonts w:ascii="Times New Roman" w:hAnsi="Times New Roman" w:cs="Times New Roman" w:eastAsia="Times New Roman" w:hint="default"/>
        </w:rPr>
        <w:t>“</w:t>
      </w:r>
      <w:r>
        <w:rPr/>
        <w:t>迪云</w:t>
      </w:r>
      <w:r>
        <w:rPr>
          <w:rFonts w:ascii="Times New Roman" w:hAnsi="Times New Roman" w:cs="Times New Roman" w:eastAsia="Times New Roman" w:hint="default"/>
        </w:rPr>
        <w:t>”</w:t>
      </w:r>
      <w:r>
        <w:rPr/>
        <w:t>、大数据平台</w:t>
      </w:r>
      <w:r>
        <w:rPr>
          <w:rFonts w:ascii="Times New Roman" w:hAnsi="Times New Roman" w:cs="Times New Roman" w:eastAsia="Times New Roman" w:hint="default"/>
        </w:rPr>
        <w:t>“</w:t>
      </w:r>
      <w:r>
        <w:rPr/>
        <w:t>迪数</w:t>
      </w:r>
      <w:r>
        <w:rPr>
          <w:rFonts w:ascii="Times New Roman" w:hAnsi="Times New Roman" w:cs="Times New Roman" w:eastAsia="Times New Roman" w:hint="default"/>
        </w:rPr>
        <w:t>”</w:t>
      </w:r>
      <w:r>
        <w:rPr/>
        <w:t>、人工智能平台</w:t>
      </w:r>
      <w:r>
        <w:rPr>
          <w:rFonts w:ascii="Times New Roman" w:hAnsi="Times New Roman" w:cs="Times New Roman" w:eastAsia="Times New Roman" w:hint="default"/>
        </w:rPr>
        <w:t>“</w:t>
      </w:r>
      <w:r>
        <w:rPr/>
        <w:t>迪智</w:t>
      </w:r>
      <w:r>
        <w:rPr>
          <w:rFonts w:ascii="Times New Roman" w:hAnsi="Times New Roman" w:cs="Times New Roman" w:eastAsia="Times New Roman" w:hint="default"/>
        </w:rPr>
        <w:t>”</w:t>
      </w:r>
      <w:r>
        <w:rPr/>
        <w:t>，推出自</w:t>
      </w:r>
    </w:p>
    <w:p>
      <w:pPr>
        <w:pStyle w:val="BodyText"/>
        <w:spacing w:line="259" w:lineRule="auto" w:before="21"/>
        <w:ind w:right="1127"/>
        <w:jc w:val="left"/>
      </w:pPr>
      <w:r>
        <w:rPr/>
        <w:t>助可视化数据分析产品、</w:t>
      </w:r>
      <w:r>
        <w:rPr>
          <w:rFonts w:ascii="Times New Roman" w:hAnsi="Times New Roman" w:cs="Times New Roman" w:eastAsia="Times New Roman" w:hint="default"/>
        </w:rPr>
        <w:t>OSS</w:t>
      </w:r>
      <w:r>
        <w:rPr/>
        <w:t>大数据解决方案、公安警务大数据解决方案等产品和解决方案，已应用于电 信运营商、政府公安、金融以及其他行业企业级客户，帮助客户实现数字化转型。</w:t>
      </w:r>
    </w:p>
    <w:p>
      <w:pPr>
        <w:spacing w:line="240" w:lineRule="auto" w:before="12"/>
        <w:rPr>
          <w:rFonts w:ascii="宋体" w:hAnsi="宋体" w:cs="宋体" w:eastAsia="宋体" w:hint="default"/>
          <w:sz w:val="7"/>
          <w:szCs w:val="7"/>
        </w:rPr>
      </w:pPr>
    </w:p>
    <w:p>
      <w:pPr>
        <w:spacing w:line="4521" w:lineRule="exact"/>
        <w:ind w:left="574"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878763" cy="287121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878763" cy="2871216"/>
                    </a:xfrm>
                    <a:prstGeom prst="rect">
                      <a:avLst/>
                    </a:prstGeom>
                  </pic:spPr>
                </pic:pic>
              </a:graphicData>
            </a:graphic>
          </wp:inline>
        </w:drawing>
      </w:r>
      <w:r>
        <w:rPr>
          <w:rFonts w:ascii="宋体" w:hAnsi="宋体" w:cs="宋体" w:eastAsia="宋体" w:hint="default"/>
          <w:position w:val="-89"/>
          <w:sz w:val="20"/>
          <w:szCs w:val="20"/>
        </w:rPr>
      </w:r>
    </w:p>
    <w:p>
      <w:pPr>
        <w:spacing w:after="0" w:line="45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307" w:lineRule="auto" w:before="35"/>
        <w:ind w:left="1154" w:right="1125"/>
        <w:jc w:val="left"/>
      </w:pPr>
      <w:r>
        <w:rPr/>
        <w:t>（三）持续研发投入，通用基础研发和行业研发并行，形成公司核心无形资产 </w:t>
      </w:r>
      <w:r>
        <w:rPr>
          <w:spacing w:val="-3"/>
        </w:rPr>
        <w:t>作为研发型</w:t>
      </w:r>
      <w:r>
        <w:rPr>
          <w:rFonts w:ascii="Times New Roman" w:hAnsi="Times New Roman" w:cs="Times New Roman" w:eastAsia="Times New Roman" w:hint="default"/>
          <w:spacing w:val="-3"/>
        </w:rPr>
        <w:t>IT</w:t>
      </w:r>
      <w:r>
        <w:rPr>
          <w:spacing w:val="-3"/>
        </w:rPr>
        <w:t>企业，公司目前已组建大数据</w:t>
      </w:r>
      <w:r>
        <w:rPr>
          <w:rFonts w:ascii="Times New Roman" w:hAnsi="Times New Roman" w:cs="Times New Roman" w:eastAsia="Times New Roman" w:hint="default"/>
          <w:spacing w:val="-3"/>
        </w:rPr>
        <w:t>&amp;</w:t>
      </w:r>
      <w:r>
        <w:rPr>
          <w:spacing w:val="-3"/>
        </w:rPr>
        <w:t>人工智能产品线、云产品线、移动互联</w:t>
      </w:r>
      <w:r>
        <w:rPr>
          <w:rFonts w:ascii="Times New Roman" w:hAnsi="Times New Roman" w:cs="Times New Roman" w:eastAsia="Times New Roman" w:hint="default"/>
          <w:spacing w:val="-3"/>
        </w:rPr>
        <w:t>&amp;</w:t>
      </w:r>
      <w:r>
        <w:rPr>
          <w:spacing w:val="-3"/>
        </w:rPr>
        <w:t>物联网产品线、</w:t>
      </w:r>
    </w:p>
    <w:p>
      <w:pPr>
        <w:pStyle w:val="BodyText"/>
        <w:spacing w:line="233" w:lineRule="exact" w:before="0"/>
        <w:ind w:left="734" w:right="1125"/>
        <w:jc w:val="left"/>
      </w:pPr>
      <w:r>
        <w:rPr/>
        <w:t>信息安全产品线，覆盖运营商、金融、公安、政府、大型企业等行业。</w:t>
      </w:r>
    </w:p>
    <w:p>
      <w:pPr>
        <w:spacing w:line="240" w:lineRule="auto" w:before="0"/>
        <w:rPr>
          <w:rFonts w:ascii="宋体" w:hAnsi="宋体" w:cs="宋体" w:eastAsia="宋体" w:hint="default"/>
          <w:sz w:val="20"/>
          <w:szCs w:val="20"/>
        </w:rPr>
      </w:pPr>
    </w:p>
    <w:p>
      <w:pPr>
        <w:pStyle w:val="BodyText"/>
        <w:spacing w:line="259" w:lineRule="auto" w:before="166"/>
        <w:ind w:left="734" w:right="1125" w:firstLine="420"/>
        <w:jc w:val="left"/>
      </w:pPr>
      <w:r>
        <w:rPr>
          <w:spacing w:val="-1"/>
        </w:rPr>
        <w:t>公司拥有</w:t>
      </w:r>
      <w:r>
        <w:rPr>
          <w:rFonts w:ascii="Times New Roman" w:hAnsi="Times New Roman" w:cs="Times New Roman" w:eastAsia="Times New Roman" w:hint="default"/>
          <w:spacing w:val="-1"/>
        </w:rPr>
        <w:t>4</w:t>
      </w:r>
      <w:r>
        <w:rPr>
          <w:spacing w:val="-1"/>
        </w:rPr>
        <w:t>个研发基地（合肥、武汉、成都、西安），</w:t>
      </w:r>
      <w:r>
        <w:rPr>
          <w:rFonts w:ascii="Times New Roman" w:hAnsi="Times New Roman" w:cs="Times New Roman" w:eastAsia="Times New Roman" w:hint="default"/>
          <w:spacing w:val="-1"/>
        </w:rPr>
        <w:t>3</w:t>
      </w:r>
      <w:r>
        <w:rPr>
          <w:spacing w:val="-1"/>
        </w:rPr>
        <w:t>个研发中心（深圳、北京、上海），此外，在</w:t>
      </w:r>
      <w:r>
        <w:rPr/>
        <w:t> 全国大部分省会城市设立技术支持中心。</w:t>
      </w:r>
      <w:r>
        <w:rPr>
          <w:spacing w:val="-21"/>
        </w:rPr>
        <w:t> </w:t>
      </w:r>
      <w:r>
        <w:rPr/>
        <w:t>公司始终坚持自主创新，持续加大研发投入。</w:t>
      </w:r>
      <w:r>
        <w:rPr>
          <w:rFonts w:ascii="Times New Roman" w:hAnsi="Times New Roman" w:cs="Times New Roman" w:eastAsia="Times New Roman" w:hint="default"/>
        </w:rPr>
        <w:t>2018</w:t>
      </w:r>
      <w:r>
        <w:rPr/>
        <w:t>年，研发投 入接近人民币</w:t>
      </w:r>
      <w:r>
        <w:rPr>
          <w:rFonts w:ascii="Times New Roman" w:hAnsi="Times New Roman" w:cs="Times New Roman" w:eastAsia="Times New Roman" w:hint="default"/>
        </w:rPr>
        <w:t>3</w:t>
      </w:r>
      <w:r>
        <w:rPr/>
        <w:t>亿元。</w:t>
      </w:r>
    </w:p>
    <w:p>
      <w:pPr>
        <w:spacing w:line="240" w:lineRule="auto" w:before="0"/>
        <w:rPr>
          <w:rFonts w:ascii="宋体" w:hAnsi="宋体" w:cs="宋体" w:eastAsia="宋体" w:hint="default"/>
          <w:sz w:val="30"/>
          <w:szCs w:val="30"/>
        </w:rPr>
      </w:pPr>
    </w:p>
    <w:p>
      <w:pPr>
        <w:pStyle w:val="BodyText"/>
        <w:spacing w:line="259" w:lineRule="auto" w:before="0"/>
        <w:ind w:left="734" w:right="1197" w:firstLine="420"/>
        <w:jc w:val="left"/>
      </w:pPr>
      <w:r>
        <w:rPr/>
        <w:t>报告期内，公司新增</w:t>
      </w:r>
      <w:r>
        <w:rPr>
          <w:rFonts w:ascii="Times New Roman" w:hAnsi="Times New Roman" w:cs="Times New Roman" w:eastAsia="Times New Roman" w:hint="default"/>
        </w:rPr>
        <w:t>111</w:t>
      </w:r>
      <w:r>
        <w:rPr/>
        <w:t>项计算机软件著作权、</w:t>
      </w:r>
      <w:r>
        <w:rPr>
          <w:rFonts w:ascii="Times New Roman" w:hAnsi="Times New Roman" w:cs="Times New Roman" w:eastAsia="Times New Roman" w:hint="default"/>
        </w:rPr>
        <w:t>20</w:t>
      </w:r>
      <w:r>
        <w:rPr/>
        <w:t>项软件产品登记；截止报告期末，公司共获得</w:t>
      </w:r>
      <w:r>
        <w:rPr>
          <w:rFonts w:ascii="Times New Roman" w:hAnsi="Times New Roman" w:cs="Times New Roman" w:eastAsia="Times New Roman" w:hint="default"/>
        </w:rPr>
        <w:t>60</w:t>
      </w:r>
      <w:r>
        <w:rPr/>
        <w:t>项 科技成果登记，申请</w:t>
      </w:r>
      <w:r>
        <w:rPr>
          <w:rFonts w:ascii="Times New Roman" w:hAnsi="Times New Roman" w:cs="Times New Roman" w:eastAsia="Times New Roman" w:hint="default"/>
        </w:rPr>
        <w:t>33</w:t>
      </w:r>
      <w:r>
        <w:rPr/>
        <w:t>项发明专利，其中</w:t>
      </w:r>
      <w:r>
        <w:rPr>
          <w:rFonts w:ascii="Times New Roman" w:hAnsi="Times New Roman" w:cs="Times New Roman" w:eastAsia="Times New Roman" w:hint="default"/>
        </w:rPr>
        <w:t>13</w:t>
      </w:r>
      <w:r>
        <w:rPr/>
        <w:t>项发明专利获得证书。</w:t>
      </w:r>
    </w:p>
    <w:p>
      <w:pPr>
        <w:pStyle w:val="BodyText"/>
        <w:spacing w:line="259" w:lineRule="auto" w:before="42"/>
        <w:ind w:left="734" w:right="0" w:firstLine="420"/>
        <w:jc w:val="left"/>
      </w:pPr>
      <w:r>
        <w:rPr/>
        <w:t>报告期内，公司名列国家工信部公布的《</w:t>
      </w:r>
      <w:r>
        <w:rPr>
          <w:spacing w:val="-22"/>
        </w:rPr>
        <w:t> </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17</w:t>
      </w:r>
      <w:r>
        <w:rPr/>
        <w:t>届）中国软件业务收入前百家企业名单》第 </w:t>
      </w:r>
      <w:r>
        <w:rPr>
          <w:rFonts w:ascii="Times New Roman" w:hAnsi="Times New Roman" w:cs="Times New Roman" w:eastAsia="Times New Roman" w:hint="default"/>
        </w:rPr>
        <w:t>58</w:t>
      </w:r>
      <w:r>
        <w:rPr/>
        <w:t>名，中国电子信息行业联合会发布的《</w:t>
      </w:r>
      <w:r>
        <w:rPr>
          <w:rFonts w:ascii="Times New Roman" w:hAnsi="Times New Roman" w:cs="Times New Roman" w:eastAsia="Times New Roman" w:hint="default"/>
        </w:rPr>
        <w:t>2018</w:t>
      </w:r>
      <w:r>
        <w:rPr/>
        <w:t>年中国软件和信息技术服务综合竞争力百强企业》第</w:t>
      </w:r>
      <w:r>
        <w:rPr>
          <w:rFonts w:ascii="Times New Roman" w:hAnsi="Times New Roman" w:cs="Times New Roman" w:eastAsia="Times New Roman" w:hint="default"/>
        </w:rPr>
        <w:t>70</w:t>
      </w:r>
      <w:r>
        <w:rPr/>
        <w:t>名。</w:t>
      </w:r>
    </w:p>
    <w:p>
      <w:pPr>
        <w:spacing w:line="240" w:lineRule="auto" w:before="1"/>
        <w:rPr>
          <w:rFonts w:ascii="宋体" w:hAnsi="宋体" w:cs="宋体" w:eastAsia="宋体" w:hint="default"/>
          <w:sz w:val="30"/>
          <w:szCs w:val="30"/>
        </w:rPr>
      </w:pPr>
    </w:p>
    <w:p>
      <w:pPr>
        <w:pStyle w:val="BodyText"/>
        <w:spacing w:line="240" w:lineRule="auto" w:before="0"/>
        <w:ind w:left="1154" w:right="1125"/>
        <w:jc w:val="left"/>
      </w:pPr>
      <w:r>
        <w:rPr/>
        <w:t>截止报告期末，公司获得的主要资质如下：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960"/>
        <w:gridCol w:w="4741"/>
        <w:gridCol w:w="5161"/>
      </w:tblGrid>
      <w:tr>
        <w:trPr>
          <w:trHeight w:val="347" w:hRule="exact"/>
        </w:trPr>
        <w:tc>
          <w:tcPr>
            <w:tcW w:w="9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7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资质名称</w:t>
            </w:r>
            <w:r>
              <w:rPr>
                <w:rFonts w:ascii="宋体" w:hAnsi="宋体" w:cs="宋体" w:eastAsia="宋体" w:hint="default"/>
                <w:sz w:val="21"/>
                <w:szCs w:val="21"/>
              </w:rPr>
            </w:r>
          </w:p>
        </w:tc>
        <w:tc>
          <w:tcPr>
            <w:tcW w:w="51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发证单位</w:t>
            </w:r>
            <w:r>
              <w:rPr>
                <w:rFonts w:ascii="宋体" w:hAnsi="宋体" w:cs="宋体" w:eastAsia="宋体" w:hint="default"/>
                <w:sz w:val="21"/>
                <w:szCs w:val="21"/>
              </w:rPr>
            </w:r>
          </w:p>
        </w:tc>
      </w:tr>
      <w:tr>
        <w:trPr>
          <w:trHeight w:val="659"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年中国软件和信息技术服务综合竞争力百强企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业发布</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中国电子信息行业联合会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年中国软件业务收入前百家企业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国家工信部</w:t>
            </w:r>
          </w:p>
        </w:tc>
      </w:tr>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国家火炬计划重点高新技术企业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科技部火炬高新技术产业开发中心</w:t>
            </w:r>
          </w:p>
        </w:tc>
      </w:tr>
      <w:tr>
        <w:trPr>
          <w:trHeight w:val="659"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国家高新技术企业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pacing w:val="3"/>
                <w:sz w:val="21"/>
                <w:szCs w:val="21"/>
              </w:rPr>
              <w:t>深圳市科技创新委员会、深圳市财政委员会、深圳市国</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家税务局、深圳市地方税务局</w:t>
            </w:r>
          </w:p>
        </w:tc>
      </w:tr>
      <w:tr>
        <w:trPr>
          <w:trHeight w:val="971"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2013-2014</w:t>
            </w:r>
            <w:r>
              <w:rPr>
                <w:rFonts w:ascii="宋体" w:hAnsi="宋体" w:cs="宋体" w:eastAsia="宋体" w:hint="default"/>
                <w:sz w:val="21"/>
                <w:szCs w:val="21"/>
              </w:rPr>
              <w:t>年国家规划布局内重点软件企业证书</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both"/>
              <w:rPr>
                <w:rFonts w:ascii="宋体" w:hAnsi="宋体" w:cs="宋体" w:eastAsia="宋体" w:hint="default"/>
                <w:sz w:val="21"/>
                <w:szCs w:val="21"/>
              </w:rPr>
            </w:pPr>
            <w:r>
              <w:rPr>
                <w:rFonts w:ascii="宋体" w:hAnsi="宋体" w:cs="宋体" w:eastAsia="宋体" w:hint="default"/>
                <w:spacing w:val="3"/>
                <w:sz w:val="21"/>
                <w:szCs w:val="21"/>
              </w:rPr>
              <w:t>中华人民共和国国家发展和改革委员会、中华人民共和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国工业和信息化部、中华人民共和国商务部、国家税务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局</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计算机信息系统集成资质一级证书</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中国电子信息行业联合会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信息系统安全集成二级服务资质</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中国网络安全审查技术与认证中心</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信息系统集成及服务资质运维分项三级资质</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中国电子信息行业联合会</w:t>
            </w:r>
          </w:p>
        </w:tc>
      </w:tr>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中华人民共和国增值电信业务经营许可证</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CMMI5</w:t>
            </w:r>
            <w:r>
              <w:rPr>
                <w:rFonts w:ascii="宋体" w:hAnsi="宋体" w:cs="宋体" w:eastAsia="宋体" w:hint="default"/>
                <w:sz w:val="21"/>
                <w:szCs w:val="21"/>
              </w:rPr>
              <w:t>级</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麦思哲科技（北京）有限公司</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ISO9001:2015</w:t>
            </w:r>
            <w:r>
              <w:rPr>
                <w:rFonts w:ascii="宋体" w:hAnsi="宋体" w:cs="宋体" w:eastAsia="宋体" w:hint="default"/>
                <w:sz w:val="21"/>
                <w:szCs w:val="21"/>
              </w:rPr>
              <w:t>认证</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深圳市环通认证中心有限公司</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信息安全管理体系证书（</w:t>
            </w:r>
            <w:r>
              <w:rPr>
                <w:rFonts w:ascii="Times New Roman" w:hAnsi="Times New Roman" w:cs="Times New Roman" w:eastAsia="Times New Roman" w:hint="default"/>
                <w:sz w:val="21"/>
                <w:szCs w:val="21"/>
              </w:rPr>
              <w:t>ISO/IEC27001</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宋体" w:hAnsi="宋体" w:cs="宋体" w:eastAsia="宋体" w:hint="default"/>
                <w:sz w:val="21"/>
                <w:szCs w:val="21"/>
              </w:rPr>
              <w:t>）</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华夏认证中心有限公司</w:t>
            </w:r>
          </w:p>
        </w:tc>
      </w:tr>
      <w:tr>
        <w:trPr>
          <w:trHeight w:val="347" w:hRule="exact"/>
        </w:trPr>
        <w:tc>
          <w:tcPr>
            <w:tcW w:w="960" w:type="dxa"/>
            <w:vMerge w:val="restart"/>
            <w:tcBorders>
              <w:top w:val="single" w:sz="6" w:space="0" w:color="000000"/>
              <w:left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信息技术服务管理体系认证证书</w:t>
            </w:r>
          </w:p>
        </w:tc>
        <w:tc>
          <w:tcPr>
            <w:tcW w:w="5161"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深圳市环通认证中心有限公司</w:t>
            </w:r>
          </w:p>
        </w:tc>
      </w:tr>
      <w:tr>
        <w:trPr>
          <w:trHeight w:val="347" w:hRule="exact"/>
        </w:trPr>
        <w:tc>
          <w:tcPr>
            <w:tcW w:w="960" w:type="dxa"/>
            <w:vMerge/>
            <w:tcBorders>
              <w:left w:val="single" w:sz="6" w:space="0" w:color="000000"/>
              <w:bottom w:val="single" w:sz="6" w:space="0" w:color="000000"/>
              <w:right w:val="single" w:sz="6" w:space="0" w:color="000000"/>
            </w:tcBorders>
          </w:tcPr>
          <w:p>
            <w:pP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ISO/IEC2000-1</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p>
        </w:tc>
        <w:tc>
          <w:tcPr>
            <w:tcW w:w="5161" w:type="dxa"/>
            <w:vMerge/>
            <w:tcBorders>
              <w:left w:val="single" w:sz="6" w:space="0" w:color="000000"/>
              <w:bottom w:val="single" w:sz="6" w:space="0" w:color="000000"/>
              <w:right w:val="single" w:sz="6" w:space="0" w:color="000000"/>
            </w:tcBorders>
          </w:tcPr>
          <w:p>
            <w:pPr/>
          </w:p>
        </w:tc>
      </w:tr>
      <w:tr>
        <w:trPr>
          <w:trHeight w:val="66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left"/>
              <w:rPr>
                <w:rFonts w:ascii="宋体" w:hAnsi="宋体" w:cs="宋体" w:eastAsia="宋体" w:hint="default"/>
                <w:sz w:val="21"/>
                <w:szCs w:val="21"/>
              </w:rPr>
            </w:pPr>
            <w:r>
              <w:rPr>
                <w:rFonts w:ascii="宋体" w:hAnsi="宋体" w:cs="宋体" w:eastAsia="宋体" w:hint="default"/>
                <w:sz w:val="21"/>
                <w:szCs w:val="21"/>
              </w:rPr>
              <w:t>环</w:t>
            </w:r>
            <w:r>
              <w:rPr>
                <w:rFonts w:ascii="宋体" w:hAnsi="宋体" w:cs="宋体" w:eastAsia="宋体" w:hint="default"/>
                <w:spacing w:val="-71"/>
                <w:sz w:val="21"/>
                <w:szCs w:val="21"/>
              </w:rPr>
              <w:t> </w:t>
            </w:r>
            <w:r>
              <w:rPr>
                <w:rFonts w:ascii="宋体" w:hAnsi="宋体" w:cs="宋体" w:eastAsia="宋体" w:hint="default"/>
                <w:sz w:val="21"/>
                <w:szCs w:val="21"/>
              </w:rPr>
              <w:t>境</w:t>
            </w:r>
            <w:r>
              <w:rPr>
                <w:rFonts w:ascii="宋体" w:hAnsi="宋体" w:cs="宋体" w:eastAsia="宋体" w:hint="default"/>
                <w:spacing w:val="-71"/>
                <w:sz w:val="21"/>
                <w:szCs w:val="21"/>
              </w:rPr>
              <w:t> </w:t>
            </w:r>
            <w:r>
              <w:rPr>
                <w:rFonts w:ascii="宋体" w:hAnsi="宋体" w:cs="宋体" w:eastAsia="宋体" w:hint="default"/>
                <w:sz w:val="21"/>
                <w:szCs w:val="21"/>
              </w:rPr>
              <w:t>管</w:t>
            </w:r>
            <w:r>
              <w:rPr>
                <w:rFonts w:ascii="宋体" w:hAnsi="宋体" w:cs="宋体" w:eastAsia="宋体" w:hint="default"/>
                <w:spacing w:val="-71"/>
                <w:sz w:val="21"/>
                <w:szCs w:val="21"/>
              </w:rPr>
              <w:t> </w:t>
            </w:r>
            <w:r>
              <w:rPr>
                <w:rFonts w:ascii="宋体" w:hAnsi="宋体" w:cs="宋体" w:eastAsia="宋体" w:hint="default"/>
                <w:sz w:val="21"/>
                <w:szCs w:val="21"/>
              </w:rPr>
              <w:t>理</w:t>
            </w:r>
            <w:r>
              <w:rPr>
                <w:rFonts w:ascii="宋体" w:hAnsi="宋体" w:cs="宋体" w:eastAsia="宋体" w:hint="default"/>
                <w:spacing w:val="-71"/>
                <w:sz w:val="21"/>
                <w:szCs w:val="21"/>
              </w:rPr>
              <w:t> </w:t>
            </w:r>
            <w:r>
              <w:rPr>
                <w:rFonts w:ascii="宋体" w:hAnsi="宋体" w:cs="宋体" w:eastAsia="宋体" w:hint="default"/>
                <w:sz w:val="21"/>
                <w:szCs w:val="21"/>
              </w:rPr>
              <w:t>体</w:t>
            </w:r>
            <w:r>
              <w:rPr>
                <w:rFonts w:ascii="宋体" w:hAnsi="宋体" w:cs="宋体" w:eastAsia="宋体" w:hint="default"/>
                <w:spacing w:val="-72"/>
                <w:sz w:val="21"/>
                <w:szCs w:val="21"/>
              </w:rPr>
              <w:t> </w:t>
            </w:r>
            <w:r>
              <w:rPr>
                <w:rFonts w:ascii="宋体" w:hAnsi="宋体" w:cs="宋体" w:eastAsia="宋体" w:hint="default"/>
                <w:sz w:val="21"/>
                <w:szCs w:val="21"/>
              </w:rPr>
              <w:t>系</w:t>
            </w:r>
            <w:r>
              <w:rPr>
                <w:rFonts w:ascii="宋体" w:hAnsi="宋体" w:cs="宋体" w:eastAsia="宋体" w:hint="default"/>
                <w:spacing w:val="-71"/>
                <w:sz w:val="21"/>
                <w:szCs w:val="21"/>
              </w:rPr>
              <w:t> </w:t>
            </w:r>
            <w:r>
              <w:rPr>
                <w:rFonts w:ascii="宋体" w:hAnsi="宋体" w:cs="宋体" w:eastAsia="宋体" w:hint="default"/>
                <w:sz w:val="21"/>
                <w:szCs w:val="21"/>
              </w:rPr>
              <w:t>认</w:t>
            </w:r>
            <w:r>
              <w:rPr>
                <w:rFonts w:ascii="宋体" w:hAnsi="宋体" w:cs="宋体" w:eastAsia="宋体" w:hint="default"/>
                <w:spacing w:val="-71"/>
                <w:sz w:val="21"/>
                <w:szCs w:val="21"/>
              </w:rPr>
              <w:t> </w:t>
            </w:r>
            <w:r>
              <w:rPr>
                <w:rFonts w:ascii="宋体" w:hAnsi="宋体" w:cs="宋体" w:eastAsia="宋体" w:hint="default"/>
                <w:sz w:val="21"/>
                <w:szCs w:val="21"/>
              </w:rPr>
              <w:t>证</w:t>
            </w:r>
            <w:r>
              <w:rPr>
                <w:rFonts w:ascii="宋体" w:hAnsi="宋体" w:cs="宋体" w:eastAsia="宋体" w:hint="default"/>
                <w:spacing w:val="-71"/>
                <w:sz w:val="21"/>
                <w:szCs w:val="21"/>
              </w:rPr>
              <w:t> </w:t>
            </w:r>
            <w:r>
              <w:rPr>
                <w:rFonts w:ascii="宋体" w:hAnsi="宋体" w:cs="宋体" w:eastAsia="宋体" w:hint="default"/>
                <w:sz w:val="21"/>
                <w:szCs w:val="21"/>
              </w:rPr>
              <w:t>证</w:t>
            </w:r>
            <w:r>
              <w:rPr>
                <w:rFonts w:ascii="宋体" w:hAnsi="宋体" w:cs="宋体" w:eastAsia="宋体" w:hint="default"/>
                <w:spacing w:val="-71"/>
                <w:sz w:val="21"/>
                <w:szCs w:val="21"/>
              </w:rPr>
              <w:t> </w:t>
            </w:r>
            <w:r>
              <w:rPr>
                <w:rFonts w:ascii="宋体" w:hAnsi="宋体" w:cs="宋体" w:eastAsia="宋体" w:hint="default"/>
                <w:sz w:val="21"/>
                <w:szCs w:val="21"/>
              </w:rPr>
              <w:t>书</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GB/T</w:t>
            </w:r>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z w:val="21"/>
                <w:szCs w:val="21"/>
              </w:rPr>
              <w:t>24001-2016/ISO</w:t>
            </w:r>
            <w:r>
              <w:rPr>
                <w:rFonts w:ascii="Times New Roman" w:hAnsi="Times New Roman" w:cs="Times New Roman" w:eastAsia="Times New Roman" w:hint="default"/>
                <w:sz w:val="21"/>
                <w:szCs w:val="21"/>
              </w:rPr>
              <w:t> 14001</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深圳国衡认证有限公司</w:t>
            </w:r>
          </w:p>
        </w:tc>
      </w:tr>
      <w:tr>
        <w:trPr>
          <w:trHeight w:val="659"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13</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left"/>
              <w:rPr>
                <w:rFonts w:ascii="宋体" w:hAnsi="宋体" w:cs="宋体" w:eastAsia="宋体" w:hint="default"/>
                <w:sz w:val="21"/>
                <w:szCs w:val="21"/>
              </w:rPr>
            </w:pPr>
            <w:r>
              <w:rPr>
                <w:rFonts w:ascii="宋体" w:hAnsi="宋体" w:cs="宋体" w:eastAsia="宋体" w:hint="default"/>
                <w:sz w:val="21"/>
                <w:szCs w:val="21"/>
              </w:rPr>
              <w:t>职</w:t>
            </w:r>
            <w:r>
              <w:rPr>
                <w:rFonts w:ascii="宋体" w:hAnsi="宋体" w:cs="宋体" w:eastAsia="宋体" w:hint="default"/>
                <w:spacing w:val="-33"/>
                <w:sz w:val="21"/>
                <w:szCs w:val="21"/>
              </w:rPr>
              <w:t> </w:t>
            </w:r>
            <w:r>
              <w:rPr>
                <w:rFonts w:ascii="宋体" w:hAnsi="宋体" w:cs="宋体" w:eastAsia="宋体" w:hint="default"/>
                <w:sz w:val="21"/>
                <w:szCs w:val="21"/>
              </w:rPr>
              <w:t>业</w:t>
            </w:r>
            <w:r>
              <w:rPr>
                <w:rFonts w:ascii="宋体" w:hAnsi="宋体" w:cs="宋体" w:eastAsia="宋体" w:hint="default"/>
                <w:spacing w:val="-33"/>
                <w:sz w:val="21"/>
                <w:szCs w:val="21"/>
              </w:rPr>
              <w:t> </w:t>
            </w:r>
            <w:r>
              <w:rPr>
                <w:rFonts w:ascii="宋体" w:hAnsi="宋体" w:cs="宋体" w:eastAsia="宋体" w:hint="default"/>
                <w:sz w:val="21"/>
                <w:szCs w:val="21"/>
              </w:rPr>
              <w:t>健</w:t>
            </w:r>
            <w:r>
              <w:rPr>
                <w:rFonts w:ascii="宋体" w:hAnsi="宋体" w:cs="宋体" w:eastAsia="宋体" w:hint="default"/>
                <w:spacing w:val="-33"/>
                <w:sz w:val="21"/>
                <w:szCs w:val="21"/>
              </w:rPr>
              <w:t> </w:t>
            </w:r>
            <w:r>
              <w:rPr>
                <w:rFonts w:ascii="宋体" w:hAnsi="宋体" w:cs="宋体" w:eastAsia="宋体" w:hint="default"/>
                <w:sz w:val="21"/>
                <w:szCs w:val="21"/>
              </w:rPr>
              <w:t>康</w:t>
            </w:r>
            <w:r>
              <w:rPr>
                <w:rFonts w:ascii="宋体" w:hAnsi="宋体" w:cs="宋体" w:eastAsia="宋体" w:hint="default"/>
                <w:spacing w:val="-35"/>
                <w:sz w:val="21"/>
                <w:szCs w:val="21"/>
              </w:rPr>
              <w:t> </w:t>
            </w:r>
            <w:r>
              <w:rPr>
                <w:rFonts w:ascii="宋体" w:hAnsi="宋体" w:cs="宋体" w:eastAsia="宋体" w:hint="default"/>
                <w:sz w:val="21"/>
                <w:szCs w:val="21"/>
              </w:rPr>
              <w:t>安</w:t>
            </w:r>
            <w:r>
              <w:rPr>
                <w:rFonts w:ascii="宋体" w:hAnsi="宋体" w:cs="宋体" w:eastAsia="宋体" w:hint="default"/>
                <w:spacing w:val="-33"/>
                <w:sz w:val="21"/>
                <w:szCs w:val="21"/>
              </w:rPr>
              <w:t> </w:t>
            </w:r>
            <w:r>
              <w:rPr>
                <w:rFonts w:ascii="宋体" w:hAnsi="宋体" w:cs="宋体" w:eastAsia="宋体" w:hint="default"/>
                <w:sz w:val="21"/>
                <w:szCs w:val="21"/>
              </w:rPr>
              <w:t>全</w:t>
            </w:r>
            <w:r>
              <w:rPr>
                <w:rFonts w:ascii="宋体" w:hAnsi="宋体" w:cs="宋体" w:eastAsia="宋体" w:hint="default"/>
                <w:spacing w:val="-33"/>
                <w:sz w:val="21"/>
                <w:szCs w:val="21"/>
              </w:rPr>
              <w:t> </w:t>
            </w:r>
            <w:r>
              <w:rPr>
                <w:rFonts w:ascii="宋体" w:hAnsi="宋体" w:cs="宋体" w:eastAsia="宋体" w:hint="default"/>
                <w:sz w:val="21"/>
                <w:szCs w:val="21"/>
              </w:rPr>
              <w:t>管</w:t>
            </w:r>
            <w:r>
              <w:rPr>
                <w:rFonts w:ascii="宋体" w:hAnsi="宋体" w:cs="宋体" w:eastAsia="宋体" w:hint="default"/>
                <w:spacing w:val="-33"/>
                <w:sz w:val="21"/>
                <w:szCs w:val="21"/>
              </w:rPr>
              <w:t> </w:t>
            </w:r>
            <w:r>
              <w:rPr>
                <w:rFonts w:ascii="宋体" w:hAnsi="宋体" w:cs="宋体" w:eastAsia="宋体" w:hint="default"/>
                <w:sz w:val="21"/>
                <w:szCs w:val="21"/>
              </w:rPr>
              <w:t>理</w:t>
            </w:r>
            <w:r>
              <w:rPr>
                <w:rFonts w:ascii="宋体" w:hAnsi="宋体" w:cs="宋体" w:eastAsia="宋体" w:hint="default"/>
                <w:spacing w:val="-35"/>
                <w:sz w:val="21"/>
                <w:szCs w:val="21"/>
              </w:rPr>
              <w:t> </w:t>
            </w:r>
            <w:r>
              <w:rPr>
                <w:rFonts w:ascii="宋体" w:hAnsi="宋体" w:cs="宋体" w:eastAsia="宋体" w:hint="default"/>
                <w:sz w:val="21"/>
                <w:szCs w:val="21"/>
              </w:rPr>
              <w:t>体</w:t>
            </w:r>
            <w:r>
              <w:rPr>
                <w:rFonts w:ascii="宋体" w:hAnsi="宋体" w:cs="宋体" w:eastAsia="宋体" w:hint="default"/>
                <w:spacing w:val="-33"/>
                <w:sz w:val="21"/>
                <w:szCs w:val="21"/>
              </w:rPr>
              <w:t> </w:t>
            </w:r>
            <w:r>
              <w:rPr>
                <w:rFonts w:ascii="宋体" w:hAnsi="宋体" w:cs="宋体" w:eastAsia="宋体" w:hint="default"/>
                <w:sz w:val="21"/>
                <w:szCs w:val="21"/>
              </w:rPr>
              <w:t>系</w:t>
            </w:r>
            <w:r>
              <w:rPr>
                <w:rFonts w:ascii="宋体" w:hAnsi="宋体" w:cs="宋体" w:eastAsia="宋体" w:hint="default"/>
                <w:spacing w:val="-33"/>
                <w:sz w:val="21"/>
                <w:szCs w:val="21"/>
              </w:rPr>
              <w:t> </w:t>
            </w:r>
            <w:r>
              <w:rPr>
                <w:rFonts w:ascii="宋体" w:hAnsi="宋体" w:cs="宋体" w:eastAsia="宋体" w:hint="default"/>
                <w:sz w:val="21"/>
                <w:szCs w:val="21"/>
              </w:rPr>
              <w:t>认</w:t>
            </w:r>
            <w:r>
              <w:rPr>
                <w:rFonts w:ascii="宋体" w:hAnsi="宋体" w:cs="宋体" w:eastAsia="宋体" w:hint="default"/>
                <w:spacing w:val="-33"/>
                <w:sz w:val="21"/>
                <w:szCs w:val="21"/>
              </w:rPr>
              <w:t> </w:t>
            </w:r>
            <w:r>
              <w:rPr>
                <w:rFonts w:ascii="宋体" w:hAnsi="宋体" w:cs="宋体" w:eastAsia="宋体" w:hint="default"/>
                <w:sz w:val="21"/>
                <w:szCs w:val="21"/>
              </w:rPr>
              <w:t>证</w:t>
            </w:r>
            <w:r>
              <w:rPr>
                <w:rFonts w:ascii="宋体" w:hAnsi="宋体" w:cs="宋体" w:eastAsia="宋体" w:hint="default"/>
                <w:spacing w:val="-35"/>
                <w:sz w:val="21"/>
                <w:szCs w:val="21"/>
              </w:rPr>
              <w:t> </w:t>
            </w:r>
            <w:r>
              <w:rPr>
                <w:rFonts w:ascii="宋体" w:hAnsi="宋体" w:cs="宋体" w:eastAsia="宋体" w:hint="default"/>
                <w:sz w:val="21"/>
                <w:szCs w:val="21"/>
              </w:rPr>
              <w:t>证</w:t>
            </w:r>
            <w:r>
              <w:rPr>
                <w:rFonts w:ascii="宋体" w:hAnsi="宋体" w:cs="宋体" w:eastAsia="宋体" w:hint="default"/>
                <w:spacing w:val="-33"/>
                <w:sz w:val="21"/>
                <w:szCs w:val="21"/>
              </w:rPr>
              <w:t> </w:t>
            </w:r>
            <w:r>
              <w:rPr>
                <w:rFonts w:ascii="宋体" w:hAnsi="宋体" w:cs="宋体" w:eastAsia="宋体" w:hint="default"/>
                <w:sz w:val="21"/>
                <w:szCs w:val="21"/>
              </w:rPr>
              <w:t>书</w:t>
            </w:r>
            <w:r>
              <w:rPr>
                <w:rFonts w:ascii="宋体" w:hAnsi="宋体" w:cs="宋体" w:eastAsia="宋体" w:hint="default"/>
                <w:spacing w:val="-33"/>
                <w:sz w:val="21"/>
                <w:szCs w:val="21"/>
              </w:rPr>
              <w:t> </w:t>
            </w:r>
            <w:r>
              <w:rPr>
                <w:rFonts w:ascii="宋体" w:hAnsi="宋体" w:cs="宋体" w:eastAsia="宋体" w:hint="default"/>
                <w:sz w:val="21"/>
                <w:szCs w:val="21"/>
              </w:rPr>
              <w:t>（</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GB/T 28001-2011/OHSAS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18001</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宋体" w:hAnsi="宋体" w:cs="宋体" w:eastAsia="宋体" w:hint="default"/>
                <w:sz w:val="21"/>
                <w:szCs w:val="21"/>
              </w:rPr>
              <w:t>）</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深圳国衡认证有限公司</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企业信用等级</w:t>
            </w:r>
            <w:r>
              <w:rPr>
                <w:rFonts w:ascii="Times New Roman" w:hAnsi="Times New Roman" w:cs="Times New Roman" w:eastAsia="Times New Roman" w:hint="default"/>
                <w:sz w:val="21"/>
                <w:szCs w:val="21"/>
              </w:rPr>
              <w:t>AAA</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中国软件行业协会</w:t>
            </w:r>
          </w:p>
        </w:tc>
      </w:tr>
    </w:tbl>
    <w:p>
      <w:pPr>
        <w:spacing w:after="0" w:line="271" w:lineRule="exact"/>
        <w:jc w:val="left"/>
        <w:rPr>
          <w:rFonts w:ascii="宋体" w:hAnsi="宋体" w:cs="宋体" w:eastAsia="宋体" w:hint="default"/>
          <w:sz w:val="21"/>
          <w:szCs w:val="21"/>
        </w:rPr>
        <w:sectPr>
          <w:pgSz w:w="11910" w:h="16840"/>
          <w:pgMar w:header="747" w:footer="979" w:top="1060" w:bottom="1160" w:left="40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960"/>
        <w:gridCol w:w="4741"/>
        <w:gridCol w:w="5161"/>
      </w:tblGrid>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17</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年中国软件行业最具影响力企业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中国软件行业协会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18</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年中国大数据企业</w:t>
            </w:r>
            <w:r>
              <w:rPr>
                <w:rFonts w:ascii="Times New Roman" w:hAnsi="Times New Roman" w:cs="Times New Roman" w:eastAsia="Times New Roman" w:hint="default"/>
                <w:sz w:val="21"/>
                <w:szCs w:val="21"/>
              </w:rPr>
              <w:t>50</w:t>
            </w:r>
            <w:r>
              <w:rPr>
                <w:rFonts w:ascii="宋体" w:hAnsi="宋体" w:cs="宋体" w:eastAsia="宋体" w:hint="default"/>
                <w:sz w:val="21"/>
                <w:szCs w:val="21"/>
              </w:rPr>
              <w:t>强</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中国大数据产业生态大会</w:t>
            </w:r>
          </w:p>
        </w:tc>
      </w:tr>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19</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年中国产业互联网领军企业奖</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国家信息产业公共服务平台、信息化观察网、赛迪网</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67" w:right="0"/>
              <w:jc w:val="left"/>
              <w:rPr>
                <w:rFonts w:ascii="Times New Roman" w:hAnsi="Times New Roman" w:cs="Times New Roman" w:eastAsia="Times New Roman" w:hint="default"/>
                <w:sz w:val="21"/>
                <w:szCs w:val="21"/>
              </w:rPr>
            </w:pPr>
            <w:r>
              <w:rPr>
                <w:rFonts w:ascii="Times New Roman"/>
                <w:sz w:val="21"/>
              </w:rPr>
              <w:t>20</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中国年度创新软件企业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中国软件行业协会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21</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年度中国软件和信息服务电信领域标杆企业奖</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中国电子信息产业发展研究院</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22</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年度中国软件和信息服务大数据领域杰出企业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中国电子信息产业发展研究院</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23</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中国软件创新企业</w:t>
            </w:r>
            <w:r>
              <w:rPr>
                <w:rFonts w:ascii="Times New Roman" w:hAnsi="Times New Roman" w:cs="Times New Roman" w:eastAsia="Times New Roman" w:hint="default"/>
                <w:sz w:val="21"/>
                <w:szCs w:val="21"/>
              </w:rPr>
              <w:t>20</w:t>
            </w:r>
            <w:r>
              <w:rPr>
                <w:rFonts w:ascii="宋体" w:hAnsi="宋体" w:cs="宋体" w:eastAsia="宋体" w:hint="default"/>
                <w:sz w:val="21"/>
                <w:szCs w:val="21"/>
              </w:rPr>
              <w:t>强</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中国版权保护中心</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24</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第六届中国通信与信息化行业应用领军企业奖</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中国通信港论坛组委会</w:t>
            </w:r>
          </w:p>
        </w:tc>
      </w:tr>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25</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w:t>
            </w:r>
            <w:r>
              <w:rPr>
                <w:rFonts w:ascii="Times New Roman" w:hAnsi="Times New Roman" w:cs="Times New Roman" w:eastAsia="Times New Roman" w:hint="default"/>
                <w:sz w:val="21"/>
                <w:szCs w:val="21"/>
              </w:rPr>
              <w:t>2016</w:t>
            </w:r>
            <w:r>
              <w:rPr>
                <w:rFonts w:ascii="宋体" w:hAnsi="宋体" w:cs="宋体" w:eastAsia="宋体" w:hint="default"/>
                <w:sz w:val="21"/>
                <w:szCs w:val="21"/>
              </w:rPr>
              <w:t>年云计算应用试点项目单位</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广东省经济和贸易信息化委员会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67" w:right="0"/>
              <w:jc w:val="left"/>
              <w:rPr>
                <w:rFonts w:ascii="Times New Roman" w:hAnsi="Times New Roman" w:cs="Times New Roman" w:eastAsia="Times New Roman" w:hint="default"/>
                <w:sz w:val="21"/>
                <w:szCs w:val="21"/>
              </w:rPr>
            </w:pPr>
            <w:r>
              <w:rPr>
                <w:rFonts w:ascii="Times New Roman"/>
                <w:sz w:val="21"/>
              </w:rPr>
              <w:t>26</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广东省大数据骨干企业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广东省经济和贸易信息化委员会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27</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广东省工程技术研究中心</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广东省科学技术厅</w:t>
            </w:r>
          </w:p>
        </w:tc>
      </w:tr>
      <w:tr>
        <w:trPr>
          <w:trHeight w:val="659"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28</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广东省院士工作站</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pacing w:val="3"/>
                <w:sz w:val="21"/>
                <w:szCs w:val="21"/>
              </w:rPr>
              <w:t>中国工程院、中国科学院、教育部、科技部、工信部、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广东省人民政府产学研结合协调领导小组办公室</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29</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广东省软件和集成电路设计产业百强培育企业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广东省经济和信息化委员会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30</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广东省软件业务收入前百家企业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广东软件行业协会</w:t>
            </w:r>
          </w:p>
        </w:tc>
      </w:tr>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31</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广东省著名商标</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广东省著名商标评审委员会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67" w:right="0"/>
              <w:jc w:val="left"/>
              <w:rPr>
                <w:rFonts w:ascii="Times New Roman" w:hAnsi="Times New Roman" w:cs="Times New Roman" w:eastAsia="Times New Roman" w:hint="default"/>
                <w:sz w:val="21"/>
                <w:szCs w:val="21"/>
              </w:rPr>
            </w:pPr>
            <w:r>
              <w:rPr>
                <w:rFonts w:ascii="Times New Roman"/>
                <w:sz w:val="21"/>
              </w:rPr>
              <w:t>32</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广东省诚信示范企业（</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2017?</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广东省企业联合会、广东省企业家协会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33</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广东省守合同重信用证书</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深圳市市场监督管理局</w:t>
            </w:r>
          </w:p>
        </w:tc>
      </w:tr>
      <w:tr>
        <w:trPr>
          <w:trHeight w:val="971"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34</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深圳市市级研发开发中心（技术中心类）</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both"/>
              <w:rPr>
                <w:rFonts w:ascii="宋体" w:hAnsi="宋体" w:cs="宋体" w:eastAsia="宋体" w:hint="default"/>
                <w:sz w:val="21"/>
                <w:szCs w:val="21"/>
              </w:rPr>
            </w:pPr>
            <w:r>
              <w:rPr>
                <w:rFonts w:ascii="宋体" w:hAnsi="宋体" w:cs="宋体" w:eastAsia="宋体" w:hint="default"/>
                <w:spacing w:val="3"/>
                <w:sz w:val="21"/>
                <w:szCs w:val="21"/>
              </w:rPr>
              <w:t>深圳市科技工贸和信息化委员会、深圳市发展与改革委</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员会、深圳市财政委员会、深圳市国家税务局、深圳市</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地方税务局</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35</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深圳市高新技术企业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深圳市科技创新委员会、深圳市财政委员会、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36</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软件企业证书</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深圳市软件行业协会</w:t>
            </w:r>
          </w:p>
        </w:tc>
      </w:tr>
      <w:tr>
        <w:trPr>
          <w:trHeight w:val="348"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37</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深圳市重点软件企业认定证书</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深圳市经济贸易和信息化委员会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67" w:right="0"/>
              <w:jc w:val="left"/>
              <w:rPr>
                <w:rFonts w:ascii="Times New Roman" w:hAnsi="Times New Roman" w:cs="Times New Roman" w:eastAsia="Times New Roman" w:hint="default"/>
                <w:sz w:val="21"/>
                <w:szCs w:val="21"/>
              </w:rPr>
            </w:pPr>
            <w:r>
              <w:rPr>
                <w:rFonts w:ascii="Times New Roman"/>
                <w:sz w:val="21"/>
              </w:rPr>
              <w:t>38</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Times New Roman" w:hAnsi="Times New Roman" w:cs="Times New Roman" w:eastAsia="Times New Roman" w:hint="default"/>
                <w:sz w:val="21"/>
                <w:szCs w:val="21"/>
              </w:rPr>
              <w:t>2017</w:t>
            </w:r>
            <w:r>
              <w:rPr>
                <w:rFonts w:ascii="宋体" w:hAnsi="宋体" w:cs="宋体" w:eastAsia="宋体" w:hint="default"/>
                <w:sz w:val="21"/>
                <w:szCs w:val="21"/>
              </w:rPr>
              <w:t>年优秀软件企业</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深圳市软件行业协会</w:t>
            </w:r>
          </w:p>
        </w:tc>
      </w:tr>
      <w:tr>
        <w:trPr>
          <w:trHeight w:val="347"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39</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深圳知名品牌</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深圳知名品牌评价委员会</w:t>
            </w:r>
          </w:p>
        </w:tc>
      </w:tr>
      <w:tr>
        <w:trPr>
          <w:trHeight w:val="659"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40</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深圳市企业社会责任评价证书</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pacing w:val="3"/>
                <w:sz w:val="21"/>
                <w:szCs w:val="21"/>
              </w:rPr>
              <w:t>深圳市企业社会责任促进会、深圳市环通认证中心有限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w:t>
            </w:r>
          </w:p>
        </w:tc>
      </w:tr>
      <w:tr>
        <w:trPr>
          <w:trHeight w:val="1284"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7" w:right="0"/>
              <w:jc w:val="left"/>
              <w:rPr>
                <w:rFonts w:ascii="Times New Roman" w:hAnsi="Times New Roman" w:cs="Times New Roman" w:eastAsia="Times New Roman" w:hint="default"/>
                <w:sz w:val="21"/>
                <w:szCs w:val="21"/>
              </w:rPr>
            </w:pPr>
            <w:r>
              <w:rPr>
                <w:rFonts w:ascii="Times New Roman"/>
                <w:sz w:val="21"/>
              </w:rPr>
              <w:t>41</w:t>
            </w:r>
          </w:p>
        </w:tc>
        <w:tc>
          <w:tcPr>
            <w:tcW w:w="47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深圳市诚信创新型企业金鼎奖</w:t>
            </w:r>
          </w:p>
        </w:tc>
        <w:tc>
          <w:tcPr>
            <w:tcW w:w="51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413"/>
              <w:jc w:val="left"/>
              <w:rPr>
                <w:rFonts w:ascii="宋体" w:hAnsi="宋体" w:cs="宋体" w:eastAsia="宋体" w:hint="default"/>
                <w:sz w:val="21"/>
                <w:szCs w:val="21"/>
              </w:rPr>
            </w:pPr>
            <w:r>
              <w:rPr>
                <w:rFonts w:ascii="宋体" w:hAnsi="宋体" w:cs="宋体" w:eastAsia="宋体" w:hint="default"/>
                <w:sz w:val="21"/>
                <w:szCs w:val="21"/>
              </w:rPr>
              <w:t>深圳市人民政府金融办 中国人民银行深圳市中心支行 深圳市广电集团 深圳市信用协会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0"/>
        <w:ind w:left="1154" w:right="1125"/>
        <w:jc w:val="left"/>
      </w:pPr>
      <w:r>
        <w:rPr/>
        <w:t>截止报告期末，子公司获得的主要资质如下：</w:t>
      </w:r>
    </w:p>
    <w:p>
      <w:pPr>
        <w:spacing w:line="240" w:lineRule="auto" w:before="12"/>
        <w:rPr>
          <w:rFonts w:ascii="宋体" w:hAnsi="宋体" w:cs="宋体" w:eastAsia="宋体" w:hint="default"/>
          <w:sz w:val="6"/>
          <w:szCs w:val="6"/>
        </w:rPr>
      </w:pPr>
    </w:p>
    <w:tbl>
      <w:tblPr>
        <w:tblW w:w="0" w:type="auto"/>
        <w:jc w:val="left"/>
        <w:tblInd w:w="724" w:type="dxa"/>
        <w:tblLayout w:type="fixed"/>
        <w:tblCellMar>
          <w:top w:w="0" w:type="dxa"/>
          <w:left w:w="0" w:type="dxa"/>
          <w:bottom w:w="0" w:type="dxa"/>
          <w:right w:w="0" w:type="dxa"/>
        </w:tblCellMar>
        <w:tblLook w:val="01E0"/>
      </w:tblPr>
      <w:tblGrid>
        <w:gridCol w:w="960"/>
        <w:gridCol w:w="3120"/>
        <w:gridCol w:w="3120"/>
        <w:gridCol w:w="3166"/>
      </w:tblGrid>
      <w:tr>
        <w:trPr>
          <w:trHeight w:val="352" w:hRule="exact"/>
        </w:trPr>
        <w:tc>
          <w:tcPr>
            <w:tcW w:w="960" w:type="dxa"/>
            <w:tcBorders>
              <w:top w:val="single" w:sz="8" w:space="0" w:color="000000"/>
              <w:left w:val="nil" w:sz="6" w:space="0" w:color="auto"/>
              <w:bottom w:val="single" w:sz="8" w:space="0" w:color="000000"/>
              <w:right w:val="single" w:sz="8" w:space="0" w:color="000000"/>
            </w:tcBorders>
            <w:shd w:val="clear" w:color="auto" w:fill="D9D9D9"/>
          </w:tcPr>
          <w:p>
            <w:pPr>
              <w:pStyle w:val="TableParagraph"/>
              <w:spacing w:line="271"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1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资质名称</w:t>
            </w:r>
            <w:r>
              <w:rPr>
                <w:rFonts w:ascii="宋体" w:hAnsi="宋体" w:cs="宋体" w:eastAsia="宋体" w:hint="default"/>
                <w:sz w:val="21"/>
                <w:szCs w:val="21"/>
              </w:rPr>
            </w:r>
          </w:p>
        </w:tc>
        <w:tc>
          <w:tcPr>
            <w:tcW w:w="31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发证单位</w:t>
            </w:r>
            <w:r>
              <w:rPr>
                <w:rFonts w:ascii="宋体" w:hAnsi="宋体" w:cs="宋体" w:eastAsia="宋体" w:hint="default"/>
                <w:sz w:val="21"/>
                <w:szCs w:val="21"/>
              </w:rPr>
            </w:r>
          </w:p>
        </w:tc>
        <w:tc>
          <w:tcPr>
            <w:tcW w:w="316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获得单位</w:t>
            </w:r>
            <w:r>
              <w:rPr>
                <w:rFonts w:ascii="宋体" w:hAnsi="宋体" w:cs="宋体" w:eastAsia="宋体" w:hint="default"/>
                <w:sz w:val="21"/>
                <w:szCs w:val="21"/>
              </w:rPr>
            </w:r>
          </w:p>
        </w:tc>
      </w:tr>
      <w:tr>
        <w:trPr>
          <w:trHeight w:val="353" w:hRule="exact"/>
        </w:trPr>
        <w:tc>
          <w:tcPr>
            <w:tcW w:w="96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40"/>
              <w:ind w:left="8" w:right="0"/>
              <w:jc w:val="center"/>
              <w:rPr>
                <w:rFonts w:ascii="Times New Roman" w:hAnsi="Times New Roman" w:cs="Times New Roman" w:eastAsia="Times New Roman" w:hint="default"/>
                <w:sz w:val="21"/>
                <w:szCs w:val="21"/>
              </w:rPr>
            </w:pPr>
            <w:r>
              <w:rPr>
                <w:rFonts w:ascii="Times New Roman"/>
                <w:sz w:val="21"/>
              </w:rPr>
              <w:t>1</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高新企业认定证书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北京市科学技术委员会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r>
      <w:tr>
        <w:trPr>
          <w:trHeight w:val="664" w:hRule="exact"/>
        </w:trPr>
        <w:tc>
          <w:tcPr>
            <w:tcW w:w="9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8" w:right="0"/>
              <w:jc w:val="center"/>
              <w:rPr>
                <w:rFonts w:ascii="Times New Roman" w:hAnsi="Times New Roman" w:cs="Times New Roman" w:eastAsia="Times New Roman" w:hint="default"/>
                <w:sz w:val="21"/>
                <w:szCs w:val="21"/>
              </w:rPr>
            </w:pPr>
            <w:r>
              <w:rPr>
                <w:rFonts w:ascii="Times New Roman"/>
                <w:sz w:val="21"/>
              </w:rPr>
              <w:t>2</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right="3"/>
              <w:jc w:val="left"/>
              <w:rPr>
                <w:rFonts w:ascii="宋体" w:hAnsi="宋体" w:cs="宋体" w:eastAsia="宋体" w:hint="default"/>
                <w:sz w:val="21"/>
                <w:szCs w:val="21"/>
              </w:rPr>
            </w:pPr>
            <w:r>
              <w:rPr>
                <w:rFonts w:ascii="宋体" w:hAnsi="宋体" w:cs="宋体" w:eastAsia="宋体" w:hint="default"/>
                <w:spacing w:val="10"/>
                <w:sz w:val="21"/>
                <w:szCs w:val="21"/>
              </w:rPr>
              <w:t>中关村国家自主创新示范区新产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品新技术（服务）证书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北京市科学技术委员会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r>
      <w:tr>
        <w:trPr>
          <w:trHeight w:val="350" w:hRule="exact"/>
        </w:trPr>
        <w:tc>
          <w:tcPr>
            <w:tcW w:w="960" w:type="dxa"/>
            <w:tcBorders>
              <w:top w:val="single" w:sz="8" w:space="0" w:color="000000"/>
              <w:left w:val="nil" w:sz="6" w:space="0" w:color="auto"/>
              <w:bottom w:val="single" w:sz="6" w:space="0" w:color="000000"/>
              <w:right w:val="single" w:sz="8" w:space="0" w:color="000000"/>
            </w:tcBorders>
          </w:tcPr>
          <w:p>
            <w:pPr>
              <w:pStyle w:val="TableParagraph"/>
              <w:spacing w:line="240" w:lineRule="auto" w:before="45"/>
              <w:ind w:left="8" w:right="0"/>
              <w:jc w:val="center"/>
              <w:rPr>
                <w:rFonts w:ascii="Times New Roman" w:hAnsi="Times New Roman" w:cs="Times New Roman" w:eastAsia="Times New Roman" w:hint="default"/>
                <w:sz w:val="21"/>
                <w:szCs w:val="21"/>
              </w:rPr>
            </w:pPr>
            <w:r>
              <w:rPr>
                <w:rFonts w:ascii="Times New Roman"/>
                <w:sz w:val="21"/>
              </w:rPr>
              <w:t>3</w:t>
            </w:r>
          </w:p>
        </w:tc>
        <w:tc>
          <w:tcPr>
            <w:tcW w:w="3120" w:type="dxa"/>
            <w:tcBorders>
              <w:top w:val="single" w:sz="8" w:space="0" w:color="000000"/>
              <w:left w:val="single" w:sz="8" w:space="0" w:color="000000"/>
              <w:bottom w:val="single" w:sz="6"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中关村高新技术企业</w:t>
            </w:r>
          </w:p>
        </w:tc>
        <w:tc>
          <w:tcPr>
            <w:tcW w:w="3120" w:type="dxa"/>
            <w:tcBorders>
              <w:top w:val="single" w:sz="8" w:space="0" w:color="000000"/>
              <w:left w:val="single" w:sz="8" w:space="0" w:color="000000"/>
              <w:bottom w:val="single" w:sz="6" w:space="0" w:color="000000"/>
              <w:right w:val="single" w:sz="8" w:space="0" w:color="000000"/>
            </w:tcBorders>
          </w:tcPr>
          <w:p>
            <w:pPr>
              <w:pStyle w:val="TableParagraph"/>
              <w:spacing w:line="287" w:lineRule="exact"/>
              <w:ind w:left="-1" w:right="0"/>
              <w:jc w:val="left"/>
              <w:rPr>
                <w:rFonts w:ascii="宋体" w:hAnsi="宋体" w:cs="宋体" w:eastAsia="宋体" w:hint="default"/>
                <w:sz w:val="21"/>
                <w:szCs w:val="21"/>
              </w:rPr>
            </w:pPr>
            <w:r>
              <w:rPr>
                <w:rFonts w:ascii="宋体" w:hAnsi="宋体" w:cs="宋体" w:eastAsia="宋体" w:hint="default"/>
                <w:sz w:val="21"/>
                <w:szCs w:val="21"/>
              </w:rPr>
              <w:t>北京市国家</w:t>
            </w:r>
            <w:r>
              <w:rPr>
                <w:rFonts w:ascii="Times New Roman" w:hAnsi="Times New Roman" w:cs="Times New Roman" w:eastAsia="Times New Roman" w:hint="default"/>
                <w:sz w:val="21"/>
                <w:szCs w:val="21"/>
              </w:rPr>
              <w:t>/</w:t>
            </w:r>
            <w:r>
              <w:rPr>
                <w:rFonts w:ascii="宋体" w:hAnsi="宋体" w:cs="宋体" w:eastAsia="宋体" w:hint="default"/>
                <w:sz w:val="21"/>
                <w:szCs w:val="21"/>
              </w:rPr>
              <w:t>地方税务局</w:t>
            </w:r>
          </w:p>
        </w:tc>
        <w:tc>
          <w:tcPr>
            <w:tcW w:w="3166" w:type="dxa"/>
            <w:tcBorders>
              <w:top w:val="single" w:sz="8" w:space="0" w:color="000000"/>
              <w:left w:val="single" w:sz="8" w:space="0" w:color="000000"/>
              <w:bottom w:val="single" w:sz="6"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r>
    </w:tbl>
    <w:p>
      <w:pPr>
        <w:spacing w:after="0" w:line="271" w:lineRule="exact"/>
        <w:jc w:val="left"/>
        <w:rPr>
          <w:rFonts w:ascii="宋体" w:hAnsi="宋体" w:cs="宋体" w:eastAsia="宋体" w:hint="default"/>
          <w:sz w:val="21"/>
          <w:szCs w:val="21"/>
        </w:rPr>
        <w:sectPr>
          <w:pgSz w:w="11910" w:h="16840"/>
          <w:pgMar w:header="747" w:footer="979" w:top="1060" w:bottom="1160" w:left="4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975"/>
        <w:gridCol w:w="3120"/>
        <w:gridCol w:w="3120"/>
        <w:gridCol w:w="3166"/>
      </w:tblGrid>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ISO9001</w:t>
            </w:r>
            <w:r>
              <w:rPr>
                <w:rFonts w:ascii="宋体" w:hAnsi="宋体" w:cs="宋体" w:eastAsia="宋体" w:hint="default"/>
                <w:sz w:val="21"/>
                <w:szCs w:val="21"/>
              </w:rPr>
              <w:t>质量管理体系认证</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方圆标志认证集团</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r>
      <w:tr>
        <w:trPr>
          <w:trHeight w:val="977"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5</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软件企业证书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20"/>
              <w:jc w:val="left"/>
              <w:rPr>
                <w:rFonts w:ascii="宋体" w:hAnsi="宋体" w:cs="宋体" w:eastAsia="宋体" w:hint="default"/>
                <w:sz w:val="21"/>
                <w:szCs w:val="21"/>
              </w:rPr>
            </w:pPr>
            <w:r>
              <w:rPr>
                <w:rFonts w:ascii="宋体" w:hAnsi="宋体" w:cs="宋体" w:eastAsia="宋体" w:hint="default"/>
                <w:spacing w:val="47"/>
                <w:sz w:val="21"/>
                <w:szCs w:val="21"/>
              </w:rPr>
              <w:t>北京软件和信息服务业协</w:t>
            </w:r>
            <w:r>
              <w:rPr>
                <w:rFonts w:ascii="宋体" w:hAnsi="宋体" w:cs="宋体" w:eastAsia="宋体" w:hint="default"/>
                <w:spacing w:val="-51"/>
                <w:sz w:val="21"/>
                <w:szCs w:val="21"/>
              </w:rPr>
              <w:t> </w:t>
            </w:r>
            <w:r>
              <w:rPr>
                <w:rFonts w:ascii="宋体" w:hAnsi="宋体" w:cs="宋体" w:eastAsia="宋体" w:hint="default"/>
                <w:sz w:val="21"/>
                <w:szCs w:val="21"/>
              </w:rPr>
              <w:t>会</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BSIA)&amp;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中</w:t>
            </w:r>
            <w:r>
              <w:rPr>
                <w:rFonts w:ascii="宋体" w:hAnsi="宋体" w:cs="宋体" w:eastAsia="宋体" w:hint="default"/>
                <w:spacing w:val="-51"/>
                <w:sz w:val="21"/>
                <w:szCs w:val="21"/>
              </w:rPr>
              <w:t> </w:t>
            </w:r>
            <w:r>
              <w:rPr>
                <w:rFonts w:ascii="宋体" w:hAnsi="宋体" w:cs="宋体" w:eastAsia="宋体" w:hint="default"/>
                <w:sz w:val="21"/>
                <w:szCs w:val="21"/>
              </w:rPr>
              <w:t>国</w:t>
            </w:r>
            <w:r>
              <w:rPr>
                <w:rFonts w:ascii="宋体" w:hAnsi="宋体" w:cs="宋体" w:eastAsia="宋体" w:hint="default"/>
                <w:spacing w:val="-51"/>
                <w:sz w:val="21"/>
                <w:szCs w:val="21"/>
              </w:rPr>
              <w:t> </w:t>
            </w:r>
            <w:r>
              <w:rPr>
                <w:rFonts w:ascii="宋体" w:hAnsi="宋体" w:cs="宋体" w:eastAsia="宋体" w:hint="default"/>
                <w:sz w:val="21"/>
                <w:szCs w:val="21"/>
              </w:rPr>
              <w:t>软</w:t>
            </w:r>
            <w:r>
              <w:rPr>
                <w:rFonts w:ascii="宋体" w:hAnsi="宋体" w:cs="宋体" w:eastAsia="宋体" w:hint="default"/>
                <w:spacing w:val="-51"/>
                <w:sz w:val="21"/>
                <w:szCs w:val="21"/>
              </w:rPr>
              <w:t> </w:t>
            </w:r>
            <w:r>
              <w:rPr>
                <w:rFonts w:ascii="宋体" w:hAnsi="宋体" w:cs="宋体" w:eastAsia="宋体" w:hint="default"/>
                <w:sz w:val="21"/>
                <w:szCs w:val="21"/>
              </w:rPr>
              <w:t>件</w:t>
            </w:r>
            <w:r>
              <w:rPr>
                <w:rFonts w:ascii="宋体" w:hAnsi="宋体" w:cs="宋体" w:eastAsia="宋体" w:hint="default"/>
                <w:spacing w:val="-50"/>
                <w:sz w:val="21"/>
                <w:szCs w:val="21"/>
              </w:rPr>
              <w:t> </w:t>
            </w:r>
            <w:r>
              <w:rPr>
                <w:rFonts w:ascii="宋体" w:hAnsi="宋体" w:cs="宋体" w:eastAsia="宋体" w:hint="default"/>
                <w:sz w:val="21"/>
                <w:szCs w:val="21"/>
              </w:rPr>
              <w:t>企</w:t>
            </w:r>
            <w:r>
              <w:rPr>
                <w:rFonts w:ascii="宋体" w:hAnsi="宋体" w:cs="宋体" w:eastAsia="宋体" w:hint="default"/>
                <w:spacing w:val="-51"/>
                <w:sz w:val="21"/>
                <w:szCs w:val="21"/>
              </w:rPr>
              <w:t> </w:t>
            </w:r>
            <w:r>
              <w:rPr>
                <w:rFonts w:ascii="宋体" w:hAnsi="宋体" w:cs="宋体" w:eastAsia="宋体" w:hint="default"/>
                <w:sz w:val="21"/>
                <w:szCs w:val="21"/>
              </w:rPr>
              <w:t>业</w:t>
            </w:r>
            <w:r>
              <w:rPr>
                <w:rFonts w:ascii="宋体" w:hAnsi="宋体" w:cs="宋体" w:eastAsia="宋体" w:hint="default"/>
                <w:spacing w:val="-51"/>
                <w:sz w:val="21"/>
                <w:szCs w:val="21"/>
              </w:rPr>
              <w:t> </w:t>
            </w:r>
            <w:r>
              <w:rPr>
                <w:rFonts w:ascii="宋体" w:hAnsi="宋体" w:cs="宋体" w:eastAsia="宋体" w:hint="default"/>
                <w:sz w:val="21"/>
                <w:szCs w:val="21"/>
              </w:rPr>
              <w:t>评</w:t>
            </w:r>
            <w:r>
              <w:rPr>
                <w:rFonts w:ascii="宋体" w:hAnsi="宋体" w:cs="宋体" w:eastAsia="宋体" w:hint="default"/>
                <w:spacing w:val="-51"/>
                <w:sz w:val="21"/>
                <w:szCs w:val="21"/>
              </w:rPr>
              <w:t> </w:t>
            </w:r>
            <w:r>
              <w:rPr>
                <w:rFonts w:ascii="宋体" w:hAnsi="宋体" w:cs="宋体" w:eastAsia="宋体" w:hint="default"/>
                <w:sz w:val="21"/>
                <w:szCs w:val="21"/>
              </w:rPr>
              <w:t>估</w:t>
            </w:r>
          </w:p>
          <w:p>
            <w:pPr>
              <w:pStyle w:val="TableParagraph"/>
              <w:spacing w:line="240" w:lineRule="auto" w:before="21"/>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CSEE)</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6</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质量管理体系</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方圆标志认证集团有限公司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7</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中关村高新技术企业</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r>
      <w:tr>
        <w:trPr>
          <w:trHeight w:val="665"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8</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right="3"/>
              <w:jc w:val="left"/>
              <w:rPr>
                <w:rFonts w:ascii="宋体" w:hAnsi="宋体" w:cs="宋体" w:eastAsia="宋体" w:hint="default"/>
                <w:sz w:val="21"/>
                <w:szCs w:val="21"/>
              </w:rPr>
            </w:pPr>
            <w:r>
              <w:rPr>
                <w:rFonts w:ascii="宋体" w:hAnsi="宋体" w:cs="宋体" w:eastAsia="宋体" w:hint="default"/>
                <w:spacing w:val="10"/>
                <w:sz w:val="21"/>
                <w:szCs w:val="21"/>
              </w:rPr>
              <w:t>武器装备科研生产单位二级保密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资格申请批准通知书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pacing w:val="10"/>
                <w:sz w:val="21"/>
                <w:szCs w:val="21"/>
              </w:rPr>
              <w:t>北京市武器装备科研生产单位保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密资格认定委员会办公室</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r>
      <w:tr>
        <w:trPr>
          <w:trHeight w:val="664"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9</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11315</w:t>
            </w:r>
            <w:r>
              <w:rPr>
                <w:rFonts w:ascii="宋体" w:hAnsi="宋体" w:cs="宋体" w:eastAsia="宋体" w:hint="default"/>
                <w:sz w:val="21"/>
                <w:szCs w:val="21"/>
              </w:rPr>
              <w:t>全国企业征信系统立信单位</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1" w:right="-16"/>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11315</w:t>
            </w:r>
            <w:r>
              <w:rPr>
                <w:rFonts w:ascii="宋体" w:hAnsi="宋体" w:cs="宋体" w:eastAsia="宋体" w:hint="default"/>
                <w:spacing w:val="9"/>
                <w:sz w:val="21"/>
                <w:szCs w:val="21"/>
              </w:rPr>
              <w:t>全国企业征信系统 </w:t>
            </w:r>
            <w:r>
              <w:rPr>
                <w:rFonts w:ascii="宋体" w:hAnsi="宋体" w:cs="宋体" w:eastAsia="宋体" w:hint="default"/>
                <w:spacing w:val="15"/>
                <w:sz w:val="21"/>
                <w:szCs w:val="21"/>
              </w:rPr>
              <w:t>绿盾征</w:t>
            </w:r>
            <w:r>
              <w:rPr>
                <w:rFonts w:ascii="宋体" w:hAnsi="宋体" w:cs="宋体" w:eastAsia="宋体" w:hint="default"/>
                <w:spacing w:val="15"/>
                <w:sz w:val="21"/>
                <w:szCs w:val="21"/>
              </w:rPr>
              <w:t> </w:t>
            </w:r>
            <w:r>
              <w:rPr>
                <w:rFonts w:ascii="宋体" w:hAnsi="宋体" w:cs="宋体" w:eastAsia="宋体" w:hint="default"/>
                <w:sz w:val="21"/>
                <w:szCs w:val="21"/>
              </w:rPr>
              <w:t>信（北京）有限公司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10</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ISO9001</w:t>
            </w:r>
            <w:r>
              <w:rPr>
                <w:rFonts w:ascii="宋体" w:hAnsi="宋体" w:cs="宋体" w:eastAsia="宋体" w:hint="default"/>
                <w:sz w:val="21"/>
                <w:szCs w:val="21"/>
              </w:rPr>
              <w:t>质量管理体系认证</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北京世标认证中心有限公司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665"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11</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11315</w:t>
            </w:r>
            <w:r>
              <w:rPr>
                <w:rFonts w:ascii="宋体" w:hAnsi="宋体" w:cs="宋体" w:eastAsia="宋体" w:hint="default"/>
                <w:sz w:val="21"/>
                <w:szCs w:val="21"/>
              </w:rPr>
              <w:t>全国企业征信系统立信单位</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1" w:right="-16"/>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11315</w:t>
            </w:r>
            <w:r>
              <w:rPr>
                <w:rFonts w:ascii="宋体" w:hAnsi="宋体" w:cs="宋体" w:eastAsia="宋体" w:hint="default"/>
                <w:spacing w:val="9"/>
                <w:sz w:val="21"/>
                <w:szCs w:val="21"/>
              </w:rPr>
              <w:t>全国企业征信系统 </w:t>
            </w:r>
            <w:r>
              <w:rPr>
                <w:rFonts w:ascii="宋体" w:hAnsi="宋体" w:cs="宋体" w:eastAsia="宋体" w:hint="default"/>
                <w:spacing w:val="15"/>
                <w:sz w:val="21"/>
                <w:szCs w:val="21"/>
              </w:rPr>
              <w:t>绿盾征</w:t>
            </w:r>
            <w:r>
              <w:rPr>
                <w:rFonts w:ascii="宋体" w:hAnsi="宋体" w:cs="宋体" w:eastAsia="宋体" w:hint="default"/>
                <w:spacing w:val="15"/>
                <w:sz w:val="21"/>
                <w:szCs w:val="21"/>
              </w:rPr>
              <w:t> </w:t>
            </w:r>
            <w:r>
              <w:rPr>
                <w:rFonts w:ascii="宋体" w:hAnsi="宋体" w:cs="宋体" w:eastAsia="宋体" w:hint="default"/>
                <w:sz w:val="21"/>
                <w:szCs w:val="21"/>
              </w:rPr>
              <w:t>信（北京）有限公司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12</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ISO27001</w:t>
            </w:r>
            <w:r>
              <w:rPr>
                <w:rFonts w:ascii="宋体" w:hAnsi="宋体" w:cs="宋体" w:eastAsia="宋体" w:hint="default"/>
                <w:sz w:val="21"/>
                <w:szCs w:val="21"/>
              </w:rPr>
              <w:t>信息安全管理体系认证</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上海英格尔认证有限公司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976"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13</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国家级高新技术企业</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1"/>
              <w:jc w:val="both"/>
              <w:rPr>
                <w:rFonts w:ascii="宋体" w:hAnsi="宋体" w:cs="宋体" w:eastAsia="宋体" w:hint="default"/>
                <w:sz w:val="21"/>
                <w:szCs w:val="21"/>
              </w:rPr>
            </w:pPr>
            <w:r>
              <w:rPr>
                <w:rFonts w:ascii="宋体" w:hAnsi="宋体" w:cs="宋体" w:eastAsia="宋体" w:hint="default"/>
                <w:spacing w:val="10"/>
                <w:sz w:val="21"/>
                <w:szCs w:val="21"/>
              </w:rPr>
              <w:t>安徽省科学技术厅、安徽省财政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厅、安徽省国家税务局、安徽省地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方税务局</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353"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14</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合肥高新区达标升规奖</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合肥市高新区管理委员会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15</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合肥市企业技术中心</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合肥市经济和信息化委员会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16</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AAA</w:t>
            </w:r>
            <w:r>
              <w:rPr>
                <w:rFonts w:ascii="宋体" w:hAnsi="宋体" w:cs="宋体" w:eastAsia="宋体" w:hint="default"/>
                <w:sz w:val="21"/>
                <w:szCs w:val="21"/>
              </w:rPr>
              <w:t>级信用等级证书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绿盾征信（北京）有限公司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353"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17</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安徽省软件行业协会副会长单位</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安徽省软件行业协会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18</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安徽省中小企业协会副会长单位</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安徽省中小企业协会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664"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19</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right="3"/>
              <w:jc w:val="left"/>
              <w:rPr>
                <w:rFonts w:ascii="宋体" w:hAnsi="宋体" w:cs="宋体" w:eastAsia="宋体" w:hint="default"/>
                <w:sz w:val="21"/>
                <w:szCs w:val="21"/>
              </w:rPr>
            </w:pPr>
            <w:r>
              <w:rPr>
                <w:rFonts w:ascii="宋体" w:hAnsi="宋体" w:cs="宋体" w:eastAsia="宋体" w:hint="default"/>
                <w:spacing w:val="10"/>
                <w:sz w:val="21"/>
                <w:szCs w:val="21"/>
              </w:rPr>
              <w:t>安徽省大数据产业协会监事长单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位</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安徽省大数据产业协会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665"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20</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right="3"/>
              <w:jc w:val="left"/>
              <w:rPr>
                <w:rFonts w:ascii="宋体" w:hAnsi="宋体" w:cs="宋体" w:eastAsia="宋体" w:hint="default"/>
                <w:sz w:val="21"/>
                <w:szCs w:val="21"/>
              </w:rPr>
            </w:pPr>
            <w:r>
              <w:rPr>
                <w:rFonts w:ascii="宋体" w:hAnsi="宋体" w:cs="宋体" w:eastAsia="宋体" w:hint="default"/>
                <w:spacing w:val="10"/>
                <w:sz w:val="21"/>
                <w:szCs w:val="21"/>
              </w:rPr>
              <w:t>安徽省通信学会大数据分会常务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理事单位</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安徽省通信学会大数据分会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664"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21</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right="-9"/>
              <w:jc w:val="left"/>
              <w:rPr>
                <w:rFonts w:ascii="宋体" w:hAnsi="宋体" w:cs="宋体" w:eastAsia="宋体" w:hint="default"/>
                <w:sz w:val="21"/>
                <w:szCs w:val="21"/>
              </w:rPr>
            </w:pPr>
            <w:r>
              <w:rPr>
                <w:rFonts w:ascii="宋体" w:hAnsi="宋体" w:cs="宋体" w:eastAsia="宋体" w:hint="default"/>
                <w:spacing w:val="8"/>
                <w:sz w:val="21"/>
                <w:szCs w:val="21"/>
              </w:rPr>
              <w:t>中国软件和信息服务业</w:t>
            </w:r>
            <w:r>
              <w:rPr>
                <w:rFonts w:ascii="Times New Roman" w:hAnsi="Times New Roman" w:cs="Times New Roman" w:eastAsia="Times New Roman" w:hint="default"/>
                <w:spacing w:val="8"/>
                <w:sz w:val="21"/>
                <w:szCs w:val="21"/>
              </w:rPr>
              <w:t>AAA</w:t>
            </w:r>
            <w:r>
              <w:rPr>
                <w:rFonts w:ascii="宋体" w:hAnsi="宋体" w:cs="宋体" w:eastAsia="宋体" w:hint="default"/>
                <w:spacing w:val="8"/>
                <w:sz w:val="21"/>
                <w:szCs w:val="21"/>
              </w:rPr>
              <w:t>级信</w:t>
            </w:r>
            <w:r>
              <w:rPr>
                <w:rFonts w:ascii="宋体" w:hAnsi="宋体" w:cs="宋体" w:eastAsia="宋体" w:hint="default"/>
                <w:spacing w:val="-100"/>
                <w:sz w:val="21"/>
                <w:szCs w:val="21"/>
              </w:rPr>
              <w:t> </w:t>
            </w:r>
            <w:r>
              <w:rPr>
                <w:rFonts w:ascii="宋体" w:hAnsi="宋体" w:cs="宋体" w:eastAsia="宋体" w:hint="default"/>
                <w:sz w:val="21"/>
                <w:szCs w:val="21"/>
              </w:rPr>
              <w:t>用单位</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中国软件行业协会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664"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22</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right="3"/>
              <w:jc w:val="left"/>
              <w:rPr>
                <w:rFonts w:ascii="宋体" w:hAnsi="宋体" w:cs="宋体" w:eastAsia="宋体" w:hint="default"/>
                <w:sz w:val="21"/>
                <w:szCs w:val="21"/>
              </w:rPr>
            </w:pPr>
            <w:r>
              <w:rPr>
                <w:rFonts w:ascii="宋体" w:hAnsi="宋体" w:cs="宋体" w:eastAsia="宋体" w:hint="default"/>
                <w:spacing w:val="10"/>
                <w:sz w:val="21"/>
                <w:szCs w:val="21"/>
              </w:rPr>
              <w:t>信息化与工业化融合管理体系认</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中国电子技术标准化研究院</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665"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23</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合肥市企业技术中心</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20"/>
              <w:jc w:val="left"/>
              <w:rPr>
                <w:rFonts w:ascii="宋体" w:hAnsi="宋体" w:cs="宋体" w:eastAsia="宋体" w:hint="default"/>
                <w:sz w:val="21"/>
                <w:szCs w:val="21"/>
              </w:rPr>
            </w:pPr>
            <w:r>
              <w:rPr>
                <w:rFonts w:ascii="宋体" w:hAnsi="宋体" w:cs="宋体" w:eastAsia="宋体" w:hint="default"/>
                <w:spacing w:val="-2"/>
                <w:sz w:val="21"/>
                <w:szCs w:val="21"/>
              </w:rPr>
              <w:t>合肥市经信委、发改委、科技局、</w:t>
            </w:r>
            <w:r>
              <w:rPr>
                <w:rFonts w:ascii="宋体" w:hAnsi="宋体" w:cs="宋体" w:eastAsia="宋体" w:hint="default"/>
                <w:spacing w:val="-30"/>
                <w:sz w:val="21"/>
                <w:szCs w:val="21"/>
              </w:rPr>
              <w:t> </w:t>
            </w:r>
            <w:r>
              <w:rPr>
                <w:rFonts w:ascii="宋体" w:hAnsi="宋体" w:cs="宋体" w:eastAsia="宋体" w:hint="default"/>
                <w:spacing w:val="-4"/>
                <w:sz w:val="21"/>
                <w:szCs w:val="21"/>
              </w:rPr>
              <w:t>财政局、统计局、国税局、地税局</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24</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涉密信息系统集成资质证书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上海市国家保密局</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上海天源迪科信息技术有限公司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25</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软件企业证书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上海市软件行业协会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上海天源迪科信息技术有限公司</w:t>
            </w:r>
          </w:p>
        </w:tc>
      </w:tr>
      <w:tr>
        <w:trPr>
          <w:trHeight w:val="665"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26</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高新技术企业证书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1"/>
              <w:jc w:val="left"/>
              <w:rPr>
                <w:rFonts w:ascii="宋体" w:hAnsi="宋体" w:cs="宋体" w:eastAsia="宋体" w:hint="default"/>
                <w:sz w:val="21"/>
                <w:szCs w:val="21"/>
              </w:rPr>
            </w:pPr>
            <w:r>
              <w:rPr>
                <w:rFonts w:ascii="宋体" w:hAnsi="宋体" w:cs="宋体" w:eastAsia="宋体" w:hint="default"/>
                <w:spacing w:val="-4"/>
                <w:sz w:val="21"/>
                <w:szCs w:val="21"/>
              </w:rPr>
              <w:t>上海市科委、财政局、国税局、地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税局</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上海天源迪科信息技术有限公司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27</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软件企业证书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上海市软件行业协会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上海天源迪科信息技术有限公司</w:t>
            </w:r>
          </w:p>
        </w:tc>
      </w:tr>
      <w:tr>
        <w:trPr>
          <w:trHeight w:val="664"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28</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ISO9001:2008</w:t>
            </w:r>
            <w:r>
              <w:rPr>
                <w:rFonts w:ascii="Times New Roman" w:hAnsi="Times New Roman" w:cs="Times New Roman" w:eastAsia="Times New Roman" w:hint="default"/>
                <w:spacing w:val="-30"/>
                <w:sz w:val="21"/>
                <w:szCs w:val="21"/>
              </w:rPr>
              <w:t> </w:t>
            </w:r>
            <w:r>
              <w:rPr>
                <w:rFonts w:ascii="宋体" w:hAnsi="宋体" w:cs="宋体" w:eastAsia="宋体" w:hint="default"/>
                <w:spacing w:val="19"/>
                <w:sz w:val="21"/>
                <w:szCs w:val="21"/>
              </w:rPr>
              <w:t>质量管理体系认证</w:t>
            </w:r>
            <w:r>
              <w:rPr>
                <w:rFonts w:ascii="宋体" w:hAnsi="宋体" w:cs="宋体" w:eastAsia="宋体" w:hint="default"/>
                <w:spacing w:val="-83"/>
                <w:sz w:val="21"/>
                <w:szCs w:val="21"/>
              </w:rPr>
              <w:t> </w:t>
            </w:r>
            <w:r>
              <w:rPr>
                <w:rFonts w:ascii="宋体" w:hAnsi="宋体" w:cs="宋体" w:eastAsia="宋体" w:hint="default"/>
                <w:sz w:val="21"/>
                <w:szCs w:val="21"/>
              </w:rPr>
              <w:t>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北京中安质环认证中心</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广州市易杰数码科技有限公司</w:t>
            </w:r>
          </w:p>
        </w:tc>
      </w:tr>
      <w:tr>
        <w:trPr>
          <w:trHeight w:val="353"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29</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Times New Roman" w:hAnsi="Times New Roman" w:cs="Times New Roman" w:eastAsia="Times New Roman" w:hint="default"/>
                <w:sz w:val="21"/>
                <w:szCs w:val="21"/>
              </w:rPr>
              <w:t>3</w:t>
            </w:r>
            <w:r>
              <w:rPr>
                <w:rFonts w:ascii="宋体" w:hAnsi="宋体" w:cs="宋体" w:eastAsia="宋体" w:hint="default"/>
                <w:sz w:val="21"/>
                <w:szCs w:val="21"/>
              </w:rPr>
              <w:t>级证书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中国电子信息行业联合会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广州市易杰数码科技有限公司</w:t>
            </w:r>
          </w:p>
        </w:tc>
      </w:tr>
      <w:tr>
        <w:trPr>
          <w:trHeight w:val="349" w:hRule="exact"/>
        </w:trPr>
        <w:tc>
          <w:tcPr>
            <w:tcW w:w="975" w:type="dxa"/>
            <w:tcBorders>
              <w:top w:val="single" w:sz="8" w:space="0" w:color="000000"/>
              <w:left w:val="nil" w:sz="6" w:space="0" w:color="auto"/>
              <w:bottom w:val="single" w:sz="6"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30</w:t>
            </w:r>
          </w:p>
        </w:tc>
        <w:tc>
          <w:tcPr>
            <w:tcW w:w="3120" w:type="dxa"/>
            <w:tcBorders>
              <w:top w:val="single" w:sz="8" w:space="0" w:color="000000"/>
              <w:left w:val="single" w:sz="8" w:space="0" w:color="000000"/>
              <w:bottom w:val="single" w:sz="6"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pacing w:val="10"/>
                <w:sz w:val="21"/>
                <w:szCs w:val="21"/>
              </w:rPr>
              <w:t>广州市新一代信息技术领域研发</w:t>
            </w:r>
          </w:p>
        </w:tc>
        <w:tc>
          <w:tcPr>
            <w:tcW w:w="3120" w:type="dxa"/>
            <w:tcBorders>
              <w:top w:val="single" w:sz="8" w:space="0" w:color="000000"/>
              <w:left w:val="single" w:sz="8" w:space="0" w:color="000000"/>
              <w:bottom w:val="single" w:sz="6"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广州市科技创新委员会</w:t>
            </w:r>
          </w:p>
        </w:tc>
        <w:tc>
          <w:tcPr>
            <w:tcW w:w="3166" w:type="dxa"/>
            <w:tcBorders>
              <w:top w:val="single" w:sz="8" w:space="0" w:color="000000"/>
              <w:left w:val="single" w:sz="8" w:space="0" w:color="000000"/>
              <w:bottom w:val="single" w:sz="6"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广州市易杰数码科技有限公司</w:t>
            </w:r>
          </w:p>
        </w:tc>
      </w:tr>
    </w:tbl>
    <w:p>
      <w:pPr>
        <w:spacing w:after="0" w:line="27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975"/>
        <w:gridCol w:w="3120"/>
        <w:gridCol w:w="3120"/>
        <w:gridCol w:w="3166"/>
      </w:tblGrid>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120" w:type="dxa"/>
            <w:tcBorders>
              <w:top w:val="single" w:sz="8" w:space="0" w:color="000000"/>
              <w:left w:val="single" w:sz="8" w:space="0" w:color="000000"/>
              <w:bottom w:val="single" w:sz="8" w:space="0" w:color="000000"/>
              <w:right w:val="single" w:sz="8" w:space="0" w:color="000000"/>
            </w:tcBorders>
          </w:tcPr>
          <w:p>
            <w:pPr/>
          </w:p>
        </w:tc>
        <w:tc>
          <w:tcPr>
            <w:tcW w:w="3166"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31</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CMMI3</w:t>
            </w:r>
            <w:r>
              <w:rPr>
                <w:rFonts w:ascii="宋体" w:hAnsi="宋体" w:cs="宋体" w:eastAsia="宋体" w:hint="default"/>
                <w:sz w:val="21"/>
                <w:szCs w:val="21"/>
              </w:rPr>
              <w:t>级</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科曼思</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广州市易杰数码科技有限公司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32</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广州优秀软件企业</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广州市软件行业协会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广州市易杰数码科技有限公司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33</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广东省诚信示范企业</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广东省企业联合网</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广州市易杰数码科技有限公司</w:t>
            </w:r>
          </w:p>
        </w:tc>
      </w:tr>
      <w:tr>
        <w:trPr>
          <w:trHeight w:val="977"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34</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国家高新技术企业证书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1"/>
              <w:jc w:val="both"/>
              <w:rPr>
                <w:rFonts w:ascii="宋体" w:hAnsi="宋体" w:cs="宋体" w:eastAsia="宋体" w:hint="default"/>
                <w:sz w:val="21"/>
                <w:szCs w:val="21"/>
              </w:rPr>
            </w:pPr>
            <w:r>
              <w:rPr>
                <w:rFonts w:ascii="宋体" w:hAnsi="宋体" w:cs="宋体" w:eastAsia="宋体" w:hint="default"/>
                <w:spacing w:val="-4"/>
                <w:sz w:val="21"/>
                <w:szCs w:val="21"/>
              </w:rPr>
              <w:t>深圳市科技创新委员会、深圳市财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政委员会、深圳市国家税务局、深</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圳市地方税务局</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维恩贝特科技有限公司</w:t>
            </w:r>
          </w:p>
        </w:tc>
      </w:tr>
      <w:tr>
        <w:trPr>
          <w:trHeight w:val="664"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35</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left"/>
              <w:rPr>
                <w:rFonts w:ascii="Times New Roman" w:hAnsi="Times New Roman" w:cs="Times New Roman" w:eastAsia="Times New Roman" w:hint="default"/>
                <w:sz w:val="21"/>
                <w:szCs w:val="21"/>
              </w:rPr>
            </w:pPr>
            <w:r>
              <w:rPr>
                <w:rFonts w:ascii="Times New Roman"/>
                <w:sz w:val="21"/>
              </w:rPr>
              <w:t>CMMI3</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pacing w:val="10"/>
                <w:sz w:val="21"/>
                <w:szCs w:val="21"/>
              </w:rPr>
              <w:t>深圳市麦芒成熟度模型科技有限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维恩贝特科技有限公司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36</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信息安全管理体系认证证书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广州赛宝认证中心服务有限公司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维恩贝特科技有限公司</w:t>
            </w:r>
          </w:p>
        </w:tc>
      </w:tr>
      <w:tr>
        <w:trPr>
          <w:trHeight w:val="353"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37</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质量管理系统认证证书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长城（天津）质量保证中心</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维恩贝特科技有限公司</w:t>
            </w:r>
          </w:p>
        </w:tc>
      </w:tr>
      <w:tr>
        <w:trPr>
          <w:trHeight w:val="976"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38</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国家高新技术企业证书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1"/>
              <w:jc w:val="both"/>
              <w:rPr>
                <w:rFonts w:ascii="宋体" w:hAnsi="宋体" w:cs="宋体" w:eastAsia="宋体" w:hint="default"/>
                <w:sz w:val="21"/>
                <w:szCs w:val="21"/>
              </w:rPr>
            </w:pPr>
            <w:r>
              <w:rPr>
                <w:rFonts w:ascii="宋体" w:hAnsi="宋体" w:cs="宋体" w:eastAsia="宋体" w:hint="default"/>
                <w:spacing w:val="-4"/>
                <w:sz w:val="21"/>
                <w:szCs w:val="21"/>
              </w:rPr>
              <w:t>北京市科学技术委员会、北京市财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政局、北京市国家税务局、北京市</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地方税务局</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北京维恩贝特信息技术有限公司</w:t>
            </w:r>
          </w:p>
        </w:tc>
      </w:tr>
      <w:tr>
        <w:trPr>
          <w:trHeight w:val="976"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39</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高新技术企业证书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1"/>
              <w:jc w:val="both"/>
              <w:rPr>
                <w:rFonts w:ascii="宋体" w:hAnsi="宋体" w:cs="宋体" w:eastAsia="宋体" w:hint="default"/>
                <w:sz w:val="21"/>
                <w:szCs w:val="21"/>
              </w:rPr>
            </w:pPr>
            <w:r>
              <w:rPr>
                <w:rFonts w:ascii="宋体" w:hAnsi="宋体" w:cs="宋体" w:eastAsia="宋体" w:hint="default"/>
                <w:spacing w:val="-4"/>
                <w:sz w:val="21"/>
                <w:szCs w:val="21"/>
              </w:rPr>
              <w:t>深圳市科技创新委员会、深圳市财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政委员会、深圳市国家税务局、深</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圳市地方税务局</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深圳市金华威数码科技有限公司</w:t>
            </w:r>
          </w:p>
        </w:tc>
      </w:tr>
      <w:tr>
        <w:trPr>
          <w:trHeight w:val="665"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40</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ISO9001:2008</w:t>
            </w:r>
            <w:r>
              <w:rPr>
                <w:rFonts w:ascii="Times New Roman" w:hAnsi="Times New Roman" w:cs="Times New Roman" w:eastAsia="Times New Roman" w:hint="default"/>
                <w:spacing w:val="-30"/>
                <w:sz w:val="21"/>
                <w:szCs w:val="21"/>
              </w:rPr>
              <w:t> </w:t>
            </w:r>
            <w:r>
              <w:rPr>
                <w:rFonts w:ascii="宋体" w:hAnsi="宋体" w:cs="宋体" w:eastAsia="宋体" w:hint="default"/>
                <w:spacing w:val="19"/>
                <w:sz w:val="21"/>
                <w:szCs w:val="21"/>
              </w:rPr>
              <w:t>质量管理体系认证</w:t>
            </w:r>
            <w:r>
              <w:rPr>
                <w:rFonts w:ascii="宋体" w:hAnsi="宋体" w:cs="宋体" w:eastAsia="宋体" w:hint="default"/>
                <w:spacing w:val="-83"/>
                <w:sz w:val="21"/>
                <w:szCs w:val="21"/>
              </w:rPr>
              <w:t> </w:t>
            </w:r>
            <w:r>
              <w:rPr>
                <w:rFonts w:ascii="宋体" w:hAnsi="宋体" w:cs="宋体" w:eastAsia="宋体" w:hint="default"/>
                <w:sz w:val="21"/>
                <w:szCs w:val="21"/>
              </w:rPr>
              <w:t>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广州赛宝认证中心服务有限公司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深圳市金华威数码科技有限公司</w:t>
            </w:r>
          </w:p>
        </w:tc>
      </w:tr>
      <w:tr>
        <w:trPr>
          <w:trHeight w:val="664"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41</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软件企业认定证书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pacing w:val="10"/>
                <w:sz w:val="21"/>
                <w:szCs w:val="21"/>
              </w:rPr>
              <w:t>广西壮族自治区工业和信息化委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员会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广西驿途信息科技有限公司</w:t>
            </w:r>
          </w:p>
        </w:tc>
      </w:tr>
      <w:tr>
        <w:trPr>
          <w:trHeight w:val="1288"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42</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高新技术企业证书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1"/>
              <w:jc w:val="both"/>
              <w:rPr>
                <w:rFonts w:ascii="宋体" w:hAnsi="宋体" w:cs="宋体" w:eastAsia="宋体" w:hint="default"/>
                <w:sz w:val="21"/>
                <w:szCs w:val="21"/>
              </w:rPr>
            </w:pPr>
            <w:r>
              <w:rPr>
                <w:rFonts w:ascii="宋体" w:hAnsi="宋体" w:cs="宋体" w:eastAsia="宋体" w:hint="default"/>
                <w:spacing w:val="-4"/>
                <w:sz w:val="21"/>
                <w:szCs w:val="21"/>
              </w:rPr>
              <w:t>广西壮族自治区科学技术厅、广西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壮族自治区财政厅、广西壮族自治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区国家税务局、广西壮族自治区地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方税务局</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广西驿途信息科技有限公司</w:t>
            </w:r>
          </w:p>
        </w:tc>
      </w:tr>
      <w:tr>
        <w:trPr>
          <w:trHeight w:val="353"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43</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测绘资质证书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安徽省国土资源厅</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合肥英泽信息科技有限公司</w:t>
            </w:r>
          </w:p>
        </w:tc>
      </w:tr>
      <w:tr>
        <w:trPr>
          <w:trHeight w:val="976"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44</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高新技术企业证书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3"/>
              <w:jc w:val="both"/>
              <w:rPr>
                <w:rFonts w:ascii="宋体" w:hAnsi="宋体" w:cs="宋体" w:eastAsia="宋体" w:hint="default"/>
                <w:sz w:val="21"/>
                <w:szCs w:val="21"/>
              </w:rPr>
            </w:pPr>
            <w:r>
              <w:rPr>
                <w:rFonts w:ascii="宋体" w:hAnsi="宋体" w:cs="宋体" w:eastAsia="宋体" w:hint="default"/>
                <w:spacing w:val="10"/>
                <w:sz w:val="21"/>
                <w:szCs w:val="21"/>
              </w:rPr>
              <w:t>安徽省科学技术厅安徽省财政厅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0"/>
                <w:sz w:val="21"/>
                <w:szCs w:val="21"/>
              </w:rPr>
              <w:t>安徽省国家税务局安徽省地方税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务局</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合肥英泽信息科技有限公司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45</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软件企业认定证书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安徽省经济和信息化委员会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合肥英泽信息科技有限公司</w:t>
            </w:r>
          </w:p>
        </w:tc>
      </w:tr>
      <w:tr>
        <w:trPr>
          <w:trHeight w:val="665"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46</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ISO9001:2008</w:t>
            </w:r>
            <w:r>
              <w:rPr>
                <w:rFonts w:ascii="Times New Roman" w:hAnsi="Times New Roman" w:cs="Times New Roman" w:eastAsia="Times New Roman" w:hint="default"/>
                <w:spacing w:val="-30"/>
                <w:sz w:val="21"/>
                <w:szCs w:val="21"/>
              </w:rPr>
              <w:t> </w:t>
            </w:r>
            <w:r>
              <w:rPr>
                <w:rFonts w:ascii="宋体" w:hAnsi="宋体" w:cs="宋体" w:eastAsia="宋体" w:hint="default"/>
                <w:spacing w:val="19"/>
                <w:sz w:val="21"/>
                <w:szCs w:val="21"/>
              </w:rPr>
              <w:t>质量管理体系认证</w:t>
            </w:r>
            <w:r>
              <w:rPr>
                <w:rFonts w:ascii="宋体" w:hAnsi="宋体" w:cs="宋体" w:eastAsia="宋体" w:hint="default"/>
                <w:spacing w:val="-83"/>
                <w:sz w:val="21"/>
                <w:szCs w:val="21"/>
              </w:rPr>
              <w:t> </w:t>
            </w:r>
            <w:r>
              <w:rPr>
                <w:rFonts w:ascii="宋体" w:hAnsi="宋体" w:cs="宋体" w:eastAsia="宋体" w:hint="default"/>
                <w:sz w:val="21"/>
                <w:szCs w:val="21"/>
              </w:rPr>
              <w:t>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北京新纪源认证有限公司</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合肥英泽信息科技有限公司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47</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高新技术企业证书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广东省科学技术厅</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广州易星信息科技有限公司</w:t>
            </w:r>
          </w:p>
        </w:tc>
      </w:tr>
      <w:tr>
        <w:trPr>
          <w:trHeight w:val="352" w:hRule="exact"/>
        </w:trPr>
        <w:tc>
          <w:tcPr>
            <w:tcW w:w="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48</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软件企业认定证书</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深圳市软件行业协会</w:t>
            </w:r>
          </w:p>
        </w:tc>
        <w:tc>
          <w:tcPr>
            <w:tcW w:w="31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深圳市宝贝团信息技术有限公司</w:t>
            </w:r>
          </w:p>
        </w:tc>
      </w:tr>
      <w:tr>
        <w:trPr>
          <w:trHeight w:val="974" w:hRule="exact"/>
        </w:trPr>
        <w:tc>
          <w:tcPr>
            <w:tcW w:w="975" w:type="dxa"/>
            <w:tcBorders>
              <w:top w:val="single" w:sz="8" w:space="0" w:color="000000"/>
              <w:left w:val="nil" w:sz="6" w:space="0" w:color="auto"/>
              <w:bottom w:val="single" w:sz="6" w:space="0" w:color="000000"/>
              <w:right w:val="single" w:sz="8" w:space="0" w:color="000000"/>
            </w:tcBorders>
          </w:tcPr>
          <w:p>
            <w:pPr>
              <w:pStyle w:val="TableParagraph"/>
              <w:spacing w:line="240" w:lineRule="auto" w:before="45"/>
              <w:ind w:left="23" w:right="0"/>
              <w:jc w:val="center"/>
              <w:rPr>
                <w:rFonts w:ascii="Times New Roman" w:hAnsi="Times New Roman" w:cs="Times New Roman" w:eastAsia="Times New Roman" w:hint="default"/>
                <w:sz w:val="21"/>
                <w:szCs w:val="21"/>
              </w:rPr>
            </w:pPr>
            <w:r>
              <w:rPr>
                <w:rFonts w:ascii="Times New Roman"/>
                <w:sz w:val="21"/>
              </w:rPr>
              <w:t>49</w:t>
            </w:r>
          </w:p>
        </w:tc>
        <w:tc>
          <w:tcPr>
            <w:tcW w:w="3120" w:type="dxa"/>
            <w:tcBorders>
              <w:top w:val="single" w:sz="8" w:space="0" w:color="000000"/>
              <w:left w:val="single" w:sz="8" w:space="0" w:color="000000"/>
              <w:bottom w:val="single" w:sz="6"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国家高新技术企业证书</w:t>
            </w:r>
          </w:p>
        </w:tc>
        <w:tc>
          <w:tcPr>
            <w:tcW w:w="3120" w:type="dxa"/>
            <w:tcBorders>
              <w:top w:val="single" w:sz="8" w:space="0" w:color="000000"/>
              <w:left w:val="single" w:sz="8" w:space="0" w:color="000000"/>
              <w:bottom w:val="single" w:sz="6" w:space="0" w:color="000000"/>
              <w:right w:val="single" w:sz="8" w:space="0" w:color="000000"/>
            </w:tcBorders>
          </w:tcPr>
          <w:p>
            <w:pPr>
              <w:pStyle w:val="TableParagraph"/>
              <w:spacing w:line="273" w:lineRule="auto"/>
              <w:ind w:left="-1" w:right="579"/>
              <w:jc w:val="left"/>
              <w:rPr>
                <w:rFonts w:ascii="宋体" w:hAnsi="宋体" w:cs="宋体" w:eastAsia="宋体" w:hint="default"/>
                <w:sz w:val="21"/>
                <w:szCs w:val="21"/>
              </w:rPr>
            </w:pPr>
            <w:r>
              <w:rPr>
                <w:rFonts w:ascii="宋体" w:hAnsi="宋体" w:cs="宋体" w:eastAsia="宋体" w:hint="default"/>
                <w:sz w:val="21"/>
                <w:szCs w:val="21"/>
              </w:rPr>
              <w:t>深圳市科技创新委员会 深圳市财政委员会 国家税务总局深圳市税务局</w:t>
            </w:r>
          </w:p>
        </w:tc>
        <w:tc>
          <w:tcPr>
            <w:tcW w:w="3166" w:type="dxa"/>
            <w:tcBorders>
              <w:top w:val="single" w:sz="8" w:space="0" w:color="000000"/>
              <w:left w:val="single" w:sz="8" w:space="0" w:color="000000"/>
              <w:bottom w:val="single" w:sz="6" w:space="0" w:color="000000"/>
              <w:right w:val="single" w:sz="8"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深圳市宝贝团信息技术有限公司</w:t>
            </w:r>
          </w:p>
        </w:tc>
      </w:tr>
    </w:tbl>
    <w:p>
      <w:pPr>
        <w:spacing w:line="240" w:lineRule="auto" w:before="10"/>
        <w:rPr>
          <w:rFonts w:ascii="Times New Roman" w:hAnsi="Times New Roman" w:cs="Times New Roman" w:eastAsia="Times New Roman" w:hint="default"/>
          <w:sz w:val="29"/>
          <w:szCs w:val="29"/>
        </w:rPr>
      </w:pPr>
    </w:p>
    <w:p>
      <w:pPr>
        <w:pStyle w:val="BodyText"/>
        <w:spacing w:line="240" w:lineRule="auto" w:before="35"/>
        <w:ind w:left="574" w:right="1972"/>
        <w:jc w:val="left"/>
      </w:pPr>
      <w:r>
        <w:rPr/>
        <w:t>（四）以客户为中心，为客户创造价值的服务理念</w:t>
      </w:r>
    </w:p>
    <w:p>
      <w:pPr>
        <w:pStyle w:val="BodyText"/>
        <w:spacing w:line="259" w:lineRule="auto" w:before="75"/>
        <w:ind w:right="1116" w:firstLine="420"/>
        <w:jc w:val="left"/>
      </w:pPr>
      <w:r>
        <w:rPr/>
        <w:t>公司以</w:t>
      </w:r>
      <w:r>
        <w:rPr>
          <w:spacing w:val="-21"/>
        </w:rPr>
        <w:t> </w:t>
      </w:r>
      <w:r>
        <w:rPr>
          <w:rFonts w:ascii="Times New Roman" w:hAnsi="Times New Roman" w:cs="Times New Roman" w:eastAsia="Times New Roman" w:hint="default"/>
          <w:spacing w:val="-2"/>
        </w:rPr>
        <w:t>“</w:t>
      </w:r>
      <w:r>
        <w:rPr>
          <w:spacing w:val="-2"/>
        </w:rPr>
        <w:t>以客户为中心，为客户创造价值</w:t>
      </w:r>
      <w:r>
        <w:rPr>
          <w:rFonts w:ascii="Times New Roman" w:hAnsi="Times New Roman" w:cs="Times New Roman" w:eastAsia="Times New Roman" w:hint="default"/>
          <w:spacing w:val="-2"/>
        </w:rPr>
        <w:t>”</w:t>
      </w:r>
      <w:r>
        <w:rPr>
          <w:spacing w:val="-2"/>
        </w:rPr>
        <w:t>为服务理念，建立以客户为中心的公司服务文化，持续改进</w:t>
      </w:r>
      <w:r>
        <w:rPr/>
        <w:t> 客户服务质量。</w:t>
      </w:r>
    </w:p>
    <w:p>
      <w:pPr>
        <w:spacing w:after="0" w:line="25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36" w:firstLine="420"/>
        <w:jc w:val="both"/>
      </w:pPr>
      <w:r>
        <w:rPr/>
        <w:t>公司具备覆盖式的国内和海外服务体系；公司建立区域销售、交付、中台团队客户满意度评估机制， 共同承担满意度指标；及时准确把握客户需求，主动高效响应客户；提升区域全线人才的专业服务能力，</w:t>
      </w:r>
      <w:r>
        <w:rPr>
          <w:spacing w:val="-36"/>
        </w:rPr>
        <w:t> </w:t>
      </w:r>
      <w:r>
        <w:rPr>
          <w:spacing w:val="-36"/>
        </w:rPr>
      </w:r>
      <w:r>
        <w:rPr/>
        <w:t>为客户创造价值。</w:t>
      </w:r>
      <w:r>
        <w:rPr>
          <w:spacing w:val="-21"/>
        </w:rPr>
        <w:t> </w:t>
      </w:r>
      <w:r>
        <w:rPr/>
        <w:t>报告期，公司核心技术人员及核心技术未发生重大变动。</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972"/>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1131" w:firstLine="420"/>
        <w:jc w:val="both"/>
      </w:pPr>
      <w:r>
        <w:rPr>
          <w:rFonts w:ascii="Times New Roman" w:hAnsi="Times New Roman" w:cs="Times New Roman" w:eastAsia="Times New Roman" w:hint="default"/>
        </w:rPr>
        <w:t>2018</w:t>
      </w:r>
      <w:r>
        <w:rPr/>
        <w:t>年，面对复杂多变的市场经营环境，公司继续坚持</w:t>
      </w:r>
      <w:r>
        <w:rPr>
          <w:rFonts w:ascii="Times New Roman" w:hAnsi="Times New Roman" w:cs="Times New Roman" w:eastAsia="Times New Roman" w:hint="default"/>
        </w:rPr>
        <w:t>“</w:t>
      </w:r>
      <w:r>
        <w:rPr/>
        <w:t>产业互联网解决方案供应商</w:t>
      </w:r>
      <w:r>
        <w:rPr>
          <w:rFonts w:ascii="Times New Roman" w:hAnsi="Times New Roman" w:cs="Times New Roman" w:eastAsia="Times New Roman" w:hint="default"/>
        </w:rPr>
        <w:t>”</w:t>
      </w:r>
      <w:r>
        <w:rPr/>
        <w:t>的市场定位，打 </w:t>
      </w:r>
      <w:r>
        <w:rPr>
          <w:spacing w:val="-1"/>
        </w:rPr>
        <w:t>造</w:t>
      </w:r>
      <w:r>
        <w:rPr>
          <w:rFonts w:ascii="Times New Roman" w:hAnsi="Times New Roman" w:cs="Times New Roman" w:eastAsia="Times New Roman" w:hint="default"/>
          <w:spacing w:val="-1"/>
        </w:rPr>
        <w:t>“</w:t>
      </w:r>
      <w:r>
        <w:rPr>
          <w:spacing w:val="-1"/>
        </w:rPr>
        <w:t>业务咨询</w:t>
      </w:r>
      <w:r>
        <w:rPr>
          <w:rFonts w:ascii="Times New Roman" w:hAnsi="Times New Roman" w:cs="Times New Roman" w:eastAsia="Times New Roman" w:hint="default"/>
          <w:spacing w:val="-1"/>
        </w:rPr>
        <w:t>+</w:t>
      </w:r>
      <w:r>
        <w:rPr>
          <w:spacing w:val="-1"/>
        </w:rPr>
        <w:t>大型应用软件开发</w:t>
      </w:r>
      <w:r>
        <w:rPr>
          <w:rFonts w:ascii="Times New Roman" w:hAnsi="Times New Roman" w:cs="Times New Roman" w:eastAsia="Times New Roman" w:hint="default"/>
          <w:spacing w:val="-1"/>
        </w:rPr>
        <w:t>+</w:t>
      </w:r>
      <w:r>
        <w:rPr>
          <w:spacing w:val="-1"/>
        </w:rPr>
        <w:t>专业化服务</w:t>
      </w:r>
      <w:r>
        <w:rPr>
          <w:rFonts w:ascii="Times New Roman" w:hAnsi="Times New Roman" w:cs="Times New Roman" w:eastAsia="Times New Roman" w:hint="default"/>
          <w:spacing w:val="-1"/>
        </w:rPr>
        <w:t>”</w:t>
      </w:r>
      <w:r>
        <w:rPr>
          <w:spacing w:val="-1"/>
        </w:rPr>
        <w:t>的核心能力，采取客户需求和技术创新双轮驱动的策略推进</w:t>
      </w:r>
      <w:r>
        <w:rPr>
          <w:spacing w:val="-83"/>
        </w:rPr>
        <w:t> </w:t>
      </w:r>
      <w:r>
        <w:rPr>
          <w:spacing w:val="-83"/>
        </w:rPr>
      </w:r>
      <w:r>
        <w:rPr/>
        <w:t>核心产品平台化，聚焦优势领域和主航道进行市场开拓，持续改进管理体系实现精益运营。</w:t>
      </w:r>
    </w:p>
    <w:p>
      <w:pPr>
        <w:pStyle w:val="BodyText"/>
        <w:spacing w:line="264" w:lineRule="auto" w:before="22"/>
        <w:ind w:right="1131" w:firstLine="384"/>
        <w:jc w:val="both"/>
      </w:pPr>
      <w:r>
        <w:rPr/>
        <w:t>报告期内，公司管理层围绕董事会制定的年度经营计划，带领团队推进技术创新，优化整合资源，突 破战略市场，完善集约化运营管控，实现业绩提升。报告期内，公司实现营业收入</w:t>
      </w:r>
      <w:r>
        <w:rPr>
          <w:rFonts w:ascii="Times New Roman" w:hAnsi="Times New Roman" w:cs="Times New Roman" w:eastAsia="Times New Roman" w:hint="default"/>
        </w:rPr>
        <w:t>376,682.64</w:t>
      </w:r>
      <w:r>
        <w:rPr/>
        <w:t>万元，较去</w:t>
      </w:r>
      <w:r>
        <w:rPr>
          <w:spacing w:val="-27"/>
        </w:rPr>
        <w:t> </w:t>
      </w:r>
      <w:r>
        <w:rPr>
          <w:spacing w:val="-27"/>
        </w:rPr>
      </w:r>
      <w:r>
        <w:rPr>
          <w:spacing w:val="-2"/>
        </w:rPr>
        <w:t>年同期增长</w:t>
      </w:r>
      <w:r>
        <w:rPr>
          <w:rFonts w:ascii="Times New Roman" w:hAnsi="Times New Roman" w:cs="Times New Roman" w:eastAsia="Times New Roman" w:hint="default"/>
          <w:spacing w:val="-2"/>
        </w:rPr>
        <w:t>27.13%</w:t>
      </w:r>
      <w:r>
        <w:rPr>
          <w:spacing w:val="-2"/>
        </w:rPr>
        <w:t>，归属于上市公司净利润</w:t>
      </w:r>
      <w:r>
        <w:rPr>
          <w:rFonts w:ascii="Times New Roman" w:hAnsi="Times New Roman" w:cs="Times New Roman" w:eastAsia="Times New Roman" w:hint="default"/>
          <w:spacing w:val="-2"/>
        </w:rPr>
        <w:t>21,554.27</w:t>
      </w:r>
      <w:r>
        <w:rPr>
          <w:spacing w:val="-2"/>
        </w:rPr>
        <w:t>万元，较去年同期增长</w:t>
      </w:r>
      <w:r>
        <w:rPr>
          <w:rFonts w:ascii="Times New Roman" w:hAnsi="Times New Roman" w:cs="Times New Roman" w:eastAsia="Times New Roman" w:hint="default"/>
          <w:spacing w:val="-2"/>
        </w:rPr>
        <w:t>38.23%</w:t>
      </w:r>
      <w:r>
        <w:rPr>
          <w:spacing w:val="-2"/>
        </w:rPr>
        <w:t>。营业收入和利润同步</w:t>
      </w:r>
      <w:r>
        <w:rPr>
          <w:spacing w:val="-55"/>
        </w:rPr>
        <w:t> </w:t>
      </w:r>
      <w:r>
        <w:rPr>
          <w:spacing w:val="-55"/>
        </w:rPr>
      </w:r>
      <w:r>
        <w:rPr>
          <w:spacing w:val="-1"/>
        </w:rPr>
        <w:t>增长，主要原因是公司在通信行业和政企行业业务保持平稳增长，在金融行业的子公司维恩贝特和迪科数</w:t>
      </w:r>
      <w:r>
        <w:rPr>
          <w:spacing w:val="-81"/>
        </w:rPr>
        <w:t> </w:t>
      </w:r>
      <w:r>
        <w:rPr>
          <w:spacing w:val="-81"/>
        </w:rPr>
      </w:r>
      <w:r>
        <w:rPr/>
        <w:t>金均实现收入大幅增长。</w:t>
      </w:r>
    </w:p>
    <w:p>
      <w:pPr>
        <w:spacing w:line="240" w:lineRule="auto" w:before="1"/>
        <w:rPr>
          <w:rFonts w:ascii="宋体" w:hAnsi="宋体" w:cs="宋体" w:eastAsia="宋体" w:hint="default"/>
          <w:sz w:val="25"/>
          <w:szCs w:val="25"/>
        </w:rPr>
      </w:pPr>
    </w:p>
    <w:p>
      <w:pPr>
        <w:pStyle w:val="BodyText"/>
        <w:spacing w:line="240" w:lineRule="auto" w:before="0"/>
        <w:ind w:left="574" w:right="1972"/>
        <w:jc w:val="left"/>
      </w:pPr>
      <w:r>
        <w:rPr>
          <w:rFonts w:ascii="Times New Roman" w:hAnsi="Times New Roman" w:cs="Times New Roman" w:eastAsia="Times New Roman" w:hint="default"/>
        </w:rPr>
        <w:t>2018</w:t>
      </w:r>
      <w:r>
        <w:rPr/>
        <w:t>年，公司主要经营情况回顾如下：</w:t>
      </w:r>
    </w:p>
    <w:p>
      <w:pPr>
        <w:pStyle w:val="BodyText"/>
        <w:spacing w:line="256" w:lineRule="auto" w:before="21"/>
        <w:ind w:left="538" w:right="1116"/>
        <w:jc w:val="left"/>
      </w:pPr>
      <w:r>
        <w:rPr>
          <w:rFonts w:ascii="Times New Roman" w:hAnsi="Times New Roman" w:cs="Times New Roman" w:eastAsia="Times New Roman" w:hint="default"/>
        </w:rPr>
        <w:t>1</w:t>
      </w:r>
      <w:r>
        <w:rPr/>
        <w:t>、坚持</w:t>
      </w:r>
      <w:r>
        <w:rPr>
          <w:rFonts w:ascii="Times New Roman" w:hAnsi="Times New Roman" w:cs="Times New Roman" w:eastAsia="Times New Roman" w:hint="default"/>
        </w:rPr>
        <w:t>“</w:t>
      </w:r>
      <w:r>
        <w:rPr/>
        <w:t>产业互联网解决方案供应商</w:t>
      </w:r>
      <w:r>
        <w:rPr>
          <w:rFonts w:ascii="Times New Roman" w:hAnsi="Times New Roman" w:cs="Times New Roman" w:eastAsia="Times New Roman" w:hint="default"/>
        </w:rPr>
        <w:t>”</w:t>
      </w:r>
      <w:r>
        <w:rPr/>
        <w:t>的战略定位 公司深耕大型行业应用软件领域二十多年，循序渐进演进为用先进的大数据及</w:t>
      </w:r>
      <w:r>
        <w:rPr>
          <w:rFonts w:ascii="Times New Roman" w:hAnsi="Times New Roman" w:cs="Times New Roman" w:eastAsia="Times New Roman" w:hint="default"/>
        </w:rPr>
        <w:t>AI</w:t>
      </w:r>
      <w:r>
        <w:rPr/>
        <w:t>技术，为运营商、公</w:t>
      </w:r>
    </w:p>
    <w:p>
      <w:pPr>
        <w:pStyle w:val="BodyText"/>
        <w:spacing w:line="268" w:lineRule="auto" w:before="5"/>
        <w:ind w:right="1131"/>
        <w:jc w:val="both"/>
      </w:pPr>
      <w:r>
        <w:rPr>
          <w:spacing w:val="-1"/>
        </w:rPr>
        <w:t>共安全、金融等传统行业客户提供大数据平台、智能化应用和数据运营服务。公司在大数据产业链中的定</w:t>
      </w:r>
      <w:r>
        <w:rPr>
          <w:spacing w:val="-83"/>
        </w:rPr>
        <w:t> </w:t>
      </w:r>
      <w:r>
        <w:rPr>
          <w:spacing w:val="-83"/>
        </w:rPr>
      </w:r>
      <w:r>
        <w:rPr>
          <w:spacing w:val="-1"/>
        </w:rPr>
        <w:t>位为基于大数据的信息服务，担当数据处理和管理者、数据应用开发者、数据运营服务者三个角色。以技</w:t>
      </w:r>
      <w:r>
        <w:rPr>
          <w:spacing w:val="-86"/>
        </w:rPr>
        <w:t> </w:t>
      </w:r>
      <w:r>
        <w:rPr>
          <w:spacing w:val="-86"/>
        </w:rPr>
      </w:r>
      <w:r>
        <w:rPr/>
        <w:t>术创新驱动</w:t>
      </w:r>
      <w:r>
        <w:rPr>
          <w:rFonts w:ascii="Times New Roman" w:hAnsi="Times New Roman" w:cs="Times New Roman" w:eastAsia="Times New Roman" w:hint="default"/>
        </w:rPr>
        <w:t>“</w:t>
      </w:r>
      <w:r>
        <w:rPr/>
        <w:t>大数据平台＋行业</w:t>
      </w:r>
      <w:r>
        <w:rPr>
          <w:rFonts w:ascii="Times New Roman" w:hAnsi="Times New Roman" w:cs="Times New Roman" w:eastAsia="Times New Roman" w:hint="default"/>
        </w:rPr>
        <w:t>”</w:t>
      </w:r>
      <w:r>
        <w:rPr/>
        <w:t>的产品发展战略，基于大数据一体化平台，面向电信运营商、政府和金融 </w:t>
      </w:r>
      <w:r>
        <w:rPr>
          <w:spacing w:val="-1"/>
        </w:rPr>
        <w:t>行业，打造智慧运营、智慧社会和智慧金融等典型大数据应用。从核心扩张是公司追求快速成长的同时所</w:t>
      </w:r>
      <w:r>
        <w:rPr>
          <w:spacing w:val="-83"/>
        </w:rPr>
        <w:t> </w:t>
      </w:r>
      <w:r>
        <w:rPr>
          <w:spacing w:val="-83"/>
        </w:rPr>
      </w:r>
      <w:r>
        <w:rPr/>
        <w:t>坚守的原则。</w:t>
      </w:r>
    </w:p>
    <w:p>
      <w:pPr>
        <w:spacing w:line="240" w:lineRule="auto" w:before="10"/>
        <w:rPr>
          <w:rFonts w:ascii="宋体" w:hAnsi="宋体" w:cs="宋体" w:eastAsia="宋体" w:hint="default"/>
          <w:sz w:val="24"/>
          <w:szCs w:val="24"/>
        </w:rPr>
      </w:pPr>
    </w:p>
    <w:p>
      <w:pPr>
        <w:pStyle w:val="BodyText"/>
        <w:spacing w:line="240" w:lineRule="auto" w:before="0"/>
        <w:ind w:left="538" w:right="1972"/>
        <w:jc w:val="left"/>
      </w:pPr>
      <w:r>
        <w:rPr>
          <w:rFonts w:ascii="Times New Roman" w:hAnsi="Times New Roman" w:cs="Times New Roman" w:eastAsia="Times New Roman" w:hint="default"/>
        </w:rPr>
        <w:t>2</w:t>
      </w:r>
      <w:r>
        <w:rPr/>
        <w:t>、通信板块继续实现稳定业绩增长</w:t>
      </w:r>
    </w:p>
    <w:p>
      <w:pPr>
        <w:pStyle w:val="BodyText"/>
        <w:spacing w:line="266" w:lineRule="auto" w:before="21"/>
        <w:ind w:right="1131" w:firstLine="384"/>
        <w:jc w:val="both"/>
      </w:pPr>
      <w:r>
        <w:rPr>
          <w:rFonts w:ascii="Times New Roman" w:hAnsi="Times New Roman" w:cs="Times New Roman" w:eastAsia="Times New Roman" w:hint="default"/>
        </w:rPr>
        <w:t>2018</w:t>
      </w:r>
      <w:r>
        <w:rPr/>
        <w:t>年全球通信运营商作为互联网基础设施的核心提供商，不但面临同业的同质化竞争，还要面对被 </w:t>
      </w:r>
      <w:r>
        <w:rPr>
          <w:spacing w:val="-1"/>
        </w:rPr>
        <w:t>互联网企业管道化的大趋势，迫使运营商向智慧运营的方向发展。公司经过在通信运营软件领域二十多年</w:t>
      </w:r>
      <w:r>
        <w:rPr>
          <w:spacing w:val="-81"/>
        </w:rPr>
        <w:t> </w:t>
      </w:r>
      <w:r>
        <w:rPr>
          <w:spacing w:val="-81"/>
        </w:rPr>
      </w:r>
      <w:r>
        <w:rPr>
          <w:spacing w:val="-1"/>
        </w:rPr>
        <w:t>的深耕细作，已形成平台化的基础产品架构，组件化的产品体系，快速部署的解决方案能力，使得公司在</w:t>
      </w:r>
      <w:r>
        <w:rPr>
          <w:spacing w:val="-86"/>
        </w:rPr>
        <w:t> </w:t>
      </w:r>
      <w:r>
        <w:rPr>
          <w:spacing w:val="-86"/>
        </w:rPr>
      </w:r>
      <w:r>
        <w:rPr/>
        <w:t>充分竞争的环境中依然保持逆势增长。</w:t>
      </w:r>
    </w:p>
    <w:p>
      <w:pPr>
        <w:pStyle w:val="BodyText"/>
        <w:spacing w:line="264" w:lineRule="auto" w:before="55"/>
        <w:ind w:right="1129" w:firstLine="384"/>
        <w:jc w:val="both"/>
      </w:pPr>
      <w:r>
        <w:rPr>
          <w:spacing w:val="-5"/>
        </w:rPr>
        <w:t>报告期内，公司新增了两个省电信的智慧运营</w:t>
      </w:r>
      <w:r>
        <w:rPr>
          <w:rFonts w:ascii="Times New Roman" w:hAnsi="Times New Roman" w:cs="Times New Roman" w:eastAsia="Times New Roman" w:hint="default"/>
          <w:spacing w:val="-5"/>
        </w:rPr>
        <w:t>BSS</w:t>
      </w:r>
      <w:r>
        <w:rPr>
          <w:spacing w:val="-5"/>
        </w:rPr>
        <w:t>市场份额；在中国电信集团，公司参与</w:t>
      </w:r>
      <w:r>
        <w:rPr>
          <w:rFonts w:ascii="Times New Roman" w:hAnsi="Times New Roman" w:cs="Times New Roman" w:eastAsia="Times New Roman" w:hint="default"/>
          <w:spacing w:val="-5"/>
        </w:rPr>
        <w:t>5G</w:t>
      </w:r>
      <w:r>
        <w:rPr>
          <w:spacing w:val="-5"/>
        </w:rPr>
        <w:t>规范编写，</w:t>
      </w:r>
      <w:r>
        <w:rPr/>
        <w:t> </w:t>
      </w:r>
      <w:r>
        <w:rPr>
          <w:spacing w:val="-1"/>
        </w:rPr>
        <w:t>承建的大数据基础能力平台引入</w:t>
      </w:r>
      <w:r>
        <w:rPr>
          <w:rFonts w:ascii="Times New Roman" w:hAnsi="Times New Roman" w:cs="Times New Roman" w:eastAsia="Times New Roman" w:hint="default"/>
          <w:spacing w:val="-1"/>
        </w:rPr>
        <w:t>“</w:t>
      </w:r>
      <w:r>
        <w:rPr>
          <w:spacing w:val="-1"/>
        </w:rPr>
        <w:t>大数据湖</w:t>
      </w:r>
      <w:r>
        <w:rPr>
          <w:rFonts w:ascii="Times New Roman" w:hAnsi="Times New Roman" w:cs="Times New Roman" w:eastAsia="Times New Roman" w:hint="default"/>
          <w:spacing w:val="-1"/>
        </w:rPr>
        <w:t>”</w:t>
      </w:r>
      <w:r>
        <w:rPr>
          <w:spacing w:val="-1"/>
        </w:rPr>
        <w:t>理念和人工智能技术并持续升级，承建渠道管控、政企</w:t>
      </w:r>
      <w:r>
        <w:rPr>
          <w:rFonts w:ascii="Times New Roman" w:hAnsi="Times New Roman" w:cs="Times New Roman" w:eastAsia="Times New Roman" w:hint="default"/>
          <w:spacing w:val="-1"/>
        </w:rPr>
        <w:t>CRM</w:t>
      </w:r>
      <w:r>
        <w:rPr>
          <w:spacing w:val="-1"/>
        </w:rPr>
        <w:t>项</w:t>
      </w:r>
      <w:r>
        <w:rPr>
          <w:spacing w:val="-103"/>
        </w:rPr>
        <w:t> </w:t>
      </w:r>
      <w:r>
        <w:rPr>
          <w:spacing w:val="-1"/>
        </w:rPr>
        <w:t>目群、云公司项目群，在中国电信集团的业务收入快速增长。在中国联通集团的集中和云化市场始终保持</w:t>
      </w:r>
      <w:r>
        <w:rPr>
          <w:spacing w:val="-83"/>
        </w:rPr>
        <w:t> </w:t>
      </w:r>
      <w:r>
        <w:rPr>
          <w:spacing w:val="-83"/>
        </w:rPr>
      </w:r>
      <w:r>
        <w:rPr>
          <w:spacing w:val="-5"/>
        </w:rPr>
        <w:t>优势地位，电子超市、红包运营、触点营销等创新业务认可度高，合作运营在联通省分市场形成新的突破。</w:t>
      </w:r>
      <w:r>
        <w:rPr>
          <w:spacing w:val="-102"/>
        </w:rPr>
        <w:t> </w:t>
      </w:r>
      <w:r>
        <w:rPr>
          <w:spacing w:val="-102"/>
        </w:rPr>
      </w:r>
      <w:r>
        <w:rPr/>
        <w:t>大数据应用已经进入中国移动五个省份（江西、陕西、甘肃、贵州、宁夏）以及中移在线，</w:t>
      </w:r>
      <w:r>
        <w:rPr>
          <w:rFonts w:ascii="Times New Roman" w:hAnsi="Times New Roman" w:cs="Times New Roman" w:eastAsia="Times New Roman" w:hint="default"/>
        </w:rPr>
        <w:t>BSS</w:t>
      </w:r>
      <w:r>
        <w:rPr/>
        <w:t>系统中标</w:t>
      </w:r>
      <w:r>
        <w:rPr>
          <w:spacing w:val="-85"/>
        </w:rPr>
        <w:t> </w:t>
      </w:r>
      <w:r>
        <w:rPr>
          <w:spacing w:val="-85"/>
        </w:rPr>
      </w:r>
      <w:r>
        <w:rPr/>
        <w:t>中移全通，在智能零售方面与中移终端公司合作，在</w:t>
      </w:r>
      <w:r>
        <w:rPr>
          <w:rFonts w:ascii="Times New Roman" w:hAnsi="Times New Roman" w:cs="Times New Roman" w:eastAsia="Times New Roman" w:hint="default"/>
        </w:rPr>
        <w:t>2018</w:t>
      </w:r>
      <w:r>
        <w:rPr/>
        <w:t>年已实现</w:t>
      </w:r>
      <w:r>
        <w:rPr>
          <w:rFonts w:ascii="Times New Roman" w:hAnsi="Times New Roman" w:cs="Times New Roman" w:eastAsia="Times New Roman" w:hint="default"/>
        </w:rPr>
        <w:t>5</w:t>
      </w:r>
      <w:r>
        <w:rPr/>
        <w:t>家智能零售商店的试点。</w:t>
      </w:r>
    </w:p>
    <w:p>
      <w:pPr>
        <w:spacing w:line="240" w:lineRule="auto" w:before="8"/>
        <w:rPr>
          <w:rFonts w:ascii="宋体" w:hAnsi="宋体" w:cs="宋体" w:eastAsia="宋体" w:hint="default"/>
          <w:sz w:val="26"/>
          <w:szCs w:val="26"/>
        </w:rPr>
      </w:pPr>
    </w:p>
    <w:p>
      <w:pPr>
        <w:pStyle w:val="BodyText"/>
        <w:spacing w:line="256" w:lineRule="auto" w:before="0"/>
        <w:ind w:left="538" w:right="1128"/>
        <w:jc w:val="left"/>
      </w:pPr>
      <w:r>
        <w:rPr>
          <w:rFonts w:ascii="Times New Roman" w:hAnsi="Times New Roman" w:cs="Times New Roman" w:eastAsia="Times New Roman" w:hint="default"/>
        </w:rPr>
        <w:t>3</w:t>
      </w:r>
      <w:r>
        <w:rPr/>
        <w:t>、金融板块业绩增长超预期 投资金融科技是公司近五年形成的战略举措，以进一步降低单一大行业依赖度，发掘和培育新的战略</w:t>
      </w:r>
    </w:p>
    <w:p>
      <w:pPr>
        <w:pStyle w:val="BodyText"/>
        <w:spacing w:line="261" w:lineRule="auto" w:before="22"/>
        <w:ind w:right="1130"/>
        <w:jc w:val="both"/>
      </w:pPr>
      <w:r>
        <w:rPr>
          <w:spacing w:val="-1"/>
        </w:rPr>
        <w:t>主航道。公司在金融板块的主力军由维恩贝特和迪科数金两家子公司组成，随着维恩贝特与母公司的进一</w:t>
      </w:r>
      <w:r>
        <w:rPr>
          <w:spacing w:val="-81"/>
        </w:rPr>
        <w:t> </w:t>
      </w:r>
      <w:r>
        <w:rPr>
          <w:spacing w:val="-81"/>
        </w:rPr>
      </w:r>
      <w:r>
        <w:rPr>
          <w:spacing w:val="-1"/>
        </w:rPr>
        <w:t>步融合，协同效应开始显现，借力母公司的大数据、</w:t>
      </w:r>
      <w:r>
        <w:rPr>
          <w:rFonts w:ascii="Times New Roman" w:hAnsi="Times New Roman" w:cs="Times New Roman" w:eastAsia="Times New Roman" w:hint="default"/>
          <w:spacing w:val="-1"/>
        </w:rPr>
        <w:t>AI</w:t>
      </w:r>
      <w:r>
        <w:rPr>
          <w:spacing w:val="-1"/>
        </w:rPr>
        <w:t>等平台化产品，维恩贝特快速扩大了单个银行客户</w:t>
      </w:r>
      <w:r>
        <w:rPr>
          <w:spacing w:val="-94"/>
        </w:rPr>
        <w:t> </w:t>
      </w:r>
      <w:r>
        <w:rPr>
          <w:spacing w:val="-94"/>
        </w:rPr>
      </w:r>
      <w:r>
        <w:rPr>
          <w:spacing w:val="-1"/>
        </w:rPr>
        <w:t>的产出。而迪科数金则聚焦大数据和</w:t>
      </w:r>
      <w:r>
        <w:rPr>
          <w:rFonts w:ascii="Times New Roman" w:hAnsi="Times New Roman" w:cs="Times New Roman" w:eastAsia="Times New Roman" w:hint="default"/>
          <w:spacing w:val="-1"/>
        </w:rPr>
        <w:t>AI</w:t>
      </w:r>
      <w:r>
        <w:rPr>
          <w:spacing w:val="-1"/>
        </w:rPr>
        <w:t>技术环境下的金融机构信贷风控的运营、产品和解决方案，迎合了</w:t>
      </w:r>
      <w:r>
        <w:rPr>
          <w:spacing w:val="-93"/>
        </w:rPr>
        <w:t> </w:t>
      </w:r>
      <w:r>
        <w:rPr>
          <w:spacing w:val="-93"/>
        </w:rPr>
      </w:r>
      <w:r>
        <w:rPr/>
        <w:t>金融领域的热点需求，切切实实解决了用户痛点，带来爆发式增长，业绩大幅增长超出预期。</w:t>
      </w:r>
    </w:p>
    <w:p>
      <w:pPr>
        <w:spacing w:line="240" w:lineRule="auto" w:before="3"/>
        <w:rPr>
          <w:rFonts w:ascii="宋体" w:hAnsi="宋体" w:cs="宋体" w:eastAsia="宋体" w:hint="default"/>
          <w:sz w:val="25"/>
          <w:szCs w:val="25"/>
        </w:rPr>
      </w:pPr>
    </w:p>
    <w:p>
      <w:pPr>
        <w:pStyle w:val="BodyText"/>
        <w:spacing w:line="240" w:lineRule="auto" w:before="0"/>
        <w:ind w:left="538" w:right="1972"/>
        <w:jc w:val="left"/>
      </w:pPr>
      <w:r>
        <w:rPr>
          <w:rFonts w:ascii="Times New Roman" w:hAnsi="Times New Roman" w:cs="Times New Roman" w:eastAsia="Times New Roman" w:hint="default"/>
        </w:rPr>
        <w:t>4</w:t>
      </w:r>
      <w:r>
        <w:rPr/>
        <w:t>、智慧城市领域赢得标杆项目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0" w:firstLine="384"/>
        <w:jc w:val="both"/>
      </w:pPr>
      <w:r>
        <w:rPr>
          <w:rFonts w:ascii="Times New Roman" w:hAnsi="Times New Roman" w:cs="Times New Roman" w:eastAsia="Times New Roman" w:hint="default"/>
        </w:rPr>
        <w:t>2018</w:t>
      </w:r>
      <w:r>
        <w:rPr/>
        <w:t>年，公司凭借作为阿里云公司首家铂金级合作伙伴的技术实力，作为中国电信二十多年的战略合 </w:t>
      </w:r>
      <w:r>
        <w:rPr>
          <w:spacing w:val="-2"/>
        </w:rPr>
        <w:t>作伙伴关系的业务积累，三方联合通力合作，已成功中标西安市</w:t>
      </w:r>
      <w:r>
        <w:rPr>
          <w:rFonts w:ascii="Times New Roman" w:hAnsi="Times New Roman" w:cs="Times New Roman" w:eastAsia="Times New Roman" w:hint="default"/>
          <w:spacing w:val="-2"/>
        </w:rPr>
        <w:t>“</w:t>
      </w:r>
      <w:r>
        <w:rPr>
          <w:spacing w:val="-2"/>
        </w:rPr>
        <w:t>最多跑一次</w:t>
      </w:r>
      <w:r>
        <w:rPr>
          <w:rFonts w:ascii="Times New Roman" w:hAnsi="Times New Roman" w:cs="Times New Roman" w:eastAsia="Times New Roman" w:hint="default"/>
          <w:spacing w:val="-2"/>
        </w:rPr>
        <w:t>”</w:t>
      </w:r>
      <w:r>
        <w:rPr>
          <w:spacing w:val="-2"/>
        </w:rPr>
        <w:t>智慧城市</w:t>
      </w:r>
      <w:r>
        <w:rPr>
          <w:rFonts w:ascii="Times New Roman" w:hAnsi="Times New Roman" w:cs="Times New Roman" w:eastAsia="Times New Roman" w:hint="default"/>
          <w:spacing w:val="-2"/>
        </w:rPr>
        <w:t>-</w:t>
      </w:r>
      <w:r>
        <w:rPr>
          <w:spacing w:val="-2"/>
        </w:rPr>
        <w:t>数字政府项目，软</w:t>
      </w:r>
      <w:r>
        <w:rPr>
          <w:spacing w:val="-78"/>
        </w:rPr>
        <w:t> </w:t>
      </w:r>
      <w:r>
        <w:rPr>
          <w:spacing w:val="-78"/>
        </w:rPr>
      </w:r>
      <w:r>
        <w:rPr/>
        <w:t>件合同额达到人民币</w:t>
      </w:r>
      <w:r>
        <w:rPr>
          <w:rFonts w:ascii="Times New Roman" w:hAnsi="Times New Roman" w:cs="Times New Roman" w:eastAsia="Times New Roman" w:hint="default"/>
        </w:rPr>
        <w:t>7,300</w:t>
      </w:r>
      <w:r>
        <w:rPr/>
        <w:t>万元。</w:t>
      </w:r>
    </w:p>
    <w:p>
      <w:pPr>
        <w:spacing w:line="240" w:lineRule="auto" w:before="3"/>
        <w:rPr>
          <w:rFonts w:ascii="宋体" w:hAnsi="宋体" w:cs="宋体" w:eastAsia="宋体" w:hint="default"/>
          <w:sz w:val="24"/>
          <w:szCs w:val="24"/>
        </w:rPr>
      </w:pPr>
    </w:p>
    <w:p>
      <w:pPr>
        <w:pStyle w:val="BodyText"/>
        <w:spacing w:line="290" w:lineRule="auto" w:before="0"/>
        <w:ind w:left="490" w:right="0" w:firstLine="48"/>
        <w:jc w:val="left"/>
      </w:pPr>
      <w:r>
        <w:rPr>
          <w:rFonts w:ascii="Times New Roman" w:hAnsi="Times New Roman" w:cs="Times New Roman" w:eastAsia="Times New Roman" w:hint="default"/>
        </w:rPr>
        <w:t>5</w:t>
      </w:r>
      <w:r>
        <w:rPr/>
        <w:t>、在公共安全领域业绩未达到预期 公司</w:t>
      </w:r>
      <w:r>
        <w:rPr>
          <w:rFonts w:ascii="Times New Roman" w:hAnsi="Times New Roman" w:cs="Times New Roman" w:eastAsia="Times New Roman" w:hint="default"/>
        </w:rPr>
        <w:t>2017</w:t>
      </w:r>
      <w:r>
        <w:rPr/>
        <w:t>年在公共安全领域业务规模快速增长，市场份额扩大，公安团队规模相应增长。但公共安全</w:t>
      </w:r>
    </w:p>
    <w:p>
      <w:pPr>
        <w:pStyle w:val="BodyText"/>
        <w:spacing w:line="246" w:lineRule="exact" w:before="0"/>
        <w:ind w:right="0"/>
        <w:jc w:val="left"/>
      </w:pPr>
      <w:r>
        <w:rPr/>
        <w:t>领域的项目决策周期大多数在三年左右，且呈现脉冲型市场的特点，报告期内，公司参与前期规划的公安</w:t>
      </w:r>
    </w:p>
    <w:p>
      <w:pPr>
        <w:pStyle w:val="BodyText"/>
        <w:spacing w:line="256" w:lineRule="auto" w:before="37"/>
        <w:ind w:right="1130"/>
        <w:jc w:val="both"/>
      </w:pPr>
      <w:r>
        <w:rPr>
          <w:spacing w:val="-1"/>
        </w:rPr>
        <w:t>项目较多，部分重点公安项目已进行投入，但合同未能在报告期内有效落地，</w:t>
      </w:r>
      <w:r>
        <w:rPr>
          <w:rFonts w:ascii="Times New Roman" w:hAnsi="Times New Roman" w:cs="Times New Roman" w:eastAsia="Times New Roman" w:hint="default"/>
          <w:spacing w:val="-1"/>
        </w:rPr>
        <w:t>2018</w:t>
      </w:r>
      <w:r>
        <w:rPr>
          <w:spacing w:val="-1"/>
        </w:rPr>
        <w:t>年度公共安全领域业绩</w:t>
      </w:r>
      <w:r>
        <w:rPr>
          <w:spacing w:val="-82"/>
        </w:rPr>
        <w:t> </w:t>
      </w:r>
      <w:r>
        <w:rPr>
          <w:spacing w:val="-82"/>
        </w:rPr>
      </w:r>
      <w:r>
        <w:rPr>
          <w:spacing w:val="-2"/>
        </w:rPr>
        <w:t>未达到预期。但公司充分利用二十五年公安行业的实战经验积累，采取</w:t>
      </w:r>
      <w:r>
        <w:rPr>
          <w:rFonts w:ascii="Times New Roman" w:hAnsi="Times New Roman" w:cs="Times New Roman" w:eastAsia="Times New Roman" w:hint="default"/>
          <w:spacing w:val="-2"/>
        </w:rPr>
        <w:t>“</w:t>
      </w:r>
      <w:r>
        <w:rPr>
          <w:spacing w:val="-2"/>
        </w:rPr>
        <w:t>业务咨询</w:t>
      </w:r>
      <w:r>
        <w:rPr>
          <w:rFonts w:ascii="Times New Roman" w:hAnsi="Times New Roman" w:cs="Times New Roman" w:eastAsia="Times New Roman" w:hint="default"/>
          <w:spacing w:val="-2"/>
        </w:rPr>
        <w:t>+</w:t>
      </w:r>
      <w:r>
        <w:rPr>
          <w:spacing w:val="-2"/>
        </w:rPr>
        <w:t>顶层设计</w:t>
      </w:r>
      <w:r>
        <w:rPr>
          <w:rFonts w:ascii="Times New Roman" w:hAnsi="Times New Roman" w:cs="Times New Roman" w:eastAsia="Times New Roman" w:hint="default"/>
          <w:spacing w:val="-2"/>
        </w:rPr>
        <w:t>+</w:t>
      </w:r>
      <w:r>
        <w:rPr>
          <w:spacing w:val="-2"/>
        </w:rPr>
        <w:t>解决方案</w:t>
      </w:r>
      <w:r>
        <w:rPr>
          <w:rFonts w:ascii="Times New Roman" w:hAnsi="Times New Roman" w:cs="Times New Roman" w:eastAsia="Times New Roman" w:hint="default"/>
          <w:spacing w:val="-2"/>
        </w:rPr>
        <w:t>+</w:t>
      </w:r>
      <w:r>
        <w:rPr>
          <w:spacing w:val="-2"/>
        </w:rPr>
        <w:t>落</w:t>
      </w:r>
      <w:r>
        <w:rPr>
          <w:spacing w:val="-62"/>
        </w:rPr>
        <w:t> </w:t>
      </w:r>
      <w:r>
        <w:rPr/>
        <w:t>地服务</w:t>
      </w:r>
      <w:r>
        <w:rPr>
          <w:rFonts w:ascii="Times New Roman" w:hAnsi="Times New Roman" w:cs="Times New Roman" w:eastAsia="Times New Roman" w:hint="default"/>
        </w:rPr>
        <w:t>”</w:t>
      </w:r>
      <w:r>
        <w:rPr/>
        <w:t>的业务模式，聚焦自主研发的公安大数据警务云平台解决方案、交通大数据解决方案和出入境管</w:t>
      </w:r>
      <w:r>
        <w:rPr>
          <w:spacing w:val="-25"/>
        </w:rPr>
        <w:t> </w:t>
      </w:r>
      <w:r>
        <w:rPr>
          <w:spacing w:val="-25"/>
        </w:rPr>
      </w:r>
      <w:r>
        <w:rPr/>
        <w:t>理解决方案的策略没有改变，目前形成的市场布局对</w:t>
      </w:r>
      <w:r>
        <w:rPr>
          <w:rFonts w:ascii="Times New Roman" w:hAnsi="Times New Roman" w:cs="Times New Roman" w:eastAsia="Times New Roman" w:hint="default"/>
        </w:rPr>
        <w:t>2019</w:t>
      </w:r>
      <w:r>
        <w:rPr/>
        <w:t>年业绩变现形成了有力支撑。</w:t>
      </w:r>
    </w:p>
    <w:p>
      <w:pPr>
        <w:spacing w:line="240" w:lineRule="auto" w:before="3"/>
        <w:rPr>
          <w:rFonts w:ascii="宋体" w:hAnsi="宋体" w:cs="宋体" w:eastAsia="宋体" w:hint="default"/>
          <w:sz w:val="27"/>
          <w:szCs w:val="27"/>
        </w:rPr>
      </w:pPr>
    </w:p>
    <w:p>
      <w:pPr>
        <w:pStyle w:val="BodyText"/>
        <w:spacing w:line="290" w:lineRule="auto" w:before="0"/>
        <w:ind w:left="501" w:right="0" w:firstLine="36"/>
        <w:jc w:val="left"/>
      </w:pPr>
      <w:r>
        <w:rPr>
          <w:rFonts w:ascii="Times New Roman" w:hAnsi="Times New Roman" w:cs="Times New Roman" w:eastAsia="Times New Roman" w:hint="default"/>
        </w:rPr>
        <w:t>6</w:t>
      </w:r>
      <w:r>
        <w:rPr/>
        <w:t>、以绩效管理为导向，鼓励价值创造 报告期内，公司围绕企业利润流和现金流指标，强化目标管理，促进效率提升。实行滚动预算与年度</w:t>
      </w:r>
    </w:p>
    <w:p>
      <w:pPr>
        <w:pStyle w:val="BodyText"/>
        <w:spacing w:line="273" w:lineRule="auto" w:before="0"/>
        <w:ind w:right="0"/>
        <w:jc w:val="left"/>
      </w:pPr>
      <w:r>
        <w:rPr>
          <w:spacing w:val="-1"/>
        </w:rPr>
        <w:t>预算相结合，完善绩效考核体系，强化价值创造的企业文化导向；建立销售顾问、项目经理、咨询顾问的</w:t>
      </w:r>
      <w:r>
        <w:rPr>
          <w:spacing w:val="-83"/>
        </w:rPr>
        <w:t> </w:t>
      </w:r>
      <w:r>
        <w:rPr>
          <w:spacing w:val="-83"/>
        </w:rPr>
      </w:r>
      <w:r>
        <w:rPr/>
        <w:t>铁三角，以实战演练的形式进行销售顾问等关键岗位能力培养，从而提升了组织战斗力。</w:t>
      </w:r>
    </w:p>
    <w:p>
      <w:pPr>
        <w:pStyle w:val="BodyText"/>
        <w:spacing w:line="259" w:lineRule="auto" w:before="46"/>
        <w:ind w:right="1134" w:firstLine="348"/>
        <w:jc w:val="both"/>
      </w:pPr>
      <w:r>
        <w:rPr/>
        <w:t>报告期内，公司限制性股票激励计划第二个解锁期共计</w:t>
      </w:r>
      <w:r>
        <w:rPr>
          <w:rFonts w:ascii="Times New Roman" w:hAnsi="Times New Roman" w:cs="Times New Roman" w:eastAsia="Times New Roman" w:hint="default"/>
        </w:rPr>
        <w:t>3,391,800</w:t>
      </w:r>
      <w:r>
        <w:rPr/>
        <w:t>股限制性股票解锁上市，激励对象共 计</w:t>
      </w:r>
      <w:r>
        <w:rPr>
          <w:rFonts w:ascii="Times New Roman" w:hAnsi="Times New Roman" w:cs="Times New Roman" w:eastAsia="Times New Roman" w:hint="default"/>
        </w:rPr>
        <w:t>365</w:t>
      </w:r>
      <w:r>
        <w:rPr/>
        <w:t>人，有效地激励了核心干部，形成团队合力。</w:t>
      </w:r>
    </w:p>
    <w:p>
      <w:pPr>
        <w:spacing w:line="240" w:lineRule="auto" w:before="5"/>
        <w:rPr>
          <w:rFonts w:ascii="宋体" w:hAnsi="宋体" w:cs="宋体" w:eastAsia="宋体" w:hint="default"/>
          <w:sz w:val="21"/>
          <w:szCs w:val="21"/>
        </w:rPr>
      </w:pPr>
    </w:p>
    <w:p>
      <w:pPr>
        <w:pStyle w:val="Heading3"/>
        <w:spacing w:line="240" w:lineRule="auto"/>
        <w:ind w:right="1972"/>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6472"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6"/>
        <w:ind w:right="1972"/>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8"/>
        <w:ind w:left="154" w:right="13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0"/>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3"/>
        <w:ind w:left="154" w:right="113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40" w:lineRule="auto" w:before="42"/>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38" w:lineRule="auto" w:before="41"/>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4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497,495,682.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685,201,330.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746,733,459.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1,837,395,97</w:t>
            </w:r>
          </w:p>
          <w:p>
            <w:pPr>
              <w:pStyle w:val="TableParagraph"/>
              <w:spacing w:line="240" w:lineRule="auto" w:before="106"/>
              <w:ind w:left="663" w:right="0"/>
              <w:jc w:val="left"/>
              <w:rPr>
                <w:rFonts w:ascii="Times New Roman" w:hAnsi="Times New Roman" w:cs="Times New Roman" w:eastAsia="Times New Roman" w:hint="default"/>
                <w:sz w:val="18"/>
                <w:szCs w:val="18"/>
              </w:rPr>
            </w:pPr>
            <w:r>
              <w:rPr>
                <w:rFonts w:ascii="Times New Roman"/>
                <w:sz w:val="18"/>
              </w:rPr>
              <w:t>1.00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413,246,789.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555,433,227.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632,533,892.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1,361,845,05</w:t>
            </w:r>
          </w:p>
          <w:p>
            <w:pPr>
              <w:pStyle w:val="TableParagraph"/>
              <w:spacing w:line="240" w:lineRule="auto" w:before="106"/>
              <w:ind w:left="653" w:right="0"/>
              <w:jc w:val="left"/>
              <w:rPr>
                <w:rFonts w:ascii="Times New Roman" w:hAnsi="Times New Roman" w:cs="Times New Roman" w:eastAsia="Times New Roman" w:hint="default"/>
                <w:sz w:val="18"/>
                <w:szCs w:val="18"/>
              </w:rPr>
            </w:pPr>
            <w:r>
              <w:rPr>
                <w:rFonts w:ascii="Times New Roman"/>
                <w:sz w:val="18"/>
              </w:rPr>
              <w:t>5.65</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5,122,172.22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33,240,219.2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39,864,954.5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137,315,348.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1,265,430.13</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9,945,604.10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21,866,005.9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122,855,900.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bl>
    <w:p>
      <w:pPr>
        <w:spacing w:line="338" w:lineRule="auto" w:before="51"/>
        <w:ind w:left="154" w:right="1032"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公司的主要客户为电信运营商及政府，这些客户一般在年初制定计划及预算，上半年开始进行项目开发和实施工作，第三、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四季度签订项目合同、验收结算，公司的利润也较多体现在下半年，一季度结算利润较少。</w:t>
      </w:r>
    </w:p>
    <w:p>
      <w:pPr>
        <w:spacing w:before="42"/>
        <w:ind w:left="154" w:right="1972" w:firstLine="0"/>
        <w:jc w:val="left"/>
        <w:rPr>
          <w:rFonts w:ascii="宋体" w:hAnsi="宋体" w:cs="宋体" w:eastAsia="宋体" w:hint="default"/>
          <w:sz w:val="18"/>
          <w:szCs w:val="18"/>
        </w:rPr>
      </w:pPr>
      <w:r>
        <w:rPr>
          <w:rFonts w:ascii="宋体" w:hAnsi="宋体" w:cs="宋体" w:eastAsia="宋体" w:hint="default"/>
          <w:sz w:val="18"/>
          <w:szCs w:val="18"/>
        </w:rPr>
        <w:t>由于公司的主要客户业务结算大多集中在下半年，存在着到年底业务收入不能按时结算的风险。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3,766,826,442.85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2,963,058,965.15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27.13%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681,286,136.32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18.09%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607,515,214.09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20.50%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397,497,603.97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172,977,195.02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5.84%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129.80%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307,688,677.85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8.17%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141,577,544.35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4.78%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117.33%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145,613,513.43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3.86%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198,287,519.93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6.69%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2,234,740,511.28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59.33%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1,842,701,491.76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62.19%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21.28%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960,107,186.57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25.49%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661,964,145.36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22.34%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45.04%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197,844,282.50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5.25%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232,268,292.34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7.84%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121,461,193.92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3.22%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97,043,968.20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3.28%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252,673,268.58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129,081,067.49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4.36%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2,234,740,511.28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59.33%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1,842,701,491.76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62.19%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21.28%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361,781,460.34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9.60%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244,442,985.86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8.25%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48.00%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205,918,832.21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5.47%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218,389,767.09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7.37%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244,870,643.84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166,522,535.09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5.62%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407,325,958.06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10.81%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258,009,498.29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8.71%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218,772,373.53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5.81%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205,403,688.97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6.93%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93,416,663.59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27,588,998.09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0.93%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238.60%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99"/>
        <w:gridCol w:w="1594"/>
        <w:gridCol w:w="1595"/>
        <w:gridCol w:w="1594"/>
        <w:gridCol w:w="1594"/>
        <w:gridCol w:w="1595"/>
      </w:tblGrid>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2,234,740,511.28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1,842,701,491.76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21.28%</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58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是</w:t>
      </w:r>
    </w:p>
    <w:p>
      <w:pPr>
        <w:spacing w:before="35"/>
        <w:ind w:left="154" w:right="583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7"/>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681,286,136.32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399,001,139.76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397,497,603.97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252,221,654.60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307,688,677.85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198,490,521.93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145,613,513.43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90,330,955.53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2,234,740,511.28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2,052,727,229.21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960,107,186.57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551,212,207.04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197,844,282.50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117,968,642.48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121,461,193.92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105,813,487.76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252,673,268.58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165,049,934.54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2,234,740,511.28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2,052,727,229.21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361,781,460.34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239,081,134.79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205,918,832.21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129,598,321.70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244,870,643.84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156,335,204.67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407,325,958.06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230,057,599.28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218,772,373.53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131,538,812.65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93,416,663.59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53,433,198.73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2,234,740,511.28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2,052,727,229.21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18.70%</w:t>
            </w:r>
          </w:p>
        </w:tc>
      </w:tr>
      <w:tr>
        <w:trPr>
          <w:trHeight w:val="402" w:hRule="exact"/>
        </w:trPr>
        <w:tc>
          <w:tcPr>
            <w:tcW w:w="1608"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19.59%</w:t>
            </w:r>
          </w:p>
        </w:tc>
      </w:tr>
      <w:tr>
        <w:trPr>
          <w:trHeight w:val="403" w:hRule="exact"/>
        </w:trPr>
        <w:tc>
          <w:tcPr>
            <w:tcW w:w="1608"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购入量</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19.05%</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36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67,706,529.13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27,090,151.99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293,527,548.62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224,360,611.70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82,227,726.17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76,758,572.25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107,750,403.12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57,733,824.66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6,698,656.65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13,511,815.80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76,376,031.72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94,383,035.45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10,582,877.27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8,737,179.37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24,311,076.83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17,307,307.14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32,585,061.13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7,821,552.63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0.76%</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111,667,994.59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67,598,867.47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3,960,552.28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3,099,332.27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16,836,326.55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3,509,399.11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105,103,567.83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90,289,652.92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709,919.93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253,624.17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外购产品和服务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2,052,727,229.21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1,690,876,905.41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报告期内新设控股孙公司合肥迪科数金人才服务有限公司，注销子公司深圳市前海吉源供应链有限公司。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5"/>
        <w:spacing w:line="240" w:lineRule="auto"/>
        <w:ind w:right="1972"/>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449,886,582.59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117,513,891.47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108,251,977.34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96,865,812.09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63,644,478.54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63,610,423.15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449,886,582.59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11.94%</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2,876,320,901.95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2,714,866,381.88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111,861,060.00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15,595,561.00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14,597,899.07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2,876,320,901.95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90.22%</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141,896,765.53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6" w:right="0"/>
              <w:jc w:val="left"/>
              <w:rPr>
                <w:rFonts w:ascii="Times New Roman" w:hAnsi="Times New Roman" w:cs="Times New Roman" w:eastAsia="Times New Roman" w:hint="default"/>
                <w:sz w:val="18"/>
                <w:szCs w:val="18"/>
              </w:rPr>
            </w:pPr>
            <w:r>
              <w:rPr>
                <w:rFonts w:ascii="Times New Roman"/>
                <w:sz w:val="18"/>
              </w:rPr>
              <w:t>112,609,037.95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销售力度加强</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160,537,865.89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143,963,314.70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43,712,247.01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33,910,278.72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贷款利息增加</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185,525,225.24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141,443,693.76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维恩贝特并表和研发支出增加</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960"/>
        <w:gridCol w:w="1421"/>
        <w:gridCol w:w="5320"/>
        <w:gridCol w:w="1060"/>
      </w:tblGrid>
      <w:tr>
        <w:trPr>
          <w:trHeight w:val="347" w:hRule="exact"/>
        </w:trPr>
        <w:tc>
          <w:tcPr>
            <w:tcW w:w="1960"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5"/>
              <w:ind w:left="6"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83" w:right="0"/>
              <w:jc w:val="left"/>
              <w:rPr>
                <w:rFonts w:ascii="宋体" w:hAnsi="宋体" w:cs="宋体" w:eastAsia="宋体" w:hint="default"/>
                <w:sz w:val="20"/>
                <w:szCs w:val="20"/>
              </w:rPr>
            </w:pPr>
            <w:r>
              <w:rPr>
                <w:rFonts w:ascii="宋体" w:hAnsi="宋体" w:cs="宋体" w:eastAsia="宋体" w:hint="default"/>
                <w:sz w:val="20"/>
                <w:szCs w:val="20"/>
              </w:rPr>
              <w:t>当前进展情况</w:t>
            </w:r>
          </w:p>
        </w:tc>
        <w:tc>
          <w:tcPr>
            <w:tcW w:w="5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82" w:right="0"/>
              <w:jc w:val="left"/>
              <w:rPr>
                <w:rFonts w:ascii="宋体" w:hAnsi="宋体" w:cs="宋体" w:eastAsia="宋体" w:hint="default"/>
                <w:sz w:val="20"/>
                <w:szCs w:val="20"/>
              </w:rPr>
            </w:pPr>
            <w:r>
              <w:rPr>
                <w:rFonts w:ascii="宋体" w:hAnsi="宋体" w:cs="宋体" w:eastAsia="宋体" w:hint="default"/>
                <w:sz w:val="20"/>
                <w:szCs w:val="20"/>
              </w:rPr>
              <w:t>拟达到的目标</w:t>
            </w:r>
          </w:p>
        </w:tc>
        <w:tc>
          <w:tcPr>
            <w:tcW w:w="10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62" w:right="0"/>
              <w:jc w:val="left"/>
              <w:rPr>
                <w:rFonts w:ascii="宋体" w:hAnsi="宋体" w:cs="宋体" w:eastAsia="宋体" w:hint="default"/>
                <w:sz w:val="20"/>
                <w:szCs w:val="20"/>
              </w:rPr>
            </w:pPr>
            <w:r>
              <w:rPr>
                <w:rFonts w:ascii="宋体" w:hAnsi="宋体" w:cs="宋体" w:eastAsia="宋体" w:hint="default"/>
                <w:sz w:val="20"/>
                <w:szCs w:val="20"/>
              </w:rPr>
              <w:t>所属行业</w:t>
            </w:r>
          </w:p>
        </w:tc>
      </w:tr>
      <w:tr>
        <w:trPr>
          <w:trHeight w:val="2219" w:hRule="exact"/>
        </w:trPr>
        <w:tc>
          <w:tcPr>
            <w:tcW w:w="196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4" w:lineRule="auto"/>
              <w:ind w:left="9" w:right="0"/>
              <w:jc w:val="left"/>
              <w:rPr>
                <w:rFonts w:ascii="宋体" w:hAnsi="宋体" w:cs="宋体" w:eastAsia="宋体" w:hint="default"/>
                <w:sz w:val="22"/>
                <w:szCs w:val="22"/>
              </w:rPr>
            </w:pPr>
            <w:r>
              <w:rPr>
                <w:rFonts w:ascii="宋体" w:hAnsi="宋体" w:cs="宋体" w:eastAsia="宋体" w:hint="default"/>
                <w:spacing w:val="25"/>
                <w:sz w:val="22"/>
                <w:szCs w:val="22"/>
              </w:rPr>
              <w:t>电信集团</w:t>
            </w:r>
            <w:r>
              <w:rPr>
                <w:rFonts w:ascii="宋体" w:hAnsi="宋体" w:cs="宋体" w:eastAsia="宋体" w:hint="default"/>
                <w:spacing w:val="-76"/>
                <w:sz w:val="22"/>
                <w:szCs w:val="22"/>
              </w:rPr>
              <w:t> </w:t>
            </w:r>
            <w:r>
              <w:rPr>
                <w:rFonts w:ascii="Times New Roman" w:hAnsi="Times New Roman" w:cs="Times New Roman" w:eastAsia="Times New Roman" w:hint="default"/>
                <w:sz w:val="22"/>
                <w:szCs w:val="22"/>
              </w:rPr>
              <w:t>BSS3.0</w:t>
            </w:r>
            <w:r>
              <w:rPr>
                <w:rFonts w:ascii="Times New Roman" w:hAnsi="Times New Roman" w:cs="Times New Roman" w:eastAsia="Times New Roman" w:hint="default"/>
                <w:spacing w:val="-20"/>
                <w:sz w:val="22"/>
                <w:szCs w:val="22"/>
              </w:rPr>
              <w:t> </w:t>
            </w:r>
            <w:r>
              <w:rPr>
                <w:rFonts w:ascii="宋体" w:hAnsi="宋体" w:cs="宋体" w:eastAsia="宋体" w:hint="default"/>
                <w:sz w:val="22"/>
                <w:szCs w:val="22"/>
              </w:rPr>
              <w:t>平</w:t>
            </w:r>
            <w:r>
              <w:rPr>
                <w:rFonts w:ascii="宋体" w:hAnsi="宋体" w:cs="宋体" w:eastAsia="宋体" w:hint="default"/>
                <w:w w:val="99"/>
                <w:sz w:val="22"/>
                <w:szCs w:val="22"/>
              </w:rPr>
              <w:t> </w:t>
            </w:r>
            <w:r>
              <w:rPr>
                <w:rFonts w:ascii="宋体" w:hAnsi="宋体" w:cs="宋体" w:eastAsia="宋体" w:hint="default"/>
                <w:sz w:val="22"/>
                <w:szCs w:val="22"/>
              </w:rPr>
              <w:t>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59" w:lineRule="auto"/>
              <w:ind w:left="3" w:right="2"/>
              <w:jc w:val="left"/>
              <w:rPr>
                <w:rFonts w:ascii="宋体" w:hAnsi="宋体" w:cs="宋体" w:eastAsia="宋体" w:hint="default"/>
                <w:sz w:val="22"/>
                <w:szCs w:val="22"/>
              </w:rPr>
            </w:pPr>
            <w:r>
              <w:rPr>
                <w:rFonts w:ascii="宋体" w:hAnsi="宋体" w:cs="宋体" w:eastAsia="宋体" w:hint="default"/>
                <w:spacing w:val="13"/>
                <w:sz w:val="22"/>
                <w:szCs w:val="22"/>
              </w:rPr>
              <w:t>开发、测试、</w:t>
            </w:r>
            <w:r>
              <w:rPr>
                <w:rFonts w:ascii="宋体" w:hAnsi="宋体" w:cs="宋体" w:eastAsia="宋体" w:hint="default"/>
                <w:w w:val="99"/>
                <w:sz w:val="22"/>
                <w:szCs w:val="22"/>
              </w:rPr>
              <w:t> </w:t>
            </w:r>
            <w:r>
              <w:rPr>
                <w:rFonts w:ascii="宋体" w:hAnsi="宋体" w:cs="宋体" w:eastAsia="宋体" w:hint="default"/>
                <w:sz w:val="22"/>
                <w:szCs w:val="22"/>
              </w:rPr>
              <w:t>试运行</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ind w:left="2" w:right="-3"/>
              <w:jc w:val="left"/>
              <w:rPr>
                <w:rFonts w:ascii="宋体" w:hAnsi="宋体" w:cs="宋体" w:eastAsia="宋体" w:hint="default"/>
                <w:sz w:val="22"/>
                <w:szCs w:val="22"/>
              </w:rPr>
            </w:pPr>
            <w:r>
              <w:rPr>
                <w:rFonts w:ascii="宋体" w:hAnsi="宋体" w:cs="宋体" w:eastAsia="宋体" w:hint="default"/>
                <w:spacing w:val="-3"/>
                <w:sz w:val="22"/>
                <w:szCs w:val="22"/>
              </w:rPr>
              <w:t>为满足中国电信的智慧运营策略，集团</w:t>
            </w:r>
            <w:r>
              <w:rPr>
                <w:rFonts w:ascii="Times New Roman" w:hAnsi="Times New Roman" w:cs="Times New Roman" w:eastAsia="Times New Roman" w:hint="default"/>
                <w:spacing w:val="-3"/>
                <w:sz w:val="22"/>
                <w:szCs w:val="22"/>
              </w:rPr>
              <w:t>CRM3.0</w:t>
            </w:r>
            <w:r>
              <w:rPr>
                <w:rFonts w:ascii="宋体" w:hAnsi="宋体" w:cs="宋体" w:eastAsia="宋体" w:hint="default"/>
                <w:spacing w:val="-3"/>
                <w:sz w:val="22"/>
                <w:szCs w:val="22"/>
              </w:rPr>
              <w:t>模型刚性</w:t>
            </w:r>
            <w:r>
              <w:rPr>
                <w:rFonts w:ascii="宋体" w:hAnsi="宋体" w:cs="宋体" w:eastAsia="宋体" w:hint="default"/>
                <w:w w:val="99"/>
                <w:sz w:val="22"/>
                <w:szCs w:val="22"/>
              </w:rPr>
              <w:t> </w:t>
            </w:r>
            <w:r>
              <w:rPr>
                <w:rFonts w:ascii="宋体" w:hAnsi="宋体" w:cs="宋体" w:eastAsia="宋体" w:hint="default"/>
                <w:spacing w:val="-4"/>
                <w:sz w:val="22"/>
                <w:szCs w:val="22"/>
              </w:rPr>
              <w:t>落地需求，源生产系统在模型方面包含（主数据、欠费</w:t>
            </w:r>
            <w:r>
              <w:rPr>
                <w:rFonts w:ascii="宋体" w:hAnsi="宋体" w:cs="宋体" w:eastAsia="宋体" w:hint="default"/>
                <w:w w:val="99"/>
                <w:sz w:val="22"/>
                <w:szCs w:val="22"/>
              </w:rPr>
              <w:t> </w:t>
            </w:r>
            <w:r>
              <w:rPr>
                <w:rFonts w:ascii="宋体" w:hAnsi="宋体" w:cs="宋体" w:eastAsia="宋体" w:hint="default"/>
                <w:sz w:val="22"/>
                <w:szCs w:val="22"/>
              </w:rPr>
              <w:t>产品规格编码、用户状态编码、渠道编码、销售品编码</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pacing w:val="5"/>
                <w:sz w:val="22"/>
                <w:szCs w:val="22"/>
              </w:rPr>
              <w:t>等主数据编码）发生诸多变化</w:t>
            </w:r>
            <w:r>
              <w:rPr>
                <w:rFonts w:ascii="Times New Roman" w:hAnsi="Times New Roman" w:cs="Times New Roman" w:eastAsia="Times New Roman" w:hint="default"/>
                <w:spacing w:val="5"/>
                <w:sz w:val="22"/>
                <w:szCs w:val="22"/>
              </w:rPr>
              <w:t>,</w:t>
            </w:r>
            <w:r>
              <w:rPr>
                <w:rFonts w:ascii="宋体" w:hAnsi="宋体" w:cs="宋体" w:eastAsia="宋体" w:hint="default"/>
                <w:spacing w:val="5"/>
                <w:sz w:val="22"/>
                <w:szCs w:val="22"/>
              </w:rPr>
              <w:t>一律采用集团</w:t>
            </w:r>
            <w:r>
              <w:rPr>
                <w:rFonts w:ascii="Times New Roman" w:hAnsi="Times New Roman" w:cs="Times New Roman" w:eastAsia="Times New Roman" w:hint="default"/>
                <w:spacing w:val="5"/>
                <w:sz w:val="22"/>
                <w:szCs w:val="22"/>
              </w:rPr>
              <w:t>3.0</w:t>
            </w:r>
            <w:r>
              <w:rPr>
                <w:rFonts w:ascii="宋体" w:hAnsi="宋体" w:cs="宋体" w:eastAsia="宋体" w:hint="default"/>
                <w:spacing w:val="5"/>
                <w:sz w:val="22"/>
                <w:szCs w:val="22"/>
              </w:rPr>
              <w:t>模型落</w:t>
            </w:r>
            <w:r>
              <w:rPr>
                <w:rFonts w:ascii="宋体" w:hAnsi="宋体" w:cs="宋体" w:eastAsia="宋体" w:hint="default"/>
                <w:spacing w:val="-107"/>
                <w:sz w:val="22"/>
                <w:szCs w:val="22"/>
              </w:rPr>
              <w:t> </w:t>
            </w:r>
            <w:r>
              <w:rPr>
                <w:rFonts w:ascii="宋体" w:hAnsi="宋体" w:cs="宋体" w:eastAsia="宋体" w:hint="default"/>
                <w:sz w:val="22"/>
                <w:szCs w:val="22"/>
              </w:rPr>
              <w:t>地，导致</w:t>
            </w:r>
            <w:r>
              <w:rPr>
                <w:rFonts w:ascii="Times New Roman" w:hAnsi="Times New Roman" w:cs="Times New Roman" w:eastAsia="Times New Roman" w:hint="default"/>
                <w:sz w:val="22"/>
                <w:szCs w:val="22"/>
              </w:rPr>
              <w:t>ODS</w:t>
            </w:r>
            <w:r>
              <w:rPr>
                <w:rFonts w:ascii="宋体" w:hAnsi="宋体" w:cs="宋体" w:eastAsia="宋体" w:hint="default"/>
                <w:sz w:val="22"/>
                <w:szCs w:val="22"/>
              </w:rPr>
              <w:t>系统所有涉及到的相关接口数据发生重大</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2"/>
                <w:sz w:val="22"/>
                <w:szCs w:val="22"/>
              </w:rPr>
              <w:t>变化，需要按照</w:t>
            </w:r>
            <w:r>
              <w:rPr>
                <w:rFonts w:ascii="Times New Roman" w:hAnsi="Times New Roman" w:cs="Times New Roman" w:eastAsia="Times New Roman" w:hint="default"/>
                <w:spacing w:val="-2"/>
                <w:sz w:val="22"/>
                <w:szCs w:val="22"/>
              </w:rPr>
              <w:t>3.0</w:t>
            </w:r>
            <w:r>
              <w:rPr>
                <w:rFonts w:ascii="宋体" w:hAnsi="宋体" w:cs="宋体" w:eastAsia="宋体" w:hint="default"/>
                <w:spacing w:val="-2"/>
                <w:sz w:val="22"/>
                <w:szCs w:val="22"/>
              </w:rPr>
              <w:t>模型配套改造，以便满足周边系统取</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数需求及业务部门各类业务分析应用</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0"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p>
            <w:pPr>
              <w:pStyle w:val="TableParagraph"/>
              <w:spacing w:line="240" w:lineRule="auto" w:before="24"/>
              <w:ind w:left="2" w:right="0"/>
              <w:jc w:val="left"/>
              <w:rPr>
                <w:rFonts w:ascii="宋体" w:hAnsi="宋体" w:cs="宋体" w:eastAsia="宋体" w:hint="default"/>
                <w:sz w:val="22"/>
                <w:szCs w:val="22"/>
              </w:rPr>
            </w:pPr>
            <w:r>
              <w:rPr>
                <w:rFonts w:ascii="宋体" w:hAnsi="宋体" w:cs="宋体" w:eastAsia="宋体" w:hint="default"/>
                <w:sz w:val="22"/>
                <w:szCs w:val="22"/>
              </w:rPr>
              <w:t>电信</w:t>
            </w:r>
          </w:p>
        </w:tc>
      </w:tr>
      <w:tr>
        <w:trPr>
          <w:trHeight w:val="1908" w:hRule="exact"/>
        </w:trPr>
        <w:tc>
          <w:tcPr>
            <w:tcW w:w="196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59" w:lineRule="auto"/>
              <w:ind w:left="9" w:right="3"/>
              <w:jc w:val="left"/>
              <w:rPr>
                <w:rFonts w:ascii="宋体" w:hAnsi="宋体" w:cs="宋体" w:eastAsia="宋体" w:hint="default"/>
                <w:sz w:val="22"/>
                <w:szCs w:val="22"/>
              </w:rPr>
            </w:pPr>
            <w:r>
              <w:rPr>
                <w:rFonts w:ascii="宋体" w:hAnsi="宋体" w:cs="宋体" w:eastAsia="宋体" w:hint="default"/>
                <w:spacing w:val="22"/>
                <w:sz w:val="22"/>
                <w:szCs w:val="22"/>
              </w:rPr>
              <w:t>全业务服务接入平</w:t>
            </w:r>
            <w:r>
              <w:rPr>
                <w:rFonts w:ascii="宋体" w:hAnsi="宋体" w:cs="宋体" w:eastAsia="宋体" w:hint="default"/>
                <w:w w:val="99"/>
                <w:sz w:val="22"/>
                <w:szCs w:val="22"/>
              </w:rPr>
              <w:t> </w:t>
            </w:r>
            <w:r>
              <w:rPr>
                <w:rFonts w:ascii="宋体" w:hAnsi="宋体" w:cs="宋体" w:eastAsia="宋体" w:hint="default"/>
                <w:sz w:val="22"/>
                <w:szCs w:val="22"/>
              </w:rPr>
              <w:t>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59" w:lineRule="auto"/>
              <w:ind w:left="3" w:right="2"/>
              <w:jc w:val="left"/>
              <w:rPr>
                <w:rFonts w:ascii="宋体" w:hAnsi="宋体" w:cs="宋体" w:eastAsia="宋体" w:hint="default"/>
                <w:sz w:val="22"/>
                <w:szCs w:val="22"/>
              </w:rPr>
            </w:pPr>
            <w:r>
              <w:rPr>
                <w:rFonts w:ascii="宋体" w:hAnsi="宋体" w:cs="宋体" w:eastAsia="宋体" w:hint="default"/>
                <w:spacing w:val="13"/>
                <w:sz w:val="22"/>
                <w:szCs w:val="22"/>
              </w:rPr>
              <w:t>开发、测试、</w:t>
            </w:r>
            <w:r>
              <w:rPr>
                <w:rFonts w:ascii="宋体" w:hAnsi="宋体" w:cs="宋体" w:eastAsia="宋体" w:hint="default"/>
                <w:w w:val="99"/>
                <w:sz w:val="22"/>
                <w:szCs w:val="22"/>
              </w:rPr>
              <w:t> </w:t>
            </w:r>
            <w:r>
              <w:rPr>
                <w:rFonts w:ascii="宋体" w:hAnsi="宋体" w:cs="宋体" w:eastAsia="宋体" w:hint="default"/>
                <w:sz w:val="22"/>
                <w:szCs w:val="22"/>
              </w:rPr>
              <w:t>试运行</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2" w:right="2"/>
              <w:jc w:val="both"/>
              <w:rPr>
                <w:rFonts w:ascii="宋体" w:hAnsi="宋体" w:cs="宋体" w:eastAsia="宋体" w:hint="default"/>
                <w:sz w:val="22"/>
                <w:szCs w:val="22"/>
              </w:rPr>
            </w:pPr>
            <w:r>
              <w:rPr>
                <w:rFonts w:ascii="宋体" w:hAnsi="宋体" w:cs="宋体" w:eastAsia="宋体" w:hint="default"/>
                <w:spacing w:val="5"/>
                <w:sz w:val="22"/>
                <w:szCs w:val="22"/>
              </w:rPr>
              <w:t>配合联通总部新客服系统建设，配合</w:t>
            </w:r>
            <w:r>
              <w:rPr>
                <w:rFonts w:ascii="Times New Roman" w:hAnsi="Times New Roman" w:cs="Times New Roman" w:eastAsia="Times New Roman" w:hint="default"/>
                <w:spacing w:val="5"/>
                <w:sz w:val="22"/>
                <w:szCs w:val="22"/>
              </w:rPr>
              <w:t>cBSS2.0</w:t>
            </w:r>
            <w:r>
              <w:rPr>
                <w:rFonts w:ascii="宋体" w:hAnsi="宋体" w:cs="宋体" w:eastAsia="宋体" w:hint="default"/>
                <w:spacing w:val="5"/>
                <w:sz w:val="22"/>
                <w:szCs w:val="22"/>
              </w:rPr>
              <w:t>各中心改</w:t>
            </w:r>
            <w:r>
              <w:rPr>
                <w:rFonts w:ascii="宋体" w:hAnsi="宋体" w:cs="宋体" w:eastAsia="宋体" w:hint="default"/>
                <w:w w:val="99"/>
                <w:sz w:val="22"/>
                <w:szCs w:val="22"/>
              </w:rPr>
              <w:t> </w:t>
            </w:r>
            <w:r>
              <w:rPr>
                <w:rFonts w:ascii="宋体" w:hAnsi="宋体" w:cs="宋体" w:eastAsia="宋体" w:hint="default"/>
                <w:spacing w:val="9"/>
                <w:sz w:val="22"/>
                <w:szCs w:val="22"/>
              </w:rPr>
              <w:t>造，保障新业务的快速支撑和下游的能力复用，适配</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Times New Roman" w:hAnsi="Times New Roman" w:cs="Times New Roman" w:eastAsia="Times New Roman" w:hint="default"/>
                <w:w w:val="95"/>
                <w:sz w:val="22"/>
                <w:szCs w:val="22"/>
              </w:rPr>
              <w:t>cBSS2.0</w:t>
            </w:r>
            <w:r>
              <w:rPr>
                <w:rFonts w:ascii="宋体" w:hAnsi="宋体" w:cs="宋体" w:eastAsia="宋体" w:hint="default"/>
                <w:w w:val="95"/>
                <w:sz w:val="22"/>
                <w:szCs w:val="22"/>
              </w:rPr>
              <w:t>各中心与</w:t>
            </w:r>
            <w:r>
              <w:rPr>
                <w:rFonts w:ascii="Times New Roman" w:hAnsi="Times New Roman" w:cs="Times New Roman" w:eastAsia="Times New Roman" w:hint="default"/>
                <w:w w:val="95"/>
                <w:sz w:val="22"/>
                <w:szCs w:val="22"/>
              </w:rPr>
              <w:t>B</w:t>
            </w:r>
            <w:r>
              <w:rPr>
                <w:rFonts w:ascii="宋体" w:hAnsi="宋体" w:cs="宋体" w:eastAsia="宋体" w:hint="default"/>
                <w:w w:val="95"/>
                <w:sz w:val="22"/>
                <w:szCs w:val="22"/>
              </w:rPr>
              <w:t>域的对接需求，一点改造节省时间和</w:t>
            </w:r>
            <w:r>
              <w:rPr>
                <w:rFonts w:ascii="宋体" w:hAnsi="宋体" w:cs="宋体" w:eastAsia="宋体" w:hint="default"/>
                <w:spacing w:val="36"/>
                <w:w w:val="95"/>
                <w:sz w:val="22"/>
                <w:szCs w:val="22"/>
              </w:rPr>
              <w:t> </w:t>
            </w:r>
            <w:r>
              <w:rPr>
                <w:rFonts w:ascii="宋体" w:hAnsi="宋体" w:cs="宋体" w:eastAsia="宋体" w:hint="default"/>
                <w:spacing w:val="36"/>
                <w:w w:val="95"/>
                <w:sz w:val="22"/>
                <w:szCs w:val="22"/>
              </w:rPr>
            </w:r>
            <w:r>
              <w:rPr>
                <w:rFonts w:ascii="宋体" w:hAnsi="宋体" w:cs="宋体" w:eastAsia="宋体" w:hint="default"/>
                <w:sz w:val="22"/>
                <w:szCs w:val="22"/>
              </w:rPr>
              <w:t>投资费用；完成一卡充枢纽的异地重建，保障对互联网</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充值和异地语音充值的支撑；配合做好电商宽带业务推</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广的改造及其他日常迭代需求。</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2"/>
                <w:szCs w:val="22"/>
              </w:rPr>
            </w:pPr>
            <w:r>
              <w:rPr>
                <w:rFonts w:ascii="宋体" w:hAnsi="宋体" w:cs="宋体" w:eastAsia="宋体" w:hint="default"/>
                <w:sz w:val="22"/>
                <w:szCs w:val="22"/>
              </w:rPr>
              <w:t>电信</w:t>
            </w:r>
          </w:p>
        </w:tc>
      </w:tr>
    </w:tbl>
    <w:p>
      <w:pPr>
        <w:spacing w:after="0" w:line="240" w:lineRule="auto"/>
        <w:jc w:val="left"/>
        <w:rPr>
          <w:rFonts w:ascii="宋体" w:hAnsi="宋体" w:cs="宋体" w:eastAsia="宋体" w:hint="default"/>
          <w:sz w:val="22"/>
          <w:szCs w:val="22"/>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974"/>
        <w:gridCol w:w="1421"/>
        <w:gridCol w:w="5320"/>
        <w:gridCol w:w="1060"/>
      </w:tblGrid>
      <w:tr>
        <w:trPr>
          <w:trHeight w:val="8148" w:hRule="exact"/>
        </w:trPr>
        <w:tc>
          <w:tcPr>
            <w:tcW w:w="19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22"/>
                <w:szCs w:val="22"/>
              </w:rPr>
            </w:pPr>
            <w:r>
              <w:rPr>
                <w:rFonts w:ascii="宋体" w:hAnsi="宋体" w:cs="宋体" w:eastAsia="宋体" w:hint="default"/>
                <w:sz w:val="22"/>
                <w:szCs w:val="22"/>
              </w:rPr>
              <w:t>警务云架构平台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59" w:lineRule="auto"/>
              <w:ind w:left="3" w:right="2"/>
              <w:jc w:val="left"/>
              <w:rPr>
                <w:rFonts w:ascii="宋体" w:hAnsi="宋体" w:cs="宋体" w:eastAsia="宋体" w:hint="default"/>
                <w:sz w:val="22"/>
                <w:szCs w:val="22"/>
              </w:rPr>
            </w:pPr>
            <w:r>
              <w:rPr>
                <w:rFonts w:ascii="宋体" w:hAnsi="宋体" w:cs="宋体" w:eastAsia="宋体" w:hint="default"/>
                <w:spacing w:val="13"/>
                <w:sz w:val="22"/>
                <w:szCs w:val="22"/>
              </w:rPr>
              <w:t>开发、测试、</w:t>
            </w:r>
            <w:r>
              <w:rPr>
                <w:rFonts w:ascii="宋体" w:hAnsi="宋体" w:cs="宋体" w:eastAsia="宋体" w:hint="default"/>
                <w:w w:val="99"/>
                <w:sz w:val="22"/>
                <w:szCs w:val="22"/>
              </w:rPr>
              <w:t> </w:t>
            </w:r>
            <w:r>
              <w:rPr>
                <w:rFonts w:ascii="宋体" w:hAnsi="宋体" w:cs="宋体" w:eastAsia="宋体" w:hint="default"/>
                <w:sz w:val="22"/>
                <w:szCs w:val="22"/>
              </w:rPr>
              <w:t>试运行</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2"/>
                <w:szCs w:val="22"/>
              </w:rPr>
            </w:pPr>
            <w:r>
              <w:rPr>
                <w:rFonts w:ascii="宋体" w:hAnsi="宋体" w:cs="宋体" w:eastAsia="宋体" w:hint="default"/>
                <w:sz w:val="22"/>
                <w:szCs w:val="22"/>
              </w:rPr>
              <w:t>能力开放门户</w:t>
            </w:r>
            <w:r>
              <w:rPr>
                <w:rFonts w:ascii="宋体" w:hAnsi="宋体" w:cs="宋体" w:eastAsia="宋体" w:hint="default"/>
                <w:w w:val="99"/>
                <w:sz w:val="22"/>
                <w:szCs w:val="22"/>
              </w:rPr>
              <w:t> </w:t>
            </w:r>
            <w:r>
              <w:rPr>
                <w:rFonts w:ascii="宋体" w:hAnsi="宋体" w:cs="宋体" w:eastAsia="宋体" w:hint="default"/>
                <w:sz w:val="22"/>
                <w:szCs w:val="22"/>
              </w:rPr>
              <w:t>新增能力开放，新平台提供数据能力、服务能力、工具</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能力及资源能力开放，专注解决开发者在系统建过程中</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的数据、服务及资源需求。</w:t>
            </w:r>
            <w:r>
              <w:rPr>
                <w:rFonts w:ascii="宋体" w:hAnsi="宋体" w:cs="宋体" w:eastAsia="宋体" w:hint="default"/>
                <w:w w:val="99"/>
                <w:sz w:val="22"/>
                <w:szCs w:val="22"/>
              </w:rPr>
              <w:t> </w:t>
            </w:r>
            <w:r>
              <w:rPr>
                <w:rFonts w:ascii="宋体" w:hAnsi="宋体" w:cs="宋体" w:eastAsia="宋体" w:hint="default"/>
                <w:sz w:val="22"/>
                <w:szCs w:val="22"/>
              </w:rPr>
              <w:t>新增租户理念，基于多租户的方式，解决在大数据平台</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pacing w:val="-4"/>
                <w:sz w:val="22"/>
                <w:szCs w:val="22"/>
              </w:rPr>
              <w:t>下的数据存储和数据计算的管理需求，实现</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统一权限模</w:t>
            </w:r>
            <w:r>
              <w:rPr>
                <w:rFonts w:ascii="宋体" w:hAnsi="宋体" w:cs="宋体" w:eastAsia="宋体" w:hint="default"/>
                <w:spacing w:val="-96"/>
                <w:sz w:val="22"/>
                <w:szCs w:val="22"/>
              </w:rPr>
              <w:t> </w:t>
            </w:r>
            <w:r>
              <w:rPr>
                <w:rFonts w:ascii="宋体" w:hAnsi="宋体" w:cs="宋体" w:eastAsia="宋体" w:hint="default"/>
                <w:sz w:val="22"/>
                <w:szCs w:val="22"/>
              </w:rPr>
              <w:t>型、访问控制、计算资源分配和隔离</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新增工作组理念，新平台针对项目系统建设专设工作组</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理念，一个工作组包含多个应用，每个应用都需要申请</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自己的数据、服务及资源，从而规范整个项目建设并在</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使用过程中各应用申请的资源互不干扰，出现异常情况</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时且有迹可循。</w:t>
            </w: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59" w:lineRule="auto"/>
              <w:ind w:left="2" w:right="0"/>
              <w:jc w:val="left"/>
              <w:rPr>
                <w:rFonts w:ascii="宋体" w:hAnsi="宋体" w:cs="宋体" w:eastAsia="宋体" w:hint="default"/>
                <w:sz w:val="22"/>
                <w:szCs w:val="22"/>
              </w:rPr>
            </w:pPr>
            <w:r>
              <w:rPr>
                <w:rFonts w:ascii="宋体" w:hAnsi="宋体" w:cs="宋体" w:eastAsia="宋体" w:hint="default"/>
                <w:sz w:val="22"/>
                <w:szCs w:val="22"/>
              </w:rPr>
              <w:t>云知道能力提升</w:t>
            </w:r>
            <w:r>
              <w:rPr>
                <w:rFonts w:ascii="宋体" w:hAnsi="宋体" w:cs="宋体" w:eastAsia="宋体" w:hint="default"/>
                <w:w w:val="99"/>
                <w:sz w:val="22"/>
                <w:szCs w:val="22"/>
              </w:rPr>
              <w:t> </w:t>
            </w:r>
            <w:r>
              <w:rPr>
                <w:rFonts w:ascii="宋体" w:hAnsi="宋体" w:cs="宋体" w:eastAsia="宋体" w:hint="default"/>
                <w:sz w:val="22"/>
                <w:szCs w:val="22"/>
              </w:rPr>
              <w:t>数据组织方式提升，档案以原有的逻辑组织方式变为雪</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花模型的物理存储方式，极大降低档案在调用服务时异</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常风险并且为后期档案标签预留出良好的可扩展性。</w:t>
            </w:r>
            <w:r>
              <w:rPr>
                <w:rFonts w:ascii="宋体" w:hAnsi="宋体" w:cs="宋体" w:eastAsia="宋体" w:hint="default"/>
                <w:w w:val="99"/>
                <w:sz w:val="22"/>
                <w:szCs w:val="22"/>
              </w:rPr>
              <w:t> </w:t>
            </w:r>
            <w:r>
              <w:rPr>
                <w:rFonts w:ascii="宋体" w:hAnsi="宋体" w:cs="宋体" w:eastAsia="宋体" w:hint="default"/>
                <w:sz w:val="22"/>
                <w:szCs w:val="22"/>
              </w:rPr>
              <w:t>查询能力提升，基于改造后的架构，除满足现有查询方</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式外，系统可提供档案全字段检索，例如在查人时，除</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输入身份证号外，还可以通过电话号、车牌号等信息精</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确定位到人；</w:t>
            </w:r>
            <w:r>
              <w:rPr>
                <w:rFonts w:ascii="宋体" w:hAnsi="宋体" w:cs="宋体" w:eastAsia="宋体" w:hint="default"/>
                <w:w w:val="99"/>
                <w:sz w:val="22"/>
                <w:szCs w:val="22"/>
              </w:rPr>
              <w:t> </w:t>
            </w:r>
            <w:r>
              <w:rPr>
                <w:rFonts w:ascii="宋体" w:hAnsi="宋体" w:cs="宋体" w:eastAsia="宋体" w:hint="default"/>
                <w:sz w:val="22"/>
                <w:szCs w:val="22"/>
              </w:rPr>
              <w:t>检索效率有保障，独立集群，档案集群不对外开放，只</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应用于云知道系统。</w:t>
            </w:r>
            <w:r>
              <w:rPr>
                <w:rFonts w:ascii="宋体" w:hAnsi="宋体" w:cs="宋体" w:eastAsia="宋体" w:hint="default"/>
                <w:w w:val="99"/>
                <w:sz w:val="22"/>
                <w:szCs w:val="22"/>
              </w:rPr>
              <w:t> </w:t>
            </w:r>
            <w:r>
              <w:rPr>
                <w:rFonts w:ascii="宋体" w:hAnsi="宋体" w:cs="宋体" w:eastAsia="宋体" w:hint="default"/>
                <w:sz w:val="22"/>
                <w:szCs w:val="22"/>
              </w:rPr>
              <w:t>档案展示效率提升，档案展示从以前每打开一个档案需</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要调用</w:t>
            </w:r>
            <w:r>
              <w:rPr>
                <w:rFonts w:ascii="Times New Roman" w:hAnsi="Times New Roman" w:cs="Times New Roman" w:eastAsia="Times New Roman" w:hint="default"/>
                <w:sz w:val="22"/>
                <w:szCs w:val="22"/>
              </w:rPr>
              <w:t>400</w:t>
            </w:r>
            <w:r>
              <w:rPr>
                <w:rFonts w:ascii="宋体" w:hAnsi="宋体" w:cs="宋体" w:eastAsia="宋体" w:hint="default"/>
                <w:sz w:val="22"/>
                <w:szCs w:val="22"/>
              </w:rPr>
              <w:t>多次服务，降低至仅需调用</w:t>
            </w:r>
            <w:r>
              <w:rPr>
                <w:rFonts w:ascii="Times New Roman" w:hAnsi="Times New Roman" w:cs="Times New Roman" w:eastAsia="Times New Roman" w:hint="default"/>
                <w:sz w:val="22"/>
                <w:szCs w:val="22"/>
              </w:rPr>
              <w:t>7</w:t>
            </w:r>
            <w:r>
              <w:rPr>
                <w:rFonts w:ascii="宋体" w:hAnsi="宋体" w:cs="宋体" w:eastAsia="宋体" w:hint="default"/>
                <w:sz w:val="22"/>
                <w:szCs w:val="22"/>
              </w:rPr>
              <w:t>个服务左右即可</w:t>
            </w:r>
            <w:r>
              <w:rPr>
                <w:rFonts w:ascii="宋体" w:hAnsi="宋体" w:cs="宋体" w:eastAsia="宋体" w:hint="default"/>
                <w:spacing w:val="-104"/>
                <w:sz w:val="22"/>
                <w:szCs w:val="22"/>
              </w:rPr>
              <w:t> </w:t>
            </w:r>
            <w:r>
              <w:rPr>
                <w:rFonts w:ascii="宋体" w:hAnsi="宋体" w:cs="宋体" w:eastAsia="宋体" w:hint="default"/>
                <w:sz w:val="22"/>
                <w:szCs w:val="22"/>
              </w:rPr>
              <w:t>完成档案展示。</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59" w:lineRule="auto"/>
              <w:ind w:left="2" w:right="2"/>
              <w:jc w:val="left"/>
              <w:rPr>
                <w:rFonts w:ascii="宋体" w:hAnsi="宋体" w:cs="宋体" w:eastAsia="宋体" w:hint="default"/>
                <w:sz w:val="22"/>
                <w:szCs w:val="22"/>
              </w:rPr>
            </w:pPr>
            <w:r>
              <w:rPr>
                <w:rFonts w:ascii="宋体" w:hAnsi="宋体" w:cs="宋体" w:eastAsia="宋体" w:hint="default"/>
                <w:sz w:val="22"/>
                <w:szCs w:val="22"/>
              </w:rPr>
              <w:t>政</w:t>
            </w:r>
            <w:r>
              <w:rPr>
                <w:rFonts w:ascii="宋体" w:hAnsi="宋体" w:cs="宋体" w:eastAsia="宋体" w:hint="default"/>
                <w:spacing w:val="-58"/>
                <w:sz w:val="22"/>
                <w:szCs w:val="22"/>
              </w:rPr>
              <w:t> </w:t>
            </w:r>
            <w:r>
              <w:rPr>
                <w:rFonts w:ascii="宋体" w:hAnsi="宋体" w:cs="宋体" w:eastAsia="宋体" w:hint="default"/>
                <w:sz w:val="22"/>
                <w:szCs w:val="22"/>
              </w:rPr>
              <w:t>府</w:t>
            </w:r>
            <w:r>
              <w:rPr>
                <w:rFonts w:ascii="宋体" w:hAnsi="宋体" w:cs="宋体" w:eastAsia="宋体" w:hint="default"/>
                <w:spacing w:val="-59"/>
                <w:sz w:val="22"/>
                <w:szCs w:val="22"/>
              </w:rPr>
              <w:t> </w:t>
            </w:r>
            <w:r>
              <w:rPr>
                <w:rFonts w:ascii="宋体" w:hAnsi="宋体" w:cs="宋体" w:eastAsia="宋体" w:hint="default"/>
                <w:sz w:val="22"/>
                <w:szCs w:val="22"/>
              </w:rPr>
              <w:t>公</w:t>
            </w:r>
            <w:r>
              <w:rPr>
                <w:rFonts w:ascii="宋体" w:hAnsi="宋体" w:cs="宋体" w:eastAsia="宋体" w:hint="default"/>
                <w:spacing w:val="-58"/>
                <w:sz w:val="22"/>
                <w:szCs w:val="22"/>
              </w:rPr>
              <w:t> </w:t>
            </w:r>
            <w:r>
              <w:rPr>
                <w:rFonts w:ascii="宋体" w:hAnsi="宋体" w:cs="宋体" w:eastAsia="宋体" w:hint="default"/>
                <w:sz w:val="22"/>
                <w:szCs w:val="22"/>
              </w:rPr>
              <w:t>共</w:t>
            </w:r>
            <w:r>
              <w:rPr>
                <w:rFonts w:ascii="宋体" w:hAnsi="宋体" w:cs="宋体" w:eastAsia="宋体" w:hint="default"/>
                <w:w w:val="99"/>
                <w:sz w:val="22"/>
                <w:szCs w:val="22"/>
              </w:rPr>
              <w:t> </w:t>
            </w:r>
            <w:r>
              <w:rPr>
                <w:rFonts w:ascii="宋体" w:hAnsi="宋体" w:cs="宋体" w:eastAsia="宋体" w:hint="default"/>
                <w:sz w:val="22"/>
                <w:szCs w:val="22"/>
              </w:rPr>
              <w:t>事业</w:t>
            </w:r>
          </w:p>
        </w:tc>
      </w:tr>
      <w:tr>
        <w:trPr>
          <w:trHeight w:val="2219" w:hRule="exact"/>
        </w:trPr>
        <w:tc>
          <w:tcPr>
            <w:tcW w:w="19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5"/>
              <w:ind w:left="24" w:right="0"/>
              <w:jc w:val="left"/>
              <w:rPr>
                <w:rFonts w:ascii="宋体" w:hAnsi="宋体" w:cs="宋体" w:eastAsia="宋体" w:hint="default"/>
                <w:sz w:val="22"/>
                <w:szCs w:val="22"/>
              </w:rPr>
            </w:pPr>
            <w:r>
              <w:rPr>
                <w:rFonts w:ascii="宋体" w:hAnsi="宋体" w:cs="宋体" w:eastAsia="宋体" w:hint="default"/>
                <w:sz w:val="22"/>
                <w:szCs w:val="22"/>
              </w:rPr>
              <w:t>云化融合计费平台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59" w:lineRule="auto" w:before="165"/>
              <w:ind w:left="3" w:right="2"/>
              <w:jc w:val="left"/>
              <w:rPr>
                <w:rFonts w:ascii="宋体" w:hAnsi="宋体" w:cs="宋体" w:eastAsia="宋体" w:hint="default"/>
                <w:sz w:val="22"/>
                <w:szCs w:val="22"/>
              </w:rPr>
            </w:pPr>
            <w:r>
              <w:rPr>
                <w:rFonts w:ascii="宋体" w:hAnsi="宋体" w:cs="宋体" w:eastAsia="宋体" w:hint="default"/>
                <w:spacing w:val="13"/>
                <w:sz w:val="22"/>
                <w:szCs w:val="22"/>
              </w:rPr>
              <w:t>开发、测试、</w:t>
            </w:r>
            <w:r>
              <w:rPr>
                <w:rFonts w:ascii="宋体" w:hAnsi="宋体" w:cs="宋体" w:eastAsia="宋体" w:hint="default"/>
                <w:w w:val="99"/>
                <w:sz w:val="22"/>
                <w:szCs w:val="22"/>
              </w:rPr>
              <w:t> </w:t>
            </w:r>
            <w:r>
              <w:rPr>
                <w:rFonts w:ascii="宋体" w:hAnsi="宋体" w:cs="宋体" w:eastAsia="宋体" w:hint="default"/>
                <w:sz w:val="22"/>
                <w:szCs w:val="22"/>
              </w:rPr>
              <w:t>试运行</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7"/>
              <w:jc w:val="left"/>
              <w:rPr>
                <w:rFonts w:ascii="宋体" w:hAnsi="宋体" w:cs="宋体" w:eastAsia="宋体" w:hint="default"/>
                <w:sz w:val="22"/>
                <w:szCs w:val="22"/>
              </w:rPr>
            </w:pPr>
            <w:r>
              <w:rPr>
                <w:rFonts w:ascii="宋体" w:hAnsi="宋体" w:cs="宋体" w:eastAsia="宋体" w:hint="default"/>
                <w:sz w:val="22"/>
                <w:szCs w:val="22"/>
              </w:rPr>
              <w:t>计费产品架构升级，实现去中心云化部署，提高计费系</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统可靠性、健壮性；支持在线实时扩缩容，打破计费系</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统扩容性能天花板实现近线性扩容，降低扩缩容时间成</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pacing w:val="-8"/>
                <w:w w:val="99"/>
                <w:sz w:val="22"/>
                <w:szCs w:val="22"/>
              </w:rPr>
              <w:t>本，降低扩缩容系统风险，提供更高的容量配置灵活性；</w:t>
            </w:r>
            <w:r>
              <w:rPr>
                <w:rFonts w:ascii="宋体" w:hAnsi="宋体" w:cs="宋体" w:eastAsia="宋体" w:hint="default"/>
                <w:spacing w:val="-88"/>
                <w:w w:val="99"/>
                <w:sz w:val="22"/>
                <w:szCs w:val="22"/>
              </w:rPr>
              <w:t> </w:t>
            </w:r>
            <w:r>
              <w:rPr>
                <w:rFonts w:ascii="宋体" w:hAnsi="宋体" w:cs="宋体" w:eastAsia="宋体" w:hint="default"/>
                <w:spacing w:val="-88"/>
                <w:w w:val="99"/>
                <w:sz w:val="22"/>
                <w:szCs w:val="22"/>
              </w:rPr>
            </w:r>
            <w:r>
              <w:rPr>
                <w:rFonts w:ascii="宋体" w:hAnsi="宋体" w:cs="宋体" w:eastAsia="宋体" w:hint="default"/>
                <w:sz w:val="22"/>
                <w:szCs w:val="22"/>
              </w:rPr>
              <w:t>硬件平台实现去</w:t>
            </w:r>
            <w:r>
              <w:rPr>
                <w:rFonts w:ascii="Times New Roman" w:hAnsi="Times New Roman" w:cs="Times New Roman" w:eastAsia="Times New Roman" w:hint="default"/>
                <w:sz w:val="22"/>
                <w:szCs w:val="22"/>
              </w:rPr>
              <w:t>IOE</w:t>
            </w:r>
            <w:r>
              <w:rPr>
                <w:rFonts w:ascii="宋体" w:hAnsi="宋体" w:cs="宋体" w:eastAsia="宋体" w:hint="default"/>
                <w:sz w:val="22"/>
                <w:szCs w:val="22"/>
              </w:rPr>
              <w:t>，完成全面</w:t>
            </w:r>
            <w:r>
              <w:rPr>
                <w:rFonts w:ascii="Times New Roman" w:hAnsi="Times New Roman" w:cs="Times New Roman" w:eastAsia="Times New Roman" w:hint="default"/>
                <w:sz w:val="22"/>
                <w:szCs w:val="22"/>
              </w:rPr>
              <w:t>X86</w:t>
            </w:r>
            <w:r>
              <w:rPr>
                <w:rFonts w:ascii="宋体" w:hAnsi="宋体" w:cs="宋体" w:eastAsia="宋体" w:hint="default"/>
                <w:sz w:val="22"/>
                <w:szCs w:val="22"/>
              </w:rPr>
              <w:t>化，降低硬件成本</w:t>
            </w:r>
            <w:r>
              <w:rPr>
                <w:rFonts w:ascii="宋体" w:hAnsi="宋体" w:cs="宋体" w:eastAsia="宋体" w:hint="default"/>
                <w:w w:val="99"/>
                <w:sz w:val="22"/>
                <w:szCs w:val="22"/>
              </w:rPr>
              <w:t> </w:t>
            </w:r>
            <w:r>
              <w:rPr>
                <w:rFonts w:ascii="宋体" w:hAnsi="宋体" w:cs="宋体" w:eastAsia="宋体" w:hint="default"/>
                <w:sz w:val="22"/>
                <w:szCs w:val="22"/>
              </w:rPr>
              <w:t>重构流量计费引擎，相较传统计费引擎，提供针对流量</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业务更丰富和灵活的计费能力。</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5"/>
              <w:ind w:left="2" w:right="0"/>
              <w:jc w:val="left"/>
              <w:rPr>
                <w:rFonts w:ascii="宋体" w:hAnsi="宋体" w:cs="宋体" w:eastAsia="宋体" w:hint="default"/>
                <w:sz w:val="22"/>
                <w:szCs w:val="22"/>
              </w:rPr>
            </w:pPr>
            <w:r>
              <w:rPr>
                <w:rFonts w:ascii="宋体" w:hAnsi="宋体" w:cs="宋体" w:eastAsia="宋体" w:hint="default"/>
                <w:sz w:val="22"/>
                <w:szCs w:val="22"/>
              </w:rPr>
              <w:t>电信</w:t>
            </w:r>
          </w:p>
          <w:p>
            <w:pPr>
              <w:pStyle w:val="TableParagraph"/>
              <w:spacing w:line="240" w:lineRule="auto" w:before="24"/>
              <w:ind w:left="-175"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r>
      <w:tr>
        <w:trPr>
          <w:trHeight w:val="3468" w:hRule="exact"/>
        </w:trPr>
        <w:tc>
          <w:tcPr>
            <w:tcW w:w="19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4" w:lineRule="auto"/>
              <w:ind w:left="24" w:right="1"/>
              <w:jc w:val="left"/>
              <w:rPr>
                <w:rFonts w:ascii="宋体" w:hAnsi="宋体" w:cs="宋体" w:eastAsia="宋体" w:hint="default"/>
                <w:sz w:val="22"/>
                <w:szCs w:val="22"/>
              </w:rPr>
            </w:pPr>
            <w:r>
              <w:rPr>
                <w:rFonts w:ascii="宋体" w:hAnsi="宋体" w:cs="宋体" w:eastAsia="宋体" w:hint="default"/>
                <w:spacing w:val="7"/>
                <w:sz w:val="22"/>
                <w:szCs w:val="22"/>
              </w:rPr>
              <w:t>运营商智慧</w:t>
            </w:r>
            <w:r>
              <w:rPr>
                <w:rFonts w:ascii="Times New Roman" w:hAnsi="Times New Roman" w:cs="Times New Roman" w:eastAsia="Times New Roman" w:hint="default"/>
                <w:spacing w:val="7"/>
                <w:sz w:val="22"/>
                <w:szCs w:val="22"/>
              </w:rPr>
              <w:t>BOSS</w:t>
            </w:r>
            <w:r>
              <w:rPr>
                <w:rFonts w:ascii="宋体" w:hAnsi="宋体" w:cs="宋体" w:eastAsia="宋体" w:hint="default"/>
                <w:spacing w:val="7"/>
                <w:sz w:val="22"/>
                <w:szCs w:val="22"/>
              </w:rPr>
              <w:t>云</w:t>
            </w:r>
            <w:r>
              <w:rPr>
                <w:rFonts w:ascii="宋体" w:hAnsi="宋体" w:cs="宋体" w:eastAsia="宋体" w:hint="default"/>
                <w:w w:val="99"/>
                <w:sz w:val="22"/>
                <w:szCs w:val="22"/>
              </w:rPr>
              <w:t> </w:t>
            </w:r>
            <w:r>
              <w:rPr>
                <w:rFonts w:ascii="宋体" w:hAnsi="宋体" w:cs="宋体" w:eastAsia="宋体" w:hint="default"/>
                <w:sz w:val="22"/>
                <w:szCs w:val="22"/>
              </w:rPr>
              <w:t>平台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59" w:lineRule="auto"/>
              <w:ind w:left="3" w:right="2"/>
              <w:jc w:val="left"/>
              <w:rPr>
                <w:rFonts w:ascii="宋体" w:hAnsi="宋体" w:cs="宋体" w:eastAsia="宋体" w:hint="default"/>
                <w:sz w:val="22"/>
                <w:szCs w:val="22"/>
              </w:rPr>
            </w:pPr>
            <w:r>
              <w:rPr>
                <w:rFonts w:ascii="宋体" w:hAnsi="宋体" w:cs="宋体" w:eastAsia="宋体" w:hint="default"/>
                <w:spacing w:val="13"/>
                <w:sz w:val="22"/>
                <w:szCs w:val="22"/>
              </w:rPr>
              <w:t>开发、测试、</w:t>
            </w:r>
            <w:r>
              <w:rPr>
                <w:rFonts w:ascii="宋体" w:hAnsi="宋体" w:cs="宋体" w:eastAsia="宋体" w:hint="default"/>
                <w:w w:val="99"/>
                <w:sz w:val="22"/>
                <w:szCs w:val="22"/>
              </w:rPr>
              <w:t> </w:t>
            </w:r>
            <w:r>
              <w:rPr>
                <w:rFonts w:ascii="宋体" w:hAnsi="宋体" w:cs="宋体" w:eastAsia="宋体" w:hint="default"/>
                <w:sz w:val="22"/>
                <w:szCs w:val="22"/>
              </w:rPr>
              <w:t>试运行</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1"/>
              <w:jc w:val="both"/>
              <w:rPr>
                <w:rFonts w:ascii="宋体" w:hAnsi="宋体" w:cs="宋体" w:eastAsia="宋体" w:hint="default"/>
                <w:sz w:val="22"/>
                <w:szCs w:val="22"/>
              </w:rPr>
            </w:pPr>
            <w:r>
              <w:rPr>
                <w:rFonts w:ascii="宋体" w:hAnsi="宋体" w:cs="宋体" w:eastAsia="宋体" w:hint="default"/>
                <w:spacing w:val="-4"/>
                <w:sz w:val="22"/>
                <w:szCs w:val="22"/>
              </w:rPr>
              <w:t>升级虚商</w:t>
            </w:r>
            <w:r>
              <w:rPr>
                <w:rFonts w:ascii="Times New Roman" w:hAnsi="Times New Roman" w:cs="Times New Roman" w:eastAsia="Times New Roman" w:hint="default"/>
                <w:spacing w:val="-4"/>
                <w:sz w:val="22"/>
                <w:szCs w:val="22"/>
              </w:rPr>
              <w:t>BOSS</w:t>
            </w:r>
            <w:r>
              <w:rPr>
                <w:rFonts w:ascii="宋体" w:hAnsi="宋体" w:cs="宋体" w:eastAsia="宋体" w:hint="default"/>
                <w:spacing w:val="-4"/>
                <w:sz w:val="22"/>
                <w:szCs w:val="22"/>
              </w:rPr>
              <w:t>系统，支持联通模组套餐的办理。模组套</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餐不支持办理主副卡业务，不支持办理政企业务，只支</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持单个用户办理。套餐由联通进行定义，星美通信只能</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基于联通定义的套餐基础，进行直接销售，或者组合销</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售；联通按照模组套餐方案进行结算，不再按以前的话</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单结算，结算规则见计费规则。对于模组套餐用户，只</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支持联通定义的对应的模组加油包办理，（数据流量加</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油包区分月包、季包、半年包，月包当月有效，季包当</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季度有效，半年包半年内有效，增加标签区分）。集团</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重新定义了一整套的模组类接口，同时联通定义了一套</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基于文件的业务稽核类接口，需要进行对模组类订单进</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59" w:lineRule="auto"/>
              <w:ind w:left="2" w:right="1"/>
              <w:jc w:val="left"/>
              <w:rPr>
                <w:rFonts w:ascii="宋体" w:hAnsi="宋体" w:cs="宋体" w:eastAsia="宋体" w:hint="default"/>
                <w:sz w:val="22"/>
                <w:szCs w:val="22"/>
              </w:rPr>
            </w:pPr>
            <w:r>
              <w:rPr>
                <w:rFonts w:ascii="宋体" w:hAnsi="宋体" w:cs="宋体" w:eastAsia="宋体" w:hint="default"/>
                <w:spacing w:val="-13"/>
                <w:sz w:val="22"/>
                <w:szCs w:val="22"/>
              </w:rPr>
              <w:t>电信、虚拟</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运营商</w:t>
            </w:r>
          </w:p>
        </w:tc>
      </w:tr>
    </w:tbl>
    <w:p>
      <w:pPr>
        <w:spacing w:after="0" w:line="259" w:lineRule="auto"/>
        <w:jc w:val="left"/>
        <w:rPr>
          <w:rFonts w:ascii="宋体" w:hAnsi="宋体" w:cs="宋体" w:eastAsia="宋体" w:hint="default"/>
          <w:sz w:val="22"/>
          <w:szCs w:val="22"/>
        </w:rPr>
        <w:sectPr>
          <w:pgSz w:w="11910" w:h="16840"/>
          <w:pgMar w:header="747" w:footer="979" w:top="1060" w:bottom="1160" w:left="980" w:right="0"/>
        </w:sectPr>
      </w:pPr>
    </w:p>
    <w:p>
      <w:pPr>
        <w:spacing w:line="240" w:lineRule="auto" w:before="10"/>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1910" w:h="16840"/>
          <w:pgMar w:header="747" w:footer="979" w:top="1060" w:bottom="1160" w:left="980" w:right="0"/>
        </w:sectPr>
      </w:pPr>
    </w:p>
    <w:p>
      <w:pPr>
        <w:pStyle w:val="Heading4"/>
        <w:spacing w:line="266" w:lineRule="auto" w:before="31"/>
        <w:ind w:left="3544" w:right="0"/>
        <w:jc w:val="left"/>
      </w:pPr>
      <w:r>
        <w:rPr/>
        <w:t>行每日对账处理。</w:t>
      </w:r>
      <w:r>
        <w:rPr>
          <w:w w:val="99"/>
        </w:rPr>
        <w:t> </w:t>
      </w:r>
      <w:r>
        <w:rPr>
          <w:spacing w:val="-3"/>
        </w:rPr>
        <w:t>物码互联平台是基于微信服务第三方，提供</w:t>
      </w:r>
      <w:r>
        <w:rPr>
          <w:rFonts w:ascii="Times New Roman" w:hAnsi="Times New Roman" w:cs="Times New Roman" w:eastAsia="Times New Roman" w:hint="default"/>
          <w:spacing w:val="-3"/>
        </w:rPr>
        <w:t>SaaS</w:t>
      </w:r>
      <w:r>
        <w:rPr>
          <w:spacing w:val="-3"/>
        </w:rPr>
        <w:t>化的一</w:t>
      </w:r>
      <w:r>
        <w:rPr>
          <w:spacing w:val="-107"/>
        </w:rPr>
        <w:t> </w:t>
      </w:r>
      <w:r>
        <w:rPr/>
        <w:t>物一码服务平台，主要为快消品行业提供生码、赋码、</w:t>
      </w:r>
    </w:p>
    <w:p>
      <w:pPr>
        <w:pStyle w:val="Heading4"/>
        <w:tabs>
          <w:tab w:pos="2124" w:val="left" w:leader="none"/>
        </w:tabs>
        <w:spacing w:line="261" w:lineRule="auto" w:before="0"/>
        <w:ind w:right="1" w:firstLine="3380"/>
        <w:jc w:val="left"/>
      </w:pPr>
      <w:r>
        <w:rPr/>
        <w:t>扫码等应用服务。以微信公众号为载体，以二维码为入</w:t>
      </w:r>
      <w:r>
        <w:rPr>
          <w:w w:val="99"/>
        </w:rPr>
        <w:t> </w:t>
      </w:r>
      <w:r>
        <w:rPr>
          <w:w w:val="95"/>
        </w:rPr>
        <w:t>物码互联技术研究</w:t>
        <w:tab/>
      </w:r>
      <w:r>
        <w:rPr>
          <w:spacing w:val="13"/>
        </w:rPr>
        <w:t>开发、测试、</w:t>
      </w:r>
      <w:r>
        <w:rPr>
          <w:spacing w:val="-98"/>
        </w:rPr>
        <w:t> </w:t>
      </w:r>
      <w:r>
        <w:rPr/>
        <w:t>口的移动互联网整体解决方案。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63"/>
        <w:ind w:left="-20" w:right="0"/>
        <w:jc w:val="left"/>
      </w:pPr>
      <w:r>
        <w:rPr/>
        <w:t>物联网</w:t>
      </w:r>
    </w:p>
    <w:p>
      <w:pPr>
        <w:spacing w:after="0" w:line="240" w:lineRule="auto"/>
        <w:jc w:val="left"/>
        <w:sectPr>
          <w:type w:val="continuous"/>
          <w:pgSz w:w="11910" w:h="16840"/>
          <w:pgMar w:top="1060" w:bottom="1160" w:left="980" w:right="0"/>
          <w:cols w:num="2" w:equalWidth="0">
            <w:col w:w="8845" w:space="40"/>
            <w:col w:w="2045"/>
          </w:cols>
        </w:sectPr>
      </w:pPr>
    </w:p>
    <w:p>
      <w:pPr>
        <w:pStyle w:val="Heading4"/>
        <w:spacing w:line="240" w:lineRule="auto" w:before="4"/>
        <w:ind w:left="0" w:right="0"/>
        <w:jc w:val="right"/>
      </w:pPr>
      <w:r>
        <w:rPr>
          <w:w w:val="95"/>
        </w:rPr>
        <w:t>试运行</w:t>
      </w:r>
      <w:r>
        <w:rPr/>
      </w:r>
    </w:p>
    <w:p>
      <w:pPr>
        <w:pStyle w:val="Heading4"/>
        <w:spacing w:line="256" w:lineRule="auto" w:before="4"/>
        <w:ind w:left="720" w:right="1962" w:firstLine="442"/>
        <w:jc w:val="left"/>
      </w:pPr>
      <w:r>
        <w:rPr>
          <w:spacing w:val="-4"/>
          <w:w w:val="99"/>
        </w:rPr>
        <w:br w:type="column"/>
      </w:r>
      <w:r>
        <w:rPr>
          <w:spacing w:val="-4"/>
          <w:w w:val="99"/>
        </w:rPr>
        <w:t>专门为传统品牌企业提供基于二维码的防伪、防窜、</w:t>
      </w:r>
      <w:r>
        <w:rPr>
          <w:w w:val="99"/>
        </w:rPr>
        <w:t> </w:t>
      </w:r>
      <w:r>
        <w:rPr/>
        <w:t>溯源、产品复购、粉丝互动、等一体化、全方位的移动</w:t>
      </w:r>
      <w:r>
        <w:rPr>
          <w:spacing w:val="-96"/>
        </w:rPr>
        <w:t> </w:t>
      </w:r>
      <w:r>
        <w:rPr>
          <w:spacing w:val="-96"/>
        </w:rPr>
      </w:r>
      <w:r>
        <w:rPr/>
        <w:t>互联网整体解决方案及运营系统。能够有效整合传统品</w:t>
      </w:r>
      <w:r>
        <w:rPr>
          <w:spacing w:val="-96"/>
        </w:rPr>
        <w:t> </w:t>
      </w:r>
      <w:r>
        <w:rPr>
          <w:spacing w:val="-96"/>
        </w:rPr>
      </w:r>
      <w:r>
        <w:rPr>
          <w:spacing w:val="-8"/>
          <w:w w:val="99"/>
        </w:rPr>
        <w:t>牌的线上线下业务，实现线下销量提升、线上粉丝倍增</w:t>
      </w:r>
      <w:r>
        <w:rPr>
          <w:spacing w:val="-7"/>
          <w:w w:val="99"/>
        </w:rPr>
        <w:t> </w:t>
      </w:r>
      <w:r>
        <w:rPr>
          <w:w w:val="99"/>
        </w:rPr>
        <w:t>。</w:t>
      </w:r>
      <w:r>
        <w:rPr>
          <w:w w:val="99"/>
        </w:rPr>
        <w:t> </w:t>
      </w:r>
      <w:r>
        <w:rPr/>
        <w:t>截止</w:t>
      </w:r>
      <w:r>
        <w:rPr>
          <w:rFonts w:ascii="Times New Roman" w:hAnsi="Times New Roman" w:cs="Times New Roman" w:eastAsia="Times New Roman" w:hint="default"/>
        </w:rPr>
        <w:t>2018</w:t>
      </w:r>
      <w:r>
        <w:rPr/>
        <w:t>年初，我们已在服务恒大冰泉、王老吉、古井</w:t>
      </w:r>
      <w:r>
        <w:rPr>
          <w:w w:val="99"/>
        </w:rPr>
        <w:t> </w:t>
      </w:r>
      <w:r>
        <w:rPr/>
        <w:t>贡、达能益力、香飘飘等知名品牌商，累积了丰富的项</w:t>
      </w:r>
      <w:r>
        <w:rPr>
          <w:spacing w:val="-96"/>
        </w:rPr>
        <w:t> </w:t>
      </w:r>
      <w:r>
        <w:rPr>
          <w:spacing w:val="-96"/>
        </w:rPr>
      </w:r>
      <w:r>
        <w:rPr/>
        <w:t>目经验。</w:t>
      </w:r>
    </w:p>
    <w:p>
      <w:pPr>
        <w:pStyle w:val="Heading4"/>
        <w:spacing w:line="259" w:lineRule="auto" w:before="43"/>
        <w:ind w:left="720" w:right="1962"/>
        <w:jc w:val="left"/>
      </w:pPr>
      <w:r>
        <w:rPr>
          <w:spacing w:val="9"/>
        </w:rPr>
        <w:t>建设以图形化拖拽的方式实现数据挖掘的人工智能平</w:t>
      </w:r>
      <w:r>
        <w:rPr>
          <w:spacing w:val="-99"/>
        </w:rPr>
        <w:t> </w:t>
      </w:r>
      <w:r>
        <w:rPr>
          <w:spacing w:val="-99"/>
        </w:rPr>
      </w:r>
      <w:r>
        <w:rPr/>
        <w:t>台。采用分布式计算框架，更加适用于电信、公安等行</w:t>
      </w:r>
    </w:p>
    <w:p>
      <w:pPr>
        <w:spacing w:after="0" w:line="259" w:lineRule="auto"/>
        <w:jc w:val="left"/>
        <w:sectPr>
          <w:type w:val="continuous"/>
          <w:pgSz w:w="11910" w:h="16840"/>
          <w:pgMar w:top="1060" w:bottom="1160" w:left="980" w:right="0"/>
          <w:cols w:num="2" w:equalWidth="0">
            <w:col w:w="2784" w:space="40"/>
            <w:col w:w="8106"/>
          </w:cols>
        </w:sectPr>
      </w:pPr>
    </w:p>
    <w:p>
      <w:pPr>
        <w:pStyle w:val="Heading4"/>
        <w:tabs>
          <w:tab w:pos="2124" w:val="left" w:leader="none"/>
        </w:tabs>
        <w:spacing w:line="240" w:lineRule="auto" w:before="6"/>
        <w:ind w:right="1972"/>
        <w:jc w:val="left"/>
      </w:pPr>
      <w:r>
        <w:rPr>
          <w:w w:val="95"/>
        </w:rPr>
        <w:t>人工智能技术研究</w:t>
        <w:tab/>
      </w:r>
      <w:r>
        <w:rPr>
          <w:spacing w:val="13"/>
        </w:rPr>
        <w:t>开发、测试、</w:t>
      </w:r>
      <w:r>
        <w:rPr>
          <w:spacing w:val="-78"/>
        </w:rPr>
        <w:t> </w:t>
      </w:r>
      <w:r>
        <w:rPr/>
        <w:t>业海量数据计算，丰富的模型算法，满足不同行业的需</w:t>
      </w:r>
    </w:p>
    <w:p>
      <w:pPr>
        <w:spacing w:after="0" w:line="240" w:lineRule="auto"/>
        <w:jc w:val="left"/>
        <w:sectPr>
          <w:type w:val="continuous"/>
          <w:pgSz w:w="11910" w:h="16840"/>
          <w:pgMar w:top="1060" w:bottom="1160" w:left="980" w:right="0"/>
        </w:sectPr>
      </w:pPr>
    </w:p>
    <w:p>
      <w:pPr>
        <w:pStyle w:val="Heading4"/>
        <w:spacing w:line="240" w:lineRule="auto"/>
        <w:ind w:left="0" w:right="0"/>
        <w:jc w:val="right"/>
      </w:pPr>
      <w:r>
        <w:rPr>
          <w:w w:val="95"/>
        </w:rPr>
        <w:t>试运行</w:t>
      </w:r>
      <w:r>
        <w:rPr/>
      </w:r>
    </w:p>
    <w:p>
      <w:pPr>
        <w:pStyle w:val="Heading4"/>
        <w:spacing w:line="266" w:lineRule="auto"/>
        <w:ind w:left="720" w:right="582"/>
        <w:jc w:val="left"/>
      </w:pPr>
      <w:r>
        <w:rPr>
          <w:spacing w:val="-7"/>
        </w:rPr>
        <w:br w:type="column"/>
      </w:r>
      <w:r>
        <w:rPr>
          <w:spacing w:val="-7"/>
        </w:rPr>
        <w:t>求，实现从数据源、数据探索、数据预处理、特征工程、人工智能</w:t>
      </w:r>
      <w:r>
        <w:rPr>
          <w:spacing w:val="-97"/>
        </w:rPr>
        <w:t> </w:t>
      </w:r>
      <w:r>
        <w:rPr>
          <w:spacing w:val="-97"/>
        </w:rPr>
      </w:r>
      <w:r>
        <w:rPr/>
        <w:t>模型算法、模型评估一整套的数据挖掘流程处理。并集</w:t>
      </w:r>
      <w:r>
        <w:rPr>
          <w:spacing w:val="-96"/>
        </w:rPr>
        <w:t> </w:t>
      </w:r>
      <w:r>
        <w:rPr>
          <w:spacing w:val="-96"/>
        </w:rPr>
      </w:r>
      <w:r>
        <w:rPr/>
        <w:t>成深度学习框架，实现人脸识别、自然语言处理等场景</w:t>
      </w:r>
      <w:r>
        <w:rPr>
          <w:spacing w:val="-96"/>
        </w:rPr>
        <w:t> </w:t>
      </w:r>
      <w:r>
        <w:rPr>
          <w:spacing w:val="-96"/>
        </w:rPr>
      </w:r>
      <w:r>
        <w:rPr/>
        <w:t>的建模、预测。</w:t>
      </w:r>
      <w:r>
        <w:rPr>
          <w:w w:val="99"/>
        </w:rPr>
        <w:t> </w:t>
      </w:r>
      <w:r>
        <w:rPr/>
        <w:t>中交建云电商平台为企业提供电子采购、询比价、供应</w:t>
      </w:r>
      <w:r>
        <w:rPr>
          <w:spacing w:val="-96"/>
        </w:rPr>
        <w:t> </w:t>
      </w:r>
      <w:r>
        <w:rPr>
          <w:spacing w:val="-96"/>
        </w:rPr>
      </w:r>
      <w:r>
        <w:rPr/>
        <w:t>商管理、支付结算等服务的一体化电子商务平台，采购</w:t>
      </w:r>
    </w:p>
    <w:p>
      <w:pPr>
        <w:spacing w:after="0" w:line="266" w:lineRule="auto"/>
        <w:jc w:val="left"/>
        <w:sectPr>
          <w:type w:val="continuous"/>
          <w:pgSz w:w="11910" w:h="16840"/>
          <w:pgMar w:top="1060" w:bottom="1160" w:left="980" w:right="0"/>
          <w:cols w:num="2" w:equalWidth="0">
            <w:col w:w="2784" w:space="40"/>
            <w:col w:w="8106"/>
          </w:cols>
        </w:sectPr>
      </w:pPr>
    </w:p>
    <w:p>
      <w:pPr>
        <w:pStyle w:val="Heading4"/>
        <w:spacing w:line="240" w:lineRule="auto" w:before="0"/>
        <w:ind w:right="0"/>
        <w:jc w:val="left"/>
      </w:pPr>
      <w:r>
        <w:rPr>
          <w:spacing w:val="20"/>
        </w:rPr>
        <w:t>行业互联网电商平开发、测试、</w:t>
      </w:r>
      <w:r>
        <w:rPr>
          <w:spacing w:val="-85"/>
        </w:rPr>
        <w:t> </w:t>
      </w:r>
      <w:r>
        <w:rPr/>
        <w:t>内容分为电子超市、工程专区、低值易耗、设备租赁、</w:t>
      </w:r>
      <w:r>
        <w:rPr>
          <w:spacing w:val="-85"/>
        </w:rPr>
        <w:t> </w:t>
      </w:r>
      <w:r>
        <w:rPr/>
        <w:t>央企电商</w:t>
      </w:r>
    </w:p>
    <w:p>
      <w:pPr>
        <w:spacing w:after="0" w:line="240" w:lineRule="auto"/>
        <w:jc w:val="left"/>
        <w:sectPr>
          <w:type w:val="continuous"/>
          <w:pgSz w:w="11910" w:h="16840"/>
          <w:pgMar w:top="1060" w:bottom="1160" w:left="980" w:right="0"/>
        </w:sectPr>
      </w:pPr>
    </w:p>
    <w:p>
      <w:pPr>
        <w:pStyle w:val="Heading4"/>
        <w:spacing w:line="240" w:lineRule="auto"/>
        <w:ind w:right="0"/>
        <w:jc w:val="left"/>
      </w:pPr>
      <w:r>
        <w:rPr>
          <w:w w:val="95"/>
        </w:rPr>
        <w:t>台研究</w:t>
      </w:r>
      <w:r>
        <w:rPr/>
      </w:r>
    </w:p>
    <w:p>
      <w:pPr>
        <w:spacing w:before="24"/>
        <w:ind w:left="163" w:right="0" w:firstLine="0"/>
        <w:jc w:val="left"/>
        <w:rPr>
          <w:rFonts w:ascii="宋体" w:hAnsi="宋体" w:cs="宋体" w:eastAsia="宋体" w:hint="default"/>
          <w:sz w:val="22"/>
          <w:szCs w:val="22"/>
        </w:rPr>
      </w:pPr>
      <w:r>
        <w:rPr>
          <w:w w:val="95"/>
        </w:rPr>
        <w:br w:type="column"/>
      </w:r>
      <w:r>
        <w:rPr>
          <w:rFonts w:ascii="宋体" w:hAnsi="宋体" w:cs="宋体" w:eastAsia="宋体" w:hint="default"/>
          <w:w w:val="95"/>
          <w:sz w:val="22"/>
          <w:szCs w:val="22"/>
        </w:rPr>
        <w:t>试运行</w:t>
      </w:r>
      <w:r>
        <w:rPr>
          <w:rFonts w:ascii="宋体" w:hAnsi="宋体" w:cs="宋体" w:eastAsia="宋体" w:hint="default"/>
          <w:sz w:val="22"/>
          <w:szCs w:val="22"/>
        </w:rPr>
      </w:r>
    </w:p>
    <w:p>
      <w:pPr>
        <w:pStyle w:val="Heading4"/>
        <w:spacing w:line="259" w:lineRule="auto"/>
        <w:ind w:right="2081"/>
        <w:jc w:val="both"/>
      </w:pPr>
      <w:r>
        <w:rPr/>
        <w:br w:type="column"/>
      </w:r>
      <w:r>
        <w:rPr/>
        <w:t>劳务分包等。充分利用互联网技术手段，结合大型企业</w:t>
      </w:r>
      <w:r>
        <w:rPr>
          <w:spacing w:val="-96"/>
        </w:rPr>
        <w:t> </w:t>
      </w:r>
      <w:r>
        <w:rPr>
          <w:spacing w:val="-96"/>
        </w:rPr>
      </w:r>
      <w:r>
        <w:rPr/>
        <w:t>的业务特点，建立完善的采购供应链管理体系，全面提</w:t>
      </w:r>
      <w:r>
        <w:rPr>
          <w:spacing w:val="-96"/>
        </w:rPr>
        <w:t> </w:t>
      </w:r>
      <w:r>
        <w:rPr>
          <w:spacing w:val="-96"/>
        </w:rPr>
      </w:r>
      <w:r>
        <w:rPr/>
        <w:t>升行业采购管理水平，创新服务模式，实现集团战略管</w:t>
      </w:r>
      <w:r>
        <w:rPr>
          <w:spacing w:val="-96"/>
        </w:rPr>
        <w:t> </w:t>
      </w:r>
      <w:r>
        <w:rPr>
          <w:spacing w:val="-96"/>
        </w:rPr>
      </w:r>
      <w:r>
        <w:rPr/>
        <w:t>控与采购管理提升要求。</w:t>
      </w:r>
    </w:p>
    <w:p>
      <w:pPr>
        <w:pStyle w:val="Heading4"/>
        <w:spacing w:line="244" w:lineRule="auto" w:before="41"/>
        <w:ind w:right="2081"/>
        <w:jc w:val="both"/>
      </w:pPr>
      <w:r>
        <w:rPr/>
        <w:t>陕西、安徽、西藏</w:t>
      </w:r>
      <w:r>
        <w:rPr>
          <w:rFonts w:ascii="Times New Roman" w:hAnsi="Times New Roman" w:cs="Times New Roman" w:eastAsia="Times New Roman" w:hint="default"/>
        </w:rPr>
        <w:t>BSS3.0</w:t>
      </w:r>
      <w:r>
        <w:rPr/>
        <w:t>系统管理交付与集团政企系统</w:t>
      </w:r>
      <w:r>
        <w:rPr>
          <w:w w:val="99"/>
        </w:rPr>
        <w:t> </w:t>
      </w:r>
      <w:r>
        <w:rPr/>
        <w:t>管理正常维护；集团政企应用与数据安全平台建设及交</w:t>
      </w:r>
    </w:p>
    <w:p>
      <w:pPr>
        <w:spacing w:after="0" w:line="244" w:lineRule="auto"/>
        <w:jc w:val="both"/>
        <w:sectPr>
          <w:type w:val="continuous"/>
          <w:pgSz w:w="11910" w:h="16840"/>
          <w:pgMar w:top="1060" w:bottom="1160" w:left="980" w:right="0"/>
          <w:cols w:num="3" w:equalWidth="0">
            <w:col w:w="823" w:space="1138"/>
            <w:col w:w="823" w:space="597"/>
            <w:col w:w="7549"/>
          </w:cols>
        </w:sectPr>
      </w:pPr>
    </w:p>
    <w:p>
      <w:pPr>
        <w:pStyle w:val="Heading4"/>
        <w:tabs>
          <w:tab w:pos="2124" w:val="left" w:leader="none"/>
        </w:tabs>
        <w:spacing w:line="240" w:lineRule="auto" w:before="19"/>
        <w:ind w:right="0"/>
        <w:jc w:val="left"/>
      </w:pPr>
      <w:r>
        <w:rPr>
          <w:w w:val="95"/>
        </w:rPr>
        <w:t>信息安全技术研究</w:t>
        <w:tab/>
      </w:r>
      <w:r>
        <w:rPr>
          <w:spacing w:val="13"/>
        </w:rPr>
        <w:t>开发、测试、</w:t>
      </w:r>
      <w:r>
        <w:rPr>
          <w:spacing w:val="-58"/>
        </w:rPr>
        <w:t> </w:t>
      </w:r>
      <w:r>
        <w:rPr/>
        <w:t>付；安徽数据局应用安全风险管控平台建设与交付；北信息技术</w:t>
      </w:r>
    </w:p>
    <w:p>
      <w:pPr>
        <w:spacing w:after="0" w:line="240" w:lineRule="auto"/>
        <w:jc w:val="left"/>
        <w:sectPr>
          <w:type w:val="continuous"/>
          <w:pgSz w:w="11910" w:h="16840"/>
          <w:pgMar w:top="1060" w:bottom="1160" w:left="980" w:right="0"/>
        </w:sectPr>
      </w:pPr>
    </w:p>
    <w:p>
      <w:pPr>
        <w:pStyle w:val="Heading4"/>
        <w:spacing w:line="240" w:lineRule="auto"/>
        <w:ind w:left="0" w:right="0"/>
        <w:jc w:val="right"/>
      </w:pPr>
      <w:r>
        <w:rPr>
          <w:w w:val="95"/>
        </w:rPr>
        <w:t>试运行</w:t>
      </w:r>
      <w:r>
        <w:rPr/>
      </w:r>
    </w:p>
    <w:p>
      <w:pPr>
        <w:pStyle w:val="Heading4"/>
        <w:spacing w:line="271" w:lineRule="auto"/>
        <w:ind w:left="720" w:right="1962"/>
        <w:jc w:val="left"/>
      </w:pPr>
      <w:r>
        <w:rPr/>
        <w:br w:type="column"/>
      </w:r>
      <w:r>
        <w:rPr/>
        <w:t>京联通在线统一认证业务技术服务项目建设与交付；其</w:t>
      </w:r>
      <w:r>
        <w:rPr>
          <w:spacing w:val="-96"/>
        </w:rPr>
        <w:t> </w:t>
      </w:r>
      <w:r>
        <w:rPr>
          <w:spacing w:val="-96"/>
        </w:rPr>
      </w:r>
      <w:r>
        <w:rPr/>
        <w:t>他未知安全商机落地后交付。</w:t>
      </w:r>
      <w:r>
        <w:rPr>
          <w:w w:val="99"/>
        </w:rPr>
        <w:t> </w:t>
      </w:r>
      <w:r>
        <w:rPr/>
        <w:t>本项目拟建立一套面向银行及金融机构的分布式调度平</w:t>
      </w:r>
      <w:r>
        <w:rPr>
          <w:spacing w:val="-96"/>
        </w:rPr>
        <w:t> </w:t>
      </w:r>
      <w:r>
        <w:rPr>
          <w:spacing w:val="-96"/>
        </w:rPr>
      </w:r>
      <w:r>
        <w:rPr/>
        <w:t>台，并以此作为产品在全国各商业银行及金融机构进行</w:t>
      </w:r>
    </w:p>
    <w:p>
      <w:pPr>
        <w:spacing w:after="0" w:line="271" w:lineRule="auto"/>
        <w:jc w:val="left"/>
        <w:sectPr>
          <w:type w:val="continuous"/>
          <w:pgSz w:w="11910" w:h="16840"/>
          <w:pgMar w:top="1060" w:bottom="1160" w:left="980" w:right="0"/>
          <w:cols w:num="2" w:equalWidth="0">
            <w:col w:w="2784" w:space="40"/>
            <w:col w:w="8106"/>
          </w:cols>
        </w:sectPr>
      </w:pPr>
    </w:p>
    <w:p>
      <w:pPr>
        <w:pStyle w:val="Heading4"/>
        <w:spacing w:line="300" w:lineRule="exact" w:before="0"/>
        <w:ind w:right="0"/>
        <w:jc w:val="left"/>
      </w:pPr>
      <w:r>
        <w:rPr>
          <w:spacing w:val="20"/>
        </w:rPr>
        <w:t>基于云架构分布式开发、测试、</w:t>
      </w:r>
      <w:r>
        <w:rPr>
          <w:spacing w:val="-87"/>
        </w:rPr>
        <w:t> </w:t>
      </w:r>
      <w:r>
        <w:rPr>
          <w:spacing w:val="-10"/>
        </w:rPr>
        <w:t>推广。项目主要研究内容：</w:t>
      </w:r>
      <w:r>
        <w:rPr>
          <w:rFonts w:ascii="Times New Roman" w:hAnsi="Times New Roman" w:cs="Times New Roman" w:eastAsia="Times New Roman" w:hint="default"/>
          <w:spacing w:val="-10"/>
        </w:rPr>
        <w:t>1</w:t>
      </w:r>
      <w:r>
        <w:rPr>
          <w:spacing w:val="-10"/>
        </w:rPr>
        <w:t>、自动化批处理机制；</w:t>
      </w:r>
      <w:r>
        <w:rPr>
          <w:rFonts w:ascii="Times New Roman" w:hAnsi="Times New Roman" w:cs="Times New Roman" w:eastAsia="Times New Roman" w:hint="default"/>
          <w:spacing w:val="-10"/>
        </w:rPr>
        <w:t>2</w:t>
      </w:r>
      <w:r>
        <w:rPr>
          <w:spacing w:val="-10"/>
        </w:rPr>
        <w:t>、</w:t>
      </w:r>
      <w:r>
        <w:rPr>
          <w:spacing w:val="-76"/>
        </w:rPr>
        <w:t> </w:t>
      </w:r>
      <w:r>
        <w:rPr>
          <w:spacing w:val="6"/>
        </w:rPr>
        <w:t>高金融</w:t>
      </w:r>
    </w:p>
    <w:p>
      <w:pPr>
        <w:spacing w:after="0" w:line="300" w:lineRule="exact"/>
        <w:jc w:val="left"/>
        <w:sectPr>
          <w:type w:val="continuous"/>
          <w:pgSz w:w="11910" w:h="16840"/>
          <w:pgMar w:top="1060" w:bottom="1160" w:left="980" w:right="0"/>
        </w:sectPr>
      </w:pPr>
    </w:p>
    <w:p>
      <w:pPr>
        <w:pStyle w:val="Heading4"/>
        <w:spacing w:line="259" w:lineRule="auto" w:before="7"/>
        <w:ind w:right="-18"/>
        <w:jc w:val="left"/>
      </w:pPr>
      <w:r>
        <w:rPr>
          <w:spacing w:val="18"/>
        </w:rPr>
        <w:t>调度管理系统关键试运行</w:t>
      </w:r>
      <w:r>
        <w:rPr>
          <w:w w:val="99"/>
        </w:rPr>
        <w:t> </w:t>
      </w:r>
      <w:r>
        <w:rPr/>
        <w:t>技术研发</w:t>
      </w:r>
    </w:p>
    <w:p>
      <w:pPr>
        <w:pStyle w:val="Heading4"/>
        <w:spacing w:line="249" w:lineRule="auto" w:before="7"/>
        <w:ind w:right="1951"/>
        <w:jc w:val="left"/>
      </w:pPr>
      <w:r>
        <w:rPr>
          <w:spacing w:val="-7"/>
          <w:w w:val="99"/>
        </w:rPr>
        <w:br w:type="column"/>
      </w:r>
      <w:r>
        <w:rPr>
          <w:spacing w:val="-7"/>
          <w:w w:val="99"/>
        </w:rPr>
        <w:t>效的、基于</w:t>
      </w:r>
      <w:r>
        <w:rPr>
          <w:rFonts w:ascii="Times New Roman" w:hAnsi="Times New Roman" w:cs="Times New Roman" w:eastAsia="Times New Roman" w:hint="default"/>
          <w:spacing w:val="-7"/>
          <w:w w:val="99"/>
        </w:rPr>
        <w:t>spring </w:t>
      </w:r>
      <w:r>
        <w:rPr>
          <w:rFonts w:ascii="Times New Roman" w:hAnsi="Times New Roman" w:cs="Times New Roman" w:eastAsia="Times New Roman" w:hint="default"/>
          <w:spacing w:val="-10"/>
          <w:w w:val="99"/>
        </w:rPr>
        <w:t>cloud</w:t>
      </w:r>
      <w:r>
        <w:rPr>
          <w:spacing w:val="-10"/>
          <w:w w:val="99"/>
        </w:rPr>
        <w:t>的分布式批处理调度平台；</w:t>
      </w:r>
      <w:r>
        <w:rPr>
          <w:rFonts w:ascii="Times New Roman" w:hAnsi="Times New Roman" w:cs="Times New Roman" w:eastAsia="Times New Roman" w:hint="default"/>
          <w:spacing w:val="-10"/>
          <w:w w:val="99"/>
        </w:rPr>
        <w:t>3</w:t>
      </w:r>
      <w:r>
        <w:rPr>
          <w:spacing w:val="-10"/>
          <w:w w:val="99"/>
        </w:rPr>
        <w:t>、（</w:t>
      </w:r>
      <w:r>
        <w:rPr>
          <w:rFonts w:ascii="Times New Roman" w:hAnsi="Times New Roman" w:cs="Times New Roman" w:eastAsia="Times New Roman" w:hint="default"/>
          <w:spacing w:val="-10"/>
          <w:w w:val="99"/>
        </w:rPr>
        <w:t>3</w:t>
      </w:r>
      <w:r>
        <w:rPr>
          <w:spacing w:val="-10"/>
          <w:w w:val="99"/>
        </w:rPr>
        <w:t>）</w:t>
      </w:r>
      <w:r>
        <w:rPr>
          <w:w w:val="99"/>
        </w:rPr>
        <w:t> </w:t>
      </w:r>
      <w:r>
        <w:rPr/>
        <w:t>具备良好用户体验、实时的分布式调度监控平台。主要</w:t>
      </w:r>
      <w:r>
        <w:rPr>
          <w:spacing w:val="-96"/>
        </w:rPr>
        <w:t> </w:t>
      </w:r>
      <w:r>
        <w:rPr>
          <w:spacing w:val="-96"/>
        </w:rPr>
      </w:r>
      <w:r>
        <w:rPr>
          <w:spacing w:val="-11"/>
        </w:rPr>
        <w:t>技术创新点：</w:t>
      </w:r>
      <w:r>
        <w:rPr>
          <w:rFonts w:ascii="Times New Roman" w:hAnsi="Times New Roman" w:cs="Times New Roman" w:eastAsia="Times New Roman" w:hint="default"/>
          <w:spacing w:val="-11"/>
        </w:rPr>
        <w:t>1</w:t>
      </w:r>
      <w:r>
        <w:rPr>
          <w:spacing w:val="-11"/>
        </w:rPr>
        <w:t>、微服务的业务拆分和部署；</w:t>
      </w:r>
      <w:r>
        <w:rPr>
          <w:rFonts w:ascii="Times New Roman" w:hAnsi="Times New Roman" w:cs="Times New Roman" w:eastAsia="Times New Roman" w:hint="default"/>
          <w:spacing w:val="-11"/>
        </w:rPr>
        <w:t>2</w:t>
      </w:r>
      <w:r>
        <w:rPr>
          <w:spacing w:val="-11"/>
        </w:rPr>
        <w:t>、基于</w:t>
      </w:r>
      <w:r>
        <w:rPr>
          <w:rFonts w:ascii="Times New Roman" w:hAnsi="Times New Roman" w:cs="Times New Roman" w:eastAsia="Times New Roman" w:hint="default"/>
          <w:spacing w:val="-11"/>
        </w:rPr>
        <w:t>spring</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1"/>
        </w:rPr>
        <w:t>cloud</w:t>
      </w:r>
      <w:r>
        <w:rPr>
          <w:spacing w:val="-1"/>
        </w:rPr>
        <w:t>的分布式架构；</w:t>
      </w:r>
      <w:r>
        <w:rPr>
          <w:rFonts w:ascii="Times New Roman" w:hAnsi="Times New Roman" w:cs="Times New Roman" w:eastAsia="Times New Roman" w:hint="default"/>
          <w:spacing w:val="-1"/>
        </w:rPr>
        <w:t>3</w:t>
      </w:r>
      <w:r>
        <w:rPr>
          <w:spacing w:val="-1"/>
        </w:rPr>
        <w:t>、实时且可管理的调度监控系统；</w:t>
      </w:r>
      <w:r>
        <w:rPr>
          <w:w w:val="99"/>
        </w:rPr>
        <w:t> </w:t>
      </w:r>
      <w:r>
        <w:rPr>
          <w:rFonts w:ascii="Times New Roman" w:hAnsi="Times New Roman" w:cs="Times New Roman" w:eastAsia="Times New Roman" w:hint="default"/>
          <w:spacing w:val="2"/>
        </w:rPr>
        <w:t>4</w:t>
      </w:r>
      <w:r>
        <w:rPr>
          <w:spacing w:val="2"/>
        </w:rPr>
        <w:t>、高效的非关系型数据存储</w:t>
      </w:r>
      <w:r>
        <w:rPr>
          <w:rFonts w:ascii="Times New Roman" w:hAnsi="Times New Roman" w:cs="Times New Roman" w:eastAsia="Times New Roman" w:hint="default"/>
          <w:spacing w:val="2"/>
        </w:rPr>
        <w:t>Elastic</w:t>
      </w:r>
      <w:r>
        <w:rPr>
          <w:rFonts w:ascii="Times New Roman" w:hAnsi="Times New Roman" w:cs="Times New Roman" w:eastAsia="Times New Roman" w:hint="default"/>
          <w:spacing w:val="46"/>
        </w:rPr>
        <w:t> </w:t>
      </w:r>
      <w:r>
        <w:rPr>
          <w:rFonts w:ascii="Times New Roman" w:hAnsi="Times New Roman" w:cs="Times New Roman" w:eastAsia="Times New Roman" w:hint="default"/>
        </w:rPr>
        <w:t>Search</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jenkins</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自动化构建及</w:t>
      </w:r>
      <w:r>
        <w:rPr>
          <w:rFonts w:ascii="Times New Roman" w:hAnsi="Times New Roman" w:cs="Times New Roman" w:eastAsia="Times New Roman" w:hint="default"/>
        </w:rPr>
        <w:t>docker</w:t>
      </w:r>
      <w:r>
        <w:rPr/>
        <w:t>容器化部署。</w:t>
      </w:r>
    </w:p>
    <w:p>
      <w:pPr>
        <w:spacing w:after="0" w:line="249" w:lineRule="auto"/>
        <w:jc w:val="left"/>
        <w:sectPr>
          <w:type w:val="continuous"/>
          <w:pgSz w:w="11910" w:h="16840"/>
          <w:pgMar w:top="1060" w:bottom="1160" w:left="980" w:right="0"/>
          <w:cols w:num="2" w:equalWidth="0">
            <w:col w:w="2784" w:space="597"/>
            <w:col w:w="7549"/>
          </w:cols>
        </w:sectPr>
      </w:pPr>
    </w:p>
    <w:p>
      <w:pPr>
        <w:pStyle w:val="Heading4"/>
        <w:spacing w:line="240" w:lineRule="auto" w:before="32"/>
        <w:ind w:right="1972"/>
        <w:jc w:val="left"/>
      </w:pPr>
      <w:r>
        <w:rPr>
          <w:spacing w:val="20"/>
        </w:rPr>
        <w:t>银行人工智能营销开发、测试、</w:t>
      </w:r>
      <w:r>
        <w:rPr>
          <w:spacing w:val="-80"/>
        </w:rPr>
        <w:t> </w:t>
      </w:r>
      <w:r>
        <w:rPr/>
        <w:t>开发出新一代银行人工智能营销系统，主要技术指标达</w:t>
      </w:r>
    </w:p>
    <w:p>
      <w:pPr>
        <w:spacing w:after="0" w:line="240" w:lineRule="auto"/>
        <w:jc w:val="left"/>
        <w:sectPr>
          <w:type w:val="continuous"/>
          <w:pgSz w:w="11910" w:h="16840"/>
          <w:pgMar w:top="1060" w:bottom="1160" w:left="980" w:right="0"/>
        </w:sectPr>
      </w:pPr>
    </w:p>
    <w:p>
      <w:pPr>
        <w:pStyle w:val="Heading4"/>
        <w:spacing w:line="259" w:lineRule="auto"/>
        <w:ind w:right="-18"/>
        <w:jc w:val="left"/>
      </w:pPr>
      <w:r>
        <w:rPr/>
        <w:pict>
          <v:group style="position:absolute;margin-left:55.619984pt;margin-top:71.639984pt;width:489.5pt;height:684.6pt;mso-position-horizontal-relative:page;mso-position-vertical-relative:page;z-index:-1441144" coordorigin="1112,1433" coordsize="9790,13692">
            <v:group style="position:absolute;left:1134;top:1447;width:1953;height:2" coordorigin="1134,1447" coordsize="1953,2">
              <v:shape style="position:absolute;left:1134;top:1447;width:1953;height:2" coordorigin="1134,1447" coordsize="1953,0" path="m1134,1447l3087,1447e" filled="false" stroked="true" strokeweight=".72pt" strokecolor="#000000">
                <v:path arrowok="t"/>
              </v:shape>
            </v:group>
            <v:group style="position:absolute;left:3101;top:1447;width:1407;height:2" coordorigin="3101,1447" coordsize="1407,2">
              <v:shape style="position:absolute;left:3101;top:1447;width:1407;height:2" coordorigin="3101,1447" coordsize="1407,0" path="m3101,1447l4508,1447e" filled="false" stroked="true" strokeweight=".72pt" strokecolor="#000000">
                <v:path arrowok="t"/>
              </v:shape>
            </v:group>
            <v:group style="position:absolute;left:4522;top:1447;width:5306;height:2" coordorigin="4522,1447" coordsize="5306,2">
              <v:shape style="position:absolute;left:4522;top:1447;width:5306;height:2" coordorigin="4522,1447" coordsize="5306,0" path="m4522,1447l9828,1447e" filled="false" stroked="true" strokeweight=".72pt" strokecolor="#000000">
                <v:path arrowok="t"/>
              </v:shape>
            </v:group>
            <v:group style="position:absolute;left:9842;top:1447;width:1046;height:2" coordorigin="9842,1447" coordsize="1046,2">
              <v:shape style="position:absolute;left:9842;top:1447;width:1046;height:2" coordorigin="9842,1447" coordsize="1046,0" path="m9842,1447l10888,1447e" filled="false" stroked="true" strokeweight=".72pt" strokecolor="#000000">
                <v:path arrowok="t"/>
              </v:shape>
            </v:group>
            <v:group style="position:absolute;left:1134;top:1794;width:1953;height:2" coordorigin="1134,1794" coordsize="1953,2">
              <v:shape style="position:absolute;left:1134;top:1794;width:1953;height:2" coordorigin="1134,1794" coordsize="1953,0" path="m1134,1794l3087,1794e" filled="false" stroked="true" strokeweight=".72pt" strokecolor="#000000">
                <v:path arrowok="t"/>
              </v:shape>
            </v:group>
            <v:group style="position:absolute;left:3101;top:1794;width:1407;height:2" coordorigin="3101,1794" coordsize="1407,2">
              <v:shape style="position:absolute;left:3101;top:1794;width:1407;height:2" coordorigin="3101,1794" coordsize="1407,0" path="m3101,1794l4508,1794e" filled="false" stroked="true" strokeweight=".72pt" strokecolor="#000000">
                <v:path arrowok="t"/>
              </v:shape>
            </v:group>
            <v:group style="position:absolute;left:4522;top:1794;width:5306;height:2" coordorigin="4522,1794" coordsize="5306,2">
              <v:shape style="position:absolute;left:4522;top:1794;width:5306;height:2" coordorigin="4522,1794" coordsize="5306,0" path="m4522,1794l9828,1794e" filled="false" stroked="true" strokeweight=".72pt" strokecolor="#000000">
                <v:path arrowok="t"/>
              </v:shape>
            </v:group>
            <v:group style="position:absolute;left:9842;top:1794;width:1046;height:2" coordorigin="9842,1794" coordsize="1046,2">
              <v:shape style="position:absolute;left:9842;top:1794;width:1046;height:2" coordorigin="9842,1794" coordsize="1046,0" path="m9842,1794l10888,1794e" filled="false" stroked="true" strokeweight=".72pt" strokecolor="#000000">
                <v:path arrowok="t"/>
              </v:shape>
            </v:group>
            <v:group style="position:absolute;left:1134;top:5261;width:1953;height:2" coordorigin="1134,5261" coordsize="1953,2">
              <v:shape style="position:absolute;left:1134;top:5261;width:1953;height:2" coordorigin="1134,5261" coordsize="1953,0" path="m1134,5261l3087,5261e" filled="false" stroked="true" strokeweight=".72pt" strokecolor="#000000">
                <v:path arrowok="t"/>
              </v:shape>
            </v:group>
            <v:group style="position:absolute;left:3101;top:5261;width:1407;height:2" coordorigin="3101,5261" coordsize="1407,2">
              <v:shape style="position:absolute;left:3101;top:5261;width:1407;height:2" coordorigin="3101,5261" coordsize="1407,0" path="m3101,5261l4508,5261e" filled="false" stroked="true" strokeweight=".72pt" strokecolor="#000000">
                <v:path arrowok="t"/>
              </v:shape>
            </v:group>
            <v:group style="position:absolute;left:4522;top:5261;width:5306;height:2" coordorigin="4522,5261" coordsize="5306,2">
              <v:shape style="position:absolute;left:4522;top:5261;width:5306;height:2" coordorigin="4522,5261" coordsize="5306,0" path="m4522,5261l9828,5261e" filled="false" stroked="true" strokeweight=".72pt" strokecolor="#000000">
                <v:path arrowok="t"/>
              </v:shape>
            </v:group>
            <v:group style="position:absolute;left:9842;top:5261;width:1046;height:2" coordorigin="9842,5261" coordsize="1046,2">
              <v:shape style="position:absolute;left:9842;top:5261;width:1046;height:2" coordorigin="9842,5261" coordsize="1046,0" path="m9842,5261l10888,5261e" filled="false" stroked="true" strokeweight=".72pt" strokecolor="#000000">
                <v:path arrowok="t"/>
              </v:shape>
            </v:group>
            <v:group style="position:absolute;left:1134;top:7480;width:1953;height:2" coordorigin="1134,7480" coordsize="1953,2">
              <v:shape style="position:absolute;left:1134;top:7480;width:1953;height:2" coordorigin="1134,7480" coordsize="1953,0" path="m1134,7480l3087,7480e" filled="false" stroked="true" strokeweight=".72pt" strokecolor="#000000">
                <v:path arrowok="t"/>
              </v:shape>
            </v:group>
            <v:group style="position:absolute;left:3101;top:7480;width:1407;height:2" coordorigin="3101,7480" coordsize="1407,2">
              <v:shape style="position:absolute;left:3101;top:7480;width:1407;height:2" coordorigin="3101,7480" coordsize="1407,0" path="m3101,7480l4508,7480e" filled="false" stroked="true" strokeweight=".72pt" strokecolor="#000000">
                <v:path arrowok="t"/>
              </v:shape>
            </v:group>
            <v:group style="position:absolute;left:4522;top:7480;width:5306;height:2" coordorigin="4522,7480" coordsize="5306,2">
              <v:shape style="position:absolute;left:4522;top:7480;width:5306;height:2" coordorigin="4522,7480" coordsize="5306,0" path="m4522,7480l9828,7480e" filled="false" stroked="true" strokeweight=".72pt" strokecolor="#000000">
                <v:path arrowok="t"/>
              </v:shape>
            </v:group>
            <v:group style="position:absolute;left:9842;top:7480;width:1046;height:2" coordorigin="9842,7480" coordsize="1046,2">
              <v:shape style="position:absolute;left:9842;top:7480;width:1046;height:2" coordorigin="9842,7480" coordsize="1046,0" path="m9842,7480l10888,7480e" filled="false" stroked="true" strokeweight=".72pt" strokecolor="#000000">
                <v:path arrowok="t"/>
              </v:shape>
            </v:group>
            <v:group style="position:absolute;left:1134;top:9700;width:1953;height:2" coordorigin="1134,9700" coordsize="1953,2">
              <v:shape style="position:absolute;left:1134;top:9700;width:1953;height:2" coordorigin="1134,9700" coordsize="1953,0" path="m1134,9700l3087,9700e" filled="false" stroked="true" strokeweight=".71997pt" strokecolor="#000000">
                <v:path arrowok="t"/>
              </v:shape>
            </v:group>
            <v:group style="position:absolute;left:3101;top:9700;width:1407;height:2" coordorigin="3101,9700" coordsize="1407,2">
              <v:shape style="position:absolute;left:3101;top:9700;width:1407;height:2" coordorigin="3101,9700" coordsize="1407,0" path="m3101,9700l4508,9700e" filled="false" stroked="true" strokeweight=".71997pt" strokecolor="#000000">
                <v:path arrowok="t"/>
              </v:shape>
            </v:group>
            <v:group style="position:absolute;left:4522;top:9700;width:5306;height:2" coordorigin="4522,9700" coordsize="5306,2">
              <v:shape style="position:absolute;left:4522;top:9700;width:5306;height:2" coordorigin="4522,9700" coordsize="5306,0" path="m4522,9700l9828,9700e" filled="false" stroked="true" strokeweight=".71997pt" strokecolor="#000000">
                <v:path arrowok="t"/>
              </v:shape>
            </v:group>
            <v:group style="position:absolute;left:9842;top:9700;width:1046;height:2" coordorigin="9842,9700" coordsize="1046,2">
              <v:shape style="position:absolute;left:9842;top:9700;width:1046;height:2" coordorigin="9842,9700" coordsize="1046,0" path="m9842,9700l10888,9700e" filled="false" stroked="true" strokeweight=".71997pt" strokecolor="#000000">
                <v:path arrowok="t"/>
              </v:shape>
            </v:group>
            <v:group style="position:absolute;left:1134;top:11295;width:1953;height:2" coordorigin="1134,11295" coordsize="1953,2">
              <v:shape style="position:absolute;left:1134;top:11295;width:1953;height:2" coordorigin="1134,11295" coordsize="1953,0" path="m1134,11295l3087,11295e" filled="false" stroked="true" strokeweight=".72003pt" strokecolor="#000000">
                <v:path arrowok="t"/>
              </v:shape>
            </v:group>
            <v:group style="position:absolute;left:3101;top:11295;width:1407;height:2" coordorigin="3101,11295" coordsize="1407,2">
              <v:shape style="position:absolute;left:3101;top:11295;width:1407;height:2" coordorigin="3101,11295" coordsize="1407,0" path="m3101,11295l4508,11295e" filled="false" stroked="true" strokeweight=".72003pt" strokecolor="#000000">
                <v:path arrowok="t"/>
              </v:shape>
            </v:group>
            <v:group style="position:absolute;left:4522;top:11295;width:5306;height:2" coordorigin="4522,11295" coordsize="5306,2">
              <v:shape style="position:absolute;left:4522;top:11295;width:5306;height:2" coordorigin="4522,11295" coordsize="5306,0" path="m4522,11295l9828,11295e" filled="false" stroked="true" strokeweight=".72003pt" strokecolor="#000000">
                <v:path arrowok="t"/>
              </v:shape>
            </v:group>
            <v:group style="position:absolute;left:9842;top:11295;width:1046;height:2" coordorigin="9842,11295" coordsize="1046,2">
              <v:shape style="position:absolute;left:9842;top:11295;width:1046;height:2" coordorigin="9842,11295" coordsize="1046,0" path="m9842,11295l10888,11295e" filled="false" stroked="true" strokeweight=".72003pt" strokecolor="#000000">
                <v:path arrowok="t"/>
              </v:shape>
            </v:group>
            <v:group style="position:absolute;left:1134;top:14138;width:1953;height:2" coordorigin="1134,14138" coordsize="1953,2">
              <v:shape style="position:absolute;left:1134;top:14138;width:1953;height:2" coordorigin="1134,14138" coordsize="1953,0" path="m1134,14138l3087,14138e" filled="false" stroked="true" strokeweight=".71997pt" strokecolor="#000000">
                <v:path arrowok="t"/>
              </v:shape>
            </v:group>
            <v:group style="position:absolute;left:3101;top:14138;width:1407;height:2" coordorigin="3101,14138" coordsize="1407,2">
              <v:shape style="position:absolute;left:3101;top:14138;width:1407;height:2" coordorigin="3101,14138" coordsize="1407,0" path="m3101,14138l4508,14138e" filled="false" stroked="true" strokeweight=".71997pt" strokecolor="#000000">
                <v:path arrowok="t"/>
              </v:shape>
            </v:group>
            <v:group style="position:absolute;left:4522;top:14138;width:5306;height:2" coordorigin="4522,14138" coordsize="5306,2">
              <v:shape style="position:absolute;left:4522;top:14138;width:5306;height:2" coordorigin="4522,14138" coordsize="5306,0" path="m4522,14138l9828,14138e" filled="false" stroked="true" strokeweight=".71997pt" strokecolor="#000000">
                <v:path arrowok="t"/>
              </v:shape>
            </v:group>
            <v:group style="position:absolute;left:9842;top:14138;width:1046;height:2" coordorigin="9842,14138" coordsize="1046,2">
              <v:shape style="position:absolute;left:9842;top:14138;width:1046;height:2" coordorigin="9842,14138" coordsize="1046,0" path="m9842,14138l10888,14138e" filled="false" stroked="true" strokeweight=".71997pt" strokecolor="#000000">
                <v:path arrowok="t"/>
              </v:shape>
            </v:group>
            <v:group style="position:absolute;left:1120;top:15110;width:1968;height:2" coordorigin="1120,15110" coordsize="1968,2">
              <v:shape style="position:absolute;left:1120;top:15110;width:1968;height:2" coordorigin="1120,15110" coordsize="1968,0" path="m1120,15110l3087,15110e" filled="false" stroked="true" strokeweight=".72003pt" strokecolor="#000000">
                <v:path arrowok="t"/>
              </v:shape>
            </v:group>
            <v:group style="position:absolute;left:3094;top:1440;width:2;height:13678" coordorigin="3094,1440" coordsize="2,13678">
              <v:shape style="position:absolute;left:3094;top:1440;width:2;height:13678" coordorigin="3094,1440" coordsize="0,13678" path="m3094,1440l3094,15118e" filled="false" stroked="true" strokeweight=".72pt" strokecolor="#000000">
                <v:path arrowok="t"/>
              </v:shape>
            </v:group>
            <v:group style="position:absolute;left:3101;top:15110;width:1407;height:2" coordorigin="3101,15110" coordsize="1407,2">
              <v:shape style="position:absolute;left:3101;top:15110;width:1407;height:2" coordorigin="3101,15110" coordsize="1407,0" path="m3101,15110l4508,15110e" filled="false" stroked="true" strokeweight=".72003pt" strokecolor="#000000">
                <v:path arrowok="t"/>
              </v:shape>
            </v:group>
            <v:group style="position:absolute;left:4515;top:1440;width:2;height:13678" coordorigin="4515,1440" coordsize="2,13678">
              <v:shape style="position:absolute;left:4515;top:1440;width:2;height:13678" coordorigin="4515,1440" coordsize="0,13678" path="m4515,1440l4515,15118e" filled="false" stroked="true" strokeweight=".72pt" strokecolor="#000000">
                <v:path arrowok="t"/>
              </v:shape>
            </v:group>
            <v:group style="position:absolute;left:4522;top:15110;width:5306;height:2" coordorigin="4522,15110" coordsize="5306,2">
              <v:shape style="position:absolute;left:4522;top:15110;width:5306;height:2" coordorigin="4522,15110" coordsize="5306,0" path="m4522,15110l9828,15110e" filled="false" stroked="true" strokeweight=".72003pt" strokecolor="#000000">
                <v:path arrowok="t"/>
              </v:shape>
            </v:group>
            <v:group style="position:absolute;left:9835;top:1440;width:2;height:13678" coordorigin="9835,1440" coordsize="2,13678">
              <v:shape style="position:absolute;left:9835;top:1440;width:2;height:13678" coordorigin="9835,1440" coordsize="0,13678" path="m9835,1440l9835,15118e" filled="false" stroked="true" strokeweight=".72pt" strokecolor="#000000">
                <v:path arrowok="t"/>
              </v:shape>
            </v:group>
            <v:group style="position:absolute;left:9842;top:15110;width:1046;height:2" coordorigin="9842,15110" coordsize="1046,2">
              <v:shape style="position:absolute;left:9842;top:15110;width:1046;height:2" coordorigin="9842,15110" coordsize="1046,0" path="m9842,15110l10888,15110e" filled="false" stroked="true" strokeweight=".72003pt" strokecolor="#000000">
                <v:path arrowok="t"/>
              </v:shape>
            </v:group>
            <v:group style="position:absolute;left:10895;top:1440;width:2;height:13678" coordorigin="10895,1440" coordsize="2,13678">
              <v:shape style="position:absolute;left:10895;top:1440;width:2;height:13678" coordorigin="10895,1440" coordsize="0,13678" path="m10895,1440l10895,15118e" filled="false" stroked="true" strokeweight=".71997pt" strokecolor="#000000">
                <v:path arrowok="t"/>
              </v:shape>
            </v:group>
            <w10:wrap type="none"/>
          </v:group>
        </w:pict>
      </w:r>
      <w:r>
        <w:rPr>
          <w:spacing w:val="18"/>
        </w:rPr>
        <w:t>系统的关键技术研试运行</w:t>
      </w:r>
      <w:r>
        <w:rPr>
          <w:w w:val="99"/>
        </w:rPr>
        <w:t> </w:t>
      </w:r>
      <w:r>
        <w:rPr/>
        <w:t>发</w:t>
      </w:r>
    </w:p>
    <w:p>
      <w:pPr>
        <w:pStyle w:val="Heading4"/>
        <w:spacing w:line="259" w:lineRule="auto"/>
        <w:ind w:right="0"/>
        <w:jc w:val="left"/>
      </w:pPr>
      <w:r>
        <w:rPr/>
        <w:br w:type="column"/>
      </w:r>
      <w:r>
        <w:rPr/>
        <w:t>到国内领先水平，提供适用于金融行业的应用个性化推金融</w:t>
      </w:r>
      <w:r>
        <w:rPr>
          <w:spacing w:val="-76"/>
        </w:rPr>
        <w:t> </w:t>
      </w:r>
      <w:r>
        <w:rPr>
          <w:spacing w:val="-76"/>
        </w:rPr>
      </w:r>
      <w:r>
        <w:rPr/>
        <w:t>荐技术，使银行金融业务能够满足中小银行在金融产品</w:t>
      </w:r>
    </w:p>
    <w:p>
      <w:pPr>
        <w:spacing w:after="0" w:line="259" w:lineRule="auto"/>
        <w:jc w:val="left"/>
        <w:sectPr>
          <w:type w:val="continuous"/>
          <w:pgSz w:w="11910" w:h="16840"/>
          <w:pgMar w:top="1060" w:bottom="1160" w:left="980" w:right="0"/>
          <w:cols w:num="2" w:equalWidth="0">
            <w:col w:w="2784" w:space="597"/>
            <w:col w:w="7549"/>
          </w:cols>
        </w:sectPr>
      </w:pPr>
    </w:p>
    <w:p>
      <w:pPr>
        <w:spacing w:line="240" w:lineRule="auto" w:before="3"/>
        <w:rPr>
          <w:rFonts w:ascii="宋体" w:hAnsi="宋体" w:cs="宋体" w:eastAsia="宋体" w:hint="default"/>
          <w:sz w:val="26"/>
          <w:szCs w:val="26"/>
        </w:rPr>
      </w:pPr>
    </w:p>
    <w:p>
      <w:pPr>
        <w:pStyle w:val="Heading4"/>
        <w:spacing w:line="252" w:lineRule="auto" w:before="31"/>
        <w:ind w:left="3544" w:right="1972"/>
        <w:jc w:val="left"/>
      </w:pPr>
      <w:r>
        <w:rPr/>
        <w:t>连续销售、交叉营销的需求，达到新客获取和客户维护</w:t>
      </w:r>
      <w:r>
        <w:rPr>
          <w:spacing w:val="-96"/>
        </w:rPr>
        <w:t> </w:t>
      </w:r>
      <w:r>
        <w:rPr>
          <w:spacing w:val="-96"/>
        </w:rPr>
      </w:r>
      <w:r>
        <w:rPr/>
        <w:t>的良好效果，在海量数据环境打造高性能高可用高扩展</w:t>
      </w:r>
      <w:r>
        <w:rPr>
          <w:spacing w:val="-96"/>
        </w:rPr>
        <w:t> </w:t>
      </w:r>
      <w:r>
        <w:rPr>
          <w:spacing w:val="-96"/>
        </w:rPr>
      </w:r>
      <w:r>
        <w:rPr>
          <w:spacing w:val="3"/>
        </w:rPr>
        <w:t>的</w:t>
      </w:r>
      <w:r>
        <w:rPr>
          <w:rFonts w:ascii="Times New Roman" w:hAnsi="Times New Roman" w:cs="Times New Roman" w:eastAsia="Times New Roman" w:hint="default"/>
          <w:spacing w:val="3"/>
        </w:rPr>
        <w:t>AI</w:t>
      </w:r>
      <w:r>
        <w:rPr>
          <w:spacing w:val="3"/>
        </w:rPr>
        <w:t>智能营销系统，实现大数据</w:t>
      </w:r>
      <w:r>
        <w:rPr>
          <w:rFonts w:ascii="Times New Roman" w:hAnsi="Times New Roman" w:cs="Times New Roman" w:eastAsia="Times New Roman" w:hint="default"/>
          <w:spacing w:val="3"/>
        </w:rPr>
        <w:t>+</w:t>
      </w:r>
      <w:r>
        <w:rPr>
          <w:spacing w:val="3"/>
        </w:rPr>
        <w:t>人工智能技术对营销</w:t>
      </w:r>
      <w:r>
        <w:rPr>
          <w:spacing w:val="-96"/>
        </w:rPr>
        <w:t> </w:t>
      </w:r>
      <w:r>
        <w:rPr/>
        <w:t>体系的优化升级。主要技术创新点：</w:t>
      </w:r>
      <w:r>
        <w:rPr>
          <w:rFonts w:ascii="Times New Roman" w:hAnsi="Times New Roman" w:cs="Times New Roman" w:eastAsia="Times New Roman" w:hint="default"/>
        </w:rPr>
        <w:t>1</w:t>
      </w:r>
      <w:r>
        <w:rPr/>
        <w:t>、实时数据处理：</w:t>
      </w:r>
      <w:r>
        <w:rPr>
          <w:w w:val="99"/>
        </w:rPr>
        <w:t> </w:t>
      </w:r>
      <w:r>
        <w:rPr/>
        <w:t>数据实时统计分析，实时数据统计图表，客群分群实时</w:t>
      </w:r>
      <w:r>
        <w:rPr>
          <w:spacing w:val="-96"/>
        </w:rPr>
        <w:t> </w:t>
      </w:r>
      <w:r>
        <w:rPr>
          <w:spacing w:val="-96"/>
        </w:rPr>
      </w:r>
      <w:r>
        <w:rPr>
          <w:spacing w:val="-4"/>
        </w:rPr>
        <w:t>跟踪，实时用户偏好跟踪。</w:t>
      </w:r>
      <w:r>
        <w:rPr>
          <w:rFonts w:ascii="Times New Roman" w:hAnsi="Times New Roman" w:cs="Times New Roman" w:eastAsia="Times New Roman" w:hint="default"/>
          <w:spacing w:val="-4"/>
        </w:rPr>
        <w:t>2</w:t>
      </w:r>
      <w:r>
        <w:rPr>
          <w:spacing w:val="-4"/>
        </w:rPr>
        <w:t>、高维海量数据支持：多维</w:t>
      </w:r>
      <w:r>
        <w:rPr>
          <w:w w:val="99"/>
        </w:rPr>
        <w:t> </w:t>
      </w:r>
      <w:r>
        <w:rPr/>
        <w:t>度客户特征宽表，支持亿级，</w:t>
      </w:r>
      <w:r>
        <w:rPr>
          <w:rFonts w:ascii="Times New Roman" w:hAnsi="Times New Roman" w:cs="Times New Roman" w:eastAsia="Times New Roman" w:hint="default"/>
        </w:rPr>
        <w:t>TB</w:t>
      </w:r>
      <w:r>
        <w:rPr/>
        <w:t>级的数据存储，可基于</w:t>
      </w:r>
      <w:r>
        <w:rPr>
          <w:w w:val="99"/>
        </w:rPr>
        <w:t> </w:t>
      </w:r>
      <w:r>
        <w:rPr>
          <w:spacing w:val="-4"/>
        </w:rPr>
        <w:t>不同量级数据水平扩展。</w:t>
      </w:r>
      <w:r>
        <w:rPr>
          <w:rFonts w:ascii="Times New Roman" w:hAnsi="Times New Roman" w:cs="Times New Roman" w:eastAsia="Times New Roman" w:hint="default"/>
          <w:spacing w:val="-4"/>
        </w:rPr>
        <w:t>3</w:t>
      </w:r>
      <w:r>
        <w:rPr>
          <w:spacing w:val="-4"/>
        </w:rPr>
        <w:t>、分布式弹性计算：微服务架</w:t>
      </w:r>
      <w:r>
        <w:rPr>
          <w:w w:val="99"/>
        </w:rPr>
        <w:t> </w:t>
      </w:r>
      <w:r>
        <w:rPr/>
        <w:t>构体系，高可用服务，服务间无状态调用，处理能力可</w:t>
      </w:r>
      <w:r>
        <w:rPr>
          <w:spacing w:val="-96"/>
        </w:rPr>
        <w:t> </w:t>
      </w:r>
      <w:r>
        <w:rPr>
          <w:spacing w:val="-96"/>
        </w:rPr>
      </w:r>
      <w:r>
        <w:rPr>
          <w:spacing w:val="-4"/>
        </w:rPr>
        <w:t>快速水平扩充。</w:t>
      </w:r>
      <w:r>
        <w:rPr>
          <w:rFonts w:ascii="Times New Roman" w:hAnsi="Times New Roman" w:cs="Times New Roman" w:eastAsia="Times New Roman" w:hint="default"/>
          <w:spacing w:val="-4"/>
        </w:rPr>
        <w:t>4</w:t>
      </w:r>
      <w:r>
        <w:rPr>
          <w:spacing w:val="-4"/>
        </w:rPr>
        <w:t>、机器学习集成：多种用户、商品的推</w:t>
      </w:r>
      <w:r>
        <w:rPr>
          <w:w w:val="99"/>
        </w:rPr>
        <w:t> </w:t>
      </w:r>
      <w:r>
        <w:rPr/>
        <w:t>荐算法，协同过滤算法，相关度计算，基于统计模型的</w:t>
      </w:r>
      <w:r>
        <w:rPr>
          <w:spacing w:val="-96"/>
        </w:rPr>
        <w:t> </w:t>
      </w:r>
      <w:r>
        <w:rPr>
          <w:spacing w:val="-96"/>
        </w:rPr>
      </w:r>
      <w:r>
        <w:rPr/>
        <w:t>分类、聚类。</w:t>
      </w:r>
    </w:p>
    <w:p>
      <w:pPr>
        <w:pStyle w:val="Heading4"/>
        <w:spacing w:line="254" w:lineRule="auto" w:before="48"/>
        <w:ind w:left="3544" w:right="0"/>
        <w:jc w:val="left"/>
      </w:pPr>
      <w:r>
        <w:rPr/>
        <w:t>项目建设内容包括包含前台和后台两大部分，前台为业</w:t>
      </w:r>
      <w:r>
        <w:rPr>
          <w:spacing w:val="-96"/>
        </w:rPr>
        <w:t> </w:t>
      </w:r>
      <w:r>
        <w:rPr>
          <w:spacing w:val="-96"/>
        </w:rPr>
      </w:r>
      <w:r>
        <w:rPr/>
        <w:t>务功能，移动端实现，主要供一线人员使用。后台为管</w:t>
      </w:r>
      <w:r>
        <w:rPr>
          <w:spacing w:val="-96"/>
        </w:rPr>
        <w:t> </w:t>
      </w:r>
      <w:r>
        <w:rPr>
          <w:spacing w:val="-96"/>
        </w:rPr>
      </w:r>
      <w:r>
        <w:rPr>
          <w:spacing w:val="-1"/>
          <w:w w:val="95"/>
        </w:rPr>
        <w:t>理功能，</w:t>
      </w:r>
      <w:r>
        <w:rPr>
          <w:rFonts w:ascii="Times New Roman" w:hAnsi="Times New Roman" w:cs="Times New Roman" w:eastAsia="Times New Roman" w:hint="default"/>
          <w:spacing w:val="-1"/>
          <w:w w:val="95"/>
        </w:rPr>
        <w:t>PC</w:t>
      </w:r>
      <w:r>
        <w:rPr>
          <w:spacing w:val="-1"/>
          <w:w w:val="95"/>
        </w:rPr>
        <w:t>端实现，供管理岗使用。前台模块说明：</w:t>
      </w:r>
      <w:r>
        <w:rPr>
          <w:rFonts w:ascii="Times New Roman" w:hAnsi="Times New Roman" w:cs="Times New Roman" w:eastAsia="Times New Roman" w:hint="default"/>
          <w:spacing w:val="-1"/>
          <w:w w:val="95"/>
        </w:rPr>
        <w:t>1</w:t>
      </w:r>
      <w:r>
        <w:rPr>
          <w:spacing w:val="-1"/>
          <w:w w:val="95"/>
        </w:rPr>
        <w:t>、</w:t>
      </w:r>
      <w:r>
        <w:rPr>
          <w:spacing w:val="53"/>
          <w:w w:val="95"/>
        </w:rPr>
        <w:t> </w:t>
      </w:r>
      <w:r>
        <w:rPr/>
        <w:t>通知通报：向用户推送公司的销售政策、活动、考核排</w:t>
      </w:r>
      <w:r>
        <w:rPr>
          <w:spacing w:val="-96"/>
        </w:rPr>
        <w:t> </w:t>
      </w:r>
      <w:r>
        <w:rPr>
          <w:spacing w:val="-96"/>
        </w:rPr>
      </w:r>
      <w:r>
        <w:rPr>
          <w:spacing w:val="-4"/>
        </w:rPr>
        <w:t>名、重点督办事件等。</w:t>
      </w:r>
      <w:r>
        <w:rPr>
          <w:rFonts w:ascii="Times New Roman" w:hAnsi="Times New Roman" w:cs="Times New Roman" w:eastAsia="Times New Roman" w:hint="default"/>
          <w:spacing w:val="-4"/>
        </w:rPr>
        <w:t>2</w:t>
      </w:r>
      <w:r>
        <w:rPr>
          <w:spacing w:val="-4"/>
        </w:rPr>
        <w:t>、我的网格：地图展示督导所管</w:t>
      </w:r>
      <w:r>
        <w:rPr>
          <w:w w:val="99"/>
        </w:rPr>
        <w:t> </w:t>
      </w:r>
      <w:r>
        <w:rPr/>
        <w:t>网格内门店位置，可对门店定位并签到。</w:t>
      </w:r>
      <w:r>
        <w:rPr>
          <w:rFonts w:ascii="Times New Roman" w:hAnsi="Times New Roman" w:cs="Times New Roman" w:eastAsia="Times New Roman" w:hint="default"/>
        </w:rPr>
        <w:t>3</w:t>
      </w:r>
      <w:r>
        <w:rPr/>
        <w:t>、我的任务：</w:t>
      </w:r>
    </w:p>
    <w:p>
      <w:pPr>
        <w:pStyle w:val="Heading4"/>
        <w:spacing w:line="297" w:lineRule="exact" w:before="0"/>
        <w:ind w:right="0"/>
        <w:jc w:val="left"/>
      </w:pPr>
      <w:r>
        <w:rPr>
          <w:spacing w:val="8"/>
        </w:rPr>
        <w:t>中国联通华盛公司</w:t>
      </w:r>
      <w:r>
        <w:rPr>
          <w:rFonts w:ascii="Times New Roman" w:hAnsi="Times New Roman" w:cs="Times New Roman" w:eastAsia="Times New Roman" w:hint="default"/>
          <w:spacing w:val="8"/>
        </w:rPr>
        <w:t>V</w:t>
      </w:r>
      <w:r>
        <w:rPr>
          <w:spacing w:val="8"/>
        </w:rPr>
        <w:t>开发、测试、</w:t>
      </w:r>
      <w:r>
        <w:rPr>
          <w:spacing w:val="-60"/>
        </w:rPr>
        <w:t> </w:t>
      </w:r>
      <w:r>
        <w:rPr/>
        <w:t>一线人员日常任务处理，包括签到，销售上报，库存上联通</w:t>
      </w:r>
    </w:p>
    <w:p>
      <w:pPr>
        <w:spacing w:after="0" w:line="297" w:lineRule="exact"/>
        <w:jc w:val="left"/>
        <w:sectPr>
          <w:pgSz w:w="11910" w:h="16840"/>
          <w:pgMar w:header="747" w:footer="979" w:top="1060" w:bottom="1160" w:left="980" w:right="0"/>
        </w:sectPr>
      </w:pPr>
    </w:p>
    <w:p>
      <w:pPr>
        <w:pStyle w:val="Heading4"/>
        <w:spacing w:line="240" w:lineRule="auto" w:before="7"/>
        <w:ind w:right="0"/>
        <w:jc w:val="left"/>
      </w:pPr>
      <w:r>
        <w:rPr>
          <w:w w:val="95"/>
        </w:rPr>
        <w:t>伴项目</w:t>
      </w:r>
      <w:r>
        <w:rPr/>
      </w:r>
    </w:p>
    <w:p>
      <w:pPr>
        <w:spacing w:before="7"/>
        <w:ind w:left="163" w:right="0" w:firstLine="0"/>
        <w:jc w:val="left"/>
        <w:rPr>
          <w:rFonts w:ascii="宋体" w:hAnsi="宋体" w:cs="宋体" w:eastAsia="宋体" w:hint="default"/>
          <w:sz w:val="22"/>
          <w:szCs w:val="22"/>
        </w:rPr>
      </w:pPr>
      <w:r>
        <w:rPr>
          <w:w w:val="95"/>
        </w:rPr>
        <w:br w:type="column"/>
      </w:r>
      <w:r>
        <w:rPr>
          <w:rFonts w:ascii="宋体" w:hAnsi="宋体" w:cs="宋体" w:eastAsia="宋体" w:hint="default"/>
          <w:w w:val="95"/>
          <w:sz w:val="22"/>
          <w:szCs w:val="22"/>
        </w:rPr>
        <w:t>试运行</w:t>
      </w:r>
      <w:r>
        <w:rPr>
          <w:rFonts w:ascii="宋体" w:hAnsi="宋体" w:cs="宋体" w:eastAsia="宋体" w:hint="default"/>
          <w:sz w:val="22"/>
          <w:szCs w:val="22"/>
        </w:rPr>
      </w:r>
    </w:p>
    <w:p>
      <w:pPr>
        <w:pStyle w:val="Heading4"/>
        <w:spacing w:line="252" w:lineRule="auto" w:before="7"/>
        <w:ind w:right="1962"/>
        <w:jc w:val="left"/>
      </w:pPr>
      <w:r>
        <w:rPr>
          <w:spacing w:val="-4"/>
        </w:rPr>
        <w:br w:type="column"/>
      </w:r>
      <w:r>
        <w:rPr>
          <w:spacing w:val="-4"/>
        </w:rPr>
        <w:t>报及总部下达的任务。</w:t>
      </w:r>
      <w:r>
        <w:rPr>
          <w:rFonts w:ascii="Times New Roman" w:hAnsi="Times New Roman" w:cs="Times New Roman" w:eastAsia="Times New Roman" w:hint="default"/>
          <w:spacing w:val="-4"/>
        </w:rPr>
        <w:t>4</w:t>
      </w:r>
      <w:r>
        <w:rPr>
          <w:spacing w:val="-4"/>
        </w:rPr>
        <w:t>、日常办公：一线人员日常工作</w:t>
      </w:r>
      <w:r>
        <w:rPr>
          <w:w w:val="99"/>
        </w:rPr>
        <w:t> </w:t>
      </w:r>
      <w:r>
        <w:rPr/>
        <w:t>可借助手机端完成，实现移动办公，包括请假，要货，</w:t>
      </w:r>
      <w:r>
        <w:rPr>
          <w:spacing w:val="-96"/>
        </w:rPr>
        <w:t> </w:t>
      </w:r>
      <w:r>
        <w:rPr>
          <w:spacing w:val="-96"/>
        </w:rPr>
      </w:r>
      <w:r>
        <w:rPr/>
        <w:t>工作日志管理等。</w:t>
      </w:r>
      <w:r>
        <w:rPr>
          <w:rFonts w:ascii="Times New Roman" w:hAnsi="Times New Roman" w:cs="Times New Roman" w:eastAsia="Times New Roman" w:hint="default"/>
        </w:rPr>
        <w:t>5</w:t>
      </w:r>
      <w:r>
        <w:rPr/>
        <w:t>、大讲堂</w:t>
      </w:r>
      <w:r>
        <w:rPr>
          <w:rFonts w:ascii="Times New Roman" w:hAnsi="Times New Roman" w:cs="Times New Roman" w:eastAsia="Times New Roman" w:hint="default"/>
        </w:rPr>
        <w:t>&amp;</w:t>
      </w:r>
      <w:r>
        <w:rPr/>
        <w:t>舆情：大讲堂借助多媒体</w:t>
      </w:r>
      <w:r>
        <w:rPr>
          <w:w w:val="99"/>
        </w:rPr>
        <w:t> </w:t>
      </w:r>
      <w:r>
        <w:rPr>
          <w:spacing w:val="-4"/>
        </w:rPr>
        <w:t>方式，供一线人员查阅，提升销售知识，掌握行业动向。</w:t>
      </w:r>
      <w:r>
        <w:rPr>
          <w:w w:val="99"/>
        </w:rPr>
        <w:t> </w:t>
      </w:r>
      <w:r>
        <w:rPr/>
        <w:t>包括产品库， 销售技巧，合约计划等。</w:t>
      </w:r>
      <w:r>
        <w:rPr>
          <w:rFonts w:ascii="Times New Roman" w:hAnsi="Times New Roman" w:cs="Times New Roman" w:eastAsia="Times New Roman" w:hint="default"/>
        </w:rPr>
        <w:t>6</w:t>
      </w:r>
      <w:r>
        <w:rPr/>
        <w:t>、查询：协助</w:t>
      </w:r>
      <w:r>
        <w:rPr>
          <w:spacing w:val="-101"/>
        </w:rPr>
        <w:t> </w:t>
      </w:r>
      <w:r>
        <w:rPr>
          <w:spacing w:val="-101"/>
        </w:rPr>
      </w:r>
      <w:r>
        <w:rPr/>
        <w:t>一线人员实时掌握业务数据，包括日常销量，政策及任</w:t>
      </w:r>
      <w:r>
        <w:rPr>
          <w:spacing w:val="-96"/>
        </w:rPr>
        <w:t> </w:t>
      </w:r>
      <w:r>
        <w:rPr>
          <w:spacing w:val="-96"/>
        </w:rPr>
      </w:r>
      <w:r>
        <w:rPr/>
        <w:t>务情况查询。</w:t>
      </w:r>
      <w:r>
        <w:rPr>
          <w:rFonts w:ascii="Times New Roman" w:hAnsi="Times New Roman" w:cs="Times New Roman" w:eastAsia="Times New Roman" w:hint="default"/>
        </w:rPr>
        <w:t>7</w:t>
      </w:r>
      <w:r>
        <w:rPr/>
        <w:t>、其它：门店预警及个人信息展示。</w:t>
      </w:r>
      <w:r>
        <w:rPr>
          <w:w w:val="99"/>
        </w:rPr>
        <w:t> </w:t>
      </w:r>
      <w:r>
        <w:rPr>
          <w:spacing w:val="-4"/>
        </w:rPr>
        <w:t>后台模块说明：</w:t>
      </w:r>
      <w:r>
        <w:rPr>
          <w:rFonts w:ascii="Times New Roman" w:hAnsi="Times New Roman" w:cs="Times New Roman" w:eastAsia="Times New Roman" w:hint="default"/>
          <w:spacing w:val="-4"/>
        </w:rPr>
        <w:t>1</w:t>
      </w:r>
      <w:r>
        <w:rPr>
          <w:spacing w:val="-4"/>
        </w:rPr>
        <w:t>、发布信息管理：管理人员对一线人员</w:t>
      </w:r>
      <w:r>
        <w:rPr>
          <w:spacing w:val="-107"/>
        </w:rPr>
        <w:t> </w:t>
      </w:r>
      <w:r>
        <w:rPr>
          <w:spacing w:val="-107"/>
        </w:rPr>
      </w:r>
      <w:r>
        <w:rPr/>
        <w:t>的任务下达发布，通知通告发布，大讲堂知识发布，销</w:t>
      </w:r>
      <w:r>
        <w:rPr>
          <w:spacing w:val="-96"/>
        </w:rPr>
        <w:t> </w:t>
      </w:r>
      <w:r>
        <w:rPr>
          <w:spacing w:val="-96"/>
        </w:rPr>
      </w:r>
      <w:r>
        <w:rPr/>
        <w:t>售政策及舆情等发布功能。其中任务可发布督导访店任</w:t>
      </w:r>
      <w:r>
        <w:rPr>
          <w:spacing w:val="-96"/>
        </w:rPr>
        <w:t> </w:t>
      </w:r>
      <w:r>
        <w:rPr>
          <w:spacing w:val="-96"/>
        </w:rPr>
      </w:r>
      <w:r>
        <w:rPr>
          <w:spacing w:val="-4"/>
        </w:rPr>
        <w:t>务：终端机型陈列情况，活动执行情况，价格执行情况，</w:t>
      </w:r>
      <w:r>
        <w:rPr>
          <w:w w:val="99"/>
        </w:rPr>
        <w:t> </w:t>
      </w:r>
      <w:r>
        <w:rPr/>
        <w:t>竞品信息、竞争对手情况，门店普查（非华盛合作厅）</w:t>
      </w:r>
      <w:r>
        <w:rPr>
          <w:spacing w:val="-96"/>
        </w:rPr>
        <w:t> </w:t>
      </w:r>
      <w:r>
        <w:rPr>
          <w:spacing w:val="-96"/>
        </w:rPr>
      </w:r>
      <w:r>
        <w:rPr>
          <w:spacing w:val="-4"/>
        </w:rPr>
        <w:t>情况，以及其他类型任务。</w:t>
      </w:r>
      <w:r>
        <w:rPr>
          <w:rFonts w:ascii="Times New Roman" w:hAnsi="Times New Roman" w:cs="Times New Roman" w:eastAsia="Times New Roman" w:hint="default"/>
          <w:spacing w:val="-4"/>
        </w:rPr>
        <w:t>2</w:t>
      </w:r>
      <w:r>
        <w:rPr>
          <w:spacing w:val="-4"/>
        </w:rPr>
        <w:t>、查询：管理人员查询一线</w:t>
      </w:r>
      <w:r>
        <w:rPr>
          <w:w w:val="99"/>
        </w:rPr>
        <w:t> </w:t>
      </w:r>
      <w:r>
        <w:rPr>
          <w:spacing w:val="-4"/>
        </w:rPr>
        <w:t>人员的任务上报及数据收集情况。</w:t>
      </w:r>
      <w:r>
        <w:rPr>
          <w:rFonts w:ascii="Times New Roman" w:hAnsi="Times New Roman" w:cs="Times New Roman" w:eastAsia="Times New Roman" w:hint="default"/>
          <w:spacing w:val="-4"/>
        </w:rPr>
        <w:t>3</w:t>
      </w:r>
      <w:r>
        <w:rPr>
          <w:spacing w:val="-4"/>
        </w:rPr>
        <w:t>、系统管理：包括门</w:t>
      </w:r>
      <w:r>
        <w:rPr>
          <w:w w:val="99"/>
        </w:rPr>
        <w:t> </w:t>
      </w:r>
      <w:r>
        <w:rPr>
          <w:spacing w:val="-4"/>
        </w:rPr>
        <w:t>店坐标清理，登录，注销等功能。</w:t>
      </w:r>
      <w:r>
        <w:rPr>
          <w:rFonts w:ascii="Times New Roman" w:hAnsi="Times New Roman" w:cs="Times New Roman" w:eastAsia="Times New Roman" w:hint="default"/>
          <w:spacing w:val="-4"/>
        </w:rPr>
        <w:t>4</w:t>
      </w:r>
      <w:r>
        <w:rPr>
          <w:spacing w:val="-4"/>
        </w:rPr>
        <w:t>、权限管理：管理前</w:t>
      </w:r>
      <w:r>
        <w:rPr>
          <w:spacing w:val="-108"/>
        </w:rPr>
        <w:t> </w:t>
      </w:r>
      <w:r>
        <w:rPr>
          <w:spacing w:val="-108"/>
        </w:rPr>
      </w:r>
      <w:r>
        <w:rPr/>
        <w:t>台及后台的功能使用权限和员工角色。</w:t>
      </w:r>
    </w:p>
    <w:p>
      <w:pPr>
        <w:pStyle w:val="Heading4"/>
        <w:spacing w:line="259" w:lineRule="auto" w:before="48"/>
        <w:ind w:right="1951"/>
        <w:jc w:val="left"/>
      </w:pPr>
      <w:r>
        <w:rPr/>
        <w:t>中国联通集中集团客户支撑系统已经建立近一年时间，</w:t>
      </w:r>
      <w:r>
        <w:rPr>
          <w:spacing w:val="-96"/>
        </w:rPr>
        <w:t> </w:t>
      </w:r>
      <w:r>
        <w:rPr>
          <w:spacing w:val="-96"/>
        </w:rPr>
      </w:r>
      <w:r>
        <w:rPr/>
        <w:t>已经开始支撑联通总部加载跨域集团业务，并已完成重</w:t>
      </w:r>
    </w:p>
    <w:p>
      <w:pPr>
        <w:spacing w:after="0" w:line="259" w:lineRule="auto"/>
        <w:jc w:val="left"/>
        <w:sectPr>
          <w:type w:val="continuous"/>
          <w:pgSz w:w="11910" w:h="16840"/>
          <w:pgMar w:top="1060" w:bottom="1160" w:left="980" w:right="0"/>
          <w:cols w:num="3" w:equalWidth="0">
            <w:col w:w="823" w:space="1138"/>
            <w:col w:w="823" w:space="597"/>
            <w:col w:w="7549"/>
          </w:cols>
        </w:sectPr>
      </w:pPr>
    </w:p>
    <w:p>
      <w:pPr>
        <w:pStyle w:val="Heading4"/>
        <w:spacing w:line="240" w:lineRule="auto" w:before="6"/>
        <w:ind w:right="0"/>
        <w:jc w:val="left"/>
      </w:pPr>
      <w:r>
        <w:rPr>
          <w:spacing w:val="26"/>
          <w:w w:val="99"/>
        </w:rPr>
        <w:t>中</w:t>
      </w:r>
      <w:r>
        <w:rPr>
          <w:spacing w:val="25"/>
          <w:w w:val="99"/>
        </w:rPr>
        <w:t>国</w:t>
      </w:r>
      <w:r>
        <w:rPr>
          <w:spacing w:val="26"/>
          <w:w w:val="99"/>
        </w:rPr>
        <w:t>联通在</w:t>
      </w:r>
      <w:r>
        <w:rPr>
          <w:spacing w:val="25"/>
          <w:w w:val="99"/>
        </w:rPr>
        <w:t>线</w:t>
      </w:r>
      <w:r>
        <w:rPr>
          <w:spacing w:val="26"/>
          <w:w w:val="99"/>
        </w:rPr>
        <w:t>信</w:t>
      </w:r>
      <w:r>
        <w:rPr>
          <w:spacing w:val="23"/>
          <w:w w:val="99"/>
        </w:rPr>
        <w:t>控</w:t>
      </w:r>
      <w:r>
        <w:rPr>
          <w:spacing w:val="15"/>
          <w:w w:val="99"/>
        </w:rPr>
        <w:t>开</w:t>
      </w:r>
      <w:r>
        <w:rPr>
          <w:spacing w:val="16"/>
          <w:w w:val="99"/>
        </w:rPr>
        <w:t>发、</w:t>
      </w:r>
      <w:r>
        <w:rPr>
          <w:spacing w:val="15"/>
          <w:w w:val="99"/>
        </w:rPr>
        <w:t>测</w:t>
      </w:r>
      <w:r>
        <w:rPr>
          <w:spacing w:val="16"/>
          <w:w w:val="99"/>
        </w:rPr>
        <w:t>试</w:t>
      </w:r>
      <w:r>
        <w:rPr>
          <w:w w:val="99"/>
        </w:rPr>
        <w:t>、</w:t>
      </w:r>
      <w:r>
        <w:rPr>
          <w:spacing w:val="-89"/>
        </w:rPr>
        <w:t> </w:t>
      </w:r>
      <w:r>
        <w:rPr>
          <w:w w:val="99"/>
        </w:rPr>
        <w:t>庆试点项目的前期专线的割接</w:t>
      </w:r>
      <w:r>
        <w:rPr>
          <w:spacing w:val="-89"/>
          <w:w w:val="99"/>
        </w:rPr>
        <w:t>。</w:t>
      </w:r>
      <w:r>
        <w:rPr>
          <w:w w:val="99"/>
        </w:rPr>
        <w:t>系统</w:t>
      </w:r>
      <w:r>
        <w:rPr>
          <w:spacing w:val="2"/>
          <w:w w:val="99"/>
        </w:rPr>
        <w:t>由</w:t>
      </w:r>
      <w:r>
        <w:rPr>
          <w:rFonts w:ascii="Times New Roman" w:hAnsi="Times New Roman" w:cs="Times New Roman" w:eastAsia="Times New Roman" w:hint="default"/>
          <w:w w:val="99"/>
        </w:rPr>
        <w:t>7</w:t>
      </w:r>
      <w:r>
        <w:rPr>
          <w:w w:val="99"/>
        </w:rPr>
        <w:t>个厂家以及联通</w:t>
      </w:r>
      <w:r>
        <w:rPr>
          <w:spacing w:val="-90"/>
        </w:rPr>
        <w:t> </w:t>
      </w:r>
      <w:r>
        <w:rPr>
          <w:w w:val="99"/>
        </w:rPr>
        <w:t>联通</w:t>
      </w:r>
      <w:r>
        <w:rPr/>
      </w:r>
    </w:p>
    <w:p>
      <w:pPr>
        <w:spacing w:after="0" w:line="240" w:lineRule="auto"/>
        <w:jc w:val="left"/>
        <w:sectPr>
          <w:type w:val="continuous"/>
          <w:pgSz w:w="11910" w:h="16840"/>
          <w:pgMar w:top="1060" w:bottom="1160" w:left="980" w:right="0"/>
        </w:sectPr>
      </w:pPr>
    </w:p>
    <w:p>
      <w:pPr>
        <w:pStyle w:val="Heading4"/>
        <w:spacing w:line="240" w:lineRule="auto" w:before="7"/>
        <w:ind w:right="0"/>
        <w:jc w:val="left"/>
      </w:pPr>
      <w:r>
        <w:rPr>
          <w:w w:val="95"/>
        </w:rPr>
        <w:t>系统运维项目</w:t>
      </w:r>
      <w:r>
        <w:rPr/>
      </w:r>
    </w:p>
    <w:p>
      <w:pPr>
        <w:spacing w:before="7"/>
        <w:ind w:left="163" w:right="0" w:firstLine="0"/>
        <w:jc w:val="left"/>
        <w:rPr>
          <w:rFonts w:ascii="宋体" w:hAnsi="宋体" w:cs="宋体" w:eastAsia="宋体" w:hint="default"/>
          <w:sz w:val="22"/>
          <w:szCs w:val="22"/>
        </w:rPr>
      </w:pPr>
      <w:r>
        <w:rPr>
          <w:w w:val="95"/>
        </w:rPr>
        <w:br w:type="column"/>
      </w:r>
      <w:r>
        <w:rPr>
          <w:rFonts w:ascii="宋体" w:hAnsi="宋体" w:cs="宋体" w:eastAsia="宋体" w:hint="default"/>
          <w:w w:val="95"/>
          <w:sz w:val="22"/>
          <w:szCs w:val="22"/>
        </w:rPr>
        <w:t>试运行</w:t>
      </w:r>
      <w:r>
        <w:rPr>
          <w:rFonts w:ascii="宋体" w:hAnsi="宋体" w:cs="宋体" w:eastAsia="宋体" w:hint="default"/>
          <w:sz w:val="22"/>
          <w:szCs w:val="22"/>
        </w:rPr>
      </w:r>
    </w:p>
    <w:p>
      <w:pPr>
        <w:pStyle w:val="Heading4"/>
        <w:spacing w:line="254" w:lineRule="auto" w:before="7"/>
        <w:ind w:right="2081"/>
        <w:jc w:val="both"/>
      </w:pPr>
      <w:r>
        <w:rPr/>
        <w:br w:type="column"/>
      </w:r>
      <w:r>
        <w:rPr/>
        <w:t>集成公司共同组成项目组，我司承担总集成的工作。联</w:t>
      </w:r>
      <w:r>
        <w:rPr>
          <w:spacing w:val="-96"/>
        </w:rPr>
        <w:t> </w:t>
      </w:r>
      <w:r>
        <w:rPr>
          <w:spacing w:val="-96"/>
        </w:rPr>
      </w:r>
      <w:r>
        <w:rPr/>
        <w:t>通领导高度赞扬此系统的建设，</w:t>
      </w:r>
      <w:r>
        <w:rPr>
          <w:rFonts w:ascii="Times New Roman" w:hAnsi="Times New Roman" w:cs="Times New Roman" w:eastAsia="Times New Roman" w:hint="default"/>
        </w:rPr>
        <w:t>2012</w:t>
      </w:r>
      <w:r>
        <w:rPr/>
        <w:t>年要把全国的集团</w:t>
      </w:r>
      <w:r>
        <w:rPr>
          <w:spacing w:val="-103"/>
        </w:rPr>
        <w:t> </w:t>
      </w:r>
      <w:r>
        <w:rPr>
          <w:spacing w:val="-103"/>
        </w:rPr>
      </w:r>
      <w:r>
        <w:rPr/>
        <w:t>业务割接到新系统中，内蒙古联通被定为第三批试点割</w:t>
      </w:r>
      <w:r>
        <w:rPr>
          <w:spacing w:val="-96"/>
        </w:rPr>
        <w:t> </w:t>
      </w:r>
      <w:r>
        <w:rPr>
          <w:spacing w:val="-96"/>
        </w:rPr>
      </w:r>
      <w:r>
        <w:rPr/>
        <w:t>接单位。</w:t>
      </w:r>
    </w:p>
    <w:p>
      <w:pPr>
        <w:spacing w:after="0" w:line="254" w:lineRule="auto"/>
        <w:jc w:val="both"/>
        <w:sectPr>
          <w:type w:val="continuous"/>
          <w:pgSz w:w="11910" w:h="16840"/>
          <w:pgMar w:top="1060" w:bottom="1160" w:left="980" w:right="0"/>
          <w:cols w:num="3" w:equalWidth="0">
            <w:col w:w="1483" w:space="478"/>
            <w:col w:w="823" w:space="597"/>
            <w:col w:w="7549"/>
          </w:cols>
        </w:sectPr>
      </w:pPr>
    </w:p>
    <w:p>
      <w:pPr>
        <w:pStyle w:val="Heading4"/>
        <w:spacing w:line="240" w:lineRule="auto" w:before="45"/>
        <w:ind w:right="0"/>
        <w:jc w:val="left"/>
      </w:pPr>
      <w:r>
        <w:rPr>
          <w:spacing w:val="20"/>
        </w:rPr>
        <w:t>大连锦城物流住处开发、测试、</w:t>
      </w:r>
      <w:r>
        <w:rPr>
          <w:spacing w:val="-60"/>
        </w:rPr>
        <w:t> </w:t>
      </w:r>
      <w:r>
        <w:rPr/>
        <w:t>锦程经过多年的信息化建设已经取得一定成效，对业务互联网</w:t>
      </w:r>
    </w:p>
    <w:p>
      <w:pPr>
        <w:spacing w:after="0" w:line="240" w:lineRule="auto"/>
        <w:jc w:val="left"/>
        <w:sectPr>
          <w:type w:val="continuous"/>
          <w:pgSz w:w="11910" w:h="16840"/>
          <w:pgMar w:top="1060" w:bottom="1160" w:left="980" w:right="0"/>
        </w:sectPr>
      </w:pPr>
    </w:p>
    <w:p>
      <w:pPr>
        <w:pStyle w:val="Heading4"/>
        <w:spacing w:line="240" w:lineRule="auto"/>
        <w:ind w:right="0"/>
        <w:jc w:val="left"/>
      </w:pPr>
      <w:r>
        <w:rPr/>
        <w:pict>
          <v:group style="position:absolute;margin-left:55.619984pt;margin-top:71.639984pt;width:489.5pt;height:694.95pt;mso-position-horizontal-relative:page;mso-position-vertical-relative:page;z-index:-1441120" coordorigin="1112,1433" coordsize="9790,13899">
            <v:group style="position:absolute;left:1134;top:1447;width:1953;height:2" coordorigin="1134,1447" coordsize="1953,2">
              <v:shape style="position:absolute;left:1134;top:1447;width:1953;height:2" coordorigin="1134,1447" coordsize="1953,0" path="m1134,1447l3087,1447e" filled="false" stroked="true" strokeweight=".72pt" strokecolor="#000000">
                <v:path arrowok="t"/>
              </v:shape>
            </v:group>
            <v:group style="position:absolute;left:3101;top:1447;width:1407;height:2" coordorigin="3101,1447" coordsize="1407,2">
              <v:shape style="position:absolute;left:3101;top:1447;width:1407;height:2" coordorigin="3101,1447" coordsize="1407,0" path="m3101,1447l4508,1447e" filled="false" stroked="true" strokeweight=".72pt" strokecolor="#000000">
                <v:path arrowok="t"/>
              </v:shape>
            </v:group>
            <v:group style="position:absolute;left:4522;top:1447;width:5306;height:2" coordorigin="4522,1447" coordsize="5306,2">
              <v:shape style="position:absolute;left:4522;top:1447;width:5306;height:2" coordorigin="4522,1447" coordsize="5306,0" path="m4522,1447l9828,1447e" filled="false" stroked="true" strokeweight=".72pt" strokecolor="#000000">
                <v:path arrowok="t"/>
              </v:shape>
            </v:group>
            <v:group style="position:absolute;left:9842;top:1447;width:1046;height:2" coordorigin="9842,1447" coordsize="1046,2">
              <v:shape style="position:absolute;left:9842;top:1447;width:1046;height:2" coordorigin="9842,1447" coordsize="1046,0" path="m9842,1447l10888,1447e" filled="false" stroked="true" strokeweight=".72pt" strokecolor="#000000">
                <v:path arrowok="t"/>
              </v:shape>
            </v:group>
            <v:group style="position:absolute;left:1134;top:5226;width:1953;height:2" coordorigin="1134,5226" coordsize="1953,2">
              <v:shape style="position:absolute;left:1134;top:5226;width:1953;height:2" coordorigin="1134,5226" coordsize="1953,0" path="m1134,5226l3087,5226e" filled="false" stroked="true" strokeweight=".72pt" strokecolor="#000000">
                <v:path arrowok="t"/>
              </v:shape>
            </v:group>
            <v:group style="position:absolute;left:3101;top:5226;width:1407;height:2" coordorigin="3101,5226" coordsize="1407,2">
              <v:shape style="position:absolute;left:3101;top:5226;width:1407;height:2" coordorigin="3101,5226" coordsize="1407,0" path="m3101,5226l4508,5226e" filled="false" stroked="true" strokeweight=".72pt" strokecolor="#000000">
                <v:path arrowok="t"/>
              </v:shape>
            </v:group>
            <v:group style="position:absolute;left:4522;top:5226;width:5306;height:2" coordorigin="4522,5226" coordsize="5306,2">
              <v:shape style="position:absolute;left:4522;top:5226;width:5306;height:2" coordorigin="4522,5226" coordsize="5306,0" path="m4522,5226l9828,5226e" filled="false" stroked="true" strokeweight=".72pt" strokecolor="#000000">
                <v:path arrowok="t"/>
              </v:shape>
            </v:group>
            <v:group style="position:absolute;left:9842;top:5226;width:1046;height:2" coordorigin="9842,5226" coordsize="1046,2">
              <v:shape style="position:absolute;left:9842;top:5226;width:1046;height:2" coordorigin="9842,5226" coordsize="1046,0" path="m9842,5226l10888,5226e" filled="false" stroked="true" strokeweight=".72pt" strokecolor="#000000">
                <v:path arrowok="t"/>
              </v:shape>
            </v:group>
            <v:group style="position:absolute;left:1134;top:12438;width:1953;height:2" coordorigin="1134,12438" coordsize="1953,2">
              <v:shape style="position:absolute;left:1134;top:12438;width:1953;height:2" coordorigin="1134,12438" coordsize="1953,0" path="m1134,12438l3087,12438e" filled="false" stroked="true" strokeweight=".72003pt" strokecolor="#000000">
                <v:path arrowok="t"/>
              </v:shape>
            </v:group>
            <v:group style="position:absolute;left:3101;top:12438;width:1407;height:2" coordorigin="3101,12438" coordsize="1407,2">
              <v:shape style="position:absolute;left:3101;top:12438;width:1407;height:2" coordorigin="3101,12438" coordsize="1407,0" path="m3101,12438l4508,12438e" filled="false" stroked="true" strokeweight=".72003pt" strokecolor="#000000">
                <v:path arrowok="t"/>
              </v:shape>
            </v:group>
            <v:group style="position:absolute;left:4522;top:12438;width:5306;height:2" coordorigin="4522,12438" coordsize="5306,2">
              <v:shape style="position:absolute;left:4522;top:12438;width:5306;height:2" coordorigin="4522,12438" coordsize="5306,0" path="m4522,12438l9828,12438e" filled="false" stroked="true" strokeweight=".72003pt" strokecolor="#000000">
                <v:path arrowok="t"/>
              </v:shape>
            </v:group>
            <v:group style="position:absolute;left:9842;top:12438;width:1046;height:2" coordorigin="9842,12438" coordsize="1046,2">
              <v:shape style="position:absolute;left:9842;top:12438;width:1046;height:2" coordorigin="9842,12438" coordsize="1046,0" path="m9842,12438l10888,12438e" filled="false" stroked="true" strokeweight=".72003pt" strokecolor="#000000">
                <v:path arrowok="t"/>
              </v:shape>
            </v:group>
            <v:group style="position:absolute;left:1134;top:14657;width:1953;height:2" coordorigin="1134,14657" coordsize="1953,2">
              <v:shape style="position:absolute;left:1134;top:14657;width:1953;height:2" coordorigin="1134,14657" coordsize="1953,0" path="m1134,14657l3087,14657e" filled="false" stroked="true" strokeweight=".72003pt" strokecolor="#000000">
                <v:path arrowok="t"/>
              </v:shape>
            </v:group>
            <v:group style="position:absolute;left:3101;top:14657;width:1407;height:2" coordorigin="3101,14657" coordsize="1407,2">
              <v:shape style="position:absolute;left:3101;top:14657;width:1407;height:2" coordorigin="3101,14657" coordsize="1407,0" path="m3101,14657l4508,14657e" filled="false" stroked="true" strokeweight=".72003pt" strokecolor="#000000">
                <v:path arrowok="t"/>
              </v:shape>
            </v:group>
            <v:group style="position:absolute;left:4522;top:14657;width:5306;height:2" coordorigin="4522,14657" coordsize="5306,2">
              <v:shape style="position:absolute;left:4522;top:14657;width:5306;height:2" coordorigin="4522,14657" coordsize="5306,0" path="m4522,14657l9828,14657e" filled="false" stroked="true" strokeweight=".72003pt" strokecolor="#000000">
                <v:path arrowok="t"/>
              </v:shape>
            </v:group>
            <v:group style="position:absolute;left:9842;top:14657;width:1046;height:2" coordorigin="9842,14657" coordsize="1046,2">
              <v:shape style="position:absolute;left:9842;top:14657;width:1046;height:2" coordorigin="9842,14657" coordsize="1046,0" path="m9842,14657l10888,14657e" filled="false" stroked="true" strokeweight=".72003pt" strokecolor="#000000">
                <v:path arrowok="t"/>
              </v:shape>
            </v:group>
            <v:group style="position:absolute;left:1120;top:15317;width:1968;height:2" coordorigin="1120,15317" coordsize="1968,2">
              <v:shape style="position:absolute;left:1120;top:15317;width:1968;height:2" coordorigin="1120,15317" coordsize="1968,0" path="m1120,15317l3087,15317e" filled="false" stroked="true" strokeweight=".72003pt" strokecolor="#000000">
                <v:path arrowok="t"/>
              </v:shape>
            </v:group>
            <v:group style="position:absolute;left:3094;top:1440;width:2;height:13884" coordorigin="3094,1440" coordsize="2,13884">
              <v:shape style="position:absolute;left:3094;top:1440;width:2;height:13884" coordorigin="3094,1440" coordsize="0,13884" path="m3094,1440l3094,15324e" filled="false" stroked="true" strokeweight=".72pt" strokecolor="#000000">
                <v:path arrowok="t"/>
              </v:shape>
            </v:group>
            <v:group style="position:absolute;left:3101;top:15317;width:1407;height:2" coordorigin="3101,15317" coordsize="1407,2">
              <v:shape style="position:absolute;left:3101;top:15317;width:1407;height:2" coordorigin="3101,15317" coordsize="1407,0" path="m3101,15317l4508,15317e" filled="false" stroked="true" strokeweight=".72003pt" strokecolor="#000000">
                <v:path arrowok="t"/>
              </v:shape>
            </v:group>
            <v:group style="position:absolute;left:4515;top:1440;width:2;height:13884" coordorigin="4515,1440" coordsize="2,13884">
              <v:shape style="position:absolute;left:4515;top:1440;width:2;height:13884" coordorigin="4515,1440" coordsize="0,13884" path="m4515,1440l4515,15324e" filled="false" stroked="true" strokeweight=".72pt" strokecolor="#000000">
                <v:path arrowok="t"/>
              </v:shape>
            </v:group>
            <v:group style="position:absolute;left:4522;top:15317;width:5306;height:2" coordorigin="4522,15317" coordsize="5306,2">
              <v:shape style="position:absolute;left:4522;top:15317;width:5306;height:2" coordorigin="4522,15317" coordsize="5306,0" path="m4522,15317l9828,15317e" filled="false" stroked="true" strokeweight=".72003pt" strokecolor="#000000">
                <v:path arrowok="t"/>
              </v:shape>
            </v:group>
            <v:group style="position:absolute;left:9835;top:1440;width:2;height:13884" coordorigin="9835,1440" coordsize="2,13884">
              <v:shape style="position:absolute;left:9835;top:1440;width:2;height:13884" coordorigin="9835,1440" coordsize="0,13884" path="m9835,1440l9835,15324e" filled="false" stroked="true" strokeweight=".72pt" strokecolor="#000000">
                <v:path arrowok="t"/>
              </v:shape>
            </v:group>
            <v:group style="position:absolute;left:9842;top:15317;width:1046;height:2" coordorigin="9842,15317" coordsize="1046,2">
              <v:shape style="position:absolute;left:9842;top:15317;width:1046;height:2" coordorigin="9842,15317" coordsize="1046,0" path="m9842,15317l10888,15317e" filled="false" stroked="true" strokeweight=".72003pt" strokecolor="#000000">
                <v:path arrowok="t"/>
              </v:shape>
            </v:group>
            <v:group style="position:absolute;left:10895;top:1440;width:2;height:13884" coordorigin="10895,1440" coordsize="2,13884">
              <v:shape style="position:absolute;left:10895;top:1440;width:2;height:13884" coordorigin="10895,1440" coordsize="0,13884" path="m10895,1440l10895,15324e" filled="false" stroked="true" strokeweight=".71997pt" strokecolor="#000000">
                <v:path arrowok="t"/>
              </v:shape>
            </v:group>
            <w10:wrap type="none"/>
          </v:group>
        </w:pict>
      </w:r>
      <w:r>
        <w:rPr>
          <w:w w:val="95"/>
        </w:rPr>
        <w:t>系统项目</w:t>
      </w:r>
      <w:r>
        <w:rPr/>
      </w:r>
    </w:p>
    <w:p>
      <w:pPr>
        <w:spacing w:before="24"/>
        <w:ind w:left="163" w:right="0" w:firstLine="0"/>
        <w:jc w:val="left"/>
        <w:rPr>
          <w:rFonts w:ascii="宋体" w:hAnsi="宋体" w:cs="宋体" w:eastAsia="宋体" w:hint="default"/>
          <w:sz w:val="22"/>
          <w:szCs w:val="22"/>
        </w:rPr>
      </w:pPr>
      <w:r>
        <w:rPr>
          <w:w w:val="95"/>
        </w:rPr>
        <w:br w:type="column"/>
      </w:r>
      <w:r>
        <w:rPr>
          <w:rFonts w:ascii="宋体" w:hAnsi="宋体" w:cs="宋体" w:eastAsia="宋体" w:hint="default"/>
          <w:w w:val="95"/>
          <w:sz w:val="22"/>
          <w:szCs w:val="22"/>
        </w:rPr>
        <w:t>试运行</w:t>
      </w:r>
      <w:r>
        <w:rPr>
          <w:rFonts w:ascii="宋体" w:hAnsi="宋体" w:cs="宋体" w:eastAsia="宋体" w:hint="default"/>
          <w:sz w:val="22"/>
          <w:szCs w:val="22"/>
        </w:rPr>
      </w:r>
    </w:p>
    <w:p>
      <w:pPr>
        <w:pStyle w:val="Heading4"/>
        <w:spacing w:line="240" w:lineRule="auto"/>
        <w:ind w:right="1951"/>
        <w:jc w:val="left"/>
      </w:pPr>
      <w:r>
        <w:rPr/>
        <w:br w:type="column"/>
      </w:r>
      <w:r>
        <w:rPr/>
        <w:t>操作的规范，流转效率的提升，管理的加强有着积极的</w:t>
      </w:r>
    </w:p>
    <w:p>
      <w:pPr>
        <w:spacing w:after="0" w:line="240" w:lineRule="auto"/>
        <w:jc w:val="left"/>
        <w:sectPr>
          <w:type w:val="continuous"/>
          <w:pgSz w:w="11910" w:h="16840"/>
          <w:pgMar w:top="1060" w:bottom="1160" w:left="980" w:right="0"/>
          <w:cols w:num="3" w:equalWidth="0">
            <w:col w:w="1043" w:space="919"/>
            <w:col w:w="823" w:space="597"/>
            <w:col w:w="7548"/>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974"/>
        <w:gridCol w:w="1421"/>
        <w:gridCol w:w="5320"/>
        <w:gridCol w:w="1060"/>
      </w:tblGrid>
      <w:tr>
        <w:trPr>
          <w:trHeight w:val="329" w:hRule="exact"/>
        </w:trPr>
        <w:tc>
          <w:tcPr>
            <w:tcW w:w="1974" w:type="dxa"/>
            <w:vMerge w:val="restart"/>
            <w:tcBorders>
              <w:top w:val="single" w:sz="6" w:space="0" w:color="000000"/>
              <w:left w:val="nil" w:sz="6" w:space="0" w:color="auto"/>
              <w:right w:val="single" w:sz="6" w:space="0" w:color="000000"/>
            </w:tcBorders>
          </w:tcPr>
          <w:p>
            <w:pPr/>
          </w:p>
        </w:tc>
        <w:tc>
          <w:tcPr>
            <w:tcW w:w="1421" w:type="dxa"/>
            <w:vMerge w:val="restart"/>
            <w:tcBorders>
              <w:top w:val="single" w:sz="6" w:space="0" w:color="000000"/>
              <w:left w:val="single" w:sz="6" w:space="0" w:color="000000"/>
              <w:right w:val="single" w:sz="6" w:space="0" w:color="000000"/>
            </w:tcBorders>
          </w:tcPr>
          <w:p>
            <w:pPr/>
          </w:p>
        </w:tc>
        <w:tc>
          <w:tcPr>
            <w:tcW w:w="532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pacing w:val="-4"/>
                <w:sz w:val="22"/>
                <w:szCs w:val="22"/>
              </w:rPr>
              <w:t>作用，在行业中处于领先地位。但是现有系统因为分散</w:t>
            </w:r>
          </w:p>
        </w:tc>
        <w:tc>
          <w:tcPr>
            <w:tcW w:w="106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31"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r>
      <w:tr>
        <w:trPr>
          <w:trHeight w:val="312" w:hRule="exact"/>
        </w:trPr>
        <w:tc>
          <w:tcPr>
            <w:tcW w:w="1974" w:type="dxa"/>
            <w:vMerge/>
            <w:tcBorders>
              <w:left w:val="nil" w:sz="6" w:space="0" w:color="auto"/>
              <w:right w:val="single" w:sz="6" w:space="0" w:color="000000"/>
            </w:tcBorders>
          </w:tcPr>
          <w:p>
            <w:pPr/>
          </w:p>
        </w:tc>
        <w:tc>
          <w:tcPr>
            <w:tcW w:w="1421" w:type="dxa"/>
            <w:vMerge/>
            <w:tcBorders>
              <w:left w:val="single" w:sz="6" w:space="0" w:color="000000"/>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不兼容使得其在使用中还是存在许多问题需要改进；对</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vMerge/>
            <w:tcBorders>
              <w:left w:val="nil" w:sz="6" w:space="0" w:color="auto"/>
              <w:right w:val="single" w:sz="6" w:space="0" w:color="000000"/>
            </w:tcBorders>
          </w:tcPr>
          <w:p>
            <w:pPr/>
          </w:p>
        </w:tc>
        <w:tc>
          <w:tcPr>
            <w:tcW w:w="1421" w:type="dxa"/>
            <w:vMerge/>
            <w:tcBorders>
              <w:left w:val="single" w:sz="6" w:space="0" w:color="000000"/>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pacing w:val="9"/>
                <w:sz w:val="22"/>
                <w:szCs w:val="22"/>
              </w:rPr>
              <w:t>于类目繁杂的物流业务进行规范也要求系统不断的完</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vMerge/>
            <w:tcBorders>
              <w:left w:val="nil" w:sz="6" w:space="0" w:color="auto"/>
              <w:right w:val="single" w:sz="6" w:space="0" w:color="000000"/>
            </w:tcBorders>
          </w:tcPr>
          <w:p>
            <w:pPr/>
          </w:p>
        </w:tc>
        <w:tc>
          <w:tcPr>
            <w:tcW w:w="1421" w:type="dxa"/>
            <w:vMerge/>
            <w:tcBorders>
              <w:left w:val="single" w:sz="6" w:space="0" w:color="000000"/>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善；鉴于集团业务飞速发展，公司业务管理要求及工作</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vMerge/>
            <w:tcBorders>
              <w:left w:val="nil" w:sz="6" w:space="0" w:color="auto"/>
              <w:right w:val="single" w:sz="6" w:space="0" w:color="000000"/>
            </w:tcBorders>
          </w:tcPr>
          <w:p>
            <w:pPr/>
          </w:p>
        </w:tc>
        <w:tc>
          <w:tcPr>
            <w:tcW w:w="1421" w:type="dxa"/>
            <w:vMerge/>
            <w:tcBorders>
              <w:left w:val="single" w:sz="6" w:space="0" w:color="000000"/>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效率均需大幅提升，现有的系统弊端已日益凸显，亟待</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1974" w:type="dxa"/>
            <w:vMerge/>
            <w:tcBorders>
              <w:left w:val="nil" w:sz="6" w:space="0" w:color="auto"/>
              <w:bottom w:val="single" w:sz="6" w:space="0" w:color="000000"/>
              <w:right w:val="single" w:sz="6" w:space="0" w:color="000000"/>
            </w:tcBorders>
          </w:tcPr>
          <w:p>
            <w:pPr/>
          </w:p>
        </w:tc>
        <w:tc>
          <w:tcPr>
            <w:tcW w:w="1421" w:type="dxa"/>
            <w:vMerge/>
            <w:tcBorders>
              <w:left w:val="single" w:sz="6" w:space="0" w:color="000000"/>
              <w:bottom w:val="single" w:sz="6" w:space="0" w:color="000000"/>
              <w:right w:val="single" w:sz="6" w:space="0" w:color="000000"/>
            </w:tcBorders>
          </w:tcPr>
          <w:p>
            <w:pPr/>
          </w:p>
        </w:tc>
        <w:tc>
          <w:tcPr>
            <w:tcW w:w="5320" w:type="dxa"/>
            <w:tcBorders>
              <w:top w:val="nil" w:sz="6" w:space="0" w:color="auto"/>
              <w:left w:val="single" w:sz="6" w:space="0" w:color="000000"/>
              <w:bottom w:val="single" w:sz="6" w:space="0" w:color="000000"/>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解决。</w:t>
            </w:r>
          </w:p>
        </w:tc>
        <w:tc>
          <w:tcPr>
            <w:tcW w:w="1060" w:type="dxa"/>
            <w:tcBorders>
              <w:top w:val="nil" w:sz="6" w:space="0" w:color="auto"/>
              <w:left w:val="single" w:sz="6" w:space="0" w:color="000000"/>
              <w:bottom w:val="single" w:sz="6" w:space="0" w:color="000000"/>
              <w:right w:val="single" w:sz="6" w:space="0" w:color="000000"/>
            </w:tcBorders>
          </w:tcPr>
          <w:p>
            <w:pPr/>
          </w:p>
        </w:tc>
      </w:tr>
      <w:tr>
        <w:trPr>
          <w:trHeight w:val="329" w:hRule="exact"/>
        </w:trPr>
        <w:tc>
          <w:tcPr>
            <w:tcW w:w="1974" w:type="dxa"/>
            <w:tcBorders>
              <w:top w:val="single" w:sz="6" w:space="0" w:color="000000"/>
              <w:left w:val="nil" w:sz="6" w:space="0" w:color="auto"/>
              <w:bottom w:val="nil" w:sz="6" w:space="0" w:color="auto"/>
              <w:right w:val="single" w:sz="6" w:space="0" w:color="000000"/>
            </w:tcBorders>
          </w:tcPr>
          <w:p>
            <w:pPr/>
          </w:p>
        </w:tc>
        <w:tc>
          <w:tcPr>
            <w:tcW w:w="1421" w:type="dxa"/>
            <w:tcBorders>
              <w:top w:val="single" w:sz="6" w:space="0" w:color="000000"/>
              <w:left w:val="single" w:sz="6" w:space="0" w:color="000000"/>
              <w:bottom w:val="nil" w:sz="6" w:space="0" w:color="auto"/>
              <w:right w:val="single" w:sz="6" w:space="0" w:color="000000"/>
            </w:tcBorders>
          </w:tcPr>
          <w:p>
            <w:pPr/>
          </w:p>
        </w:tc>
        <w:tc>
          <w:tcPr>
            <w:tcW w:w="532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本项目旨在研发一套全新的基于大数据用户多维度分析</w:t>
            </w:r>
          </w:p>
        </w:tc>
        <w:tc>
          <w:tcPr>
            <w:tcW w:w="10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模型构建系统，最终产品提供互联网化自定义图形化工</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具，通过简单的拖拉拽配置实现报表、分析、数据展现</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pacing w:val="22"/>
                <w:sz w:val="22"/>
                <w:szCs w:val="22"/>
              </w:rPr>
              <w:t>基于大数据的用户</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3" w:right="0"/>
              <w:jc w:val="left"/>
              <w:rPr>
                <w:rFonts w:ascii="宋体" w:hAnsi="宋体" w:cs="宋体" w:eastAsia="宋体" w:hint="default"/>
                <w:sz w:val="22"/>
                <w:szCs w:val="22"/>
              </w:rPr>
            </w:pPr>
            <w:r>
              <w:rPr>
                <w:rFonts w:ascii="宋体" w:hAnsi="宋体" w:cs="宋体" w:eastAsia="宋体" w:hint="default"/>
                <w:spacing w:val="13"/>
                <w:sz w:val="22"/>
                <w:szCs w:val="22"/>
              </w:rPr>
              <w:t>开发、测试、</w:t>
            </w: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等功能，直接面向各层级人员提供便捷的数据服务。是</w:t>
            </w:r>
          </w:p>
        </w:tc>
        <w:tc>
          <w:tcPr>
            <w:tcW w:w="106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电信</w:t>
            </w: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pacing w:val="22"/>
                <w:sz w:val="22"/>
                <w:szCs w:val="22"/>
              </w:rPr>
              <w:t>多维度分析模型构</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3" w:right="0"/>
              <w:jc w:val="left"/>
              <w:rPr>
                <w:rFonts w:ascii="宋体" w:hAnsi="宋体" w:cs="宋体" w:eastAsia="宋体" w:hint="default"/>
                <w:sz w:val="22"/>
                <w:szCs w:val="22"/>
              </w:rPr>
            </w:pPr>
            <w:r>
              <w:rPr>
                <w:rFonts w:ascii="宋体" w:hAnsi="宋体" w:cs="宋体" w:eastAsia="宋体" w:hint="default"/>
                <w:sz w:val="22"/>
                <w:szCs w:val="22"/>
              </w:rPr>
              <w:t>试运行</w:t>
            </w: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基于人机交互的经验建模的自助分析产品，简化数据分</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建系统研发和应用</w:t>
            </w: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析流程，提升数据支撑效率。节省人力和时间，降低业</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务获得数据价值的门槛。让知识更容易得到和传承，快</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速而有效的满足业务获取数据、制作报表、探索分析等</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1974" w:type="dxa"/>
            <w:tcBorders>
              <w:top w:val="nil" w:sz="6" w:space="0" w:color="auto"/>
              <w:left w:val="nil" w:sz="6" w:space="0" w:color="auto"/>
              <w:bottom w:val="single" w:sz="6" w:space="0" w:color="000000"/>
              <w:right w:val="single" w:sz="6" w:space="0" w:color="000000"/>
            </w:tcBorders>
          </w:tcPr>
          <w:p>
            <w:pPr/>
          </w:p>
        </w:tc>
        <w:tc>
          <w:tcPr>
            <w:tcW w:w="1421" w:type="dxa"/>
            <w:tcBorders>
              <w:top w:val="nil" w:sz="6" w:space="0" w:color="auto"/>
              <w:left w:val="single" w:sz="6" w:space="0" w:color="000000"/>
              <w:bottom w:val="single" w:sz="6" w:space="0" w:color="000000"/>
              <w:right w:val="single" w:sz="6" w:space="0" w:color="000000"/>
            </w:tcBorders>
          </w:tcPr>
          <w:p>
            <w:pPr/>
          </w:p>
        </w:tc>
        <w:tc>
          <w:tcPr>
            <w:tcW w:w="5320" w:type="dxa"/>
            <w:tcBorders>
              <w:top w:val="nil" w:sz="6" w:space="0" w:color="auto"/>
              <w:left w:val="single" w:sz="6" w:space="0" w:color="000000"/>
              <w:bottom w:val="single" w:sz="6" w:space="0" w:color="000000"/>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不同层面的需求。</w:t>
            </w:r>
          </w:p>
        </w:tc>
        <w:tc>
          <w:tcPr>
            <w:tcW w:w="1060" w:type="dxa"/>
            <w:tcBorders>
              <w:top w:val="nil" w:sz="6" w:space="0" w:color="auto"/>
              <w:left w:val="single" w:sz="6" w:space="0" w:color="000000"/>
              <w:bottom w:val="single" w:sz="6" w:space="0" w:color="000000"/>
              <w:right w:val="single" w:sz="6" w:space="0" w:color="000000"/>
            </w:tcBorders>
          </w:tcPr>
          <w:p>
            <w:pPr/>
          </w:p>
        </w:tc>
      </w:tr>
      <w:tr>
        <w:trPr>
          <w:trHeight w:val="329" w:hRule="exact"/>
        </w:trPr>
        <w:tc>
          <w:tcPr>
            <w:tcW w:w="1974" w:type="dxa"/>
            <w:tcBorders>
              <w:top w:val="single" w:sz="6" w:space="0" w:color="000000"/>
              <w:left w:val="nil" w:sz="6" w:space="0" w:color="auto"/>
              <w:bottom w:val="nil" w:sz="6" w:space="0" w:color="auto"/>
              <w:right w:val="single" w:sz="6"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pacing w:val="22"/>
                <w:sz w:val="22"/>
                <w:szCs w:val="22"/>
              </w:rPr>
              <w:t>金华威企业云通信</w:t>
            </w:r>
          </w:p>
        </w:tc>
        <w:tc>
          <w:tcPr>
            <w:tcW w:w="1421"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pacing w:val="13"/>
                <w:sz w:val="22"/>
                <w:szCs w:val="22"/>
              </w:rPr>
              <w:t>开发、测试、</w:t>
            </w:r>
          </w:p>
        </w:tc>
        <w:tc>
          <w:tcPr>
            <w:tcW w:w="532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通过融合语音、视频、数据和业务流等能力，覆盖会议</w:t>
            </w:r>
          </w:p>
        </w:tc>
        <w:tc>
          <w:tcPr>
            <w:tcW w:w="10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pacing w:val="55"/>
                <w:sz w:val="22"/>
                <w:szCs w:val="22"/>
              </w:rPr>
              <w:t>应用与管理系</w:t>
            </w:r>
            <w:r>
              <w:rPr>
                <w:rFonts w:ascii="宋体" w:hAnsi="宋体" w:cs="宋体" w:eastAsia="宋体" w:hint="default"/>
                <w:spacing w:val="-41"/>
                <w:sz w:val="22"/>
                <w:szCs w:val="22"/>
              </w:rPr>
              <w:t> </w:t>
            </w:r>
            <w:r>
              <w:rPr>
                <w:rFonts w:ascii="宋体" w:hAnsi="宋体" w:cs="宋体" w:eastAsia="宋体" w:hint="default"/>
                <w:sz w:val="22"/>
                <w:szCs w:val="22"/>
              </w:rPr>
              <w:t>统</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3" w:right="0"/>
              <w:jc w:val="left"/>
              <w:rPr>
                <w:rFonts w:ascii="宋体" w:hAnsi="宋体" w:cs="宋体" w:eastAsia="宋体" w:hint="default"/>
                <w:sz w:val="22"/>
                <w:szCs w:val="22"/>
              </w:rPr>
            </w:pPr>
            <w:r>
              <w:rPr>
                <w:rFonts w:ascii="宋体" w:hAnsi="宋体" w:cs="宋体" w:eastAsia="宋体" w:hint="default"/>
                <w:sz w:val="22"/>
                <w:szCs w:val="22"/>
              </w:rPr>
              <w:t>试运行</w:t>
            </w: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室、桌面、移动办公等场景，并将通信能力嵌入到企业</w:t>
            </w:r>
          </w:p>
        </w:tc>
        <w:tc>
          <w:tcPr>
            <w:tcW w:w="1060" w:type="dxa"/>
            <w:tcBorders>
              <w:top w:val="nil" w:sz="6" w:space="0" w:color="auto"/>
              <w:left w:val="single" w:sz="6" w:space="0" w:color="000000"/>
              <w:bottom w:val="nil" w:sz="6" w:space="0" w:color="auto"/>
              <w:right w:val="single" w:sz="6" w:space="0" w:color="000000"/>
            </w:tcBorders>
          </w:tcPr>
          <w:p>
            <w:pPr>
              <w:pStyle w:val="TableParagraph"/>
              <w:spacing w:line="266" w:lineRule="exact"/>
              <w:ind w:right="1"/>
              <w:jc w:val="right"/>
              <w:rPr>
                <w:rFonts w:ascii="宋体" w:hAnsi="宋体" w:cs="宋体" w:eastAsia="宋体" w:hint="default"/>
                <w:sz w:val="22"/>
                <w:szCs w:val="22"/>
              </w:rPr>
            </w:pPr>
            <w:r>
              <w:rPr>
                <w:rFonts w:ascii="宋体" w:hAnsi="宋体" w:cs="宋体" w:eastAsia="宋体" w:hint="default"/>
                <w:spacing w:val="-13"/>
                <w:sz w:val="22"/>
                <w:szCs w:val="22"/>
              </w:rPr>
              <w:t>企业、电信</w:t>
            </w:r>
          </w:p>
        </w:tc>
      </w:tr>
      <w:tr>
        <w:trPr>
          <w:trHeight w:val="330" w:hRule="exact"/>
        </w:trPr>
        <w:tc>
          <w:tcPr>
            <w:tcW w:w="1974" w:type="dxa"/>
            <w:tcBorders>
              <w:top w:val="nil" w:sz="6" w:space="0" w:color="auto"/>
              <w:left w:val="nil" w:sz="6" w:space="0" w:color="auto"/>
              <w:bottom w:val="single" w:sz="6" w:space="0" w:color="000000"/>
              <w:right w:val="single" w:sz="6" w:space="0" w:color="000000"/>
            </w:tcBorders>
          </w:tcPr>
          <w:p>
            <w:pPr>
              <w:pStyle w:val="TableParagraph"/>
              <w:spacing w:line="240" w:lineRule="auto" w:before="29"/>
              <w:ind w:left="24" w:right="0"/>
              <w:jc w:val="left"/>
              <w:rPr>
                <w:rFonts w:ascii="Times New Roman" w:hAnsi="Times New Roman" w:cs="Times New Roman" w:eastAsia="Times New Roman" w:hint="default"/>
                <w:sz w:val="22"/>
                <w:szCs w:val="22"/>
              </w:rPr>
            </w:pPr>
            <w:r>
              <w:rPr>
                <w:rFonts w:ascii="Times New Roman"/>
                <w:sz w:val="22"/>
              </w:rPr>
              <w:t>V2.0</w:t>
            </w:r>
          </w:p>
        </w:tc>
        <w:tc>
          <w:tcPr>
            <w:tcW w:w="1421" w:type="dxa"/>
            <w:tcBorders>
              <w:top w:val="nil" w:sz="6" w:space="0" w:color="auto"/>
              <w:left w:val="single" w:sz="6" w:space="0" w:color="000000"/>
              <w:bottom w:val="single" w:sz="6" w:space="0" w:color="000000"/>
              <w:right w:val="single" w:sz="6" w:space="0" w:color="000000"/>
            </w:tcBorders>
          </w:tcPr>
          <w:p>
            <w:pPr/>
          </w:p>
        </w:tc>
        <w:tc>
          <w:tcPr>
            <w:tcW w:w="5320" w:type="dxa"/>
            <w:tcBorders>
              <w:top w:val="nil" w:sz="6" w:space="0" w:color="auto"/>
              <w:left w:val="single" w:sz="6" w:space="0" w:color="000000"/>
              <w:bottom w:val="single" w:sz="6" w:space="0" w:color="000000"/>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业务流程，助力客户突破地域限制，优化生产流程</w:t>
            </w:r>
          </w:p>
        </w:tc>
        <w:tc>
          <w:tcPr>
            <w:tcW w:w="1060" w:type="dxa"/>
            <w:tcBorders>
              <w:top w:val="nil" w:sz="6" w:space="0" w:color="auto"/>
              <w:left w:val="single" w:sz="6" w:space="0" w:color="000000"/>
              <w:bottom w:val="single" w:sz="6" w:space="0" w:color="000000"/>
              <w:right w:val="single" w:sz="6" w:space="0" w:color="000000"/>
            </w:tcBorders>
          </w:tcPr>
          <w:p>
            <w:pPr/>
          </w:p>
        </w:tc>
      </w:tr>
      <w:tr>
        <w:trPr>
          <w:trHeight w:val="329" w:hRule="exact"/>
        </w:trPr>
        <w:tc>
          <w:tcPr>
            <w:tcW w:w="1974" w:type="dxa"/>
            <w:tcBorders>
              <w:top w:val="single" w:sz="6" w:space="0" w:color="000000"/>
              <w:left w:val="nil" w:sz="6" w:space="0" w:color="auto"/>
              <w:bottom w:val="nil" w:sz="6" w:space="0" w:color="auto"/>
              <w:right w:val="single" w:sz="6" w:space="0" w:color="000000"/>
            </w:tcBorders>
          </w:tcPr>
          <w:p>
            <w:pPr/>
          </w:p>
        </w:tc>
        <w:tc>
          <w:tcPr>
            <w:tcW w:w="1421" w:type="dxa"/>
            <w:tcBorders>
              <w:top w:val="single" w:sz="6" w:space="0" w:color="000000"/>
              <w:left w:val="single" w:sz="6" w:space="0" w:color="000000"/>
              <w:bottom w:val="nil" w:sz="6" w:space="0" w:color="auto"/>
              <w:right w:val="single" w:sz="6" w:space="0" w:color="000000"/>
            </w:tcBorders>
          </w:tcPr>
          <w:p>
            <w:pPr/>
          </w:p>
        </w:tc>
        <w:tc>
          <w:tcPr>
            <w:tcW w:w="532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催收系统更好地服务于自己公司的催收业务，包括互金</w:t>
            </w:r>
          </w:p>
        </w:tc>
        <w:tc>
          <w:tcPr>
            <w:tcW w:w="10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催收和银行信用卡催收；</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服务好催收系统现有客户，从而打造系统的知名度，并</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向他们推荐我们的智能催收机器人业务，不断扩展；</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pacing w:val="22"/>
                <w:sz w:val="22"/>
                <w:szCs w:val="22"/>
              </w:rPr>
              <w:t>迪科数金催收平台</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3" w:right="0"/>
              <w:jc w:val="left"/>
              <w:rPr>
                <w:rFonts w:ascii="宋体" w:hAnsi="宋体" w:cs="宋体" w:eastAsia="宋体" w:hint="default"/>
                <w:sz w:val="22"/>
                <w:szCs w:val="22"/>
              </w:rPr>
            </w:pPr>
            <w:r>
              <w:rPr>
                <w:rFonts w:ascii="宋体" w:hAnsi="宋体" w:cs="宋体" w:eastAsia="宋体" w:hint="default"/>
                <w:spacing w:val="13"/>
                <w:sz w:val="22"/>
                <w:szCs w:val="22"/>
              </w:rPr>
              <w:t>开发、测试、</w:t>
            </w: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做好线上和线下运营，面向市场上互金催收公司和银行</w:t>
            </w:r>
          </w:p>
        </w:tc>
        <w:tc>
          <w:tcPr>
            <w:tcW w:w="106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金融</w:t>
            </w: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3" w:right="0"/>
              <w:jc w:val="left"/>
              <w:rPr>
                <w:rFonts w:ascii="宋体" w:hAnsi="宋体" w:cs="宋体" w:eastAsia="宋体" w:hint="default"/>
                <w:sz w:val="22"/>
                <w:szCs w:val="22"/>
              </w:rPr>
            </w:pPr>
            <w:r>
              <w:rPr>
                <w:rFonts w:ascii="宋体" w:hAnsi="宋体" w:cs="宋体" w:eastAsia="宋体" w:hint="default"/>
                <w:sz w:val="22"/>
                <w:szCs w:val="22"/>
              </w:rPr>
              <w:t>试运行</w:t>
            </w: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信用卡催收公司推广，扩大市场知名度，从而增加公司</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收益；</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智能呼叫机器人系统功能持续推广，在市场上占有一定</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的知名度，在智能外呼上获得收益；</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31" w:hRule="exact"/>
        </w:trPr>
        <w:tc>
          <w:tcPr>
            <w:tcW w:w="1974" w:type="dxa"/>
            <w:tcBorders>
              <w:top w:val="nil" w:sz="6" w:space="0" w:color="auto"/>
              <w:left w:val="nil" w:sz="6" w:space="0" w:color="auto"/>
              <w:bottom w:val="single" w:sz="6" w:space="0" w:color="000000"/>
              <w:right w:val="single" w:sz="6" w:space="0" w:color="000000"/>
            </w:tcBorders>
          </w:tcPr>
          <w:p>
            <w:pPr/>
          </w:p>
        </w:tc>
        <w:tc>
          <w:tcPr>
            <w:tcW w:w="1421" w:type="dxa"/>
            <w:tcBorders>
              <w:top w:val="nil" w:sz="6" w:space="0" w:color="auto"/>
              <w:left w:val="single" w:sz="6" w:space="0" w:color="000000"/>
              <w:bottom w:val="single" w:sz="6" w:space="0" w:color="000000"/>
              <w:right w:val="single" w:sz="6" w:space="0" w:color="000000"/>
            </w:tcBorders>
          </w:tcPr>
          <w:p>
            <w:pPr/>
          </w:p>
        </w:tc>
        <w:tc>
          <w:tcPr>
            <w:tcW w:w="5320" w:type="dxa"/>
            <w:tcBorders>
              <w:top w:val="nil" w:sz="6" w:space="0" w:color="auto"/>
              <w:left w:val="single" w:sz="6" w:space="0" w:color="000000"/>
              <w:bottom w:val="single" w:sz="6" w:space="0" w:color="000000"/>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推广智能质检业务，提升系统知名度；</w:t>
            </w:r>
          </w:p>
        </w:tc>
        <w:tc>
          <w:tcPr>
            <w:tcW w:w="1060"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974" w:type="dxa"/>
            <w:tcBorders>
              <w:top w:val="single" w:sz="6" w:space="0" w:color="000000"/>
              <w:left w:val="nil" w:sz="6" w:space="0" w:color="auto"/>
              <w:bottom w:val="nil" w:sz="6" w:space="0" w:color="auto"/>
              <w:right w:val="single" w:sz="6" w:space="0" w:color="000000"/>
            </w:tcBorders>
          </w:tcPr>
          <w:p>
            <w:pPr/>
          </w:p>
        </w:tc>
        <w:tc>
          <w:tcPr>
            <w:tcW w:w="1421" w:type="dxa"/>
            <w:tcBorders>
              <w:top w:val="single" w:sz="6" w:space="0" w:color="000000"/>
              <w:left w:val="single" w:sz="6" w:space="0" w:color="000000"/>
              <w:bottom w:val="nil" w:sz="6" w:space="0" w:color="auto"/>
              <w:right w:val="single" w:sz="6" w:space="0" w:color="000000"/>
            </w:tcBorders>
          </w:tcPr>
          <w:p>
            <w:pPr/>
          </w:p>
        </w:tc>
        <w:tc>
          <w:tcPr>
            <w:tcW w:w="5320" w:type="dxa"/>
            <w:tcBorders>
              <w:top w:val="single" w:sz="6" w:space="0" w:color="000000"/>
              <w:left w:val="single" w:sz="6" w:space="0" w:color="000000"/>
              <w:bottom w:val="nil" w:sz="6" w:space="0" w:color="auto"/>
              <w:right w:val="single" w:sz="6" w:space="0" w:color="000000"/>
            </w:tcBorders>
          </w:tcPr>
          <w:p>
            <w:pPr>
              <w:pStyle w:val="TableParagraph"/>
              <w:spacing w:line="275" w:lineRule="exact"/>
              <w:ind w:left="2" w:right="0"/>
              <w:jc w:val="left"/>
              <w:rPr>
                <w:rFonts w:ascii="宋体" w:hAnsi="宋体" w:cs="宋体" w:eastAsia="宋体" w:hint="default"/>
                <w:sz w:val="22"/>
                <w:szCs w:val="22"/>
              </w:rPr>
            </w:pPr>
            <w:r>
              <w:rPr>
                <w:rFonts w:ascii="宋体" w:hAnsi="宋体" w:cs="宋体" w:eastAsia="宋体" w:hint="default"/>
                <w:sz w:val="22"/>
                <w:szCs w:val="22"/>
              </w:rPr>
              <w:t>项目的建设，可防患于未然，为维护城市稳定提供有效</w:t>
            </w:r>
          </w:p>
        </w:tc>
        <w:tc>
          <w:tcPr>
            <w:tcW w:w="10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手段，强化社会面特别是公共场所和重点部位的数字防</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pacing w:val="22"/>
                <w:sz w:val="22"/>
                <w:szCs w:val="22"/>
              </w:rPr>
              <w:t>天源迪科长途客运</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3" w:right="0"/>
              <w:jc w:val="left"/>
              <w:rPr>
                <w:rFonts w:ascii="宋体" w:hAnsi="宋体" w:cs="宋体" w:eastAsia="宋体" w:hint="default"/>
                <w:sz w:val="22"/>
                <w:szCs w:val="22"/>
              </w:rPr>
            </w:pPr>
            <w:r>
              <w:rPr>
                <w:rFonts w:ascii="宋体" w:hAnsi="宋体" w:cs="宋体" w:eastAsia="宋体" w:hint="default"/>
                <w:spacing w:val="13"/>
                <w:sz w:val="22"/>
                <w:szCs w:val="22"/>
              </w:rPr>
              <w:t>开发、测试、</w:t>
            </w: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控、重要基础设施的安全防范、特殊人群的服务管理等</w:t>
            </w:r>
          </w:p>
        </w:tc>
        <w:tc>
          <w:tcPr>
            <w:tcW w:w="1060" w:type="dxa"/>
            <w:tcBorders>
              <w:top w:val="nil" w:sz="6" w:space="0" w:color="auto"/>
              <w:left w:val="single" w:sz="6" w:space="0" w:color="000000"/>
              <w:bottom w:val="nil" w:sz="6" w:space="0" w:color="auto"/>
              <w:right w:val="single" w:sz="6" w:space="0" w:color="000000"/>
            </w:tcBorders>
          </w:tcPr>
          <w:p>
            <w:pPr>
              <w:pStyle w:val="TableParagraph"/>
              <w:spacing w:line="266" w:lineRule="exact"/>
              <w:ind w:right="2"/>
              <w:jc w:val="right"/>
              <w:rPr>
                <w:rFonts w:ascii="宋体" w:hAnsi="宋体" w:cs="宋体" w:eastAsia="宋体" w:hint="default"/>
                <w:sz w:val="22"/>
                <w:szCs w:val="22"/>
              </w:rPr>
            </w:pPr>
            <w:r>
              <w:rPr>
                <w:rFonts w:ascii="宋体" w:hAnsi="宋体" w:cs="宋体" w:eastAsia="宋体" w:hint="default"/>
                <w:sz w:val="22"/>
                <w:szCs w:val="22"/>
              </w:rPr>
              <w:t>公</w:t>
            </w:r>
            <w:r>
              <w:rPr>
                <w:rFonts w:ascii="宋体" w:hAnsi="宋体" w:cs="宋体" w:eastAsia="宋体" w:hint="default"/>
                <w:spacing w:val="-58"/>
                <w:sz w:val="22"/>
                <w:szCs w:val="22"/>
              </w:rPr>
              <w:t> </w:t>
            </w:r>
            <w:r>
              <w:rPr>
                <w:rFonts w:ascii="宋体" w:hAnsi="宋体" w:cs="宋体" w:eastAsia="宋体" w:hint="default"/>
                <w:sz w:val="22"/>
                <w:szCs w:val="22"/>
              </w:rPr>
              <w:t>安</w:t>
            </w:r>
            <w:r>
              <w:rPr>
                <w:rFonts w:ascii="宋体" w:hAnsi="宋体" w:cs="宋体" w:eastAsia="宋体" w:hint="default"/>
                <w:spacing w:val="-59"/>
                <w:sz w:val="22"/>
                <w:szCs w:val="22"/>
              </w:rPr>
              <w:t> </w:t>
            </w:r>
            <w:r>
              <w:rPr>
                <w:rFonts w:ascii="宋体" w:hAnsi="宋体" w:cs="宋体" w:eastAsia="宋体" w:hint="default"/>
                <w:sz w:val="22"/>
                <w:szCs w:val="22"/>
              </w:rPr>
              <w:t>公</w:t>
            </w:r>
            <w:r>
              <w:rPr>
                <w:rFonts w:ascii="宋体" w:hAnsi="宋体" w:cs="宋体" w:eastAsia="宋体" w:hint="default"/>
                <w:spacing w:val="-58"/>
                <w:sz w:val="22"/>
                <w:szCs w:val="22"/>
              </w:rPr>
              <w:t> </w:t>
            </w:r>
            <w:r>
              <w:rPr>
                <w:rFonts w:ascii="宋体" w:hAnsi="宋体" w:cs="宋体" w:eastAsia="宋体" w:hint="default"/>
                <w:sz w:val="22"/>
                <w:szCs w:val="22"/>
              </w:rPr>
              <w:t>共</w:t>
            </w: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治安防控软件</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3" w:right="0"/>
              <w:jc w:val="left"/>
              <w:rPr>
                <w:rFonts w:ascii="宋体" w:hAnsi="宋体" w:cs="宋体" w:eastAsia="宋体" w:hint="default"/>
                <w:sz w:val="22"/>
                <w:szCs w:val="22"/>
              </w:rPr>
            </w:pPr>
            <w:r>
              <w:rPr>
                <w:rFonts w:ascii="宋体" w:hAnsi="宋体" w:cs="宋体" w:eastAsia="宋体" w:hint="default"/>
                <w:sz w:val="22"/>
                <w:szCs w:val="22"/>
              </w:rPr>
              <w:t>试运行</w:t>
            </w: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工作。利用前沿智能感知技术，运用科学的算法，对重</w:t>
            </w:r>
          </w:p>
        </w:tc>
        <w:tc>
          <w:tcPr>
            <w:tcW w:w="106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交通</w:t>
            </w: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w w:val="99"/>
                <w:sz w:val="22"/>
                <w:szCs w:val="22"/>
              </w:rPr>
              <w:t>点关注人员群体及进京访人员进行有效预警</w:t>
            </w:r>
            <w:r>
              <w:rPr>
                <w:rFonts w:ascii="宋体" w:hAnsi="宋体" w:cs="宋体" w:eastAsia="宋体" w:hint="default"/>
                <w:spacing w:val="-89"/>
                <w:w w:val="99"/>
                <w:sz w:val="22"/>
                <w:szCs w:val="22"/>
              </w:rPr>
              <w:t>，</w:t>
            </w:r>
            <w:r>
              <w:rPr>
                <w:rFonts w:ascii="宋体" w:hAnsi="宋体" w:cs="宋体" w:eastAsia="宋体" w:hint="default"/>
                <w:w w:val="99"/>
                <w:sz w:val="22"/>
                <w:szCs w:val="22"/>
              </w:rPr>
              <w:t>准确报警</w:t>
            </w:r>
            <w:r>
              <w:rPr>
                <w:rFonts w:ascii="宋体" w:hAnsi="宋体" w:cs="宋体" w:eastAsia="宋体" w:hint="default"/>
                <w:sz w:val="22"/>
                <w:szCs w:val="22"/>
              </w:rPr>
            </w:r>
          </w:p>
        </w:tc>
        <w:tc>
          <w:tcPr>
            <w:tcW w:w="106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130"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提高拦截效果，达到全面提升环京防控能力和总队重点</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31" w:hRule="exact"/>
        </w:trPr>
        <w:tc>
          <w:tcPr>
            <w:tcW w:w="1974" w:type="dxa"/>
            <w:tcBorders>
              <w:top w:val="nil" w:sz="6" w:space="0" w:color="auto"/>
              <w:left w:val="nil" w:sz="6" w:space="0" w:color="auto"/>
              <w:bottom w:val="single" w:sz="6" w:space="0" w:color="000000"/>
              <w:right w:val="single" w:sz="6" w:space="0" w:color="000000"/>
            </w:tcBorders>
          </w:tcPr>
          <w:p>
            <w:pPr/>
          </w:p>
        </w:tc>
        <w:tc>
          <w:tcPr>
            <w:tcW w:w="1421" w:type="dxa"/>
            <w:tcBorders>
              <w:top w:val="nil" w:sz="6" w:space="0" w:color="auto"/>
              <w:left w:val="single" w:sz="6" w:space="0" w:color="000000"/>
              <w:bottom w:val="single" w:sz="6" w:space="0" w:color="000000"/>
              <w:right w:val="single" w:sz="6" w:space="0" w:color="000000"/>
            </w:tcBorders>
          </w:tcPr>
          <w:p>
            <w:pPr/>
          </w:p>
        </w:tc>
        <w:tc>
          <w:tcPr>
            <w:tcW w:w="5320" w:type="dxa"/>
            <w:tcBorders>
              <w:top w:val="nil" w:sz="6" w:space="0" w:color="auto"/>
              <w:left w:val="single" w:sz="6" w:space="0" w:color="000000"/>
              <w:bottom w:val="single" w:sz="6" w:space="0" w:color="000000"/>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人员管控能力。</w:t>
            </w:r>
          </w:p>
        </w:tc>
        <w:tc>
          <w:tcPr>
            <w:tcW w:w="106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974" w:type="dxa"/>
            <w:tcBorders>
              <w:top w:val="single" w:sz="6" w:space="0" w:color="000000"/>
              <w:left w:val="nil" w:sz="6" w:space="0" w:color="auto"/>
              <w:bottom w:val="nil" w:sz="6" w:space="0" w:color="auto"/>
              <w:right w:val="single" w:sz="6" w:space="0" w:color="000000"/>
            </w:tcBorders>
          </w:tcPr>
          <w:p>
            <w:pPr>
              <w:pStyle w:val="TableParagraph"/>
              <w:spacing w:line="292" w:lineRule="exact"/>
              <w:ind w:left="24" w:right="0"/>
              <w:jc w:val="left"/>
              <w:rPr>
                <w:rFonts w:ascii="宋体" w:hAnsi="宋体" w:cs="宋体" w:eastAsia="宋体" w:hint="default"/>
                <w:sz w:val="22"/>
                <w:szCs w:val="22"/>
              </w:rPr>
            </w:pPr>
            <w:r>
              <w:rPr>
                <w:rFonts w:ascii="宋体" w:hAnsi="宋体" w:cs="宋体" w:eastAsia="宋体" w:hint="default"/>
                <w:sz w:val="22"/>
                <w:szCs w:val="22"/>
              </w:rPr>
              <w:t>宝贝团淘</w:t>
            </w:r>
            <w:r>
              <w:rPr>
                <w:rFonts w:ascii="Times New Roman" w:hAnsi="Times New Roman" w:cs="Times New Roman" w:eastAsia="Times New Roman" w:hint="default"/>
                <w:sz w:val="22"/>
                <w:szCs w:val="22"/>
              </w:rPr>
              <w:t>C</w:t>
            </w:r>
            <w:r>
              <w:rPr>
                <w:rFonts w:ascii="宋体" w:hAnsi="宋体" w:cs="宋体" w:eastAsia="宋体" w:hint="default"/>
                <w:sz w:val="22"/>
                <w:szCs w:val="22"/>
              </w:rPr>
              <w:t>商城</w:t>
            </w:r>
          </w:p>
        </w:tc>
        <w:tc>
          <w:tcPr>
            <w:tcW w:w="1421"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pacing w:val="13"/>
                <w:sz w:val="22"/>
                <w:szCs w:val="22"/>
              </w:rPr>
              <w:t>开发、测试、</w:t>
            </w:r>
          </w:p>
        </w:tc>
        <w:tc>
          <w:tcPr>
            <w:tcW w:w="5320" w:type="dxa"/>
            <w:tcBorders>
              <w:top w:val="single" w:sz="6" w:space="0" w:color="000000"/>
              <w:left w:val="single" w:sz="6" w:space="0" w:color="000000"/>
              <w:bottom w:val="nil" w:sz="6" w:space="0" w:color="auto"/>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宋体" w:hAnsi="宋体" w:cs="宋体" w:eastAsia="宋体" w:hint="default"/>
                <w:spacing w:val="-3"/>
                <w:sz w:val="22"/>
                <w:szCs w:val="22"/>
              </w:rPr>
              <w:t>实现淘</w:t>
            </w:r>
            <w:r>
              <w:rPr>
                <w:rFonts w:ascii="Times New Roman" w:hAnsi="Times New Roman" w:cs="Times New Roman" w:eastAsia="Times New Roman" w:hint="default"/>
                <w:spacing w:val="-3"/>
                <w:sz w:val="22"/>
                <w:szCs w:val="22"/>
              </w:rPr>
              <w:t>C</w:t>
            </w:r>
            <w:r>
              <w:rPr>
                <w:rFonts w:ascii="宋体" w:hAnsi="宋体" w:cs="宋体" w:eastAsia="宋体" w:hint="default"/>
                <w:spacing w:val="-3"/>
                <w:sz w:val="22"/>
                <w:szCs w:val="22"/>
              </w:rPr>
              <w:t>商城接入各省联通营业厅</w:t>
            </w:r>
            <w:r>
              <w:rPr>
                <w:rFonts w:ascii="Times New Roman" w:hAnsi="Times New Roman" w:cs="Times New Roman" w:eastAsia="Times New Roman" w:hint="default"/>
                <w:spacing w:val="-3"/>
                <w:sz w:val="22"/>
                <w:szCs w:val="22"/>
              </w:rPr>
              <w:t>App</w:t>
            </w:r>
            <w:r>
              <w:rPr>
                <w:rFonts w:ascii="宋体" w:hAnsi="宋体" w:cs="宋体" w:eastAsia="宋体" w:hint="default"/>
                <w:spacing w:val="-3"/>
                <w:sz w:val="22"/>
                <w:szCs w:val="22"/>
              </w:rPr>
              <w:t>页面；实现宝贝团</w:t>
            </w:r>
          </w:p>
        </w:tc>
        <w:tc>
          <w:tcPr>
            <w:tcW w:w="106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电商</w:t>
            </w:r>
          </w:p>
        </w:tc>
      </w:tr>
      <w:tr>
        <w:trPr>
          <w:trHeight w:val="324" w:hRule="exact"/>
        </w:trPr>
        <w:tc>
          <w:tcPr>
            <w:tcW w:w="1974" w:type="dxa"/>
            <w:tcBorders>
              <w:top w:val="nil" w:sz="6" w:space="0" w:color="auto"/>
              <w:left w:val="nil" w:sz="6" w:space="0" w:color="auto"/>
              <w:bottom w:val="single" w:sz="6" w:space="0" w:color="000000"/>
              <w:right w:val="single" w:sz="6" w:space="0" w:color="000000"/>
            </w:tcBorders>
          </w:tcPr>
          <w:p>
            <w:pPr/>
          </w:p>
        </w:tc>
        <w:tc>
          <w:tcPr>
            <w:tcW w:w="1421" w:type="dxa"/>
            <w:tcBorders>
              <w:top w:val="nil" w:sz="6" w:space="0" w:color="auto"/>
              <w:left w:val="single" w:sz="6" w:space="0" w:color="000000"/>
              <w:bottom w:val="single" w:sz="6" w:space="0" w:color="000000"/>
              <w:right w:val="single" w:sz="6" w:space="0" w:color="000000"/>
            </w:tcBorders>
          </w:tcPr>
          <w:p>
            <w:pPr>
              <w:pStyle w:val="TableParagraph"/>
              <w:spacing w:line="260" w:lineRule="exact"/>
              <w:ind w:left="3" w:right="0"/>
              <w:jc w:val="left"/>
              <w:rPr>
                <w:rFonts w:ascii="宋体" w:hAnsi="宋体" w:cs="宋体" w:eastAsia="宋体" w:hint="default"/>
                <w:sz w:val="22"/>
                <w:szCs w:val="22"/>
              </w:rPr>
            </w:pPr>
            <w:r>
              <w:rPr>
                <w:rFonts w:ascii="宋体" w:hAnsi="宋体" w:cs="宋体" w:eastAsia="宋体" w:hint="default"/>
                <w:sz w:val="22"/>
                <w:szCs w:val="22"/>
              </w:rPr>
              <w:t>试运行</w:t>
            </w:r>
          </w:p>
        </w:tc>
        <w:tc>
          <w:tcPr>
            <w:tcW w:w="5320"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2" w:right="0"/>
              <w:jc w:val="left"/>
              <w:rPr>
                <w:rFonts w:ascii="宋体" w:hAnsi="宋体" w:cs="宋体" w:eastAsia="宋体" w:hint="default"/>
                <w:sz w:val="22"/>
                <w:szCs w:val="22"/>
              </w:rPr>
            </w:pPr>
            <w:r>
              <w:rPr>
                <w:rFonts w:ascii="宋体" w:hAnsi="宋体" w:cs="宋体" w:eastAsia="宋体" w:hint="default"/>
                <w:sz w:val="22"/>
                <w:szCs w:val="22"/>
              </w:rPr>
              <w:t>商家商品在联通</w:t>
            </w:r>
            <w:r>
              <w:rPr>
                <w:rFonts w:ascii="Times New Roman" w:hAnsi="Times New Roman" w:cs="Times New Roman" w:eastAsia="Times New Roman" w:hint="default"/>
                <w:sz w:val="22"/>
                <w:szCs w:val="22"/>
              </w:rPr>
              <w:t>App</w:t>
            </w:r>
            <w:r>
              <w:rPr>
                <w:rFonts w:ascii="宋体" w:hAnsi="宋体" w:cs="宋体" w:eastAsia="宋体" w:hint="default"/>
                <w:sz w:val="22"/>
                <w:szCs w:val="22"/>
              </w:rPr>
              <w:t>中优惠促销。</w:t>
            </w:r>
          </w:p>
        </w:tc>
        <w:tc>
          <w:tcPr>
            <w:tcW w:w="1060" w:type="dxa"/>
            <w:tcBorders>
              <w:top w:val="nil" w:sz="6" w:space="0" w:color="auto"/>
              <w:left w:val="single" w:sz="6" w:space="0" w:color="000000"/>
              <w:bottom w:val="single" w:sz="6" w:space="0" w:color="000000"/>
              <w:right w:val="single" w:sz="6" w:space="0" w:color="000000"/>
            </w:tcBorders>
          </w:tcPr>
          <w:p>
            <w:pPr/>
          </w:p>
        </w:tc>
      </w:tr>
      <w:tr>
        <w:trPr>
          <w:trHeight w:val="329" w:hRule="exact"/>
        </w:trPr>
        <w:tc>
          <w:tcPr>
            <w:tcW w:w="1974" w:type="dxa"/>
            <w:tcBorders>
              <w:top w:val="single" w:sz="6" w:space="0" w:color="000000"/>
              <w:left w:val="nil" w:sz="6" w:space="0" w:color="auto"/>
              <w:bottom w:val="nil" w:sz="6" w:space="0" w:color="auto"/>
              <w:right w:val="single" w:sz="6"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pacing w:val="22"/>
                <w:sz w:val="22"/>
                <w:szCs w:val="22"/>
              </w:rPr>
              <w:t>企业智慧安全数据</w:t>
            </w:r>
          </w:p>
        </w:tc>
        <w:tc>
          <w:tcPr>
            <w:tcW w:w="1421"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pacing w:val="13"/>
                <w:sz w:val="22"/>
                <w:szCs w:val="22"/>
              </w:rPr>
              <w:t>开发、测试、</w:t>
            </w:r>
          </w:p>
        </w:tc>
        <w:tc>
          <w:tcPr>
            <w:tcW w:w="532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致力于研发一款集企业资产安全和企业日志分析数据库</w:t>
            </w:r>
          </w:p>
        </w:tc>
        <w:tc>
          <w:tcPr>
            <w:tcW w:w="106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right="1"/>
              <w:jc w:val="right"/>
              <w:rPr>
                <w:rFonts w:ascii="宋体" w:hAnsi="宋体" w:cs="宋体" w:eastAsia="宋体" w:hint="default"/>
                <w:sz w:val="22"/>
                <w:szCs w:val="22"/>
              </w:rPr>
            </w:pPr>
            <w:r>
              <w:rPr>
                <w:rFonts w:ascii="宋体" w:hAnsi="宋体" w:cs="宋体" w:eastAsia="宋体" w:hint="default"/>
                <w:spacing w:val="-13"/>
                <w:sz w:val="22"/>
                <w:szCs w:val="22"/>
              </w:rPr>
              <w:t>企业、互联</w:t>
            </w:r>
          </w:p>
        </w:tc>
      </w:tr>
      <w:tr>
        <w:trPr>
          <w:trHeight w:val="312"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库管理技术的研究</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3" w:right="0"/>
              <w:jc w:val="left"/>
              <w:rPr>
                <w:rFonts w:ascii="宋体" w:hAnsi="宋体" w:cs="宋体" w:eastAsia="宋体" w:hint="default"/>
                <w:sz w:val="22"/>
                <w:szCs w:val="22"/>
              </w:rPr>
            </w:pPr>
            <w:r>
              <w:rPr>
                <w:rFonts w:ascii="宋体" w:hAnsi="宋体" w:cs="宋体" w:eastAsia="宋体" w:hint="default"/>
                <w:sz w:val="22"/>
                <w:szCs w:val="22"/>
              </w:rPr>
              <w:t>试运行</w:t>
            </w: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加密与脱敏系统，解决了现有数据库中加密密钥无法更</w:t>
            </w:r>
          </w:p>
        </w:tc>
        <w:tc>
          <w:tcPr>
            <w:tcW w:w="106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w w:val="99"/>
                <w:sz w:val="22"/>
                <w:szCs w:val="22"/>
              </w:rPr>
              <w:t>网</w:t>
            </w:r>
            <w:r>
              <w:rPr>
                <w:rFonts w:ascii="宋体" w:hAnsi="宋体" w:cs="宋体" w:eastAsia="宋体" w:hint="default"/>
                <w:sz w:val="22"/>
                <w:szCs w:val="22"/>
              </w:rPr>
            </w:r>
          </w:p>
        </w:tc>
      </w:tr>
      <w:tr>
        <w:trPr>
          <w:trHeight w:val="330" w:hRule="exact"/>
        </w:trPr>
        <w:tc>
          <w:tcPr>
            <w:tcW w:w="1974" w:type="dxa"/>
            <w:tcBorders>
              <w:top w:val="nil" w:sz="6" w:space="0" w:color="auto"/>
              <w:left w:val="nil" w:sz="6" w:space="0" w:color="auto"/>
              <w:bottom w:val="single" w:sz="6" w:space="0" w:color="000000"/>
              <w:right w:val="single" w:sz="6" w:space="0" w:color="000000"/>
            </w:tcBorders>
          </w:tcPr>
          <w:p>
            <w:pPr/>
          </w:p>
        </w:tc>
        <w:tc>
          <w:tcPr>
            <w:tcW w:w="1421" w:type="dxa"/>
            <w:tcBorders>
              <w:top w:val="nil" w:sz="6" w:space="0" w:color="auto"/>
              <w:left w:val="single" w:sz="6" w:space="0" w:color="000000"/>
              <w:bottom w:val="single" w:sz="6" w:space="0" w:color="000000"/>
              <w:right w:val="single" w:sz="6" w:space="0" w:color="000000"/>
            </w:tcBorders>
          </w:tcPr>
          <w:p>
            <w:pPr/>
          </w:p>
        </w:tc>
        <w:tc>
          <w:tcPr>
            <w:tcW w:w="5320" w:type="dxa"/>
            <w:tcBorders>
              <w:top w:val="nil" w:sz="6" w:space="0" w:color="auto"/>
              <w:left w:val="single" w:sz="6" w:space="0" w:color="000000"/>
              <w:bottom w:val="single" w:sz="6" w:space="0" w:color="000000"/>
              <w:right w:val="single" w:sz="6" w:space="0" w:color="000000"/>
            </w:tcBorders>
          </w:tcPr>
          <w:p>
            <w:pPr>
              <w:pStyle w:val="TableParagraph"/>
              <w:spacing w:line="266" w:lineRule="exact"/>
              <w:ind w:left="2" w:right="0"/>
              <w:jc w:val="left"/>
              <w:rPr>
                <w:rFonts w:ascii="宋体" w:hAnsi="宋体" w:cs="宋体" w:eastAsia="宋体" w:hint="default"/>
                <w:sz w:val="22"/>
                <w:szCs w:val="22"/>
              </w:rPr>
            </w:pPr>
            <w:r>
              <w:rPr>
                <w:rFonts w:ascii="宋体" w:hAnsi="宋体" w:cs="宋体" w:eastAsia="宋体" w:hint="default"/>
                <w:sz w:val="22"/>
                <w:szCs w:val="22"/>
              </w:rPr>
              <w:t>新，导致数据具有泄漏的风险，安全性能提高。</w:t>
            </w:r>
          </w:p>
        </w:tc>
        <w:tc>
          <w:tcPr>
            <w:tcW w:w="1060"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1974" w:type="dxa"/>
            <w:tcBorders>
              <w:top w:val="single" w:sz="6" w:space="0" w:color="000000"/>
              <w:left w:val="nil" w:sz="6" w:space="0" w:color="auto"/>
              <w:bottom w:val="nil" w:sz="6" w:space="0" w:color="auto"/>
              <w:right w:val="single" w:sz="6"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pacing w:val="22"/>
                <w:sz w:val="22"/>
                <w:szCs w:val="22"/>
              </w:rPr>
              <w:t>统一充值缴费平台</w:t>
            </w:r>
          </w:p>
        </w:tc>
        <w:tc>
          <w:tcPr>
            <w:tcW w:w="1421"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pacing w:val="13"/>
                <w:sz w:val="22"/>
                <w:szCs w:val="22"/>
              </w:rPr>
              <w:t>开发、测试、</w:t>
            </w:r>
          </w:p>
        </w:tc>
        <w:tc>
          <w:tcPr>
            <w:tcW w:w="5320" w:type="dxa"/>
            <w:tcBorders>
              <w:top w:val="single" w:sz="6" w:space="0" w:color="000000"/>
              <w:left w:val="single" w:sz="6" w:space="0" w:color="000000"/>
              <w:bottom w:val="nil" w:sz="6" w:space="0" w:color="auto"/>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宋体" w:hAnsi="宋体" w:cs="宋体" w:eastAsia="宋体" w:hint="default"/>
                <w:spacing w:val="-2"/>
                <w:sz w:val="22"/>
                <w:szCs w:val="22"/>
              </w:rPr>
              <w:t>统一充值缴费平台（</w:t>
            </w:r>
            <w:r>
              <w:rPr>
                <w:rFonts w:ascii="Times New Roman" w:hAnsi="Times New Roman" w:cs="Times New Roman" w:eastAsia="Times New Roman" w:hint="default"/>
                <w:spacing w:val="-2"/>
                <w:sz w:val="22"/>
                <w:szCs w:val="22"/>
              </w:rPr>
              <w:t>SGW</w:t>
            </w:r>
            <w:r>
              <w:rPr>
                <w:rFonts w:ascii="宋体" w:hAnsi="宋体" w:cs="宋体" w:eastAsia="宋体" w:hint="default"/>
                <w:spacing w:val="-2"/>
                <w:sz w:val="22"/>
                <w:szCs w:val="22"/>
              </w:rPr>
              <w:t>）为支付公司的核心业务接入</w:t>
            </w:r>
          </w:p>
        </w:tc>
        <w:tc>
          <w:tcPr>
            <w:tcW w:w="1060"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通信金融</w:t>
            </w:r>
          </w:p>
        </w:tc>
      </w:tr>
      <w:tr>
        <w:trPr>
          <w:trHeight w:val="306" w:hRule="exact"/>
        </w:trPr>
        <w:tc>
          <w:tcPr>
            <w:tcW w:w="1974" w:type="dxa"/>
            <w:tcBorders>
              <w:top w:val="nil" w:sz="6" w:space="0" w:color="auto"/>
              <w:left w:val="nil" w:sz="6" w:space="0" w:color="auto"/>
              <w:bottom w:val="nil" w:sz="6" w:space="0" w:color="auto"/>
              <w:right w:val="single" w:sz="6" w:space="0" w:color="000000"/>
            </w:tcBorders>
          </w:tcPr>
          <w:p>
            <w:pPr>
              <w:pStyle w:val="TableParagraph"/>
              <w:spacing w:line="260" w:lineRule="exact"/>
              <w:ind w:left="24" w:right="0"/>
              <w:jc w:val="left"/>
              <w:rPr>
                <w:rFonts w:ascii="宋体" w:hAnsi="宋体" w:cs="宋体" w:eastAsia="宋体" w:hint="default"/>
                <w:sz w:val="22"/>
                <w:szCs w:val="22"/>
              </w:rPr>
            </w:pPr>
            <w:r>
              <w:rPr>
                <w:rFonts w:ascii="宋体" w:hAnsi="宋体" w:cs="宋体" w:eastAsia="宋体" w:hint="default"/>
                <w:sz w:val="22"/>
                <w:szCs w:val="22"/>
              </w:rPr>
              <w:t>研发</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3" w:right="0"/>
              <w:jc w:val="left"/>
              <w:rPr>
                <w:rFonts w:ascii="宋体" w:hAnsi="宋体" w:cs="宋体" w:eastAsia="宋体" w:hint="default"/>
                <w:sz w:val="22"/>
                <w:szCs w:val="22"/>
              </w:rPr>
            </w:pPr>
            <w:r>
              <w:rPr>
                <w:rFonts w:ascii="宋体" w:hAnsi="宋体" w:cs="宋体" w:eastAsia="宋体" w:hint="default"/>
                <w:sz w:val="22"/>
                <w:szCs w:val="22"/>
              </w:rPr>
              <w:t>试运行</w:t>
            </w:r>
          </w:p>
        </w:tc>
        <w:tc>
          <w:tcPr>
            <w:tcW w:w="532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 w:right="0"/>
              <w:jc w:val="left"/>
              <w:rPr>
                <w:rFonts w:ascii="宋体" w:hAnsi="宋体" w:cs="宋体" w:eastAsia="宋体" w:hint="default"/>
                <w:sz w:val="22"/>
                <w:szCs w:val="22"/>
              </w:rPr>
            </w:pPr>
            <w:r>
              <w:rPr>
                <w:rFonts w:ascii="宋体" w:hAnsi="宋体" w:cs="宋体" w:eastAsia="宋体" w:hint="default"/>
                <w:sz w:val="22"/>
                <w:szCs w:val="22"/>
              </w:rPr>
              <w:t>系统之一，通过统一接口对渠道商户提供电信网手机、</w:t>
            </w:r>
          </w:p>
        </w:tc>
        <w:tc>
          <w:tcPr>
            <w:tcW w:w="1060" w:type="dxa"/>
            <w:tcBorders>
              <w:top w:val="nil" w:sz="6" w:space="0" w:color="auto"/>
              <w:left w:val="single" w:sz="6" w:space="0" w:color="000000"/>
              <w:bottom w:val="nil" w:sz="6" w:space="0" w:color="auto"/>
              <w:right w:val="single" w:sz="6" w:space="0" w:color="000000"/>
            </w:tcBorders>
          </w:tcPr>
          <w:p>
            <w:pPr/>
          </w:p>
        </w:tc>
      </w:tr>
      <w:tr>
        <w:trPr>
          <w:trHeight w:val="331" w:hRule="exact"/>
        </w:trPr>
        <w:tc>
          <w:tcPr>
            <w:tcW w:w="1974" w:type="dxa"/>
            <w:tcBorders>
              <w:top w:val="nil" w:sz="6" w:space="0" w:color="auto"/>
              <w:left w:val="nil" w:sz="6" w:space="0" w:color="auto"/>
              <w:bottom w:val="single" w:sz="6" w:space="0" w:color="000000"/>
              <w:right w:val="single" w:sz="6" w:space="0" w:color="000000"/>
            </w:tcBorders>
          </w:tcPr>
          <w:p>
            <w:pPr/>
          </w:p>
        </w:tc>
        <w:tc>
          <w:tcPr>
            <w:tcW w:w="1421" w:type="dxa"/>
            <w:tcBorders>
              <w:top w:val="nil" w:sz="6" w:space="0" w:color="auto"/>
              <w:left w:val="single" w:sz="6" w:space="0" w:color="000000"/>
              <w:bottom w:val="single" w:sz="6" w:space="0" w:color="000000"/>
              <w:right w:val="single" w:sz="6" w:space="0" w:color="000000"/>
            </w:tcBorders>
          </w:tcPr>
          <w:p>
            <w:pPr/>
          </w:p>
        </w:tc>
        <w:tc>
          <w:tcPr>
            <w:tcW w:w="5320"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2"/>
                <w:szCs w:val="22"/>
              </w:rPr>
            </w:pPr>
            <w:r>
              <w:rPr>
                <w:rFonts w:ascii="宋体" w:hAnsi="宋体" w:cs="宋体" w:eastAsia="宋体" w:hint="default"/>
                <w:sz w:val="22"/>
                <w:szCs w:val="22"/>
              </w:rPr>
              <w:t>固话、宽带充值；移动网</w:t>
            </w:r>
            <w:r>
              <w:rPr>
                <w:rFonts w:ascii="Times New Roman" w:hAnsi="Times New Roman" w:cs="Times New Roman" w:eastAsia="Times New Roman" w:hint="default"/>
                <w:sz w:val="22"/>
                <w:szCs w:val="22"/>
              </w:rPr>
              <w:t>/</w:t>
            </w:r>
            <w:r>
              <w:rPr>
                <w:rFonts w:ascii="宋体" w:hAnsi="宋体" w:cs="宋体" w:eastAsia="宋体" w:hint="default"/>
                <w:sz w:val="22"/>
                <w:szCs w:val="22"/>
              </w:rPr>
              <w:t>联通网手机充值能力。</w:t>
            </w:r>
          </w:p>
        </w:tc>
        <w:tc>
          <w:tcPr>
            <w:tcW w:w="106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974"/>
        <w:gridCol w:w="1421"/>
        <w:gridCol w:w="5320"/>
        <w:gridCol w:w="1060"/>
      </w:tblGrid>
      <w:tr>
        <w:trPr>
          <w:trHeight w:val="971" w:hRule="exact"/>
        </w:trPr>
        <w:tc>
          <w:tcPr>
            <w:tcW w:w="1974" w:type="dxa"/>
            <w:tcBorders>
              <w:top w:val="single" w:sz="6" w:space="0" w:color="000000"/>
              <w:left w:val="nil" w:sz="6" w:space="0" w:color="auto"/>
              <w:bottom w:val="single" w:sz="6" w:space="0" w:color="000000"/>
              <w:right w:val="single" w:sz="6" w:space="0" w:color="000000"/>
            </w:tcBorders>
          </w:tcPr>
          <w:p>
            <w:pPr>
              <w:pStyle w:val="TableParagraph"/>
              <w:spacing w:line="259" w:lineRule="auto"/>
              <w:ind w:left="24" w:right="3"/>
              <w:jc w:val="left"/>
              <w:rPr>
                <w:rFonts w:ascii="宋体" w:hAnsi="宋体" w:cs="宋体" w:eastAsia="宋体" w:hint="default"/>
                <w:sz w:val="22"/>
                <w:szCs w:val="22"/>
              </w:rPr>
            </w:pPr>
            <w:r>
              <w:rPr>
                <w:rFonts w:ascii="宋体" w:hAnsi="宋体" w:cs="宋体" w:eastAsia="宋体" w:hint="default"/>
                <w:spacing w:val="22"/>
                <w:sz w:val="22"/>
                <w:szCs w:val="22"/>
              </w:rPr>
              <w:t>大视频多屏互动及</w:t>
            </w:r>
            <w:r>
              <w:rPr>
                <w:rFonts w:ascii="宋体" w:hAnsi="宋体" w:cs="宋体" w:eastAsia="宋体" w:hint="default"/>
                <w:w w:val="99"/>
                <w:sz w:val="22"/>
                <w:szCs w:val="22"/>
              </w:rPr>
              <w:t> </w:t>
            </w:r>
            <w:r>
              <w:rPr>
                <w:rFonts w:ascii="宋体" w:hAnsi="宋体" w:cs="宋体" w:eastAsia="宋体" w:hint="default"/>
                <w:sz w:val="22"/>
                <w:szCs w:val="22"/>
              </w:rPr>
              <w:t>智能融合推荐平台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2"/>
              <w:jc w:val="left"/>
              <w:rPr>
                <w:rFonts w:ascii="宋体" w:hAnsi="宋体" w:cs="宋体" w:eastAsia="宋体" w:hint="default"/>
                <w:sz w:val="22"/>
                <w:szCs w:val="22"/>
              </w:rPr>
            </w:pPr>
            <w:r>
              <w:rPr>
                <w:rFonts w:ascii="宋体" w:hAnsi="宋体" w:cs="宋体" w:eastAsia="宋体" w:hint="default"/>
                <w:spacing w:val="13"/>
                <w:sz w:val="22"/>
                <w:szCs w:val="22"/>
              </w:rPr>
              <w:t>开发、测试、</w:t>
            </w:r>
            <w:r>
              <w:rPr>
                <w:rFonts w:ascii="宋体" w:hAnsi="宋体" w:cs="宋体" w:eastAsia="宋体" w:hint="default"/>
                <w:w w:val="99"/>
                <w:sz w:val="22"/>
                <w:szCs w:val="22"/>
              </w:rPr>
              <w:t> </w:t>
            </w:r>
            <w:r>
              <w:rPr>
                <w:rFonts w:ascii="宋体" w:hAnsi="宋体" w:cs="宋体" w:eastAsia="宋体" w:hint="default"/>
                <w:sz w:val="22"/>
                <w:szCs w:val="22"/>
              </w:rPr>
              <w:t>试运行</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2"/>
              <w:jc w:val="both"/>
              <w:rPr>
                <w:rFonts w:ascii="宋体" w:hAnsi="宋体" w:cs="宋体" w:eastAsia="宋体" w:hint="default"/>
                <w:sz w:val="22"/>
                <w:szCs w:val="22"/>
              </w:rPr>
            </w:pPr>
            <w:r>
              <w:rPr>
                <w:rFonts w:ascii="宋体" w:hAnsi="宋体" w:cs="宋体" w:eastAsia="宋体" w:hint="default"/>
                <w:sz w:val="22"/>
                <w:szCs w:val="22"/>
              </w:rPr>
              <w:t>实现在多元数据融合基础上，构建新业态的数字家庭，</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为用户提供更为个体精准化、互动化、社交化的多服务</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多维度深度整合的产品。</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电子信息</w:t>
            </w:r>
          </w:p>
        </w:tc>
      </w:tr>
      <w:tr>
        <w:trPr>
          <w:trHeight w:val="1908" w:hRule="exact"/>
        </w:trPr>
        <w:tc>
          <w:tcPr>
            <w:tcW w:w="19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59" w:lineRule="auto"/>
              <w:ind w:left="24" w:right="3"/>
              <w:jc w:val="left"/>
              <w:rPr>
                <w:rFonts w:ascii="宋体" w:hAnsi="宋体" w:cs="宋体" w:eastAsia="宋体" w:hint="default"/>
                <w:sz w:val="22"/>
                <w:szCs w:val="22"/>
              </w:rPr>
            </w:pPr>
            <w:r>
              <w:rPr>
                <w:rFonts w:ascii="宋体" w:hAnsi="宋体" w:cs="宋体" w:eastAsia="宋体" w:hint="default"/>
                <w:spacing w:val="22"/>
                <w:sz w:val="22"/>
                <w:szCs w:val="22"/>
              </w:rPr>
              <w:t>移动销售微信小程</w:t>
            </w:r>
            <w:r>
              <w:rPr>
                <w:rFonts w:ascii="宋体" w:hAnsi="宋体" w:cs="宋体" w:eastAsia="宋体" w:hint="default"/>
                <w:w w:val="99"/>
                <w:sz w:val="22"/>
                <w:szCs w:val="22"/>
              </w:rPr>
              <w:t> </w:t>
            </w:r>
            <w:r>
              <w:rPr>
                <w:rFonts w:ascii="宋体" w:hAnsi="宋体" w:cs="宋体" w:eastAsia="宋体" w:hint="default"/>
                <w:sz w:val="22"/>
                <w:szCs w:val="22"/>
              </w:rPr>
              <w:t>序版本的研发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59" w:lineRule="auto"/>
              <w:ind w:left="3" w:right="2"/>
              <w:jc w:val="left"/>
              <w:rPr>
                <w:rFonts w:ascii="宋体" w:hAnsi="宋体" w:cs="宋体" w:eastAsia="宋体" w:hint="default"/>
                <w:sz w:val="22"/>
                <w:szCs w:val="22"/>
              </w:rPr>
            </w:pPr>
            <w:r>
              <w:rPr>
                <w:rFonts w:ascii="宋体" w:hAnsi="宋体" w:cs="宋体" w:eastAsia="宋体" w:hint="default"/>
                <w:spacing w:val="13"/>
                <w:sz w:val="22"/>
                <w:szCs w:val="22"/>
              </w:rPr>
              <w:t>开发、测试、</w:t>
            </w:r>
            <w:r>
              <w:rPr>
                <w:rFonts w:ascii="宋体" w:hAnsi="宋体" w:cs="宋体" w:eastAsia="宋体" w:hint="default"/>
                <w:w w:val="99"/>
                <w:sz w:val="22"/>
                <w:szCs w:val="22"/>
              </w:rPr>
              <w:t> </w:t>
            </w:r>
            <w:r>
              <w:rPr>
                <w:rFonts w:ascii="宋体" w:hAnsi="宋体" w:cs="宋体" w:eastAsia="宋体" w:hint="default"/>
                <w:sz w:val="22"/>
                <w:szCs w:val="22"/>
              </w:rPr>
              <w:t>试运行</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2"/>
              <w:jc w:val="both"/>
              <w:rPr>
                <w:rFonts w:ascii="宋体" w:hAnsi="宋体" w:cs="宋体" w:eastAsia="宋体" w:hint="default"/>
                <w:sz w:val="22"/>
                <w:szCs w:val="22"/>
              </w:rPr>
            </w:pPr>
            <w:r>
              <w:rPr>
                <w:rFonts w:ascii="宋体" w:hAnsi="宋体" w:cs="宋体" w:eastAsia="宋体" w:hint="default"/>
                <w:sz w:val="22"/>
                <w:szCs w:val="22"/>
              </w:rPr>
              <w:t>为了方便一线展业人员实现便捷出单，客户管理，移动</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销售小程序可以实现无需下载，点击链接进入小程序登</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录销管工号即可进行快速报价，在线出单、支付。与核</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心出单系统、行业平台、收付系统等多平台实现无缝对</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接，理赔支付的衔接，随时随地的开展销售业务，提高</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服务质量、提升服务水平，缩减工作时效。</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left="2" w:right="0"/>
              <w:jc w:val="left"/>
              <w:rPr>
                <w:rFonts w:ascii="宋体" w:hAnsi="宋体" w:cs="宋体" w:eastAsia="宋体" w:hint="default"/>
                <w:sz w:val="22"/>
                <w:szCs w:val="22"/>
              </w:rPr>
            </w:pPr>
            <w:r>
              <w:rPr>
                <w:rFonts w:ascii="宋体" w:hAnsi="宋体" w:cs="宋体" w:eastAsia="宋体" w:hint="default"/>
                <w:sz w:val="22"/>
                <w:szCs w:val="22"/>
              </w:rPr>
              <w:t>保险</w:t>
            </w:r>
          </w:p>
        </w:tc>
      </w:tr>
    </w:tbl>
    <w:p>
      <w:pPr>
        <w:spacing w:line="240" w:lineRule="auto" w:before="8"/>
        <w:rPr>
          <w:rFonts w:ascii="Times New Roman" w:hAnsi="Times New Roman" w:cs="Times New Roman" w:eastAsia="Times New Roman" w:hint="default"/>
          <w:sz w:val="27"/>
          <w:szCs w:val="27"/>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289,495,853.16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237,103,847.42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214,090,005.79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103,970,627.92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95,660,153.66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95,393,515.23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44.56%</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19"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54" w:right="4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0"/>
        <w:ind w:left="154" w:right="58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79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98" w:right="0"/>
              <w:jc w:val="center"/>
              <w:rPr>
                <w:rFonts w:ascii="宋体" w:hAnsi="宋体" w:cs="宋体" w:eastAsia="宋体" w:hint="default"/>
                <w:sz w:val="18"/>
                <w:szCs w:val="18"/>
              </w:rPr>
            </w:pPr>
            <w:r>
              <w:rPr>
                <w:rFonts w:ascii="宋体" w:hAnsi="宋体" w:cs="宋体" w:eastAsia="宋体" w:hint="default"/>
                <w:sz w:val="18"/>
                <w:szCs w:val="18"/>
              </w:rPr>
              <w:t>电信集团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BSS3.0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22,239,055.03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为满足中国电信的智慧运营 策略，集团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CRM3.0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模型刚性 落地需求，源生产系统在模型 方面包含（主数据、欠费、产 品规格编码、用户状态编码、 渠道编码、销售品编码等主数 </w:t>
            </w:r>
            <w:r>
              <w:rPr>
                <w:rFonts w:ascii="宋体" w:hAnsi="宋体" w:cs="宋体" w:eastAsia="宋体" w:hint="default"/>
                <w:spacing w:val="-4"/>
                <w:sz w:val="18"/>
                <w:szCs w:val="18"/>
              </w:rPr>
              <w:t>据编码）发生诸多变化</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一律采</w:t>
            </w:r>
            <w:r>
              <w:rPr>
                <w:rFonts w:ascii="宋体" w:hAnsi="宋体" w:cs="宋体" w:eastAsia="宋体" w:hint="default"/>
                <w:spacing w:val="-85"/>
                <w:sz w:val="18"/>
                <w:szCs w:val="18"/>
              </w:rPr>
              <w:t> </w:t>
            </w:r>
            <w:r>
              <w:rPr>
                <w:rFonts w:ascii="宋体" w:hAnsi="宋体" w:cs="宋体" w:eastAsia="宋体" w:hint="default"/>
                <w:sz w:val="18"/>
                <w:szCs w:val="18"/>
              </w:rPr>
              <w:t>用集团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模型落地，导致 </w:t>
            </w:r>
            <w:r>
              <w:rPr>
                <w:rFonts w:ascii="Times New Roman" w:hAnsi="Times New Roman" w:cs="Times New Roman" w:eastAsia="Times New Roman" w:hint="default"/>
                <w:sz w:val="18"/>
                <w:szCs w:val="18"/>
              </w:rPr>
              <w:t>ODS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系统所有涉及到的相关 接口数据发生重大变化，需要 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模型配套改造，以便 满足周边系统取数需求及业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开发、测试、试运行</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4.600006pt;margin-top:90.599983pt;width:170.3pt;height:78.05pt;mso-position-horizontal-relative:page;mso-position-vertical-relative:page;z-index:-1441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各中心改造，</w:t>
                  </w:r>
                </w:p>
              </w:txbxContent>
            </v:textbox>
            <w10:wrap type="none"/>
          </v:shape>
        </w:pict>
      </w:r>
      <w:r>
        <w:rPr/>
        <w:pict>
          <v:shape style="position:absolute;margin-left:355.653992pt;margin-top:266.719971pt;width:179.25pt;height:240.8pt;mso-position-horizontal-relative:page;mso-position-vertical-relative:page;z-index:-1441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增工作组理念，</w:t>
                  </w:r>
                </w:p>
              </w:txbxContent>
            </v:textbox>
            <w10:wrap type="none"/>
          </v:shape>
        </w:pict>
      </w:r>
      <w:r>
        <w:rPr/>
        <w:pict>
          <v:group style="position:absolute;margin-left:415.799988pt;margin-top:90.599983pt;width:119.1pt;height:78.05pt;mso-position-horizontal-relative:page;mso-position-vertical-relative:page;z-index:-1441048" coordorigin="8316,1812" coordsize="2382,1561">
            <v:shape style="position:absolute;left:8316;top:1812;width:2382;height:1561" coordorigin="8316,1812" coordsize="2382,1561" path="m8316,3372l10698,3372,10698,1812,8316,1812,8316,3372xe" filled="true" fillcolor="#ffffff" stroked="false">
              <v:path arrowok="t"/>
              <v:fill type="solid"/>
            </v:shape>
            <w10:wrap type="none"/>
          </v:group>
        </w:pict>
      </w:r>
      <w:r>
        <w:rPr/>
        <w:pict>
          <v:group style="position:absolute;margin-left:415.799988pt;margin-top:266.719971pt;width:119.1pt;height:240.8pt;mso-position-horizontal-relative:page;mso-position-vertical-relative:page;z-index:-1441024" coordorigin="8316,5334" coordsize="2382,4816">
            <v:shape style="position:absolute;left:8316;top:5334;width:2382;height:4816" coordorigin="8316,5334" coordsize="2382,4816" path="m8316,10150l10698,10150,10698,5334,8316,5334,8316,101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25"/>
        <w:gridCol w:w="2167"/>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务部门各类业务分析应用</w:t>
            </w:r>
          </w:p>
        </w:tc>
        <w:tc>
          <w:tcPr>
            <w:tcW w:w="2392" w:type="dxa"/>
            <w:gridSpan w:val="2"/>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全业务服务接入平台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20,775,619.46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配合联通总部新客服系统建 </w:t>
            </w:r>
            <w:r>
              <w:rPr>
                <w:rFonts w:ascii="宋体" w:hAnsi="宋体" w:cs="宋体" w:eastAsia="宋体" w:hint="default"/>
                <w:spacing w:val="-23"/>
                <w:sz w:val="18"/>
                <w:szCs w:val="18"/>
              </w:rPr>
              <w:t>设，配合</w:t>
            </w:r>
            <w:r>
              <w:rPr>
                <w:rFonts w:ascii="宋体" w:hAnsi="宋体" w:cs="宋体" w:eastAsia="宋体" w:hint="default"/>
                <w:spacing w:val="-46"/>
                <w:sz w:val="18"/>
                <w:szCs w:val="18"/>
              </w:rPr>
              <w:t> </w:t>
            </w:r>
            <w:r>
              <w:rPr>
                <w:rFonts w:ascii="Times New Roman" w:hAnsi="Times New Roman" w:cs="Times New Roman" w:eastAsia="Times New Roman" w:hint="default"/>
                <w:spacing w:val="-1"/>
                <w:w w:val="99"/>
                <w:sz w:val="18"/>
                <w:szCs w:val="18"/>
              </w:rPr>
              <w:t>cBSS2.0</w:t>
            </w:r>
            <w:r>
              <w:rPr>
                <w:rFonts w:ascii="Times New Roman" w:hAnsi="Times New Roman" w:cs="Times New Roman" w:eastAsia="Times New Roman" w:hint="default"/>
                <w:spacing w:val="-37"/>
                <w:w w:val="99"/>
                <w:sz w:val="18"/>
                <w:szCs w:val="18"/>
              </w:rPr>
              <w:t> </w:t>
            </w:r>
            <w:r>
              <w:rPr>
                <w:rFonts w:ascii="Times New Roman" w:hAnsi="Times New Roman" w:cs="Times New Roman" w:eastAsia="Times New Roman" w:hint="default"/>
                <w:spacing w:val="-37"/>
                <w:w w:val="99"/>
                <w:sz w:val="18"/>
                <w:szCs w:val="18"/>
              </w:rPr>
            </w:r>
            <w:r>
              <w:rPr>
                <w:rFonts w:ascii="宋体" w:hAnsi="宋体" w:cs="宋体" w:eastAsia="宋体" w:hint="default"/>
                <w:sz w:val="18"/>
                <w:szCs w:val="18"/>
              </w:rPr>
              <w:t>保障新业务的快速支撑和下 游的能力复用，适配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cBSS2.0 </w:t>
            </w:r>
            <w:r>
              <w:rPr>
                <w:rFonts w:ascii="宋体" w:hAnsi="宋体" w:cs="宋体" w:eastAsia="宋体" w:hint="default"/>
                <w:sz w:val="18"/>
                <w:szCs w:val="18"/>
              </w:rPr>
              <w:t>各中心与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域的对接需求，一</w:t>
            </w:r>
            <w:r>
              <w:rPr>
                <w:rFonts w:ascii="宋体" w:hAnsi="宋体" w:cs="宋体" w:eastAsia="宋体" w:hint="default"/>
                <w:sz w:val="18"/>
                <w:szCs w:val="18"/>
              </w:rPr>
              <w:t> 点改造节省时间和投资费用； 完成一卡充枢纽的异地重建， 保障对互联网充值和异地语 音充值的支撑；配合做好电商 宽带业务推广的改造及其他 日常迭代需求。</w:t>
            </w:r>
          </w:p>
        </w:tc>
        <w:tc>
          <w:tcPr>
            <w:tcW w:w="225" w:type="dxa"/>
            <w:tcBorders>
              <w:top w:val="single" w:sz="4" w:space="0" w:color="000000"/>
              <w:left w:val="single" w:sz="4" w:space="0" w:color="000000"/>
              <w:bottom w:val="single" w:sz="4" w:space="0" w:color="000000"/>
              <w:right w:val="nil" w:sz="6" w:space="0" w:color="auto"/>
            </w:tcBorders>
          </w:tcPr>
          <w:p>
            <w:pPr/>
          </w:p>
        </w:tc>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开发、测试、试运行</w:t>
            </w:r>
          </w:p>
        </w:tc>
      </w:tr>
      <w:tr>
        <w:trPr>
          <w:trHeight w:val="1003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82" w:right="0"/>
              <w:jc w:val="left"/>
              <w:rPr>
                <w:rFonts w:ascii="宋体" w:hAnsi="宋体" w:cs="宋体" w:eastAsia="宋体" w:hint="default"/>
                <w:sz w:val="18"/>
                <w:szCs w:val="18"/>
              </w:rPr>
            </w:pPr>
            <w:r>
              <w:rPr>
                <w:rFonts w:ascii="宋体" w:hAnsi="宋体" w:cs="宋体" w:eastAsia="宋体" w:hint="default"/>
                <w:sz w:val="18"/>
                <w:szCs w:val="18"/>
              </w:rPr>
              <w:t>警务云架构平台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563" w:right="0"/>
              <w:jc w:val="left"/>
              <w:rPr>
                <w:rFonts w:ascii="Times New Roman" w:hAnsi="Times New Roman" w:cs="Times New Roman" w:eastAsia="Times New Roman" w:hint="default"/>
                <w:sz w:val="18"/>
                <w:szCs w:val="18"/>
              </w:rPr>
            </w:pPr>
            <w:r>
              <w:rPr>
                <w:rFonts w:ascii="Times New Roman"/>
                <w:sz w:val="18"/>
              </w:rPr>
              <w:t>20,540,355.85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能力开放门户</w:t>
            </w:r>
            <w:r>
              <w:rPr>
                <w:rFonts w:ascii="宋体" w:hAnsi="宋体" w:cs="宋体" w:eastAsia="宋体" w:hint="default"/>
                <w:spacing w:val="-1"/>
                <w:sz w:val="18"/>
                <w:szCs w:val="18"/>
              </w:rPr>
              <w:t> </w:t>
            </w:r>
            <w:r>
              <w:rPr>
                <w:rFonts w:ascii="宋体" w:hAnsi="宋体" w:cs="宋体" w:eastAsia="宋体" w:hint="default"/>
                <w:sz w:val="18"/>
                <w:szCs w:val="18"/>
              </w:rPr>
              <w:t>新增能力开 放，新平台提供数据能力、服</w:t>
            </w:r>
            <w:r>
              <w:rPr>
                <w:rFonts w:ascii="宋体" w:hAnsi="宋体" w:cs="宋体" w:eastAsia="宋体" w:hint="default"/>
                <w:sz w:val="18"/>
                <w:szCs w:val="18"/>
              </w:rPr>
              <w:t> 务能力、工具能力及资源能力 开放，专注解决开发者在系统 建过程中的数据、服务及资源 需求。 新增租户理念，基于 多租户的方式，解决在大数据 平台下的数据存储和数据计 </w:t>
            </w:r>
            <w:r>
              <w:rPr>
                <w:rFonts w:ascii="宋体" w:hAnsi="宋体" w:cs="宋体" w:eastAsia="宋体" w:hint="default"/>
                <w:spacing w:val="-6"/>
                <w:w w:val="99"/>
                <w:sz w:val="18"/>
                <w:szCs w:val="18"/>
              </w:rPr>
              <w:t>算的管理需求，实现</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统一权限</w:t>
            </w:r>
            <w:r>
              <w:rPr>
                <w:rFonts w:ascii="宋体" w:hAnsi="宋体" w:cs="宋体" w:eastAsia="宋体" w:hint="default"/>
                <w:spacing w:val="-86"/>
                <w:w w:val="99"/>
                <w:sz w:val="18"/>
                <w:szCs w:val="18"/>
              </w:rPr>
              <w:t> </w:t>
            </w:r>
            <w:r>
              <w:rPr>
                <w:rFonts w:ascii="宋体" w:hAnsi="宋体" w:cs="宋体" w:eastAsia="宋体" w:hint="default"/>
                <w:sz w:val="18"/>
                <w:szCs w:val="18"/>
              </w:rPr>
              <w:t>模型、访问控制、计算资源分</w:t>
            </w:r>
            <w:r>
              <w:rPr>
                <w:rFonts w:ascii="宋体" w:hAnsi="宋体" w:cs="宋体" w:eastAsia="宋体" w:hint="default"/>
                <w:sz w:val="18"/>
                <w:szCs w:val="18"/>
              </w:rPr>
              <w:t> 配和隔离</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新平台针对项目系统建设专 设工作组理念，一个工作组包</w:t>
            </w:r>
            <w:r>
              <w:rPr>
                <w:rFonts w:ascii="宋体" w:hAnsi="宋体" w:cs="宋体" w:eastAsia="宋体" w:hint="default"/>
                <w:sz w:val="18"/>
                <w:szCs w:val="18"/>
              </w:rPr>
              <w:t> 含多个应用，每个应用都需要 申请自己的数据、服务及资 源，从而规范整个项目建设并 在使用过程中各应用申请的 资源互不干扰，出现异常情况 时且有迹可循。</w:t>
            </w:r>
            <w:r>
              <w:rPr>
                <w:rFonts w:ascii="宋体" w:hAnsi="宋体" w:cs="宋体" w:eastAsia="宋体" w:hint="default"/>
                <w:spacing w:val="86"/>
                <w:sz w:val="18"/>
                <w:szCs w:val="18"/>
              </w:rPr>
              <w:t> </w:t>
            </w:r>
            <w:r>
              <w:rPr>
                <w:rFonts w:ascii="宋体" w:hAnsi="宋体" w:cs="宋体" w:eastAsia="宋体" w:hint="default"/>
                <w:sz w:val="18"/>
                <w:szCs w:val="18"/>
              </w:rPr>
              <w:t>云知道能力</w:t>
            </w:r>
            <w:r>
              <w:rPr>
                <w:rFonts w:ascii="宋体" w:hAnsi="宋体" w:cs="宋体" w:eastAsia="宋体" w:hint="default"/>
                <w:sz w:val="18"/>
                <w:szCs w:val="18"/>
              </w:rPr>
              <w:t> 提升 数据组织方式提升，档 案以原有的逻辑组织方式变 为雪花模型的物理存储方式， 极大降低档案在调用服务时 异常风险并且为后期档案标 签预留出良好的可扩展性。 查询能力提升，基于改造后的 架构，除满足现有查询方式 外，系统可提供档案全字段检 索，例如在查人时，除输入身 份证号外，还可以通过电话 号、车牌号等信息精确定位到 人； 检索效率有保障，独立</w:t>
            </w:r>
          </w:p>
        </w:tc>
        <w:tc>
          <w:tcPr>
            <w:tcW w:w="225" w:type="dxa"/>
            <w:tcBorders>
              <w:top w:val="single" w:sz="4" w:space="0" w:color="000000"/>
              <w:left w:val="single" w:sz="4" w:space="0" w:color="000000"/>
              <w:bottom w:val="single" w:sz="4" w:space="0" w:color="000000"/>
              <w:right w:val="nil" w:sz="6" w:space="0" w:color="auto"/>
            </w:tcBorders>
          </w:tcPr>
          <w:p>
            <w:pPr/>
          </w:p>
        </w:tc>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2" w:right="0"/>
              <w:jc w:val="left"/>
              <w:rPr>
                <w:rFonts w:ascii="宋体" w:hAnsi="宋体" w:cs="宋体" w:eastAsia="宋体" w:hint="default"/>
                <w:sz w:val="18"/>
                <w:szCs w:val="18"/>
              </w:rPr>
            </w:pPr>
            <w:r>
              <w:rPr>
                <w:rFonts w:ascii="宋体" w:hAnsi="宋体" w:cs="宋体" w:eastAsia="宋体" w:hint="default"/>
                <w:sz w:val="18"/>
                <w:szCs w:val="18"/>
              </w:rPr>
              <w:t>开发、测试、试运行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235"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集群，档案集群不对外开放， 只应用于云知道系统。 档案 展示效率提升，档案展示从以 前每打开一个档案需要调用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多次服务，降低至仅需调</w:t>
            </w:r>
          </w:p>
          <w:p>
            <w:pPr>
              <w:pStyle w:val="TableParagraph"/>
              <w:spacing w:line="302"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个服务左右即可完成档案 展示。</w:t>
            </w:r>
            <w:r>
              <w:rPr>
                <w:rFonts w:ascii="Times New Roman" w:hAnsi="Times New Roman" w:cs="Times New Roman" w:eastAsia="Times New Roman" w:hint="default"/>
                <w:sz w:val="18"/>
                <w:szCs w:val="18"/>
              </w:rPr>
              <w:t>"</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云化融合计费平台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21,984,501.48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计费产品架构升级，实现去中 心云化部署，提高计费系统可 靠性、健壮性；支持在线实时 扩缩容，打破计费系统扩容性 能天花板实现近线性扩容，降 低扩缩容时间成本，降低扩缩 容系统风险，提供更高的容量 配置灵活性；硬件平台实现去 </w:t>
            </w:r>
            <w:r>
              <w:rPr>
                <w:rFonts w:ascii="Times New Roman" w:hAnsi="Times New Roman" w:cs="Times New Roman" w:eastAsia="Times New Roman" w:hint="default"/>
                <w:sz w:val="18"/>
                <w:szCs w:val="18"/>
              </w:rPr>
              <w:t>IOE</w:t>
            </w:r>
            <w:r>
              <w:rPr>
                <w:rFonts w:ascii="宋体" w:hAnsi="宋体" w:cs="宋体" w:eastAsia="宋体" w:hint="default"/>
                <w:sz w:val="18"/>
                <w:szCs w:val="18"/>
              </w:rPr>
              <w:t>，完成全面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化，降低 硬件成本；重构流量计费引 擎，相较传统计费引擎，提供 针对流量业务更丰富和灵活 的计费能力。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开发、测试、试运行</w:t>
            </w:r>
          </w:p>
        </w:tc>
      </w:tr>
      <w:tr>
        <w:trPr>
          <w:trHeight w:val="695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运营商智慧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BOSS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云平台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18,431,096.10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升级虚商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BOSS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系统，支持联 通模组套餐的办理。模组套餐 不支持办理主副卡业务，不支 持办理政企业务，只支持单个 用户办理。套餐由联通进行定 义，星美通信只能基于联通定 义的套餐基础，进行直接销 售，或者组合销售；联通按照 模组套餐方案进行结算，不再 按以前的话单结算，结算规则 见计费规则。对于模组套餐用 户，只支持联通定义的对应的 </w:t>
            </w:r>
            <w:r>
              <w:rPr>
                <w:rFonts w:ascii="宋体" w:hAnsi="宋体" w:cs="宋体" w:eastAsia="宋体" w:hint="default"/>
                <w:spacing w:val="-7"/>
                <w:sz w:val="18"/>
                <w:szCs w:val="18"/>
              </w:rPr>
              <w:t>模组加油包办理，（数据流量</w:t>
            </w:r>
            <w:r>
              <w:rPr>
                <w:rFonts w:ascii="宋体" w:hAnsi="宋体" w:cs="宋体" w:eastAsia="宋体" w:hint="default"/>
                <w:sz w:val="18"/>
                <w:szCs w:val="18"/>
              </w:rPr>
              <w:t> 加油包区分月包、季包、半年 包，月包当月有效，季包当季 度有效，半年包半年内有效， </w:t>
            </w:r>
            <w:r>
              <w:rPr>
                <w:rFonts w:ascii="宋体" w:hAnsi="宋体" w:cs="宋体" w:eastAsia="宋体" w:hint="default"/>
                <w:spacing w:val="-7"/>
                <w:sz w:val="18"/>
                <w:szCs w:val="18"/>
              </w:rPr>
              <w:t>增加标签区分）。集团重新定</w:t>
            </w:r>
            <w:r>
              <w:rPr>
                <w:rFonts w:ascii="宋体" w:hAnsi="宋体" w:cs="宋体" w:eastAsia="宋体" w:hint="default"/>
                <w:sz w:val="18"/>
                <w:szCs w:val="18"/>
              </w:rPr>
              <w:t> 义了一整套的模组类接口，同 时联通定义了一套基于文件 的业务稽核类接口，需要进行 对模组类订单进行每日对账 处理。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开发、测试、试运行</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1972"/>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4,135,087,794.67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3,072,867,740.86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4,229,090,073.88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2,995,773,265.39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-94,002,279.21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77,094,475.47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-221.93%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58,257.00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590,778,780.41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177,709,121.57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588,417,209.84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-69.80%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-177,650,864.57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2,361,570.57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-7,622.57%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1,169,312,450.00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1,270,696,012.12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984,556,969.82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1,166,400,835.76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184,755,480.18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104,295,176.36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-85,863,707.67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184,439,265.50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-146.55%</w:t>
            </w:r>
            <w:r>
              <w:rPr>
                <w:rFonts w:ascii="Times New Roman"/>
                <w:sz w:val="18"/>
              </w:rPr>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3"/>
        <w:ind w:left="354" w:right="0" w:firstLine="0"/>
        <w:jc w:val="lef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经营活动产生的现金流量净额本期为</w:t>
      </w:r>
      <w:r>
        <w:rPr>
          <w:rFonts w:ascii="Times New Roman" w:hAnsi="Times New Roman" w:cs="Times New Roman" w:eastAsia="Times New Roman" w:hint="default"/>
          <w:spacing w:val="-1"/>
          <w:sz w:val="18"/>
          <w:szCs w:val="18"/>
        </w:rPr>
        <w:t>-94,002,279.21</w:t>
      </w:r>
      <w:r>
        <w:rPr>
          <w:rFonts w:ascii="宋体" w:hAnsi="宋体" w:cs="宋体" w:eastAsia="宋体" w:hint="default"/>
          <w:spacing w:val="-1"/>
          <w:sz w:val="18"/>
          <w:szCs w:val="18"/>
        </w:rPr>
        <w:t>元，较上年减少</w:t>
      </w:r>
      <w:r>
        <w:rPr>
          <w:rFonts w:ascii="Times New Roman" w:hAnsi="Times New Roman" w:cs="Times New Roman" w:eastAsia="Times New Roman" w:hint="default"/>
          <w:spacing w:val="-1"/>
          <w:sz w:val="18"/>
          <w:szCs w:val="18"/>
        </w:rPr>
        <w:t>221.93%</w:t>
      </w:r>
      <w:r>
        <w:rPr>
          <w:rFonts w:ascii="宋体" w:hAnsi="宋体" w:cs="宋体" w:eastAsia="宋体" w:hint="default"/>
          <w:spacing w:val="-1"/>
          <w:sz w:val="18"/>
          <w:szCs w:val="18"/>
        </w:rPr>
        <w:t>，主要原因是报告期内网络产品销售业务采购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支出大于销售回款的增长。</w:t>
      </w:r>
    </w:p>
    <w:p>
      <w:pPr>
        <w:spacing w:line="302" w:lineRule="auto" w:before="68"/>
        <w:ind w:left="354" w:right="0" w:firstLine="0"/>
        <w:jc w:val="left"/>
        <w:rPr>
          <w:rFonts w:ascii="宋体" w:hAnsi="宋体" w:cs="宋体" w:eastAsia="宋体" w:hint="default"/>
          <w:sz w:val="18"/>
          <w:szCs w:val="18"/>
        </w:rPr>
      </w:pPr>
      <w:r>
        <w:rPr>
          <w:rFonts w:ascii="宋体" w:hAnsi="宋体" w:cs="宋体" w:eastAsia="宋体" w:hint="default"/>
          <w:spacing w:val="-1"/>
          <w:sz w:val="18"/>
          <w:szCs w:val="18"/>
        </w:rPr>
        <w:t>投资活动产生的现金流量净额本期为</w:t>
      </w:r>
      <w:r>
        <w:rPr>
          <w:rFonts w:ascii="Times New Roman" w:hAnsi="Times New Roman" w:cs="Times New Roman" w:eastAsia="Times New Roman" w:hint="default"/>
          <w:spacing w:val="-1"/>
          <w:sz w:val="18"/>
          <w:szCs w:val="18"/>
        </w:rPr>
        <w:t>-177,650,864.57</w:t>
      </w:r>
      <w:r>
        <w:rPr>
          <w:rFonts w:ascii="宋体" w:hAnsi="宋体" w:cs="宋体" w:eastAsia="宋体" w:hint="default"/>
          <w:spacing w:val="-1"/>
          <w:sz w:val="18"/>
          <w:szCs w:val="18"/>
        </w:rPr>
        <w:t>元，较上年减少</w:t>
      </w:r>
      <w:r>
        <w:rPr>
          <w:rFonts w:ascii="Times New Roman" w:hAnsi="Times New Roman" w:cs="Times New Roman" w:eastAsia="Times New Roman" w:hint="default"/>
          <w:spacing w:val="-1"/>
          <w:sz w:val="18"/>
          <w:szCs w:val="18"/>
        </w:rPr>
        <w:t>7622.57%</w:t>
      </w:r>
      <w:r>
        <w:rPr>
          <w:rFonts w:ascii="宋体" w:hAnsi="宋体" w:cs="宋体" w:eastAsia="宋体" w:hint="default"/>
          <w:spacing w:val="-1"/>
          <w:sz w:val="18"/>
          <w:szCs w:val="18"/>
        </w:rPr>
        <w:t>，主要原因是上一年度内有闲置募集资金购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买结构性存款、理财产品到期收款增加。</w:t>
      </w:r>
    </w:p>
    <w:p>
      <w:pPr>
        <w:spacing w:before="69"/>
        <w:ind w:left="354" w:right="0" w:firstLine="0"/>
        <w:jc w:val="left"/>
        <w:rPr>
          <w:rFonts w:ascii="宋体" w:hAnsi="宋体" w:cs="宋体" w:eastAsia="宋体" w:hint="default"/>
          <w:sz w:val="18"/>
          <w:szCs w:val="18"/>
        </w:rPr>
      </w:pPr>
      <w:r>
        <w:rPr>
          <w:rFonts w:ascii="宋体" w:hAnsi="宋体" w:cs="宋体" w:eastAsia="宋体" w:hint="default"/>
          <w:sz w:val="18"/>
          <w:szCs w:val="18"/>
        </w:rPr>
        <w:t>筹资活动产生的现金流量净额本期为</w:t>
      </w:r>
      <w:r>
        <w:rPr>
          <w:rFonts w:ascii="Times New Roman" w:hAnsi="Times New Roman" w:cs="Times New Roman" w:eastAsia="Times New Roman" w:hint="default"/>
          <w:sz w:val="18"/>
          <w:szCs w:val="18"/>
        </w:rPr>
        <w:t>184,755,480.18</w:t>
      </w:r>
      <w:r>
        <w:rPr>
          <w:rFonts w:ascii="宋体" w:hAnsi="宋体" w:cs="宋体" w:eastAsia="宋体" w:hint="default"/>
          <w:sz w:val="18"/>
          <w:szCs w:val="18"/>
        </w:rPr>
        <w:t>元，较上年增加</w:t>
      </w:r>
      <w:r>
        <w:rPr>
          <w:rFonts w:ascii="Times New Roman" w:hAnsi="Times New Roman" w:cs="Times New Roman" w:eastAsia="Times New Roman" w:hint="default"/>
          <w:sz w:val="18"/>
          <w:szCs w:val="18"/>
        </w:rPr>
        <w:t>77.15%</w:t>
      </w:r>
      <w:r>
        <w:rPr>
          <w:rFonts w:ascii="宋体" w:hAnsi="宋体" w:cs="宋体" w:eastAsia="宋体" w:hint="default"/>
          <w:sz w:val="18"/>
          <w:szCs w:val="18"/>
        </w:rPr>
        <w:t>，主要原因是报告期内从银行融资增加所致。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2"/>
        <w:ind w:left="154" w:right="1152" w:firstLine="0"/>
        <w:jc w:val="left"/>
        <w:rPr>
          <w:rFonts w:ascii="宋体" w:hAnsi="宋体" w:cs="宋体" w:eastAsia="宋体" w:hint="default"/>
          <w:sz w:val="18"/>
          <w:szCs w:val="18"/>
        </w:rPr>
      </w:pPr>
      <w:r>
        <w:rPr>
          <w:rFonts w:ascii="宋体" w:hAnsi="宋体" w:cs="宋体" w:eastAsia="宋体" w:hint="default"/>
          <w:sz w:val="18"/>
          <w:szCs w:val="18"/>
        </w:rPr>
        <w:t>报告期内公司实现归属于母公司股东的净利润</w:t>
      </w:r>
      <w:r>
        <w:rPr>
          <w:rFonts w:ascii="Times New Roman" w:hAnsi="Times New Roman" w:cs="Times New Roman" w:eastAsia="Times New Roman" w:hint="default"/>
          <w:sz w:val="18"/>
          <w:szCs w:val="18"/>
        </w:rPr>
        <w:t>215,542,694.97</w:t>
      </w:r>
      <w:r>
        <w:rPr>
          <w:rFonts w:ascii="宋体" w:hAnsi="宋体" w:cs="宋体" w:eastAsia="宋体" w:hint="default"/>
          <w:sz w:val="18"/>
          <w:szCs w:val="18"/>
        </w:rPr>
        <w:t>元，经营活动产生的现金流量净额</w:t>
      </w:r>
      <w:r>
        <w:rPr>
          <w:rFonts w:ascii="Times New Roman" w:hAnsi="Times New Roman" w:cs="Times New Roman" w:eastAsia="Times New Roman" w:hint="default"/>
          <w:sz w:val="18"/>
          <w:szCs w:val="18"/>
        </w:rPr>
        <w:t>-94,002,279.21</w:t>
      </w:r>
      <w:r>
        <w:rPr>
          <w:rFonts w:ascii="宋体" w:hAnsi="宋体" w:cs="宋体" w:eastAsia="宋体" w:hint="default"/>
          <w:sz w:val="18"/>
          <w:szCs w:val="18"/>
        </w:rPr>
        <w:t>元，主要原因 是报告期内网络产品销售业务采购支出大于销售回款的增长。</w:t>
      </w:r>
    </w:p>
    <w:p>
      <w:pPr>
        <w:spacing w:line="240" w:lineRule="auto" w:before="9"/>
        <w:rPr>
          <w:rFonts w:ascii="宋体" w:hAnsi="宋体" w:cs="宋体" w:eastAsia="宋体" w:hint="default"/>
          <w:sz w:val="21"/>
          <w:szCs w:val="21"/>
        </w:rPr>
      </w:pPr>
    </w:p>
    <w:p>
      <w:pPr>
        <w:pStyle w:val="Heading3"/>
        <w:spacing w:line="240" w:lineRule="auto"/>
        <w:ind w:right="1972"/>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166"/>
        <w:gridCol w:w="234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1,504,056.20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0.57%</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-1,387,476.00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-0.52%</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22,302,621.59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计提应收款项坏帐准备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3,555,984.28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394,700.37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right="1972"/>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303,584,918.0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345,412,409.00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-1.94%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1,535,388,635.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32.81%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1,259,763,179.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30.76%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2.05%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862,716,944.4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18.44%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536,284,824.21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13.10%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5.34%</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60.87%</w:t>
            </w:r>
            <w:r>
              <w:rPr>
                <w:rFonts w:ascii="宋体" w:hAnsi="宋体" w:cs="宋体" w:eastAsia="宋体" w:hint="default"/>
                <w:spacing w:val="-5"/>
                <w:sz w:val="18"/>
                <w:szCs w:val="18"/>
              </w:rPr>
              <w:t>，主要原因是子公司金华</w:t>
            </w:r>
            <w:r>
              <w:rPr>
                <w:rFonts w:ascii="宋体" w:hAnsi="宋体" w:cs="宋体" w:eastAsia="宋体" w:hint="default"/>
                <w:sz w:val="18"/>
                <w:szCs w:val="18"/>
              </w:rPr>
              <w:t> 威备货增加。</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139,855,897.2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2.99%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6,503,635.68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2.83%</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2,050.43%</w:t>
            </w:r>
            <w:r>
              <w:rPr>
                <w:rFonts w:ascii="宋体" w:hAnsi="宋体" w:cs="宋体" w:eastAsia="宋体" w:hint="default"/>
                <w:sz w:val="18"/>
                <w:szCs w:val="18"/>
              </w:rPr>
              <w:t>，主要原因是固定资 产重分类转入。</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71,648,171.51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70,168,905.31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367,568,656.8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244,156,240.59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1.90%</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50.55%</w:t>
            </w:r>
            <w:r>
              <w:rPr>
                <w:rFonts w:ascii="宋体" w:hAnsi="宋体" w:cs="宋体" w:eastAsia="宋体" w:hint="default"/>
                <w:spacing w:val="-5"/>
                <w:sz w:val="18"/>
                <w:szCs w:val="18"/>
              </w:rPr>
              <w:t>，主要原因是子公司合肥</w:t>
            </w:r>
            <w:r>
              <w:rPr>
                <w:rFonts w:ascii="宋体" w:hAnsi="宋体" w:cs="宋体" w:eastAsia="宋体" w:hint="default"/>
                <w:sz w:val="18"/>
                <w:szCs w:val="18"/>
              </w:rPr>
              <w:t> 天源迪科和武汉天源迪科在建工程 转入。</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152,468,550.55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3.72%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-3.72%</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，主要原因是子公司合 肥天源迪科和武汉天源迪科在建工 程转出。</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20.65%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681,000,000.00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16.63%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4.02%</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41.85%</w:t>
            </w:r>
            <w:r>
              <w:rPr>
                <w:rFonts w:ascii="宋体" w:hAnsi="宋体" w:cs="宋体" w:eastAsia="宋体" w:hint="default"/>
                <w:spacing w:val="-5"/>
                <w:sz w:val="18"/>
                <w:szCs w:val="18"/>
              </w:rPr>
              <w:t>，主要原因是银行融资增</w:t>
            </w:r>
            <w:r>
              <w:rPr>
                <w:rFonts w:ascii="宋体" w:hAnsi="宋体" w:cs="宋体" w:eastAsia="宋体" w:hint="default"/>
                <w:sz w:val="18"/>
                <w:szCs w:val="18"/>
              </w:rPr>
              <w:t> 加。</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0.73%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-0.73%</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，主要原因是重分类到一 年内到期的非流动负债。</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229,900,156.7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，主要原因是一年内到期 的长期借款和应付债券转入。</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199,306,602.73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，主要原因是重分类到一 年内到期的非流动负债。</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142"/>
        <w:gridCol w:w="2176"/>
        <w:gridCol w:w="2564"/>
        <w:gridCol w:w="2566"/>
      </w:tblGrid>
      <w:tr>
        <w:trPr>
          <w:trHeight w:val="415" w:hRule="exact"/>
        </w:trPr>
        <w:tc>
          <w:tcPr>
            <w:tcW w:w="214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6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56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8" w:hRule="exact"/>
        </w:trPr>
        <w:tc>
          <w:tcPr>
            <w:tcW w:w="214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1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62,260,495.57</w:t>
            </w:r>
          </w:p>
        </w:tc>
        <w:tc>
          <w:tcPr>
            <w:tcW w:w="256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18,224,278.89</w:t>
            </w:r>
          </w:p>
        </w:tc>
        <w:tc>
          <w:tcPr>
            <w:tcW w:w="256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票据保证金、保函保证金</w:t>
            </w:r>
          </w:p>
        </w:tc>
      </w:tr>
      <w:tr>
        <w:trPr>
          <w:trHeight w:val="427" w:hRule="exact"/>
        </w:trPr>
        <w:tc>
          <w:tcPr>
            <w:tcW w:w="214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400,000,000.00</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应收账款质押</w:t>
            </w:r>
          </w:p>
        </w:tc>
      </w:tr>
      <w:tr>
        <w:trPr>
          <w:trHeight w:val="427" w:hRule="exact"/>
        </w:trPr>
        <w:tc>
          <w:tcPr>
            <w:tcW w:w="214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462,260,495.57</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18,224,278.89</w:t>
            </w:r>
          </w:p>
        </w:tc>
        <w:tc>
          <w:tcPr>
            <w:tcW w:w="2566" w:type="dxa"/>
            <w:tcBorders>
              <w:top w:val="single" w:sz="6" w:space="0" w:color="000000"/>
              <w:left w:val="single" w:sz="6" w:space="0" w:color="000000"/>
              <w:bottom w:val="single" w:sz="6" w:space="0" w:color="000000"/>
              <w:right w:val="single" w:sz="6" w:space="0" w:color="000000"/>
            </w:tcBorders>
          </w:tcPr>
          <w:p>
            <w:pPr/>
          </w:p>
        </w:tc>
      </w:tr>
    </w:tbl>
    <w:p>
      <w:pPr>
        <w:spacing w:line="300" w:lineRule="auto" w:before="51"/>
        <w:ind w:left="154" w:right="1158"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年发行公司债券（债券简称</w:t>
      </w:r>
      <w:r>
        <w:rPr>
          <w:rFonts w:ascii="Times New Roman" w:hAnsi="Times New Roman" w:cs="Times New Roman" w:eastAsia="Times New Roman" w:hint="default"/>
          <w:sz w:val="18"/>
          <w:szCs w:val="18"/>
        </w:rPr>
        <w:t>“16</w:t>
      </w:r>
      <w:r>
        <w:rPr>
          <w:rFonts w:ascii="宋体" w:hAnsi="宋体" w:cs="宋体" w:eastAsia="宋体" w:hint="default"/>
          <w:sz w:val="18"/>
          <w:szCs w:val="18"/>
        </w:rPr>
        <w:t>迪科</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亿元，由深圳市中小企业信用融资担保集团有限公司提供担保，公司以</w:t>
      </w:r>
      <w:r>
        <w:rPr>
          <w:rFonts w:ascii="宋体" w:hAnsi="宋体" w:cs="宋体" w:eastAsia="宋体" w:hint="default"/>
          <w:w w:val="100"/>
          <w:sz w:val="18"/>
          <w:szCs w:val="18"/>
        </w:rPr>
        <w:t> </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4</w:t>
      </w:r>
      <w:r>
        <w:rPr>
          <w:rFonts w:ascii="宋体" w:hAnsi="宋体" w:cs="宋体" w:eastAsia="宋体" w:hint="default"/>
          <w:sz w:val="18"/>
          <w:szCs w:val="18"/>
        </w:rPr>
        <w:t>亿元做质押登记，为深圳市中小企业信用融资担保集团有限公司提供反担保，债务履行期限为</w:t>
      </w:r>
      <w:r>
        <w:rPr>
          <w:rFonts w:ascii="Times New Roman" w:hAnsi="Times New Roman" w:cs="Times New Roman" w:eastAsia="Times New Roman" w:hint="default"/>
          <w:sz w:val="18"/>
          <w:szCs w:val="18"/>
        </w:rPr>
        <w:t>2016-03-01</w:t>
      </w:r>
      <w:r>
        <w:rPr>
          <w:rFonts w:ascii="宋体" w:hAnsi="宋体" w:cs="宋体" w:eastAsia="宋体" w:hint="default"/>
          <w:sz w:val="18"/>
          <w:szCs w:val="18"/>
        </w:rPr>
        <w:t>至</w:t>
      </w:r>
    </w:p>
    <w:p>
      <w:pPr>
        <w:spacing w:before="1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2019-02-28</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日，公司债券已到期并偿还全部本息。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972"/>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4,199,678.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-1,387,476.00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-2,477,294.00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1,722,384.0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自有资金， 维恩贝特并 表前投资。</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4,199,678.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-1,387,476.00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-2,477,294.00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1,722,384.0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476.579987pt;margin-top:396.499969pt;width:58.1pt;height:171.65pt;mso-position-horizontal-relative:page;mso-position-vertical-relative:page;z-index:-14410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pict>
          <v:group style="position:absolute;margin-left:491.700012pt;margin-top:396.499969pt;width:43pt;height:171.65pt;mso-position-horizontal-relative:page;mso-position-vertical-relative:page;z-index:-1440952" coordorigin="9834,7930" coordsize="860,3433">
            <v:shape style="position:absolute;left:9834;top:7930;width:860;height:3433" coordorigin="9834,7930" coordsize="860,3433" path="m9834,11362l10693,11362,10693,7930,9834,7930,9834,11362xe" filled="true" fillcolor="#ffffff" stroked="false">
              <v:path arrowok="t"/>
              <v:fill type="solid"/>
            </v:shape>
            <w10:wrap type="none"/>
          </v:group>
        </w:pict>
      </w:r>
    </w:p>
    <w:p>
      <w:pPr>
        <w:pStyle w:val="Heading5"/>
        <w:spacing w:line="240" w:lineRule="auto" w:before="35"/>
        <w:ind w:right="1972"/>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pict>
          <v:group style="position:absolute;margin-left:491.700012pt;margin-top:89.551735pt;width:43pt;height:171.6pt;mso-position-horizontal-relative:page;mso-position-vertical-relative:paragraph;z-index:-1440976" coordorigin="9834,1791" coordsize="860,3432">
            <v:shape style="position:absolute;left:9834;top:1791;width:860;height:3432" coordorigin="9834,1791" coordsize="860,3432" path="m9834,5223l10693,5223,10693,1791,9834,1791,9834,5223xe" filled="true" fillcolor="#ffffff" stroked="false">
              <v:path arrowok="t"/>
              <v:fill type="solid"/>
            </v:shape>
            <w10:wrap type="none"/>
          </v:group>
        </w:pict>
      </w: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26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44,280.42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45,060.04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报告期收 到的银行 存款利息 扣除手续 费的净额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440.10</w:t>
            </w: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8"/>
                <w:sz w:val="18"/>
                <w:szCs w:val="18"/>
              </w:rPr>
              <w:t>元，募投项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目已结束 募集资金 银行专户 </w:t>
            </w:r>
            <w:r>
              <w:rPr>
                <w:rFonts w:ascii="宋体" w:hAnsi="宋体" w:cs="宋体" w:eastAsia="宋体" w:hint="default"/>
                <w:spacing w:val="-18"/>
                <w:sz w:val="18"/>
                <w:szCs w:val="18"/>
              </w:rPr>
              <w:t>已注销，募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集资金银 行存款余 额</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120,381.69</w:t>
            </w:r>
          </w:p>
          <w:p>
            <w:pPr>
              <w:pStyle w:val="TableParagraph"/>
              <w:spacing w:line="316" w:lineRule="auto" w:before="65"/>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元已转入 补充流动 </w:t>
            </w:r>
            <w:r>
              <w:rPr>
                <w:rFonts w:ascii="宋体" w:hAnsi="宋体" w:cs="宋体" w:eastAsia="宋体" w:hint="default"/>
                <w:spacing w:val="-18"/>
                <w:sz w:val="18"/>
                <w:szCs w:val="18"/>
              </w:rPr>
              <w:t>资金。截止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2" w:lineRule="auto"/>
              <w:ind w:left="22"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募集资金 银行存款 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44,280.42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45,060.04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[2016]995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号》文，核准本公司非公开发行不超过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股新股。本公司本 次非公开发行股票</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21,770,682.00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股（每股面值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元），发行价格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股，实际募集资金总额为人民币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449,999,996.94</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元，扣除各项发行费人民币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7,195,770.64</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元（含税金额）后，募集资金净额为人民币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442,804,226.30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元。上述资金已于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日全部存入本公司账户，业经立信会计师事务所（特殊普通合伙）验证，并出具信会师报字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310699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footerReference w:type="default" r:id="rId14"/>
          <w:pgSz w:w="11910" w:h="16840"/>
          <w:pgMar w:footer="979" w:header="747" w:top="1060" w:bottom="1160" w:left="980" w:right="0"/>
          <w:pgNumType w:start="36"/>
        </w:sectPr>
      </w:pPr>
    </w:p>
    <w:p>
      <w:pPr>
        <w:spacing w:line="240" w:lineRule="auto" w:before="0"/>
        <w:rPr>
          <w:rFonts w:ascii="宋体" w:hAnsi="宋体" w:cs="宋体" w:eastAsia="宋体" w:hint="default"/>
          <w:sz w:val="20"/>
          <w:szCs w:val="20"/>
        </w:rPr>
      </w:pPr>
      <w:r>
        <w:rPr/>
        <w:pict>
          <v:shape style="position:absolute;margin-left:56.459999pt;margin-top:71.999985pt;width:479.35pt;height:683.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165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68"/>
                          <w:jc w:val="left"/>
                          <w:rPr>
                            <w:rFonts w:ascii="宋体" w:hAnsi="宋体" w:cs="宋体" w:eastAsia="宋体" w:hint="default"/>
                            <w:sz w:val="18"/>
                            <w:szCs w:val="18"/>
                          </w:rPr>
                        </w:pPr>
                        <w:r>
                          <w:rPr>
                            <w:rFonts w:ascii="宋体" w:hAnsi="宋体" w:cs="宋体" w:eastAsia="宋体" w:hint="default"/>
                            <w:sz w:val="18"/>
                            <w:szCs w:val="18"/>
                          </w:rPr>
                          <w:t>产业</w:t>
                        </w:r>
                        <w:r>
                          <w:rPr>
                            <w:rFonts w:ascii="Times New Roman" w:hAnsi="Times New Roman" w:cs="Times New Roman" w:eastAsia="Times New Roman" w:hint="default"/>
                            <w:sz w:val="18"/>
                            <w:szCs w:val="18"/>
                          </w:rPr>
                          <w:t>“BOSS+”</w:t>
                        </w:r>
                        <w:r>
                          <w:rPr>
                            <w:rFonts w:ascii="宋体" w:hAnsi="宋体" w:cs="宋体" w:eastAsia="宋体" w:hint="default"/>
                            <w:sz w:val="18"/>
                            <w:szCs w:val="18"/>
                          </w:rPr>
                          <w:t>云平</w:t>
                        </w:r>
                        <w:r>
                          <w:rPr>
                            <w:rFonts w:ascii="宋体" w:hAnsi="宋体" w:cs="宋体" w:eastAsia="宋体" w:hint="default"/>
                            <w:w w:val="99"/>
                            <w:sz w:val="18"/>
                            <w:szCs w:val="18"/>
                          </w:rPr>
                          <w:t> </w:t>
                        </w:r>
                        <w:r>
                          <w:rPr>
                            <w:rFonts w:ascii="宋体" w:hAnsi="宋体" w:cs="宋体" w:eastAsia="宋体" w:hint="default"/>
                            <w:sz w:val="18"/>
                            <w:szCs w:val="18"/>
                          </w:rPr>
                          <w:t>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10,213.0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102.13%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1,118.66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1,730.45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大数据洞察分析平 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13,221.8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101.71%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1,339.2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1,928.73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企业移动商业智慧 服务平台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12,193.1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101.61%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951.91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1,347.05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9,280.42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9,432.04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101.63%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45,000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44,280.4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12.04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45,060.0</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3,409.77</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5,006.23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44,280.4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3,409.77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5,006.23</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923"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日召开第四届董事会第五次会议、第四届监事会第三次会议，审议 </w:t>
                        </w:r>
                        <w:r>
                          <w:rPr>
                            <w:rFonts w:ascii="宋体" w:hAnsi="宋体" w:cs="宋体" w:eastAsia="宋体" w:hint="default"/>
                            <w:spacing w:val="-3"/>
                            <w:sz w:val="18"/>
                            <w:szCs w:val="18"/>
                          </w:rPr>
                          <w:t>通过了《关于变更募投项目实施地点的议案》。公司非公开发行股票募投项目为大数据洞察</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分析平台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面向行业用户提供大数据分析服务的应用软件、企业移动商业智慧服务平台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面</w:t>
                        </w:r>
                        <w:r>
                          <w:rPr>
                            <w:rFonts w:ascii="宋体" w:hAnsi="宋体" w:cs="宋体" w:eastAsia="宋体" w:hint="default"/>
                            <w:spacing w:val="-51"/>
                            <w:sz w:val="18"/>
                            <w:szCs w:val="18"/>
                          </w:rPr>
                          <w:t> </w:t>
                        </w:r>
                        <w:r>
                          <w:rPr>
                            <w:rFonts w:ascii="宋体" w:hAnsi="宋体" w:cs="宋体" w:eastAsia="宋体" w:hint="default"/>
                            <w:sz w:val="18"/>
                            <w:szCs w:val="18"/>
                          </w:rPr>
                          <w:t>向传统行业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的移动互联网软件系统、产业</w:t>
                        </w:r>
                        <w:r>
                          <w:rPr>
                            <w:rFonts w:ascii="Times New Roman" w:hAnsi="Times New Roman" w:cs="Times New Roman" w:eastAsia="Times New Roman" w:hint="default"/>
                            <w:sz w:val="18"/>
                            <w:szCs w:val="18"/>
                          </w:rPr>
                          <w:t>“BOSS+”</w:t>
                        </w:r>
                        <w:r>
                          <w:rPr>
                            <w:rFonts w:ascii="宋体" w:hAnsi="宋体" w:cs="宋体" w:eastAsia="宋体" w:hint="default"/>
                            <w:sz w:val="18"/>
                            <w:szCs w:val="18"/>
                          </w:rPr>
                          <w:t>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基于云端的运营支撑软件</w:t>
                        </w:r>
                        <w:r>
                          <w:rPr>
                            <w:rFonts w:ascii="宋体" w:hAnsi="宋体" w:cs="宋体" w:eastAsia="宋体" w:hint="default"/>
                            <w:w w:val="99"/>
                            <w:sz w:val="18"/>
                            <w:szCs w:val="18"/>
                          </w:rPr>
                          <w:t> </w:t>
                        </w:r>
                        <w:r>
                          <w:rPr>
                            <w:rFonts w:ascii="宋体" w:hAnsi="宋体" w:cs="宋体" w:eastAsia="宋体" w:hint="default"/>
                            <w:spacing w:val="-4"/>
                            <w:w w:val="99"/>
                            <w:sz w:val="18"/>
                            <w:szCs w:val="18"/>
                          </w:rPr>
                          <w:t>根据公司《非公开发行</w:t>
                        </w:r>
                        <w:r>
                          <w:rPr>
                            <w:rFonts w:ascii="宋体" w:hAnsi="宋体" w:cs="宋体" w:eastAsia="宋体" w:hint="default"/>
                            <w:spacing w:val="-40"/>
                            <w:w w:val="99"/>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8"/>
                            <w:sz w:val="18"/>
                            <w:szCs w:val="18"/>
                          </w:rPr>
                          <w:t>股股票预案》，项目实施地点为深圳市南山区县（区）粤海街道（乡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镇）高新技术产业园区南区南七道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大厦三层园区。在公司募集资金到位前，已使用部分</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0"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161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8"/>
              <w:jc w:val="both"/>
              <w:rPr>
                <w:rFonts w:ascii="宋体" w:hAnsi="宋体" w:cs="宋体" w:eastAsia="宋体" w:hint="default"/>
                <w:sz w:val="18"/>
                <w:szCs w:val="18"/>
              </w:rPr>
            </w:pPr>
            <w:r>
              <w:rPr>
                <w:rFonts w:ascii="宋体" w:hAnsi="宋体" w:cs="宋体" w:eastAsia="宋体" w:hint="default"/>
                <w:sz w:val="18"/>
                <w:szCs w:val="18"/>
              </w:rPr>
              <w:t>自有资金投入，在项目的具体实施中，实施地点在公司合肥研发基地及深圳总部同时进行。 </w:t>
            </w:r>
            <w:r>
              <w:rPr>
                <w:rFonts w:ascii="宋体" w:hAnsi="宋体" w:cs="宋体" w:eastAsia="宋体" w:hint="default"/>
                <w:spacing w:val="-2"/>
                <w:sz w:val="18"/>
                <w:szCs w:val="18"/>
              </w:rPr>
              <w:t>因此将上述三项募投项目实施地点变更为合肥研发基地及深圳总部，具体地点为合肥市高新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区云飞路与永和路交叉口天源迪科科技园及深圳市南山区县（区）粤海街道（乡镇）高新技</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术产业园区南区南七道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大厦三层园区。</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日止，本公司以募集资金置换的以自筹资金预先投入募集资金投资项</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目的款项计人民币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88,449,54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.71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该以募集资金置换的预先已投入募投项目的自筹资金已</w:t>
            </w:r>
          </w:p>
          <w:p>
            <w:pPr>
              <w:pStyle w:val="TableParagraph"/>
              <w:spacing w:line="302" w:lineRule="auto" w:before="63"/>
              <w:ind w:left="23" w:right="23"/>
              <w:jc w:val="left"/>
              <w:rPr>
                <w:rFonts w:ascii="宋体" w:hAnsi="宋体" w:cs="宋体" w:eastAsia="宋体" w:hint="default"/>
                <w:sz w:val="18"/>
                <w:szCs w:val="18"/>
              </w:rPr>
            </w:pPr>
            <w:r>
              <w:rPr>
                <w:rFonts w:ascii="宋体" w:hAnsi="宋体" w:cs="宋体" w:eastAsia="宋体" w:hint="default"/>
                <w:spacing w:val="-3"/>
                <w:sz w:val="18"/>
                <w:szCs w:val="18"/>
              </w:rPr>
              <w:t>经过立信会计师事务所（特殊普通合伙）鉴证，并出具信会师报字</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第</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310715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号的鉴证</w:t>
            </w:r>
            <w:r>
              <w:rPr>
                <w:rFonts w:ascii="宋体" w:hAnsi="宋体" w:cs="宋体" w:eastAsia="宋体" w:hint="default"/>
                <w:spacing w:val="-86"/>
                <w:sz w:val="18"/>
                <w:szCs w:val="18"/>
              </w:rPr>
              <w:t> </w:t>
            </w:r>
            <w:r>
              <w:rPr>
                <w:rFonts w:ascii="宋体" w:hAnsi="宋体" w:cs="宋体" w:eastAsia="宋体" w:hint="default"/>
                <w:sz w:val="18"/>
                <w:szCs w:val="18"/>
              </w:rPr>
              <w:t>报告。</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报告期收到的银行存款利息扣除手续费的净额为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440.10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元，募投项目已结束，募集资金银行</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专户已注销，募集资金银行存款余额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120,381.69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元已转入补充流动资金。截止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日，募集资金银行存款为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9"/>
          <w:szCs w:val="19"/>
        </w:rPr>
      </w:pPr>
    </w:p>
    <w:p>
      <w:pPr>
        <w:pStyle w:val="Heading3"/>
        <w:spacing w:line="240" w:lineRule="auto"/>
        <w:ind w:right="1972"/>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5"/>
        <w:spacing w:line="240" w:lineRule="auto"/>
        <w:ind w:right="1972"/>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972"/>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深圳市金华 威数码科技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产品的</w:t>
            </w:r>
            <w:r>
              <w:rPr>
                <w:rFonts w:ascii="宋体" w:hAnsi="宋体" w:cs="宋体" w:eastAsia="宋体" w:hint="default"/>
                <w:w w:val="99"/>
                <w:sz w:val="18"/>
                <w:szCs w:val="18"/>
              </w:rPr>
              <w:t> </w:t>
            </w:r>
            <w:r>
              <w:rPr>
                <w:rFonts w:ascii="宋体" w:hAnsi="宋体" w:cs="宋体" w:eastAsia="宋体" w:hint="default"/>
                <w:sz w:val="18"/>
                <w:szCs w:val="18"/>
              </w:rPr>
              <w:t>增值销售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1,590,866,88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202,282,784.</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2,238,069,19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66,259,161.8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56,229,521.1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维恩贝特科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金融行业软 件开发和服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13,341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347,223,565.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321,862,469.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232,637,378.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67,046,852.0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63,158,847.7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安徽迪科数 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金融行业软 件开发和服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47,347,138.6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36,317,671.3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172,594,416.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30,632,183.7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23,627,269.0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38"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 </w:t>
      </w:r>
      <w:r>
        <w:rPr>
          <w:rFonts w:ascii="宋体" w:hAnsi="宋体" w:cs="宋体" w:eastAsia="宋体" w:hint="default"/>
          <w:spacing w:val="-2"/>
          <w:sz w:val="18"/>
          <w:szCs w:val="18"/>
        </w:rPr>
        <w:t>维恩贝特主营业务为银行核心系统的开发和服务。本年度维恩贝特科技有限公司进一步加强了和公司在销售商机、云和大数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据技术开发平台上的融合和协作，大力拓展港澳银行客户。报告期内，维恩贝特主营业务收入</w:t>
      </w:r>
      <w:r>
        <w:rPr>
          <w:rFonts w:ascii="Times New Roman" w:hAnsi="Times New Roman" w:cs="Times New Roman" w:eastAsia="Times New Roman" w:hint="default"/>
          <w:sz w:val="18"/>
          <w:szCs w:val="18"/>
        </w:rPr>
        <w:t>2.33</w:t>
      </w:r>
      <w:r>
        <w:rPr>
          <w:rFonts w:ascii="宋体" w:hAnsi="宋体" w:cs="宋体" w:eastAsia="宋体" w:hint="default"/>
          <w:sz w:val="18"/>
          <w:szCs w:val="18"/>
        </w:rPr>
        <w:t>亿元，较去年同期增长</w:t>
      </w:r>
    </w:p>
    <w:p>
      <w:pPr>
        <w:spacing w:line="230" w:lineRule="exact"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15.68%</w:t>
      </w:r>
      <w:r>
        <w:rPr>
          <w:rFonts w:ascii="宋体" w:hAnsi="宋体" w:cs="宋体" w:eastAsia="宋体" w:hint="default"/>
          <w:sz w:val="18"/>
          <w:szCs w:val="18"/>
        </w:rPr>
        <w:t>，净利润为</w:t>
      </w:r>
      <w:r>
        <w:rPr>
          <w:rFonts w:ascii="Times New Roman" w:hAnsi="Times New Roman" w:cs="Times New Roman" w:eastAsia="Times New Roman" w:hint="default"/>
          <w:sz w:val="18"/>
          <w:szCs w:val="18"/>
        </w:rPr>
        <w:t>6315.88</w:t>
      </w:r>
      <w:r>
        <w:rPr>
          <w:rFonts w:ascii="宋体" w:hAnsi="宋体" w:cs="宋体" w:eastAsia="宋体" w:hint="default"/>
          <w:sz w:val="18"/>
          <w:szCs w:val="18"/>
        </w:rPr>
        <w:t>万元，较去年同期增长</w:t>
      </w:r>
      <w:r>
        <w:rPr>
          <w:rFonts w:ascii="Times New Roman" w:hAnsi="Times New Roman" w:cs="Times New Roman" w:eastAsia="Times New Roman" w:hint="default"/>
          <w:sz w:val="18"/>
          <w:szCs w:val="18"/>
        </w:rPr>
        <w:t>30.75%</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300" w:lineRule="auto" w:before="139"/>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深圳市金华威数码科技有限公司注册资本为</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亿元，主营业务为</w:t>
      </w:r>
      <w:r>
        <w:rPr>
          <w:rFonts w:ascii="Times New Roman" w:hAnsi="Times New Roman" w:cs="Times New Roman" w:eastAsia="Times New Roman" w:hint="default"/>
          <w:spacing w:val="-2"/>
          <w:sz w:val="18"/>
          <w:szCs w:val="18"/>
        </w:rPr>
        <w:t>ICT</w:t>
      </w:r>
      <w:r>
        <w:rPr>
          <w:rFonts w:ascii="宋体" w:hAnsi="宋体" w:cs="宋体" w:eastAsia="宋体" w:hint="default"/>
          <w:spacing w:val="-2"/>
          <w:sz w:val="18"/>
          <w:szCs w:val="18"/>
        </w:rPr>
        <w:t>产品的增值分销，是华为的企业网业务总经销商、五钻</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认证服务商，为天源迪科控股</w:t>
      </w:r>
      <w:r>
        <w:rPr>
          <w:rFonts w:ascii="Times New Roman" w:hAnsi="Times New Roman" w:cs="Times New Roman" w:eastAsia="Times New Roman" w:hint="default"/>
          <w:sz w:val="18"/>
          <w:szCs w:val="18"/>
        </w:rPr>
        <w:t>55%</w:t>
      </w:r>
      <w:r>
        <w:rPr>
          <w:rFonts w:ascii="宋体" w:hAnsi="宋体" w:cs="宋体" w:eastAsia="宋体" w:hint="default"/>
          <w:sz w:val="18"/>
          <w:szCs w:val="18"/>
        </w:rPr>
        <w:t>的子公司。报告期内，金华威主营业务收入</w:t>
      </w:r>
      <w:r>
        <w:rPr>
          <w:rFonts w:ascii="Times New Roman" w:hAnsi="Times New Roman" w:cs="Times New Roman" w:eastAsia="Times New Roman" w:hint="default"/>
          <w:sz w:val="18"/>
          <w:szCs w:val="18"/>
        </w:rPr>
        <w:t>22.38</w:t>
      </w:r>
      <w:r>
        <w:rPr>
          <w:rFonts w:ascii="宋体" w:hAnsi="宋体" w:cs="宋体" w:eastAsia="宋体" w:hint="default"/>
          <w:sz w:val="18"/>
          <w:szCs w:val="18"/>
        </w:rPr>
        <w:t>亿元，较去年同期增长</w:t>
      </w:r>
      <w:r>
        <w:rPr>
          <w:rFonts w:ascii="Times New Roman" w:hAnsi="Times New Roman" w:cs="Times New Roman" w:eastAsia="Times New Roman" w:hint="default"/>
          <w:sz w:val="18"/>
          <w:szCs w:val="18"/>
        </w:rPr>
        <w:t>21.46%</w:t>
      </w:r>
      <w:r>
        <w:rPr>
          <w:rFonts w:ascii="宋体" w:hAnsi="宋体" w:cs="宋体" w:eastAsia="宋体" w:hint="default"/>
          <w:sz w:val="18"/>
          <w:szCs w:val="18"/>
        </w:rPr>
        <w:t>，净利润 为</w:t>
      </w:r>
      <w:r>
        <w:rPr>
          <w:rFonts w:ascii="Times New Roman" w:hAnsi="Times New Roman" w:cs="Times New Roman" w:eastAsia="Times New Roman" w:hint="default"/>
          <w:sz w:val="18"/>
          <w:szCs w:val="18"/>
        </w:rPr>
        <w:t>5622.95</w:t>
      </w:r>
      <w:r>
        <w:rPr>
          <w:rFonts w:ascii="宋体" w:hAnsi="宋体" w:cs="宋体" w:eastAsia="宋体" w:hint="default"/>
          <w:sz w:val="18"/>
          <w:szCs w:val="18"/>
        </w:rPr>
        <w:t>万元，较去年同期增长</w:t>
      </w:r>
      <w:r>
        <w:rPr>
          <w:rFonts w:ascii="Times New Roman" w:hAnsi="Times New Roman" w:cs="Times New Roman" w:eastAsia="Times New Roman" w:hint="default"/>
          <w:sz w:val="18"/>
          <w:szCs w:val="18"/>
        </w:rPr>
        <w:t>21.13%</w:t>
      </w:r>
      <w:r>
        <w:rPr>
          <w:rFonts w:ascii="宋体" w:hAnsi="宋体" w:cs="宋体" w:eastAsia="宋体" w:hint="default"/>
          <w:sz w:val="18"/>
          <w:szCs w:val="18"/>
        </w:rPr>
        <w:t>。</w:t>
      </w:r>
    </w:p>
    <w:p>
      <w:pPr>
        <w:spacing w:line="240" w:lineRule="auto" w:before="11"/>
        <w:rPr>
          <w:rFonts w:ascii="宋体" w:hAnsi="宋体" w:cs="宋体" w:eastAsia="宋体" w:hint="default"/>
          <w:sz w:val="24"/>
          <w:szCs w:val="24"/>
        </w:rPr>
      </w:pPr>
    </w:p>
    <w:p>
      <w:pPr>
        <w:spacing w:line="30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安徽迪科数金科技有限公司是天源迪科全资子公司合肥天源迪科信息技术有限公司的控股子公司，注册资本</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万，主营业</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务为银行信用卡中心和互联网金融企业提供电话催收等贷后管理服务。同时，积极利用大数据和人工智能技术，为信贷行业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用户提供包括智能获客、贷前信审、贷中管控以及贷后管理（催收服务、不良资产）在内的客户全生命周期的运营、产品和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解决方案。</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日并表。报告期内主营业务收入</w:t>
      </w:r>
      <w:r>
        <w:rPr>
          <w:rFonts w:ascii="Times New Roman" w:hAnsi="Times New Roman" w:cs="Times New Roman" w:eastAsia="Times New Roman" w:hint="default"/>
          <w:sz w:val="18"/>
          <w:szCs w:val="18"/>
        </w:rPr>
        <w:t>1.73</w:t>
      </w:r>
      <w:r>
        <w:rPr>
          <w:rFonts w:ascii="宋体" w:hAnsi="宋体" w:cs="宋体" w:eastAsia="宋体" w:hint="default"/>
          <w:sz w:val="18"/>
          <w:szCs w:val="18"/>
        </w:rPr>
        <w:t>亿元，较去年同期增长</w:t>
      </w:r>
      <w:r>
        <w:rPr>
          <w:rFonts w:ascii="Times New Roman" w:hAnsi="Times New Roman" w:cs="Times New Roman" w:eastAsia="Times New Roman" w:hint="default"/>
          <w:sz w:val="18"/>
          <w:szCs w:val="18"/>
        </w:rPr>
        <w:t>227.68%</w:t>
      </w:r>
      <w:r>
        <w:rPr>
          <w:rFonts w:ascii="宋体" w:hAnsi="宋体" w:cs="宋体" w:eastAsia="宋体" w:hint="default"/>
          <w:sz w:val="18"/>
          <w:szCs w:val="18"/>
        </w:rPr>
        <w:t>，净利润为</w:t>
      </w:r>
      <w:r>
        <w:rPr>
          <w:rFonts w:ascii="Times New Roman" w:hAnsi="Times New Roman" w:cs="Times New Roman" w:eastAsia="Times New Roman" w:hint="default"/>
          <w:sz w:val="18"/>
          <w:szCs w:val="18"/>
        </w:rPr>
        <w:t>2362.73</w:t>
      </w:r>
      <w:r>
        <w:rPr>
          <w:rFonts w:ascii="宋体" w:hAnsi="宋体" w:cs="宋体" w:eastAsia="宋体" w:hint="default"/>
          <w:sz w:val="18"/>
          <w:szCs w:val="18"/>
        </w:rPr>
        <w:t>万元，较去 年同期增长</w:t>
      </w:r>
      <w:r>
        <w:rPr>
          <w:rFonts w:ascii="Times New Roman" w:hAnsi="Times New Roman" w:cs="Times New Roman" w:eastAsia="Times New Roman" w:hint="default"/>
          <w:sz w:val="18"/>
          <w:szCs w:val="18"/>
        </w:rPr>
        <w:t>778.21%</w:t>
      </w:r>
      <w:r>
        <w:rPr>
          <w:rFonts w:ascii="宋体" w:hAnsi="宋体" w:cs="宋体" w:eastAsia="宋体" w:hint="default"/>
          <w:sz w:val="18"/>
          <w:szCs w:val="18"/>
        </w:rPr>
        <w:t>。</w:t>
      </w:r>
    </w:p>
    <w:p>
      <w:pPr>
        <w:spacing w:line="240" w:lineRule="auto" w:before="9"/>
        <w:rPr>
          <w:rFonts w:ascii="宋体" w:hAnsi="宋体" w:cs="宋体" w:eastAsia="宋体" w:hint="default"/>
          <w:sz w:val="19"/>
          <w:szCs w:val="19"/>
        </w:rPr>
      </w:pPr>
    </w:p>
    <w:p>
      <w:pPr>
        <w:pStyle w:val="Heading3"/>
        <w:spacing w:line="240" w:lineRule="auto"/>
        <w:ind w:right="1972"/>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1972"/>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80" w:right="1972"/>
        <w:jc w:val="left"/>
        <w:rPr>
          <w:b w:val="0"/>
          <w:bCs w:val="0"/>
        </w:rPr>
      </w:pPr>
      <w:r>
        <w:rPr/>
        <w:t>（一）行业格局和趋势</w:t>
      </w:r>
      <w:r>
        <w:rPr>
          <w:b w:val="0"/>
          <w:bCs w:val="0"/>
        </w:rPr>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b/>
          <w:bCs/>
          <w:sz w:val="24"/>
          <w:szCs w:val="24"/>
        </w:rPr>
      </w:pPr>
    </w:p>
    <w:p>
      <w:pPr>
        <w:pStyle w:val="BodyText"/>
        <w:spacing w:line="240" w:lineRule="auto" w:before="35"/>
        <w:ind w:left="580" w:right="1972"/>
        <w:jc w:val="left"/>
      </w:pPr>
      <w:r>
        <w:rPr>
          <w:rFonts w:ascii="Times New Roman" w:hAnsi="Times New Roman" w:cs="Times New Roman" w:eastAsia="Times New Roman" w:hint="default"/>
        </w:rPr>
        <w:t>1</w:t>
      </w:r>
      <w:r>
        <w:rPr/>
        <w:t>、国家新一代人工智能发展战略</w:t>
      </w:r>
    </w:p>
    <w:p>
      <w:pPr>
        <w:pStyle w:val="BodyText"/>
        <w:spacing w:line="261" w:lineRule="auto" w:before="21"/>
        <w:ind w:right="1130" w:firstLine="426"/>
        <w:jc w:val="both"/>
      </w:pPr>
      <w:r>
        <w:rPr>
          <w:spacing w:val="-1"/>
        </w:rPr>
        <w:t>《新一代人工智能发展规划》（由国务院于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8</w:t>
      </w:r>
      <w:r>
        <w:rPr>
          <w:spacing w:val="-1"/>
        </w:rPr>
        <w:t>日印发并实施）明确了我国新一代人工智能发</w:t>
      </w:r>
      <w:r>
        <w:rPr/>
        <w:t> </w:t>
      </w:r>
      <w:r>
        <w:rPr>
          <w:spacing w:val="-1"/>
        </w:rPr>
        <w:t>展的战略目标：到</w:t>
      </w:r>
      <w:r>
        <w:rPr>
          <w:rFonts w:ascii="Times New Roman" w:hAnsi="Times New Roman" w:cs="Times New Roman" w:eastAsia="Times New Roman" w:hint="default"/>
          <w:spacing w:val="-1"/>
        </w:rPr>
        <w:t>2020</w:t>
      </w:r>
      <w:r>
        <w:rPr>
          <w:spacing w:val="-1"/>
        </w:rPr>
        <w:t>年，人工智能总体技术和应用与世界先进水平同步，人工智能产业成为新的重要经</w:t>
      </w:r>
      <w:r>
        <w:rPr>
          <w:spacing w:val="-81"/>
        </w:rPr>
        <w:t> </w:t>
      </w:r>
      <w:r>
        <w:rPr>
          <w:spacing w:val="-81"/>
        </w:rPr>
      </w:r>
      <w:r>
        <w:rPr>
          <w:spacing w:val="-1"/>
        </w:rPr>
        <w:t>济增长点，人工智能技术应用成为改善民生的新途径；到</w:t>
      </w:r>
      <w:r>
        <w:rPr>
          <w:rFonts w:ascii="Times New Roman" w:hAnsi="Times New Roman" w:cs="Times New Roman" w:eastAsia="Times New Roman" w:hint="default"/>
          <w:spacing w:val="-1"/>
        </w:rPr>
        <w:t>2025</w:t>
      </w:r>
      <w:r>
        <w:rPr>
          <w:spacing w:val="-1"/>
        </w:rPr>
        <w:t>年，人工智能基础理论实现重大突破，部分</w:t>
      </w:r>
      <w:r>
        <w:rPr>
          <w:spacing w:val="-84"/>
        </w:rPr>
        <w:t> </w:t>
      </w:r>
      <w:r>
        <w:rPr>
          <w:spacing w:val="-84"/>
        </w:rPr>
      </w:r>
      <w:r>
        <w:rPr>
          <w:spacing w:val="-1"/>
        </w:rPr>
        <w:t>技术与应用达到世界领先水平，人工智能成为我国产业升级和经济转型的主要动力，智能社会建设取得积</w:t>
      </w:r>
      <w:r>
        <w:rPr>
          <w:spacing w:val="-81"/>
        </w:rPr>
        <w:t> </w:t>
      </w:r>
      <w:r>
        <w:rPr>
          <w:spacing w:val="-81"/>
        </w:rPr>
      </w:r>
      <w:r>
        <w:rPr>
          <w:spacing w:val="-5"/>
        </w:rPr>
        <w:t>极进展；到</w:t>
      </w:r>
      <w:r>
        <w:rPr>
          <w:rFonts w:ascii="Times New Roman" w:hAnsi="Times New Roman" w:cs="Times New Roman" w:eastAsia="Times New Roman" w:hint="default"/>
          <w:spacing w:val="-5"/>
        </w:rPr>
        <w:t>2030</w:t>
      </w:r>
      <w:r>
        <w:rPr>
          <w:spacing w:val="-5"/>
        </w:rPr>
        <w:t>年，人工智能理论、技术与应用总体达到世界领先水平，成为世界主要人工智能创新中心。</w:t>
      </w:r>
    </w:p>
    <w:p>
      <w:pPr>
        <w:spacing w:line="240" w:lineRule="auto" w:before="0"/>
        <w:rPr>
          <w:rFonts w:ascii="宋体" w:hAnsi="宋体" w:cs="宋体" w:eastAsia="宋体" w:hint="default"/>
          <w:sz w:val="30"/>
          <w:szCs w:val="30"/>
        </w:rPr>
      </w:pPr>
    </w:p>
    <w:p>
      <w:pPr>
        <w:pStyle w:val="BodyText"/>
        <w:spacing w:line="256" w:lineRule="auto" w:before="0"/>
        <w:ind w:left="580" w:right="0"/>
        <w:jc w:val="left"/>
      </w:pPr>
      <w:r>
        <w:rPr>
          <w:rFonts w:ascii="Times New Roman" w:hAnsi="Times New Roman" w:cs="Times New Roman" w:eastAsia="Times New Roman" w:hint="default"/>
        </w:rPr>
        <w:t>2</w:t>
      </w:r>
      <w:r>
        <w:rPr/>
        <w:t>、第五代移动通信系统（</w:t>
      </w:r>
      <w:r>
        <w:rPr>
          <w:rFonts w:ascii="Times New Roman" w:hAnsi="Times New Roman" w:cs="Times New Roman" w:eastAsia="Times New Roman" w:hint="default"/>
        </w:rPr>
        <w:t>5G</w:t>
      </w:r>
      <w:r>
        <w:rPr/>
        <w:t>） 全球大多数国家都对</w:t>
      </w:r>
      <w:r>
        <w:rPr>
          <w:rFonts w:ascii="Times New Roman" w:hAnsi="Times New Roman" w:cs="Times New Roman" w:eastAsia="Times New Roman" w:hint="default"/>
        </w:rPr>
        <w:t>5G</w:t>
      </w:r>
      <w:r>
        <w:rPr/>
        <w:t>新一代移动通信网络建设给予高度重视，认为</w:t>
      </w:r>
      <w:r>
        <w:rPr>
          <w:rFonts w:ascii="Times New Roman" w:hAnsi="Times New Roman" w:cs="Times New Roman" w:eastAsia="Times New Roman" w:hint="default"/>
        </w:rPr>
        <w:t>5G</w:t>
      </w:r>
      <w:r>
        <w:rPr/>
        <w:t>将与</w:t>
      </w:r>
      <w:r>
        <w:rPr>
          <w:rFonts w:ascii="Times New Roman" w:hAnsi="Times New Roman" w:cs="Times New Roman" w:eastAsia="Times New Roman" w:hint="default"/>
        </w:rPr>
        <w:t>AI</w:t>
      </w:r>
      <w:r>
        <w:rPr/>
        <w:t>一样成为未来几年大</w:t>
      </w:r>
    </w:p>
    <w:p>
      <w:pPr>
        <w:pStyle w:val="BodyText"/>
        <w:spacing w:line="256" w:lineRule="auto" w:before="5"/>
        <w:ind w:right="1132"/>
        <w:jc w:val="both"/>
      </w:pPr>
      <w:r>
        <w:rPr>
          <w:spacing w:val="-2"/>
        </w:rPr>
        <w:t>型经济体增长的核心引擎。</w:t>
      </w:r>
      <w:r>
        <w:rPr>
          <w:rFonts w:ascii="Times New Roman" w:hAnsi="Times New Roman" w:cs="Times New Roman" w:eastAsia="Times New Roman" w:hint="default"/>
          <w:spacing w:val="-2"/>
        </w:rPr>
        <w:t>5G</w:t>
      </w:r>
      <w:r>
        <w:rPr>
          <w:spacing w:val="-2"/>
        </w:rPr>
        <w:t>并不等于</w:t>
      </w:r>
      <w:r>
        <w:rPr>
          <w:rFonts w:ascii="Times New Roman" w:hAnsi="Times New Roman" w:cs="Times New Roman" w:eastAsia="Times New Roman" w:hint="default"/>
          <w:spacing w:val="-2"/>
        </w:rPr>
        <w:t>4G+1G</w:t>
      </w:r>
      <w:r>
        <w:rPr>
          <w:spacing w:val="-2"/>
        </w:rPr>
        <w:t>，其应用场景远远超出人们的想象空间，万物互联的时代的</w:t>
      </w:r>
      <w:r>
        <w:rPr>
          <w:spacing w:val="-81"/>
        </w:rPr>
        <w:t> </w:t>
      </w:r>
      <w:r>
        <w:rPr>
          <w:spacing w:val="-81"/>
        </w:rPr>
      </w:r>
      <w:r>
        <w:rPr>
          <w:spacing w:val="-2"/>
        </w:rPr>
        <w:t>的确确已经来临。而</w:t>
      </w:r>
      <w:r>
        <w:rPr>
          <w:rFonts w:ascii="Times New Roman" w:hAnsi="Times New Roman" w:cs="Times New Roman" w:eastAsia="Times New Roman" w:hint="default"/>
          <w:spacing w:val="-2"/>
        </w:rPr>
        <w:t>2019</w:t>
      </w:r>
      <w:r>
        <w:rPr>
          <w:spacing w:val="-2"/>
        </w:rPr>
        <w:t>年很可能成为</w:t>
      </w:r>
      <w:r>
        <w:rPr>
          <w:rFonts w:ascii="Times New Roman" w:hAnsi="Times New Roman" w:cs="Times New Roman" w:eastAsia="Times New Roman" w:hint="default"/>
          <w:spacing w:val="-2"/>
        </w:rPr>
        <w:t>5G</w:t>
      </w:r>
      <w:r>
        <w:rPr>
          <w:spacing w:val="-2"/>
        </w:rPr>
        <w:t>建设的元年，带来的是市场机会绝不仅仅是运营支撑系统软件的</w:t>
      </w:r>
      <w:r>
        <w:rPr>
          <w:spacing w:val="-80"/>
        </w:rPr>
        <w:t> </w:t>
      </w:r>
      <w:r>
        <w:rPr>
          <w:spacing w:val="-80"/>
        </w:rPr>
      </w:r>
      <w:r>
        <w:rPr/>
        <w:t>叠加式升级，很可能是软件定义网络</w:t>
      </w:r>
      <w:r>
        <w:rPr>
          <w:rFonts w:ascii="Times New Roman" w:hAnsi="Times New Roman" w:cs="Times New Roman" w:eastAsia="Times New Roman" w:hint="default"/>
        </w:rPr>
        <w:t>SDN</w:t>
      </w:r>
      <w:r>
        <w:rPr/>
        <w:t>（</w:t>
      </w:r>
      <w:r>
        <w:rPr>
          <w:rFonts w:ascii="Times New Roman" w:hAnsi="Times New Roman" w:cs="Times New Roman" w:eastAsia="Times New Roman" w:hint="default"/>
        </w:rPr>
        <w:t>Software  Defined </w:t>
      </w:r>
      <w:r>
        <w:rPr>
          <w:rFonts w:ascii="Times New Roman" w:hAnsi="Times New Roman" w:cs="Times New Roman" w:eastAsia="Times New Roman" w:hint="default"/>
          <w:spacing w:val="36"/>
        </w:rPr>
        <w:t> </w:t>
      </w:r>
      <w:r>
        <w:rPr>
          <w:rFonts w:ascii="Times New Roman" w:hAnsi="Times New Roman" w:cs="Times New Roman" w:eastAsia="Times New Roman" w:hint="default"/>
        </w:rPr>
        <w:t>Network)</w:t>
      </w:r>
      <w:r>
        <w:rPr/>
        <w:t>化后，互联网基础设施由软件能力</w:t>
      </w:r>
    </w:p>
    <w:p>
      <w:pPr>
        <w:pStyle w:val="BodyText"/>
        <w:spacing w:line="256" w:lineRule="auto" w:before="5"/>
        <w:ind w:right="1133"/>
        <w:jc w:val="both"/>
      </w:pPr>
      <w:r>
        <w:rPr>
          <w:spacing w:val="-1"/>
        </w:rPr>
        <w:t>（</w:t>
      </w:r>
      <w:r>
        <w:rPr>
          <w:rFonts w:ascii="Times New Roman" w:hAnsi="Times New Roman" w:cs="Times New Roman" w:eastAsia="Times New Roman" w:hint="default"/>
          <w:spacing w:val="-1"/>
        </w:rPr>
        <w:t>SOA</w:t>
      </w:r>
      <w:r>
        <w:rPr>
          <w:spacing w:val="-1"/>
        </w:rPr>
        <w:t>，微服务）重新定义。对电信软件公司而言，蓄势而发有可能碾压对手，仓促应战也可能被扫地出</w:t>
      </w:r>
      <w:r>
        <w:rPr>
          <w:spacing w:val="-85"/>
        </w:rPr>
        <w:t> </w:t>
      </w:r>
      <w:r>
        <w:rPr>
          <w:spacing w:val="-85"/>
        </w:rPr>
      </w:r>
      <w:r>
        <w:rPr/>
        <w:t>门。</w:t>
      </w:r>
    </w:p>
    <w:p>
      <w:pPr>
        <w:pStyle w:val="BodyText"/>
        <w:spacing w:line="240" w:lineRule="auto" w:before="22"/>
        <w:ind w:left="580" w:right="1972"/>
        <w:jc w:val="left"/>
      </w:pPr>
      <w:r>
        <w:rPr>
          <w:rFonts w:ascii="Times New Roman" w:hAnsi="Times New Roman" w:cs="Times New Roman" w:eastAsia="Times New Roman" w:hint="default"/>
        </w:rPr>
        <w:t>5G</w:t>
      </w:r>
      <w:r>
        <w:rPr/>
        <w:t>包含以下三大类应用场景：</w:t>
      </w:r>
    </w:p>
    <w:p>
      <w:pPr>
        <w:pStyle w:val="BodyText"/>
        <w:spacing w:line="264" w:lineRule="auto" w:before="21"/>
        <w:ind w:right="1132" w:firstLine="426"/>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eMBB(Enhanced Mobile Broadband</w:t>
      </w:r>
      <w:r>
        <w:rPr>
          <w:rFonts w:ascii="Times New Roman" w:hAnsi="Times New Roman" w:cs="Times New Roman" w:eastAsia="Times New Roman" w:hint="default"/>
          <w:spacing w:val="24"/>
        </w:rPr>
        <w:t> </w:t>
      </w:r>
      <w:r>
        <w:rPr/>
        <w:t>增强移动宽带</w:t>
      </w:r>
      <w:r>
        <w:rPr>
          <w:rFonts w:ascii="Times New Roman" w:hAnsi="Times New Roman" w:cs="Times New Roman" w:eastAsia="Times New Roman" w:hint="default"/>
        </w:rPr>
        <w:t>)</w:t>
      </w:r>
      <w:r>
        <w:rPr/>
        <w:t>：</w:t>
      </w:r>
      <w:r>
        <w:rPr>
          <w:rFonts w:ascii="Times New Roman" w:hAnsi="Times New Roman" w:cs="Times New Roman" w:eastAsia="Times New Roman" w:hint="default"/>
        </w:rPr>
        <w:t>eMBB</w:t>
      </w:r>
      <w:r>
        <w:rPr/>
        <w:t>将为移动互联网业务提供前所未有的 </w:t>
      </w:r>
      <w:r>
        <w:rPr>
          <w:spacing w:val="-1"/>
        </w:rPr>
        <w:t>极致体验。主要满足超高清视频、下一代社交网络、浸入式游戏、全息视频等移动互联网业务需求，随时</w:t>
      </w:r>
      <w:r>
        <w:rPr>
          <w:spacing w:val="-82"/>
        </w:rPr>
        <w:t> </w:t>
      </w:r>
      <w:r>
        <w:rPr>
          <w:spacing w:val="-82"/>
        </w:rPr>
      </w:r>
      <w:r>
        <w:rPr/>
        <w:t>随地</w:t>
      </w:r>
      <w:r>
        <w:rPr>
          <w:rFonts w:ascii="Times New Roman" w:hAnsi="Times New Roman" w:cs="Times New Roman" w:eastAsia="Times New Roman" w:hint="default"/>
        </w:rPr>
        <w:t>(</w:t>
      </w:r>
      <w:r>
        <w:rPr/>
        <w:t>包括小区边缘、高速移动等恶劣环境和局部热点地区</w:t>
      </w:r>
      <w:r>
        <w:rPr>
          <w:rFonts w:ascii="Times New Roman" w:hAnsi="Times New Roman" w:cs="Times New Roman" w:eastAsia="Times New Roman" w:hint="default"/>
        </w:rPr>
        <w:t>)</w:t>
      </w:r>
      <w:r>
        <w:rPr/>
        <w:t>为用户提供无缝的高速业务。</w:t>
      </w:r>
    </w:p>
    <w:p>
      <w:pPr>
        <w:pStyle w:val="BodyText"/>
        <w:spacing w:line="264" w:lineRule="auto" w:before="0"/>
        <w:ind w:right="1130" w:firstLine="426"/>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uRLLC(Ultra-Reliable and Low Latency Communications </w:t>
      </w:r>
      <w:r>
        <w:rPr/>
        <w:t>低时延高可靠通讯</w:t>
      </w:r>
      <w:r>
        <w:rPr>
          <w:rFonts w:ascii="Times New Roman" w:hAnsi="Times New Roman" w:cs="Times New Roman" w:eastAsia="Times New Roman" w:hint="default"/>
        </w:rPr>
        <w:t>)</w:t>
      </w:r>
      <w:r>
        <w:rPr/>
        <w:t>：</w:t>
      </w:r>
      <w:r>
        <w:rPr>
          <w:rFonts w:ascii="Times New Roman" w:hAnsi="Times New Roman" w:cs="Times New Roman" w:eastAsia="Times New Roman" w:hint="default"/>
        </w:rPr>
        <w:t>uRLLC</w:t>
      </w:r>
      <w:r>
        <w:rPr>
          <w:rFonts w:ascii="Times New Roman" w:hAnsi="Times New Roman" w:cs="Times New Roman" w:eastAsia="Times New Roman" w:hint="default"/>
          <w:spacing w:val="-6"/>
        </w:rPr>
        <w:t> </w:t>
      </w:r>
      <w:r>
        <w:rPr/>
        <w:t>主要面向车 </w:t>
      </w:r>
      <w:r>
        <w:rPr>
          <w:spacing w:val="-1"/>
        </w:rPr>
        <w:t>联网、工业控制、远程手术等对时延和可靠性具有极高要求的垂直行业，为用户提供毫秒级的端到端时延</w:t>
      </w:r>
      <w:r>
        <w:rPr>
          <w:spacing w:val="-83"/>
        </w:rPr>
        <w:t> </w:t>
      </w:r>
      <w:r>
        <w:rPr>
          <w:spacing w:val="-83"/>
        </w:rPr>
      </w:r>
      <w:r>
        <w:rPr/>
        <w:t>和接近</w:t>
      </w:r>
      <w:r>
        <w:rPr>
          <w:rFonts w:ascii="Times New Roman" w:hAnsi="Times New Roman" w:cs="Times New Roman" w:eastAsia="Times New Roman" w:hint="default"/>
        </w:rPr>
        <w:t>100%</w:t>
      </w:r>
      <w:r>
        <w:rPr>
          <w:rFonts w:ascii="Times New Roman" w:hAnsi="Times New Roman" w:cs="Times New Roman" w:eastAsia="Times New Roman" w:hint="default"/>
          <w:spacing w:val="30"/>
        </w:rPr>
        <w:t> </w:t>
      </w:r>
      <w:r>
        <w:rPr/>
        <w:t>的业务可靠性保证。</w:t>
      </w:r>
    </w:p>
    <w:p>
      <w:pPr>
        <w:pStyle w:val="BodyText"/>
        <w:spacing w:line="266" w:lineRule="auto" w:before="0"/>
        <w:ind w:right="1130" w:firstLine="426"/>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mMTC(Massive Machine Type</w:t>
      </w:r>
      <w:r>
        <w:rPr>
          <w:rFonts w:ascii="Times New Roman" w:hAnsi="Times New Roman" w:cs="Times New Roman" w:eastAsia="Times New Roman" w:hint="default"/>
          <w:spacing w:val="10"/>
        </w:rPr>
        <w:t> </w:t>
      </w:r>
      <w:r>
        <w:rPr>
          <w:rFonts w:ascii="Times New Roman" w:hAnsi="Times New Roman" w:cs="Times New Roman" w:eastAsia="Times New Roman" w:hint="default"/>
        </w:rPr>
        <w:t>Communications</w:t>
      </w:r>
      <w:r>
        <w:rPr/>
        <w:t>海量大连接</w:t>
      </w:r>
      <w:r>
        <w:rPr>
          <w:rFonts w:ascii="Times New Roman" w:hAnsi="Times New Roman" w:cs="Times New Roman" w:eastAsia="Times New Roman" w:hint="default"/>
        </w:rPr>
        <w:t>)</w:t>
      </w:r>
      <w:r>
        <w:rPr/>
        <w:t>：</w:t>
      </w:r>
      <w:r>
        <w:rPr>
          <w:rFonts w:ascii="Times New Roman" w:hAnsi="Times New Roman" w:cs="Times New Roman" w:eastAsia="Times New Roman" w:hint="default"/>
        </w:rPr>
        <w:t>mMTC</w:t>
      </w:r>
      <w:r>
        <w:rPr/>
        <w:t>主要面向智慧城市、环境监 测、智慧农业、森林</w:t>
      </w:r>
      <w:r>
        <w:rPr>
          <w:spacing w:val="50"/>
        </w:rPr>
        <w:t> </w:t>
      </w:r>
      <w:r>
        <w:rPr/>
        <w:t>防火等以传感和数据采集为目标的应用场景，具有小数据包、低功耗、海量连接等</w:t>
      </w:r>
      <w:r>
        <w:rPr>
          <w:spacing w:val="-88"/>
        </w:rPr>
        <w:t> </w:t>
      </w:r>
      <w:r>
        <w:rPr>
          <w:spacing w:val="-88"/>
        </w:rPr>
      </w:r>
      <w:r>
        <w:rPr/>
        <w:t>特点。</w:t>
      </w:r>
    </w:p>
    <w:p>
      <w:pPr>
        <w:spacing w:line="240" w:lineRule="auto" w:before="12"/>
        <w:rPr>
          <w:rFonts w:ascii="宋体" w:hAnsi="宋体" w:cs="宋体" w:eastAsia="宋体" w:hint="default"/>
          <w:sz w:val="24"/>
          <w:szCs w:val="24"/>
        </w:rPr>
      </w:pPr>
    </w:p>
    <w:p>
      <w:pPr>
        <w:pStyle w:val="BodyText"/>
        <w:spacing w:line="256" w:lineRule="auto" w:before="0"/>
        <w:ind w:left="580" w:right="1120"/>
        <w:jc w:val="left"/>
      </w:pPr>
      <w:r>
        <w:rPr>
          <w:rFonts w:ascii="Times New Roman" w:hAnsi="Times New Roman" w:cs="Times New Roman" w:eastAsia="Times New Roman" w:hint="default"/>
        </w:rPr>
        <w:t>3</w:t>
      </w:r>
      <w:r>
        <w:rPr/>
        <w:t>、数据成为生产资料 </w:t>
      </w:r>
      <w:r>
        <w:rPr>
          <w:spacing w:val="-2"/>
        </w:rPr>
        <w:t>数据是未来产业发展的核心控制点，信息技术</w:t>
      </w:r>
      <w:r>
        <w:rPr>
          <w:rFonts w:ascii="Times New Roman" w:hAnsi="Times New Roman" w:cs="Times New Roman" w:eastAsia="Times New Roman" w:hint="default"/>
          <w:spacing w:val="-2"/>
        </w:rPr>
        <w:t>IT</w:t>
      </w:r>
      <w:r>
        <w:rPr>
          <w:spacing w:val="-2"/>
        </w:rPr>
        <w:t>演变为数据技术</w:t>
      </w:r>
      <w:r>
        <w:rPr>
          <w:rFonts w:ascii="Times New Roman" w:hAnsi="Times New Roman" w:cs="Times New Roman" w:eastAsia="Times New Roman" w:hint="default"/>
          <w:spacing w:val="-2"/>
        </w:rPr>
        <w:t>DT</w:t>
      </w:r>
      <w:r>
        <w:rPr>
          <w:spacing w:val="-2"/>
        </w:rPr>
        <w:t>，引领驱动产业转型升级。在大数</w:t>
      </w:r>
    </w:p>
    <w:p>
      <w:pPr>
        <w:pStyle w:val="BodyText"/>
        <w:spacing w:line="264" w:lineRule="auto" w:before="5"/>
        <w:ind w:right="1128"/>
        <w:jc w:val="both"/>
      </w:pPr>
      <w:r>
        <w:rPr>
          <w:spacing w:val="-1"/>
        </w:rPr>
        <w:t>据领域，公司是国家信标委大数据标准工作组、人工智能标准工作组会员，中国大数据企业</w:t>
      </w:r>
      <w:r>
        <w:rPr>
          <w:rFonts w:ascii="Times New Roman" w:hAnsi="Times New Roman" w:cs="Times New Roman" w:eastAsia="Times New Roman" w:hint="default"/>
          <w:spacing w:val="-1"/>
        </w:rPr>
        <w:t>50</w:t>
      </w:r>
      <w:r>
        <w:rPr>
          <w:spacing w:val="-1"/>
        </w:rPr>
        <w:t>强（</w:t>
      </w:r>
      <w:r>
        <w:rPr>
          <w:rFonts w:ascii="Times New Roman" w:hAnsi="Times New Roman" w:cs="Times New Roman" w:eastAsia="Times New Roman" w:hint="default"/>
          <w:spacing w:val="-1"/>
        </w:rPr>
        <w:t>2016</w:t>
      </w:r>
      <w:r>
        <w:rPr>
          <w:spacing w:val="-1"/>
        </w:rPr>
        <w:t>年</w:t>
      </w:r>
      <w:r>
        <w:rPr>
          <w:spacing w:val="-81"/>
        </w:rPr>
        <w:t> </w:t>
      </w:r>
      <w:r>
        <w:rPr>
          <w:rFonts w:ascii="Times New Roman" w:hAnsi="Times New Roman" w:cs="Times New Roman" w:eastAsia="Times New Roman" w:hint="default"/>
        </w:rPr>
        <w:t>8</w:t>
      </w:r>
      <w:r>
        <w:rPr/>
        <w:t>月份，工信部电子信息产业发展研究院认定），被纳入中国大数据产业生态地图（</w:t>
      </w:r>
      <w:r>
        <w:rPr>
          <w:rFonts w:ascii="Times New Roman" w:hAnsi="Times New Roman" w:cs="Times New Roman" w:eastAsia="Times New Roman" w:hint="default"/>
        </w:rPr>
        <w:t>2017.7 CDO</w:t>
      </w:r>
      <w:r>
        <w:rPr/>
        <w:t>联盟）。</w:t>
      </w:r>
      <w:r>
        <w:rPr>
          <w:spacing w:val="-99"/>
        </w:rPr>
        <w:t> </w:t>
      </w:r>
      <w:r>
        <w:rPr>
          <w:spacing w:val="-99"/>
        </w:rPr>
      </w:r>
      <w:r>
        <w:rPr>
          <w:spacing w:val="-1"/>
        </w:rPr>
        <w:t>公司已成为深圳市政府重点支持的四家大数据企业之一，广东省大数据骨干企业（共</w:t>
      </w:r>
      <w:r>
        <w:rPr>
          <w:rFonts w:ascii="Times New Roman" w:hAnsi="Times New Roman" w:cs="Times New Roman" w:eastAsia="Times New Roman" w:hint="default"/>
          <w:spacing w:val="-1"/>
        </w:rPr>
        <w:t>17</w:t>
      </w:r>
      <w:r>
        <w:rPr>
          <w:spacing w:val="-1"/>
        </w:rPr>
        <w:t>家）。公司大数据</w:t>
      </w:r>
      <w:r>
        <w:rPr>
          <w:spacing w:val="-85"/>
        </w:rPr>
        <w:t> </w:t>
      </w:r>
      <w:r>
        <w:rPr>
          <w:spacing w:val="-85"/>
        </w:rPr>
      </w:r>
      <w:r>
        <w:rPr>
          <w:spacing w:val="-1"/>
        </w:rPr>
        <w:t>业务在电信、公安两行业树立了行业领先地位，承建的中国电信集团大数据平台树立了公司在电信行业的</w:t>
      </w:r>
      <w:r>
        <w:rPr>
          <w:spacing w:val="-81"/>
        </w:rPr>
        <w:t> </w:t>
      </w:r>
      <w:r>
        <w:rPr>
          <w:spacing w:val="-81"/>
        </w:rPr>
      </w:r>
      <w:r>
        <w:rPr>
          <w:spacing w:val="-1"/>
        </w:rPr>
        <w:t>领先地位，承建的深圳公安大数据平台成为全国公安领域的大数据应用的标杆。公司已设立海量并行计算</w:t>
      </w:r>
      <w:r>
        <w:rPr>
          <w:spacing w:val="-81"/>
        </w:rPr>
        <w:t> </w:t>
      </w:r>
      <w:r>
        <w:rPr>
          <w:spacing w:val="-81"/>
        </w:rPr>
      </w:r>
      <w:r>
        <w:rPr>
          <w:spacing w:val="-1"/>
        </w:rPr>
        <w:t>院士工作站，与华为、腾讯、阿里、深圳超算和中电科达成大数据应用领域战略合作协议，已成为首席数</w:t>
      </w:r>
      <w:r>
        <w:rPr>
          <w:spacing w:val="-83"/>
        </w:rPr>
        <w:t> </w:t>
      </w:r>
      <w:r>
        <w:rPr>
          <w:spacing w:val="-83"/>
        </w:rPr>
      </w:r>
      <w:r>
        <w:rPr/>
        <w:t>据官（</w:t>
      </w:r>
      <w:r>
        <w:rPr>
          <w:rFonts w:ascii="Times New Roman" w:hAnsi="Times New Roman" w:cs="Times New Roman" w:eastAsia="Times New Roman" w:hint="default"/>
        </w:rPr>
        <w:t>CDO</w:t>
      </w:r>
      <w:r>
        <w:rPr/>
        <w:t>）、中关村大数据产业联盟等行业联盟组织成员。</w:t>
      </w:r>
    </w:p>
    <w:p>
      <w:pPr>
        <w:spacing w:line="240" w:lineRule="auto" w:before="9"/>
        <w:rPr>
          <w:rFonts w:ascii="宋体" w:hAnsi="宋体" w:cs="宋体" w:eastAsia="宋体" w:hint="default"/>
          <w:sz w:val="23"/>
          <w:szCs w:val="23"/>
        </w:rPr>
      </w:pPr>
    </w:p>
    <w:p>
      <w:pPr>
        <w:pStyle w:val="BodyText"/>
        <w:spacing w:line="240" w:lineRule="auto" w:before="0"/>
        <w:ind w:left="580" w:right="1972"/>
        <w:jc w:val="left"/>
      </w:pPr>
      <w:r>
        <w:rPr>
          <w:rFonts w:ascii="Times New Roman" w:hAnsi="Times New Roman" w:cs="Times New Roman" w:eastAsia="Times New Roman" w:hint="default"/>
        </w:rPr>
        <w:t>4</w:t>
      </w:r>
      <w:r>
        <w:rPr/>
        <w:t>、通信运营商基础设施建设</w:t>
      </w:r>
    </w:p>
    <w:p>
      <w:pPr>
        <w:pStyle w:val="BodyText"/>
        <w:spacing w:line="256" w:lineRule="auto" w:before="21"/>
        <w:ind w:right="1131" w:firstLine="336"/>
        <w:jc w:val="both"/>
      </w:pPr>
      <w:r>
        <w:rPr/>
        <w:t>在通信行业</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spacing w:val="-3"/>
        </w:rPr>
        <w:t>通信运营商向数字化运营、互联网化运营迈进，平台集中化、云化是当前必经之路。未来</w:t>
      </w:r>
      <w:r>
        <w:rPr/>
        <w:t> </w:t>
      </w:r>
      <w:r>
        <w:rPr>
          <w:spacing w:val="-1"/>
        </w:rPr>
        <w:t>的网络必然是通过</w:t>
      </w:r>
      <w:r>
        <w:rPr>
          <w:rFonts w:ascii="Times New Roman" w:hAnsi="Times New Roman" w:cs="Times New Roman" w:eastAsia="Times New Roman" w:hint="default"/>
          <w:spacing w:val="-1"/>
        </w:rPr>
        <w:t>SDN</w:t>
      </w:r>
      <w:r>
        <w:rPr>
          <w:spacing w:val="-1"/>
        </w:rPr>
        <w:t>与</w:t>
      </w:r>
      <w:r>
        <w:rPr>
          <w:rFonts w:ascii="Times New Roman" w:hAnsi="Times New Roman" w:cs="Times New Roman" w:eastAsia="Times New Roman" w:hint="default"/>
          <w:spacing w:val="-1"/>
        </w:rPr>
        <w:t>NFV</w:t>
      </w:r>
      <w:r>
        <w:rPr>
          <w:spacing w:val="-1"/>
        </w:rPr>
        <w:t>实现高度的网络自动化和动态重新配置，并进行网络能力开放。万物互联时</w:t>
      </w:r>
      <w:r>
        <w:rPr>
          <w:spacing w:val="-84"/>
        </w:rPr>
        <w:t> </w:t>
      </w:r>
      <w:r>
        <w:rPr>
          <w:spacing w:val="-84"/>
        </w:rPr>
      </w:r>
      <w:r>
        <w:rPr/>
        <w:t>代，运营商极其重视物联网业务发展。在</w:t>
      </w:r>
      <w:r>
        <w:rPr>
          <w:rFonts w:ascii="Times New Roman" w:hAnsi="Times New Roman" w:cs="Times New Roman" w:eastAsia="Times New Roman" w:hint="default"/>
        </w:rPr>
        <w:t>BSS</w:t>
      </w:r>
      <w:r>
        <w:rPr/>
        <w:t>与大数据业务领域公司已占领先机。</w:t>
      </w:r>
    </w:p>
    <w:p>
      <w:pPr>
        <w:pStyle w:val="BodyText"/>
        <w:spacing w:line="256" w:lineRule="auto" w:before="5"/>
        <w:ind w:right="1129" w:firstLine="336"/>
        <w:jc w:val="both"/>
      </w:pPr>
      <w:r>
        <w:rPr>
          <w:rFonts w:ascii="Times New Roman" w:hAnsi="Times New Roman" w:cs="Times New Roman" w:eastAsia="Times New Roman" w:hint="default"/>
        </w:rPr>
        <w:t>2019</w:t>
      </w:r>
      <w:r>
        <w:rPr/>
        <w:t>年是国内三大运营商的资本开支历经三年连续下滑之后，首次迎来回升，并且未来有望迎来持续 </w:t>
      </w:r>
      <w:r>
        <w:rPr>
          <w:spacing w:val="-2"/>
        </w:rPr>
        <w:t>增长。从三大运营商公布的资本化开支计划来看，中国移动</w:t>
      </w:r>
      <w:r>
        <w:rPr>
          <w:rFonts w:ascii="Times New Roman" w:hAnsi="Times New Roman" w:cs="Times New Roman" w:eastAsia="Times New Roman" w:hint="default"/>
          <w:spacing w:val="-2"/>
        </w:rPr>
        <w:t>2019</w:t>
      </w:r>
      <w:r>
        <w:rPr>
          <w:spacing w:val="-2"/>
        </w:rPr>
        <w:t>年的资本开支约为</w:t>
      </w:r>
      <w:r>
        <w:rPr>
          <w:rFonts w:ascii="Times New Roman" w:hAnsi="Times New Roman" w:cs="Times New Roman" w:eastAsia="Times New Roman" w:hint="default"/>
          <w:spacing w:val="-2"/>
        </w:rPr>
        <w:t>1,669</w:t>
      </w:r>
      <w:r>
        <w:rPr>
          <w:spacing w:val="-2"/>
        </w:rPr>
        <w:t>亿元；中国电信的</w:t>
      </w:r>
      <w:r>
        <w:rPr>
          <w:spacing w:val="-84"/>
        </w:rPr>
        <w:t> </w:t>
      </w:r>
      <w:r>
        <w:rPr>
          <w:spacing w:val="-84"/>
        </w:rPr>
      </w:r>
      <w:r>
        <w:rPr>
          <w:spacing w:val="-1"/>
        </w:rPr>
        <w:t>资本开支为</w:t>
      </w:r>
      <w:r>
        <w:rPr>
          <w:rFonts w:ascii="Times New Roman" w:hAnsi="Times New Roman" w:cs="Times New Roman" w:eastAsia="Times New Roman" w:hint="default"/>
          <w:spacing w:val="-1"/>
        </w:rPr>
        <w:t>780</w:t>
      </w:r>
      <w:r>
        <w:rPr>
          <w:spacing w:val="-1"/>
        </w:rPr>
        <w:t>亿元，同比增长</w:t>
      </w:r>
      <w:r>
        <w:rPr>
          <w:rFonts w:ascii="Times New Roman" w:hAnsi="Times New Roman" w:cs="Times New Roman" w:eastAsia="Times New Roman" w:hint="default"/>
          <w:spacing w:val="-1"/>
        </w:rPr>
        <w:t>4.1%</w:t>
      </w:r>
      <w:r>
        <w:rPr>
          <w:spacing w:val="-1"/>
        </w:rPr>
        <w:t>；中国联通的资本开支为</w:t>
      </w:r>
      <w:r>
        <w:rPr>
          <w:rFonts w:ascii="Times New Roman" w:hAnsi="Times New Roman" w:cs="Times New Roman" w:eastAsia="Times New Roman" w:hint="default"/>
          <w:spacing w:val="-1"/>
        </w:rPr>
        <w:t>580</w:t>
      </w:r>
      <w:r>
        <w:rPr>
          <w:spacing w:val="-1"/>
        </w:rPr>
        <w:t>亿元，同比增长</w:t>
      </w:r>
      <w:r>
        <w:rPr>
          <w:rFonts w:ascii="Times New Roman" w:hAnsi="Times New Roman" w:cs="Times New Roman" w:eastAsia="Times New Roman" w:hint="default"/>
          <w:spacing w:val="-1"/>
        </w:rPr>
        <w:t>29%</w:t>
      </w:r>
      <w:r>
        <w:rPr>
          <w:spacing w:val="-1"/>
        </w:rPr>
        <w:t>。从三家资本开支结</w:t>
      </w:r>
      <w:r>
        <w:rPr>
          <w:spacing w:val="-66"/>
        </w:rPr>
        <w:t> </w:t>
      </w:r>
      <w:r>
        <w:rPr>
          <w:spacing w:val="-66"/>
        </w:rPr>
      </w:r>
      <w:r>
        <w:rPr>
          <w:spacing w:val="-2"/>
        </w:rPr>
        <w:t>构看出，无线侧资本开支开始出现快速增长，成为</w:t>
      </w:r>
      <w:r>
        <w:rPr>
          <w:rFonts w:ascii="Times New Roman" w:hAnsi="Times New Roman" w:cs="Times New Roman" w:eastAsia="Times New Roman" w:hint="default"/>
          <w:spacing w:val="-2"/>
        </w:rPr>
        <w:t>2019</w:t>
      </w:r>
      <w:r>
        <w:rPr>
          <w:spacing w:val="-2"/>
        </w:rPr>
        <w:t>年的投资重点，尤其是</w:t>
      </w:r>
      <w:r>
        <w:rPr>
          <w:rFonts w:ascii="Times New Roman" w:hAnsi="Times New Roman" w:cs="Times New Roman" w:eastAsia="Times New Roman" w:hint="default"/>
          <w:spacing w:val="-2"/>
        </w:rPr>
        <w:t>5G</w:t>
      </w:r>
      <w:r>
        <w:rPr>
          <w:spacing w:val="-2"/>
        </w:rPr>
        <w:t>建设，三家预计将投资超</w:t>
      </w:r>
      <w:r>
        <w:rPr>
          <w:spacing w:val="-77"/>
        </w:rPr>
        <w:t> </w:t>
      </w:r>
      <w:r>
        <w:rPr>
          <w:spacing w:val="-77"/>
        </w:rPr>
      </w:r>
      <w:r>
        <w:rPr/>
        <w:t>三百亿元。其次，运营商</w:t>
      </w:r>
      <w:r>
        <w:rPr>
          <w:rFonts w:ascii="Times New Roman" w:hAnsi="Times New Roman" w:cs="Times New Roman" w:eastAsia="Times New Roman" w:hint="default"/>
        </w:rPr>
        <w:t>BOSS</w:t>
      </w:r>
      <w:r>
        <w:rPr/>
        <w:t>支撑系统、通信基建等领域的投资力度也有显著增长。</w:t>
      </w:r>
    </w:p>
    <w:p>
      <w:pPr>
        <w:spacing w:after="0" w:line="25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56" w:lineRule="auto" w:before="35"/>
        <w:ind w:left="490" w:right="1176" w:firstLine="84"/>
        <w:jc w:val="left"/>
      </w:pPr>
      <w:r>
        <w:rPr>
          <w:rFonts w:ascii="Times New Roman" w:hAnsi="Times New Roman" w:cs="Times New Roman" w:eastAsia="Times New Roman" w:hint="default"/>
        </w:rPr>
        <w:t>5</w:t>
      </w:r>
      <w:r>
        <w:rPr/>
        <w:t>、金融科技与科技金融 在金融行业，互联网金融已对传统银行、证券和保险公司形成巨大压力，大数据、人工智能、区块链</w:t>
      </w:r>
    </w:p>
    <w:p>
      <w:pPr>
        <w:pStyle w:val="BodyText"/>
        <w:spacing w:line="268" w:lineRule="auto" w:before="22"/>
        <w:ind w:right="1023"/>
        <w:jc w:val="left"/>
      </w:pPr>
      <w:r>
        <w:rPr/>
        <w:t>等技术的发展又带来新的挑战。国内阿里巴巴、腾讯等互联网巨头利用电商、社交网络和移动支付等领域 的绝对优势，继续向金融领域渗透。而银行等传统金融业大数据及人工智能等应用起步晚，普遍处于初期 启动阶段，在整体</w:t>
      </w:r>
      <w:r>
        <w:rPr>
          <w:rFonts w:ascii="Times New Roman" w:hAnsi="Times New Roman" w:cs="Times New Roman" w:eastAsia="Times New Roman" w:hint="default"/>
        </w:rPr>
        <w:t>IT</w:t>
      </w:r>
      <w:r>
        <w:rPr/>
        <w:t>投入管控趋近的大背景下、大数据等方向的投入却在持续增加。公司并购的子公司维 </w:t>
      </w:r>
      <w:r>
        <w:rPr>
          <w:spacing w:val="-3"/>
        </w:rPr>
        <w:t>尔贝特在金融行业拥有良好的客户基础，具备完整的业务软件解决方案。公司计划聚焦银行业大数据应用，</w:t>
      </w:r>
      <w:r>
        <w:rPr>
          <w:spacing w:val="-92"/>
        </w:rPr>
        <w:t> </w:t>
      </w:r>
      <w:r>
        <w:rPr>
          <w:spacing w:val="-92"/>
        </w:rPr>
      </w:r>
      <w:r>
        <w:rPr/>
        <w:t>基于数据驱动原理，研发金融行业特有算法，与关系数据库集成，实现数据加载、数据清洗、算法评估、</w:t>
      </w:r>
      <w:r>
        <w:rPr>
          <w:spacing w:val="-38"/>
        </w:rPr>
        <w:t> </w:t>
      </w:r>
      <w:r>
        <w:rPr>
          <w:spacing w:val="-38"/>
        </w:rPr>
      </w:r>
      <w:r>
        <w:rPr/>
        <w:t>结果展示等完整数据分析过程，打造完整</w:t>
      </w:r>
      <w:r>
        <w:rPr>
          <w:rFonts w:ascii="Times New Roman" w:hAnsi="Times New Roman" w:cs="Times New Roman" w:eastAsia="Times New Roman" w:hint="default"/>
        </w:rPr>
        <w:t>“</w:t>
      </w:r>
      <w:r>
        <w:rPr/>
        <w:t>大数据＋金融行业</w:t>
      </w:r>
      <w:r>
        <w:rPr>
          <w:rFonts w:ascii="Times New Roman" w:hAnsi="Times New Roman" w:cs="Times New Roman" w:eastAsia="Times New Roman" w:hint="default"/>
        </w:rPr>
        <w:t>”</w:t>
      </w:r>
      <w:r>
        <w:rPr/>
        <w:t>解决方案，形成新的业务增长点。</w:t>
      </w:r>
    </w:p>
    <w:p>
      <w:pPr>
        <w:spacing w:line="240" w:lineRule="auto" w:before="4"/>
        <w:rPr>
          <w:rFonts w:ascii="宋体" w:hAnsi="宋体" w:cs="宋体" w:eastAsia="宋体" w:hint="default"/>
          <w:sz w:val="23"/>
          <w:szCs w:val="23"/>
        </w:rPr>
      </w:pPr>
    </w:p>
    <w:p>
      <w:pPr>
        <w:pStyle w:val="BodyText"/>
        <w:spacing w:line="256" w:lineRule="auto" w:before="0"/>
        <w:ind w:left="574" w:right="0" w:hanging="84"/>
        <w:jc w:val="left"/>
      </w:pPr>
      <w:r>
        <w:rPr>
          <w:rFonts w:ascii="Times New Roman" w:hAnsi="Times New Roman" w:cs="Times New Roman" w:eastAsia="Times New Roman" w:hint="default"/>
        </w:rPr>
        <w:t>6</w:t>
      </w:r>
      <w:r>
        <w:rPr/>
        <w:t>、公共安全领域 </w:t>
      </w:r>
      <w:r>
        <w:rPr>
          <w:spacing w:val="-1"/>
        </w:rPr>
        <w:t>在公安行业，大数据是公安工作创新发展的大引擎，培育战斗力生成的新增长点。预计将充分运用大</w:t>
      </w:r>
    </w:p>
    <w:p>
      <w:pPr>
        <w:pStyle w:val="BodyText"/>
        <w:spacing w:line="268" w:lineRule="auto" w:before="22"/>
        <w:ind w:right="1032"/>
        <w:jc w:val="left"/>
      </w:pPr>
      <w:r>
        <w:rPr/>
        <w:t>数据等新技术手段，构建以大数据智能应用为核心的智慧警务新模式，着力提高预测预警能力、精确打击 能力和动态管理能力，提升公安工作智能化水平。到</w:t>
      </w:r>
      <w:r>
        <w:rPr>
          <w:rFonts w:ascii="Times New Roman" w:hAnsi="Times New Roman" w:cs="Times New Roman" w:eastAsia="Times New Roman" w:hint="default"/>
        </w:rPr>
        <w:t>2020</w:t>
      </w:r>
      <w:r>
        <w:rPr/>
        <w:t>年公安信息化建设将取得重大进展、维护国家安 全和社会稳定能力有大的提升，到</w:t>
      </w:r>
      <w:r>
        <w:rPr>
          <w:rFonts w:ascii="Times New Roman" w:hAnsi="Times New Roman" w:cs="Times New Roman" w:eastAsia="Times New Roman" w:hint="default"/>
        </w:rPr>
        <w:t>2022</w:t>
      </w:r>
      <w:r>
        <w:rPr/>
        <w:t>年基本建立起与新时代要求相适应的现代警务管理体制和警务运行 机制。公安行业前端层感知设备逐步建设完成，大数据、云、互联网和人工智能等技术逐步成熟，信息化 建设基础条件具备，现急需软件能力，预计未来两年市场容量呈爆发式增长。公司将抓住行业变革机遇，</w:t>
      </w:r>
      <w:r>
        <w:rPr>
          <w:spacing w:val="-35"/>
        </w:rPr>
        <w:t> </w:t>
      </w:r>
      <w:r>
        <w:rPr>
          <w:spacing w:val="-35"/>
        </w:rPr>
      </w:r>
      <w:r>
        <w:rPr/>
        <w:t>把能力快速触达到更多的客户，并迅速提高优质市场占有率。充分应用大数据、机器学习和人工智能等新</w:t>
      </w:r>
      <w:r>
        <w:rPr/>
        <w:t> 技术，加快推进数据流、业务流和管理流融合，从海量的数据资源中挖掘价值，构建以大数据智能应用为 核心的智慧警务新模式，不断提高公安工作智能化水平。提高软件复用度，优化解决方案交付，保持业绩 持续性。</w:t>
      </w:r>
    </w:p>
    <w:p>
      <w:pPr>
        <w:spacing w:line="240" w:lineRule="auto" w:before="10"/>
        <w:rPr>
          <w:rFonts w:ascii="宋体" w:hAnsi="宋体" w:cs="宋体" w:eastAsia="宋体" w:hint="default"/>
          <w:sz w:val="24"/>
          <w:szCs w:val="24"/>
        </w:rPr>
      </w:pPr>
    </w:p>
    <w:p>
      <w:pPr>
        <w:pStyle w:val="BodyText"/>
        <w:spacing w:line="240" w:lineRule="auto" w:before="0"/>
        <w:ind w:left="574" w:right="1972"/>
        <w:jc w:val="left"/>
      </w:pPr>
      <w:r>
        <w:rPr/>
        <w:t>（二）公司发展战略</w:t>
      </w:r>
    </w:p>
    <w:p>
      <w:pPr>
        <w:pStyle w:val="BodyText"/>
        <w:spacing w:line="256" w:lineRule="auto" w:before="37"/>
        <w:ind w:left="574" w:right="1116"/>
        <w:jc w:val="left"/>
      </w:pPr>
      <w:r>
        <w:rPr>
          <w:rFonts w:ascii="Times New Roman" w:hAnsi="Times New Roman" w:cs="Times New Roman" w:eastAsia="Times New Roman" w:hint="default"/>
        </w:rPr>
        <w:t>1</w:t>
      </w:r>
      <w:r>
        <w:rPr/>
        <w:t>、坚持稳健长期可持续发展 本着</w:t>
      </w:r>
      <w:r>
        <w:rPr>
          <w:rFonts w:ascii="Times New Roman" w:hAnsi="Times New Roman" w:cs="Times New Roman" w:eastAsia="Times New Roman" w:hint="default"/>
        </w:rPr>
        <w:t>“</w:t>
      </w:r>
      <w:r>
        <w:rPr/>
        <w:t>基业长青，缔造百年老店</w:t>
      </w:r>
      <w:r>
        <w:rPr>
          <w:rFonts w:ascii="Times New Roman" w:hAnsi="Times New Roman" w:cs="Times New Roman" w:eastAsia="Times New Roman" w:hint="default"/>
        </w:rPr>
        <w:t>”</w:t>
      </w:r>
      <w:r>
        <w:rPr/>
        <w:t>的核心理念，公司将继续采取稳健务实的经营策略，聚焦优势领域和</w:t>
      </w:r>
    </w:p>
    <w:p>
      <w:pPr>
        <w:pStyle w:val="BodyText"/>
        <w:spacing w:line="273" w:lineRule="auto" w:before="5"/>
        <w:ind w:right="0"/>
        <w:jc w:val="left"/>
      </w:pPr>
      <w:r>
        <w:rPr>
          <w:spacing w:val="-1"/>
        </w:rPr>
        <w:t>主航道，抵御各种诱惑和噪音，拒绝急功近利的短期思维，坚持为客户创造长期价值，一步一个脚印，稳</w:t>
      </w:r>
      <w:r>
        <w:rPr>
          <w:spacing w:val="-83"/>
        </w:rPr>
        <w:t> </w:t>
      </w:r>
      <w:r>
        <w:rPr>
          <w:spacing w:val="-83"/>
        </w:rPr>
      </w:r>
      <w:r>
        <w:rPr/>
        <w:t>打稳扎，推进长远战略，造就可持续发展。</w:t>
      </w:r>
    </w:p>
    <w:p>
      <w:pPr>
        <w:pStyle w:val="BodyText"/>
        <w:spacing w:line="256" w:lineRule="auto"/>
        <w:ind w:left="574" w:right="0"/>
        <w:jc w:val="left"/>
      </w:pPr>
      <w:r>
        <w:rPr>
          <w:rFonts w:ascii="Times New Roman" w:hAnsi="Times New Roman" w:cs="Times New Roman" w:eastAsia="Times New Roman" w:hint="default"/>
        </w:rPr>
        <w:t>2</w:t>
      </w:r>
      <w:r>
        <w:rPr/>
        <w:t>、聚焦优势主航道 </w:t>
      </w:r>
      <w:r>
        <w:rPr>
          <w:spacing w:val="-3"/>
        </w:rPr>
        <w:t>在</w:t>
      </w:r>
      <w:r>
        <w:rPr>
          <w:rFonts w:ascii="Times New Roman" w:hAnsi="Times New Roman" w:cs="Times New Roman" w:eastAsia="Times New Roman" w:hint="default"/>
          <w:spacing w:val="-3"/>
        </w:rPr>
        <w:t>DT</w:t>
      </w:r>
      <w:r>
        <w:rPr>
          <w:spacing w:val="-3"/>
        </w:rPr>
        <w:t>时代，公司要成为中国领先的产业互联网大数据解决方案提供与数据运营服务商，用先进的大数</w:t>
      </w:r>
    </w:p>
    <w:p>
      <w:pPr>
        <w:pStyle w:val="BodyText"/>
        <w:spacing w:line="266" w:lineRule="auto" w:before="5"/>
        <w:ind w:right="0"/>
        <w:jc w:val="left"/>
      </w:pPr>
      <w:r>
        <w:rPr/>
        <w:t>据及</w:t>
      </w:r>
      <w:r>
        <w:rPr>
          <w:rFonts w:ascii="Times New Roman" w:hAnsi="Times New Roman" w:cs="Times New Roman" w:eastAsia="Times New Roman" w:hint="default"/>
        </w:rPr>
        <w:t>AI</w:t>
      </w:r>
      <w:r>
        <w:rPr/>
        <w:t>技术，为运营商、公共安全、金融等传统行业客户提供大数据平台、智能化应用和数据运营服务。</w:t>
      </w:r>
      <w:r>
        <w:rPr>
          <w:spacing w:val="-48"/>
        </w:rPr>
        <w:t> </w:t>
      </w:r>
      <w:r>
        <w:rPr>
          <w:spacing w:val="-48"/>
        </w:rPr>
      </w:r>
      <w:r>
        <w:rPr/>
        <w:t>公司在大数据产业链中的定位为基于大数据的信息服务，担当数据处理和管理者、数据应用开发者、数据</w:t>
      </w:r>
      <w:r>
        <w:rPr/>
        <w:t> 运营服务者三个角色。精心打造智慧运营、智慧社会和智慧金融等典型行业应用，树行业标杆。集中优势 兵力，大兵团作战，拓宽主航道，培育高产良田。</w:t>
      </w:r>
    </w:p>
    <w:p>
      <w:pPr>
        <w:pStyle w:val="BodyText"/>
        <w:spacing w:line="256" w:lineRule="auto" w:before="14"/>
        <w:ind w:left="574" w:right="1223"/>
        <w:jc w:val="left"/>
      </w:pPr>
      <w:r>
        <w:rPr>
          <w:rFonts w:ascii="Times New Roman" w:hAnsi="Times New Roman" w:cs="Times New Roman" w:eastAsia="Times New Roman" w:hint="default"/>
        </w:rPr>
        <w:t>3</w:t>
      </w:r>
      <w:r>
        <w:rPr/>
        <w:t>、持续进行四大基础技术平台优化升级 经过多年研发投入，公司已初步形成</w:t>
      </w:r>
      <w:r>
        <w:rPr>
          <w:rFonts w:ascii="Times New Roman" w:hAnsi="Times New Roman" w:cs="Times New Roman" w:eastAsia="Times New Roman" w:hint="default"/>
        </w:rPr>
        <w:t>“</w:t>
      </w:r>
      <w:r>
        <w:rPr/>
        <w:t>迪数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迪智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迪云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迪安</w:t>
      </w:r>
      <w:r>
        <w:rPr>
          <w:rFonts w:ascii="Times New Roman" w:hAnsi="Times New Roman" w:cs="Times New Roman" w:eastAsia="Times New Roman" w:hint="default"/>
        </w:rPr>
        <w:t>”</w:t>
      </w:r>
      <w:r>
        <w:rPr/>
        <w:t>四大基础技术平台，</w:t>
      </w:r>
      <w:r>
        <w:rPr>
          <w:spacing w:val="-25"/>
        </w:rPr>
        <w:t> </w:t>
      </w:r>
      <w:r>
        <w:rPr/>
        <w:t>其中</w:t>
      </w:r>
      <w:r>
        <w:rPr>
          <w:rFonts w:ascii="Times New Roman" w:hAnsi="Times New Roman" w:cs="Times New Roman" w:eastAsia="Times New Roman" w:hint="default"/>
        </w:rPr>
        <w:t>“</w:t>
      </w:r>
      <w:r>
        <w:rPr/>
        <w:t>迪</w:t>
      </w:r>
    </w:p>
    <w:p>
      <w:pPr>
        <w:pStyle w:val="BodyText"/>
        <w:spacing w:line="264" w:lineRule="auto" w:before="5"/>
        <w:ind w:right="1129"/>
        <w:jc w:val="both"/>
      </w:pPr>
      <w:r>
        <w:rPr/>
        <w:t>数</w:t>
      </w:r>
      <w:r>
        <w:rPr>
          <w:rFonts w:ascii="Times New Roman" w:hAnsi="Times New Roman" w:cs="Times New Roman" w:eastAsia="Times New Roman" w:hint="default"/>
        </w:rPr>
        <w:t>”</w:t>
      </w:r>
      <w:r>
        <w:rPr/>
        <w:t>为大数据核心平台， </w:t>
      </w:r>
      <w:r>
        <w:rPr>
          <w:rFonts w:ascii="Times New Roman" w:hAnsi="Times New Roman" w:cs="Times New Roman" w:eastAsia="Times New Roman" w:hint="default"/>
        </w:rPr>
        <w:t>“</w:t>
      </w:r>
      <w:r>
        <w:rPr/>
        <w:t>迪智</w:t>
      </w:r>
      <w:r>
        <w:rPr>
          <w:rFonts w:ascii="Times New Roman" w:hAnsi="Times New Roman" w:cs="Times New Roman" w:eastAsia="Times New Roman" w:hint="default"/>
        </w:rPr>
        <w:t>”</w:t>
      </w:r>
      <w:r>
        <w:rPr/>
        <w:t>为人工智能基础平台，</w:t>
      </w:r>
      <w:r>
        <w:rPr>
          <w:rFonts w:ascii="Times New Roman" w:hAnsi="Times New Roman" w:cs="Times New Roman" w:eastAsia="Times New Roman" w:hint="default"/>
        </w:rPr>
        <w:t>“</w:t>
      </w:r>
      <w:r>
        <w:rPr/>
        <w:t>迪云</w:t>
      </w:r>
      <w:r>
        <w:rPr>
          <w:rFonts w:ascii="Times New Roman" w:hAnsi="Times New Roman" w:cs="Times New Roman" w:eastAsia="Times New Roman" w:hint="default"/>
        </w:rPr>
        <w:t>”</w:t>
      </w:r>
      <w:r>
        <w:rPr/>
        <w:t>为云计算</w:t>
      </w:r>
      <w:r>
        <w:rPr>
          <w:rFonts w:ascii="Times New Roman" w:hAnsi="Times New Roman" w:cs="Times New Roman" w:eastAsia="Times New Roman" w:hint="default"/>
        </w:rPr>
        <w:t>PaaS</w:t>
      </w:r>
      <w:r>
        <w:rPr/>
        <w:t>平台，</w:t>
      </w:r>
      <w:r>
        <w:rPr>
          <w:spacing w:val="-45"/>
        </w:rPr>
        <w:t> </w:t>
      </w:r>
      <w:r>
        <w:rPr>
          <w:rFonts w:ascii="Times New Roman" w:hAnsi="Times New Roman" w:cs="Times New Roman" w:eastAsia="Times New Roman" w:hint="default"/>
        </w:rPr>
        <w:t>“</w:t>
      </w:r>
      <w:r>
        <w:rPr/>
        <w:t>迪安</w:t>
      </w:r>
      <w:r>
        <w:rPr>
          <w:rFonts w:ascii="Times New Roman" w:hAnsi="Times New Roman" w:cs="Times New Roman" w:eastAsia="Times New Roman" w:hint="default"/>
        </w:rPr>
        <w:t>”</w:t>
      </w:r>
      <w:r>
        <w:rPr/>
        <w:t>为大型应用软件 </w:t>
      </w:r>
      <w:r>
        <w:rPr>
          <w:spacing w:val="-1"/>
        </w:rPr>
        <w:t>安全接入平台。四大基础软件平台，构成公司应用层软件研发的基础设施，将引领公司技术发展方向，支</w:t>
      </w:r>
      <w:r>
        <w:rPr>
          <w:spacing w:val="-85"/>
        </w:rPr>
        <w:t> </w:t>
      </w:r>
      <w:r>
        <w:rPr>
          <w:spacing w:val="-85"/>
        </w:rPr>
      </w:r>
      <w:r>
        <w:rPr/>
        <w:t>撑公司软件产品线的长期发展，</w:t>
      </w:r>
      <w:r>
        <w:rPr>
          <w:spacing w:val="-21"/>
        </w:rPr>
        <w:t> </w:t>
      </w:r>
      <w:r>
        <w:rPr/>
        <w:t>公司将保持持续的高强度的研发投入，以体现公司的核心竞争力。</w:t>
      </w:r>
    </w:p>
    <w:p>
      <w:pPr>
        <w:pStyle w:val="BodyText"/>
        <w:spacing w:line="256" w:lineRule="auto" w:before="16"/>
        <w:ind w:left="574" w:right="1163"/>
        <w:jc w:val="left"/>
      </w:pPr>
      <w:r>
        <w:rPr>
          <w:rFonts w:ascii="Times New Roman" w:hAnsi="Times New Roman" w:cs="Times New Roman" w:eastAsia="Times New Roman" w:hint="default"/>
        </w:rPr>
        <w:t>4</w:t>
      </w:r>
      <w:r>
        <w:rPr/>
        <w:t>、加强生态圈建设 公司认为供应链和生态圈可以成为核心竞争力，奉行</w:t>
      </w:r>
      <w:r>
        <w:rPr>
          <w:rFonts w:ascii="Times New Roman" w:hAnsi="Times New Roman" w:cs="Times New Roman" w:eastAsia="Times New Roman" w:hint="default"/>
        </w:rPr>
        <w:t>“</w:t>
      </w:r>
      <w:r>
        <w:rPr/>
        <w:t>术有专攻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分工协作</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合作共赢</w:t>
      </w:r>
      <w:r>
        <w:rPr>
          <w:rFonts w:ascii="Times New Roman" w:hAnsi="Times New Roman" w:cs="Times New Roman" w:eastAsia="Times New Roman" w:hint="default"/>
        </w:rPr>
        <w:t>”</w:t>
      </w:r>
      <w:r>
        <w:rPr/>
        <w:t>的合作理</w:t>
      </w:r>
    </w:p>
    <w:p>
      <w:pPr>
        <w:pStyle w:val="BodyText"/>
        <w:spacing w:line="256" w:lineRule="auto" w:before="5"/>
        <w:ind w:right="1129"/>
        <w:jc w:val="both"/>
      </w:pPr>
      <w:r>
        <w:rPr/>
        <w:t>念，将继续携手阿里云、华为、腾讯、</w:t>
      </w:r>
      <w:r>
        <w:rPr>
          <w:rFonts w:ascii="Times New Roman" w:hAnsi="Times New Roman" w:cs="Times New Roman" w:eastAsia="Times New Roman" w:hint="default"/>
        </w:rPr>
        <w:t>IBM</w:t>
      </w:r>
      <w:r>
        <w:rPr/>
        <w:t>等战略合作伙伴共建生态圈。继续与阿里云在大型企业</w:t>
      </w:r>
      <w:r>
        <w:rPr>
          <w:rFonts w:ascii="Times New Roman" w:hAnsi="Times New Roman" w:cs="Times New Roman" w:eastAsia="Times New Roman" w:hint="default"/>
        </w:rPr>
        <w:t>IT</w:t>
      </w:r>
      <w:r>
        <w:rPr/>
        <w:t>云化 和人工智能应用领域紧密合作，继续与华为、腾讯在警务云大数据领域紧密合作，尝试与</w:t>
      </w:r>
      <w:r>
        <w:rPr>
          <w:rFonts w:ascii="Times New Roman" w:hAnsi="Times New Roman" w:cs="Times New Roman" w:eastAsia="Times New Roman" w:hint="default"/>
        </w:rPr>
        <w:t>IBM</w:t>
      </w:r>
      <w:r>
        <w:rPr/>
        <w:t>进行软件版 </w:t>
      </w:r>
      <w:r>
        <w:rPr>
          <w:spacing w:val="-1"/>
        </w:rPr>
        <w:t>权互授权合作，建立行业应用样板点，搭建产品化推广、标准化实施和专业化服务的体系，以咨询</w:t>
      </w:r>
      <w:r>
        <w:rPr>
          <w:rFonts w:ascii="Times New Roman" w:hAnsi="Times New Roman" w:cs="Times New Roman" w:eastAsia="Times New Roman" w:hint="default"/>
          <w:spacing w:val="-1"/>
        </w:rPr>
        <w:t>+</w:t>
      </w:r>
      <w:r>
        <w:rPr>
          <w:spacing w:val="-1"/>
        </w:rPr>
        <w:t>应用</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t>服务的模式推动合作生态的快速复制。</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0"/>
        <w:jc w:val="left"/>
      </w:pPr>
      <w:r>
        <w:rPr>
          <w:rFonts w:ascii="Times New Roman" w:hAnsi="Times New Roman" w:cs="Times New Roman" w:eastAsia="Times New Roman" w:hint="default"/>
        </w:rPr>
        <w:t>5</w:t>
      </w:r>
      <w:r>
        <w:rPr/>
        <w:t>、持续完善贴身、敏捷的客户服务体系 </w:t>
      </w:r>
      <w:r>
        <w:rPr>
          <w:spacing w:val="-1"/>
        </w:rPr>
        <w:t>秉持以客户为中心的公司服务文化，持续改进客户服务质量；建立区域销售、交付、中台团队客户满</w:t>
      </w:r>
    </w:p>
    <w:p>
      <w:pPr>
        <w:pStyle w:val="BodyText"/>
        <w:spacing w:line="273" w:lineRule="auto" w:before="22"/>
        <w:ind w:right="1131"/>
        <w:jc w:val="both"/>
      </w:pPr>
      <w:r>
        <w:rPr>
          <w:spacing w:val="-1"/>
        </w:rPr>
        <w:t>意度评估机制，共同承担满意度指标，及时准确把握客户需求，主动高效响应客户；研发要以客户需求为</w:t>
      </w:r>
      <w:r>
        <w:rPr>
          <w:spacing w:val="-86"/>
        </w:rPr>
        <w:t> </w:t>
      </w:r>
      <w:r>
        <w:rPr>
          <w:spacing w:val="-86"/>
        </w:rPr>
      </w:r>
      <w:r>
        <w:rPr>
          <w:spacing w:val="-1"/>
        </w:rPr>
        <w:t>导向，开发高质量的产品或解决方案，提高产品附加价值和竞争力。建立健全以客户为中心内部逐级服务</w:t>
      </w:r>
      <w:r>
        <w:rPr>
          <w:spacing w:val="-83"/>
        </w:rPr>
        <w:t> </w:t>
      </w:r>
      <w:r>
        <w:rPr>
          <w:spacing w:val="-83"/>
        </w:rPr>
      </w:r>
      <w:r>
        <w:rPr/>
        <w:t>体系，前台提供贴近客户的服务，一线呼唤炮火；中台后台为前台服务，保证一线能够呼唤到炮火。</w:t>
      </w:r>
    </w:p>
    <w:p>
      <w:pPr>
        <w:spacing w:line="240" w:lineRule="auto" w:before="6"/>
        <w:rPr>
          <w:rFonts w:ascii="宋体" w:hAnsi="宋体" w:cs="宋体" w:eastAsia="宋体" w:hint="default"/>
          <w:sz w:val="24"/>
          <w:szCs w:val="24"/>
        </w:rPr>
      </w:pPr>
    </w:p>
    <w:p>
      <w:pPr>
        <w:pStyle w:val="BodyText"/>
        <w:spacing w:line="256" w:lineRule="auto" w:before="0"/>
        <w:ind w:left="580" w:right="597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2019</w:t>
      </w:r>
      <w:r>
        <w:rPr/>
        <w:t>年度经营计划</w:t>
      </w:r>
      <w:r>
        <w:rPr>
          <w:w w:val="99"/>
        </w:rPr>
        <w:t> </w:t>
      </w:r>
      <w:r>
        <w:rPr>
          <w:rFonts w:ascii="Times New Roman" w:hAnsi="Times New Roman" w:cs="Times New Roman" w:eastAsia="Times New Roman" w:hint="default"/>
        </w:rPr>
        <w:t>1</w:t>
      </w:r>
      <w:r>
        <w:rPr/>
        <w:t>、以</w:t>
      </w:r>
      <w:r>
        <w:rPr>
          <w:rFonts w:ascii="Times New Roman" w:hAnsi="Times New Roman" w:cs="Times New Roman" w:eastAsia="Times New Roman" w:hint="default"/>
        </w:rPr>
        <w:t>5G</w:t>
      </w:r>
      <w:r>
        <w:rPr/>
        <w:t>为突破口，聚焦战略市场，突破新领域</w:t>
      </w:r>
    </w:p>
    <w:p>
      <w:pPr>
        <w:pStyle w:val="BodyText"/>
        <w:spacing w:line="261" w:lineRule="auto" w:before="5"/>
        <w:ind w:right="1130" w:firstLine="426"/>
        <w:jc w:val="both"/>
      </w:pPr>
      <w:r>
        <w:rPr>
          <w:rFonts w:ascii="Times New Roman" w:hAnsi="Times New Roman" w:cs="Times New Roman" w:eastAsia="Times New Roman" w:hint="default"/>
        </w:rPr>
        <w:t>4G</w:t>
      </w:r>
      <w:r>
        <w:rPr/>
        <w:t>到</w:t>
      </w:r>
      <w:r>
        <w:rPr>
          <w:rFonts w:ascii="Times New Roman" w:hAnsi="Times New Roman" w:cs="Times New Roman" w:eastAsia="Times New Roman" w:hint="default"/>
        </w:rPr>
        <w:t>5G</w:t>
      </w:r>
      <w:r>
        <w:rPr/>
        <w:t>不仅仅是网络传输速率的提升，</w:t>
      </w:r>
      <w:r>
        <w:rPr>
          <w:rFonts w:ascii="Times New Roman" w:hAnsi="Times New Roman" w:cs="Times New Roman" w:eastAsia="Times New Roman" w:hint="default"/>
        </w:rPr>
        <w:t>5G</w:t>
      </w:r>
      <w:r>
        <w:rPr/>
        <w:t>三大类应用场景：高速率增强移动宽带、低时延高可靠通 讯和海量大连接都对</w:t>
      </w:r>
      <w:r>
        <w:rPr>
          <w:rFonts w:ascii="Times New Roman" w:hAnsi="Times New Roman" w:cs="Times New Roman" w:eastAsia="Times New Roman" w:hint="default"/>
        </w:rPr>
        <w:t>BSS</w:t>
      </w:r>
      <w:r>
        <w:rPr/>
        <w:t>运营支撑系统提出全新需求。网络控制功能的云化部署，流量转发功能的下沉，</w:t>
      </w:r>
      <w:r>
        <w:rPr>
          <w:spacing w:val="-88"/>
        </w:rPr>
        <w:t> </w:t>
      </w:r>
      <w:r>
        <w:rPr>
          <w:spacing w:val="-88"/>
        </w:rPr>
      </w:r>
      <w:r>
        <w:rPr>
          <w:spacing w:val="-1"/>
        </w:rPr>
        <w:t>移动边缘计算能力的增强势必带来运营支撑系统基础架构的演变，基于使用量、连接量、服务量、应用内</w:t>
      </w:r>
      <w:r>
        <w:rPr>
          <w:spacing w:val="-86"/>
        </w:rPr>
        <w:t> </w:t>
      </w:r>
      <w:r>
        <w:rPr>
          <w:spacing w:val="-86"/>
        </w:rPr>
      </w:r>
      <w:r>
        <w:rPr>
          <w:spacing w:val="-1"/>
        </w:rPr>
        <w:t>容、时延等级、速度等级、客户等级、网络切片多量纲计费模式将被引入。</w:t>
      </w:r>
      <w:r>
        <w:rPr>
          <w:rFonts w:ascii="Times New Roman" w:hAnsi="Times New Roman" w:cs="Times New Roman" w:eastAsia="Times New Roman" w:hint="default"/>
          <w:spacing w:val="-1"/>
        </w:rPr>
        <w:t>2019</w:t>
      </w:r>
      <w:r>
        <w:rPr>
          <w:spacing w:val="-1"/>
        </w:rPr>
        <w:t>年，公司在电信运营商市</w:t>
      </w:r>
      <w:r>
        <w:rPr>
          <w:spacing w:val="-80"/>
        </w:rPr>
        <w:t> </w:t>
      </w:r>
      <w:r>
        <w:rPr>
          <w:spacing w:val="-80"/>
        </w:rPr>
      </w:r>
      <w:r>
        <w:rPr/>
        <w:t>场将以</w:t>
      </w:r>
      <w:r>
        <w:rPr>
          <w:rFonts w:ascii="Times New Roman" w:hAnsi="Times New Roman" w:cs="Times New Roman" w:eastAsia="Times New Roman" w:hint="default"/>
        </w:rPr>
        <w:t>5G</w:t>
      </w:r>
      <w:r>
        <w:rPr/>
        <w:t>网络建设为契机，集中优势资源，快速形成</w:t>
      </w:r>
      <w:r>
        <w:rPr>
          <w:rFonts w:ascii="Times New Roman" w:hAnsi="Times New Roman" w:cs="Times New Roman" w:eastAsia="Times New Roman" w:hint="default"/>
        </w:rPr>
        <w:t>5G</w:t>
      </w:r>
      <w:r>
        <w:rPr/>
        <w:t>试商用支撑能力，牢固把控</w:t>
      </w:r>
      <w:r>
        <w:rPr>
          <w:rFonts w:ascii="Times New Roman" w:hAnsi="Times New Roman" w:cs="Times New Roman" w:eastAsia="Times New Roman" w:hint="default"/>
        </w:rPr>
        <w:t>5G</w:t>
      </w:r>
      <w:r>
        <w:rPr/>
        <w:t>带来的全新市场机</w:t>
      </w:r>
      <w:r>
        <w:rPr>
          <w:spacing w:val="-63"/>
        </w:rPr>
        <w:t> </w:t>
      </w:r>
      <w:r>
        <w:rPr>
          <w:spacing w:val="-63"/>
        </w:rPr>
      </w:r>
      <w:r>
        <w:rPr/>
        <w:t>会。</w:t>
      </w:r>
    </w:p>
    <w:p>
      <w:pPr>
        <w:pStyle w:val="BodyText"/>
        <w:spacing w:line="256" w:lineRule="auto" w:before="18"/>
        <w:ind w:left="580" w:right="1130"/>
        <w:jc w:val="left"/>
      </w:pPr>
      <w:r>
        <w:rPr>
          <w:rFonts w:ascii="Times New Roman" w:hAnsi="Times New Roman" w:cs="Times New Roman" w:eastAsia="Times New Roman" w:hint="default"/>
        </w:rPr>
        <w:t>2</w:t>
      </w:r>
      <w:r>
        <w:rPr/>
        <w:t>、挖掘现有市场潜力，拓展重点行业市场 </w:t>
      </w:r>
      <w:r>
        <w:rPr>
          <w:spacing w:val="-1"/>
        </w:rPr>
        <w:t>在金融科技领域，将以子公司维恩贝特为核心，与公司基础技术平台实现进一步融合以提升产品竞争</w:t>
      </w:r>
    </w:p>
    <w:p>
      <w:pPr>
        <w:pStyle w:val="BodyText"/>
        <w:spacing w:line="273" w:lineRule="auto" w:before="22"/>
        <w:ind w:right="0"/>
        <w:jc w:val="left"/>
      </w:pPr>
      <w:r>
        <w:rPr/>
        <w:t>力，重点拓展国内（含港澳台）银行软件市场。在金融服务领域，继续挖掘优质银行和互联网金融客户，</w:t>
      </w:r>
      <w:r>
        <w:rPr>
          <w:spacing w:val="-35"/>
        </w:rPr>
        <w:t> </w:t>
      </w:r>
      <w:r>
        <w:rPr>
          <w:spacing w:val="-35"/>
        </w:rPr>
      </w:r>
      <w:r>
        <w:rPr/>
        <w:t>打通运营商、政府资源与金融机构的应用，不断挖掘内部潜力，降低运营成本，追求高效率和高收益。</w:t>
      </w:r>
    </w:p>
    <w:p>
      <w:pPr>
        <w:pStyle w:val="BodyText"/>
        <w:spacing w:line="273" w:lineRule="auto"/>
        <w:ind w:right="1130" w:firstLine="426"/>
        <w:jc w:val="both"/>
      </w:pPr>
      <w:r>
        <w:rPr>
          <w:spacing w:val="-1"/>
        </w:rPr>
        <w:t>在公共安全领域，策略是站稳广深沪，深耕优质省，持续发挥样板示范效应；利用现有产品和能力快</w:t>
      </w:r>
      <w:r>
        <w:rPr/>
        <w:t> </w:t>
      </w:r>
      <w:r>
        <w:rPr>
          <w:spacing w:val="-1"/>
        </w:rPr>
        <w:t>速赋能到区域，利用各区域优势，覆盖全国市场，下沉地市区县，拓展数据应用；开展新产品研发和现有</w:t>
      </w:r>
      <w:r>
        <w:rPr>
          <w:spacing w:val="-83"/>
        </w:rPr>
        <w:t> </w:t>
      </w:r>
      <w:r>
        <w:rPr>
          <w:spacing w:val="-83"/>
        </w:rPr>
      </w:r>
      <w:r>
        <w:rPr/>
        <w:t>产品能力升级，寻求与能力互补的大平台（华为、腾讯、阿里、</w:t>
      </w:r>
      <w:r>
        <w:rPr>
          <w:spacing w:val="50"/>
        </w:rPr>
        <w:t> </w:t>
      </w:r>
      <w:r>
        <w:rPr/>
        <w:t>平安科技等）合作进行产品推广；在交</w:t>
      </w:r>
      <w:r>
        <w:rPr>
          <w:spacing w:val="-88"/>
        </w:rPr>
        <w:t> </w:t>
      </w:r>
      <w:r>
        <w:rPr>
          <w:spacing w:val="-88"/>
        </w:rPr>
      </w:r>
      <w:r>
        <w:rPr/>
        <w:t>管领域加大力度，在重大项目上取得实质突破。</w:t>
      </w:r>
    </w:p>
    <w:p>
      <w:pPr>
        <w:pStyle w:val="BodyText"/>
        <w:spacing w:line="273" w:lineRule="auto" w:before="8"/>
        <w:ind w:right="1130" w:firstLine="426"/>
        <w:jc w:val="left"/>
      </w:pPr>
      <w:r>
        <w:rPr>
          <w:spacing w:val="-1"/>
        </w:rPr>
        <w:t>积极参与阿里生态、联通天宫生态和电信政企生态，借船出海，在央企电商、数字政府、新零售、智</w:t>
      </w:r>
      <w:r>
        <w:rPr/>
        <w:t> 能客服、教育等行业寻找能持续合作的价值客户，精耕细作，提高行业产品的复用度和毛利率。</w:t>
      </w:r>
    </w:p>
    <w:p>
      <w:pPr>
        <w:spacing w:line="240" w:lineRule="auto" w:before="6"/>
        <w:rPr>
          <w:rFonts w:ascii="宋体" w:hAnsi="宋体" w:cs="宋体" w:eastAsia="宋体" w:hint="default"/>
          <w:sz w:val="24"/>
          <w:szCs w:val="24"/>
        </w:rPr>
      </w:pPr>
    </w:p>
    <w:p>
      <w:pPr>
        <w:pStyle w:val="BodyText"/>
        <w:spacing w:line="240" w:lineRule="auto" w:before="0"/>
        <w:ind w:left="580" w:right="1972"/>
        <w:jc w:val="left"/>
      </w:pPr>
      <w:r>
        <w:rPr>
          <w:rFonts w:ascii="Times New Roman" w:hAnsi="Times New Roman" w:cs="Times New Roman" w:eastAsia="Times New Roman" w:hint="default"/>
        </w:rPr>
        <w:t>3</w:t>
      </w:r>
      <w:r>
        <w:rPr/>
        <w:t>、继续构建公司统一基础技术平台</w:t>
      </w:r>
    </w:p>
    <w:p>
      <w:pPr>
        <w:pStyle w:val="BodyText"/>
        <w:spacing w:line="256" w:lineRule="auto" w:before="21"/>
        <w:ind w:right="1032" w:firstLine="426"/>
        <w:jc w:val="both"/>
      </w:pPr>
      <w:r>
        <w:rPr/>
        <w:t>公司已形成</w:t>
      </w:r>
      <w:r>
        <w:rPr>
          <w:rFonts w:ascii="Times New Roman" w:hAnsi="Times New Roman" w:cs="Times New Roman" w:eastAsia="Times New Roman" w:hint="default"/>
        </w:rPr>
        <w:t>“</w:t>
      </w:r>
      <w:r>
        <w:rPr/>
        <w:t>迪智</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w:t>
      </w:r>
      <w:r>
        <w:rPr>
          <w:rFonts w:ascii="Times New Roman" w:hAnsi="Times New Roman" w:cs="Times New Roman" w:eastAsia="Times New Roman" w:hint="default"/>
        </w:rPr>
        <w:t>“</w:t>
      </w:r>
      <w:r>
        <w:rPr/>
        <w:t>迪数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迪云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迪安</w:t>
      </w:r>
      <w:r>
        <w:rPr>
          <w:rFonts w:ascii="Times New Roman" w:hAnsi="Times New Roman" w:cs="Times New Roman" w:eastAsia="Times New Roman" w:hint="default"/>
        </w:rPr>
        <w:t>”</w:t>
      </w:r>
      <w:r>
        <w:rPr/>
        <w:t>四大技术平台，随着大数据上云、信息安全服务于大数 据和云等技术发展新趋势，公司将在深度学习平台、智能编程、</w:t>
      </w:r>
      <w:r>
        <w:rPr>
          <w:rFonts w:ascii="Times New Roman" w:hAnsi="Times New Roman" w:cs="Times New Roman" w:eastAsia="Times New Roman" w:hint="default"/>
        </w:rPr>
        <w:t>Paas</w:t>
      </w:r>
      <w:r>
        <w:rPr/>
        <w:t>组件服务化、信息安全等方面加大研</w:t>
      </w:r>
      <w:r>
        <w:rPr>
          <w:spacing w:val="-96"/>
        </w:rPr>
        <w:t> </w:t>
      </w:r>
      <w:r>
        <w:rPr>
          <w:spacing w:val="-96"/>
        </w:rPr>
      </w:r>
      <w:r>
        <w:rPr/>
        <w:t>发投入，促进技术平台的升级和互相融通，形成公司级统一基础技术平台，更高效高质地支撑行业应用。</w:t>
      </w:r>
    </w:p>
    <w:p>
      <w:pPr>
        <w:spacing w:line="240" w:lineRule="auto" w:before="7"/>
        <w:rPr>
          <w:rFonts w:ascii="宋体" w:hAnsi="宋体" w:cs="宋体" w:eastAsia="宋体" w:hint="default"/>
          <w:sz w:val="25"/>
          <w:szCs w:val="25"/>
        </w:rPr>
      </w:pPr>
    </w:p>
    <w:p>
      <w:pPr>
        <w:pStyle w:val="BodyText"/>
        <w:spacing w:line="240" w:lineRule="auto" w:before="0"/>
        <w:ind w:left="580" w:right="1972"/>
        <w:jc w:val="left"/>
      </w:pPr>
      <w:r>
        <w:rPr>
          <w:rFonts w:ascii="Times New Roman" w:hAnsi="Times New Roman" w:cs="Times New Roman" w:eastAsia="Times New Roman" w:hint="default"/>
        </w:rPr>
        <w:t>4</w:t>
      </w:r>
      <w:r>
        <w:rPr/>
        <w:t>、启动深圳总部研发中心建设</w:t>
      </w:r>
    </w:p>
    <w:p>
      <w:pPr>
        <w:pStyle w:val="BodyText"/>
        <w:spacing w:line="256" w:lineRule="auto" w:before="21"/>
        <w:ind w:right="1132" w:firstLine="426"/>
        <w:jc w:val="left"/>
      </w:pPr>
      <w:r>
        <w:rPr>
          <w:rFonts w:ascii="Times New Roman" w:hAnsi="Times New Roman" w:cs="Times New Roman" w:eastAsia="Times New Roman" w:hint="default"/>
          <w:spacing w:val="-1"/>
        </w:rPr>
        <w:t>2019</w:t>
      </w:r>
      <w:r>
        <w:rPr>
          <w:spacing w:val="-1"/>
        </w:rPr>
        <w:t>年公司将正式启动深圳总部研发中心建设，将充分融入粤港澳大湾区发展，进一步发挥大湾区科</w:t>
      </w:r>
      <w:r>
        <w:rPr/>
        <w:t> 技创新生态优良的区位优势。</w:t>
      </w:r>
    </w:p>
    <w:p>
      <w:pPr>
        <w:spacing w:line="240" w:lineRule="auto" w:before="7"/>
        <w:rPr>
          <w:rFonts w:ascii="宋体" w:hAnsi="宋体" w:cs="宋体" w:eastAsia="宋体" w:hint="default"/>
          <w:sz w:val="25"/>
          <w:szCs w:val="25"/>
        </w:rPr>
      </w:pPr>
    </w:p>
    <w:p>
      <w:pPr>
        <w:pStyle w:val="BodyText"/>
        <w:spacing w:line="240" w:lineRule="auto" w:before="0"/>
        <w:ind w:left="580" w:right="1972"/>
        <w:jc w:val="left"/>
      </w:pPr>
      <w:r>
        <w:rPr>
          <w:rFonts w:ascii="Times New Roman" w:hAnsi="Times New Roman" w:cs="Times New Roman" w:eastAsia="Times New Roman" w:hint="default"/>
        </w:rPr>
        <w:t>5</w:t>
      </w:r>
      <w:r>
        <w:rPr/>
        <w:t>、继续加强队伍建设</w:t>
      </w:r>
    </w:p>
    <w:p>
      <w:pPr>
        <w:pStyle w:val="BodyText"/>
        <w:spacing w:line="240" w:lineRule="auto" w:before="21"/>
        <w:ind w:left="580" w:right="1972"/>
        <w:jc w:val="left"/>
      </w:pPr>
      <w:r>
        <w:rPr/>
        <w:t>打造三支有战斗力的队伍</w:t>
      </w:r>
      <w:r>
        <w:rPr>
          <w:rFonts w:ascii="Times New Roman" w:hAnsi="Times New Roman" w:cs="Times New Roman" w:eastAsia="Times New Roman" w:hint="default"/>
        </w:rPr>
        <w:t>--</w:t>
      </w:r>
      <w:r>
        <w:rPr/>
        <w:t>销售团队、技术团队、管理团队。团队素质培养目标：</w:t>
      </w:r>
    </w:p>
    <w:p>
      <w:pPr>
        <w:pStyle w:val="BodyText"/>
        <w:spacing w:line="240" w:lineRule="auto" w:before="21"/>
        <w:ind w:left="580" w:right="1972"/>
        <w:jc w:val="left"/>
      </w:pPr>
      <w:r>
        <w:rPr/>
        <w:t>（</w:t>
      </w:r>
      <w:r>
        <w:rPr>
          <w:rFonts w:ascii="Times New Roman" w:hAnsi="Times New Roman" w:cs="Times New Roman" w:eastAsia="Times New Roman" w:hint="default"/>
        </w:rPr>
        <w:t>1</w:t>
      </w:r>
      <w:r>
        <w:rPr/>
        <w:t>）干劲足：贴近客户、艰苦奋斗，并带领团队群体奋斗，实现有效增长。</w:t>
      </w:r>
    </w:p>
    <w:p>
      <w:pPr>
        <w:pStyle w:val="BodyText"/>
        <w:spacing w:line="240" w:lineRule="auto" w:before="21"/>
        <w:ind w:left="580" w:right="0"/>
        <w:jc w:val="left"/>
      </w:pPr>
      <w:r>
        <w:rPr>
          <w:spacing w:val="-4"/>
        </w:rPr>
        <w:t>（</w:t>
      </w:r>
      <w:r>
        <w:rPr>
          <w:rFonts w:ascii="Times New Roman" w:hAnsi="Times New Roman" w:cs="Times New Roman" w:eastAsia="Times New Roman" w:hint="default"/>
          <w:spacing w:val="-4"/>
        </w:rPr>
        <w:t>2</w:t>
      </w:r>
      <w:r>
        <w:rPr>
          <w:spacing w:val="-4"/>
        </w:rPr>
        <w:t>）能力强：有清晰的业务布局，看清楚短期利益和长期利益，推进业务布局落地，提升运作能力。</w:t>
      </w:r>
    </w:p>
    <w:p>
      <w:pPr>
        <w:pStyle w:val="BodyText"/>
        <w:spacing w:line="256" w:lineRule="auto" w:before="21"/>
        <w:ind w:left="580" w:right="1996"/>
        <w:jc w:val="left"/>
      </w:pPr>
      <w:r>
        <w:rPr/>
        <w:t>（</w:t>
      </w:r>
      <w:r>
        <w:rPr>
          <w:rFonts w:ascii="Times New Roman" w:hAnsi="Times New Roman" w:cs="Times New Roman" w:eastAsia="Times New Roman" w:hint="default"/>
        </w:rPr>
        <w:t>3</w:t>
      </w:r>
      <w:r>
        <w:rPr/>
        <w:t>）方法优：有系统化思维能力，能抓住主要矛盾和矛盾的主要方面。 采用</w:t>
      </w:r>
      <w:r>
        <w:rPr>
          <w:rFonts w:ascii="Times New Roman" w:hAnsi="Times New Roman" w:cs="Times New Roman" w:eastAsia="Times New Roman" w:hint="default"/>
        </w:rPr>
        <w:t>PDCA</w:t>
      </w:r>
      <w:r>
        <w:rPr/>
        <w:t>循环考核方式。不断改进绩效，提升绩效，完善经营体及其员工绩效考核机制。</w:t>
      </w:r>
    </w:p>
    <w:p>
      <w:pPr>
        <w:spacing w:line="240" w:lineRule="auto" w:before="3"/>
        <w:rPr>
          <w:rFonts w:ascii="宋体" w:hAnsi="宋体" w:cs="宋体" w:eastAsia="宋体" w:hint="default"/>
          <w:sz w:val="24"/>
          <w:szCs w:val="24"/>
        </w:rPr>
      </w:pPr>
    </w:p>
    <w:p>
      <w:pPr>
        <w:pStyle w:val="BodyText"/>
        <w:spacing w:line="256" w:lineRule="auto" w:before="0"/>
        <w:ind w:left="580" w:right="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、持续提升管理能力和精益运营水平 </w:t>
      </w:r>
      <w:r>
        <w:rPr>
          <w:spacing w:val="-6"/>
        </w:rPr>
        <w:t>为落实</w:t>
      </w:r>
      <w:r>
        <w:rPr>
          <w:rFonts w:ascii="Times New Roman" w:hAnsi="Times New Roman" w:cs="Times New Roman" w:eastAsia="Times New Roman" w:hint="default"/>
          <w:spacing w:val="-6"/>
        </w:rPr>
        <w:t>“</w:t>
      </w:r>
      <w:r>
        <w:rPr>
          <w:spacing w:val="-6"/>
        </w:rPr>
        <w:t>两流一效（利润流、现金流和效率）</w:t>
      </w:r>
      <w:r>
        <w:rPr>
          <w:rFonts w:ascii="Times New Roman" w:hAnsi="Times New Roman" w:cs="Times New Roman" w:eastAsia="Times New Roman" w:hint="default"/>
          <w:spacing w:val="-6"/>
        </w:rPr>
        <w:t>”</w:t>
      </w:r>
      <w:r>
        <w:rPr>
          <w:spacing w:val="-6"/>
        </w:rPr>
        <w:t>的管理目标，引入目标和关键结果</w:t>
      </w:r>
      <w:r>
        <w:rPr>
          <w:rFonts w:ascii="Times New Roman" w:hAnsi="Times New Roman" w:cs="Times New Roman" w:eastAsia="Times New Roman" w:hint="default"/>
          <w:spacing w:val="-6"/>
        </w:rPr>
        <w:t>OKR</w:t>
      </w:r>
      <w:r>
        <w:rPr>
          <w:spacing w:val="-6"/>
        </w:rPr>
        <w:t>工作法（</w:t>
      </w:r>
      <w:r>
        <w:rPr>
          <w:rFonts w:ascii="Times New Roman" w:hAnsi="Times New Roman" w:cs="Times New Roman" w:eastAsia="Times New Roman" w:hint="default"/>
          <w:spacing w:val="-6"/>
        </w:rPr>
        <w:t>Objectives</w:t>
      </w:r>
    </w:p>
    <w:p>
      <w:pPr>
        <w:pStyle w:val="BodyText"/>
        <w:spacing w:line="240" w:lineRule="auto" w:before="5"/>
        <w:ind w:right="1972"/>
        <w:jc w:val="left"/>
      </w:pPr>
      <w:r>
        <w:rPr>
          <w:rFonts w:ascii="Times New Roman" w:hAnsi="Times New Roman" w:cs="Times New Roman" w:eastAsia="Times New Roman" w:hint="default"/>
        </w:rPr>
        <w:t>and Key</w:t>
      </w:r>
      <w:r>
        <w:rPr>
          <w:rFonts w:ascii="Times New Roman" w:hAnsi="Times New Roman" w:cs="Times New Roman" w:eastAsia="Times New Roman" w:hint="default"/>
          <w:spacing w:val="-3"/>
        </w:rPr>
        <w:t> </w:t>
      </w:r>
      <w:r>
        <w:rPr>
          <w:rFonts w:ascii="Times New Roman" w:hAnsi="Times New Roman" w:cs="Times New Roman" w:eastAsia="Times New Roman" w:hint="default"/>
        </w:rPr>
        <w:t>Results)</w:t>
      </w:r>
      <w:r>
        <w:rPr/>
        <w:t>，提升各项管理工作。</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6"/>
        <w:jc w:val="left"/>
      </w:pPr>
      <w:r>
        <w:rPr/>
        <w:t>以区域为利润中心和经营主体，围绕利润中心配置资源，确保资源投入符合组织效益最大化的要求， 保持企业利益和个人利益一致；由自上而下拉式管理变为自下而上的推式管理，明确责权利，对各经营单 元进行业绩滚动式独立核算和管理运营，并划小管理推进项目经理责任制。</w:t>
      </w:r>
    </w:p>
    <w:p>
      <w:pPr>
        <w:pStyle w:val="BodyText"/>
        <w:spacing w:line="273" w:lineRule="auto"/>
        <w:ind w:right="1137" w:firstLine="426"/>
        <w:jc w:val="both"/>
      </w:pPr>
      <w:r>
        <w:rPr/>
        <w:t>加快项目验收回款，防范资金风险；</w:t>
      </w:r>
      <w:r>
        <w:rPr>
          <w:spacing w:val="58"/>
        </w:rPr>
        <w:t> </w:t>
      </w:r>
      <w:r>
        <w:rPr/>
        <w:t>动态预算管控，年度预算和季度滚动预算结合，以项目预算动</w:t>
      </w:r>
      <w:r>
        <w:rPr/>
        <w:t> 态调控交付部门预算。</w:t>
      </w:r>
    </w:p>
    <w:p>
      <w:pPr>
        <w:pStyle w:val="BodyText"/>
        <w:spacing w:line="273" w:lineRule="auto"/>
        <w:ind w:right="1133" w:firstLine="426"/>
        <w:jc w:val="both"/>
      </w:pPr>
      <w:r>
        <w:rPr>
          <w:spacing w:val="-1"/>
        </w:rPr>
        <w:t>以提高效率和核心竞争力为目标，鼓励技术团队研发可复用的软件产品。确保预研投入落实，保证核</w:t>
      </w:r>
      <w:r>
        <w:rPr/>
        <w:t> </w:t>
      </w:r>
      <w:r>
        <w:rPr>
          <w:spacing w:val="-1"/>
        </w:rPr>
        <w:t>心版本研发投入，降低合同交付过程中的定制化比例。逐步统一技术框架，提高交付效率和质量，提升客</w:t>
      </w:r>
      <w:r>
        <w:rPr>
          <w:spacing w:val="-86"/>
        </w:rPr>
        <w:t> </w:t>
      </w:r>
      <w:r>
        <w:rPr>
          <w:spacing w:val="-86"/>
        </w:rPr>
      </w:r>
      <w:r>
        <w:rPr/>
        <w:t>户满意度。</w:t>
      </w:r>
    </w:p>
    <w:p>
      <w:pPr>
        <w:pStyle w:val="BodyText"/>
        <w:spacing w:line="240" w:lineRule="auto"/>
        <w:ind w:left="580" w:right="0"/>
        <w:jc w:val="left"/>
      </w:pPr>
      <w:r>
        <w:rPr/>
        <w:t>以收入管理为目标，以商机、合同、项目一体化运营管理为抓手，逐步夯实公司业务运营管理体系。</w:t>
      </w:r>
    </w:p>
    <w:p>
      <w:pPr>
        <w:spacing w:line="240" w:lineRule="auto" w:before="9"/>
        <w:rPr>
          <w:rFonts w:ascii="宋体" w:hAnsi="宋体" w:cs="宋体" w:eastAsia="宋体" w:hint="default"/>
          <w:sz w:val="26"/>
          <w:szCs w:val="26"/>
        </w:rPr>
      </w:pPr>
    </w:p>
    <w:p>
      <w:pPr>
        <w:pStyle w:val="BodyText"/>
        <w:spacing w:line="240" w:lineRule="auto" w:before="0"/>
        <w:ind w:left="580" w:right="197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可能面对的风险及应对措施</w:t>
      </w:r>
    </w:p>
    <w:p>
      <w:pPr>
        <w:pStyle w:val="BodyText"/>
        <w:spacing w:line="256" w:lineRule="auto" w:before="21"/>
        <w:ind w:left="574" w:right="0" w:firstLine="6"/>
        <w:jc w:val="left"/>
      </w:pPr>
      <w:r>
        <w:rPr>
          <w:rFonts w:ascii="Times New Roman" w:hAnsi="Times New Roman" w:cs="Times New Roman" w:eastAsia="Times New Roman" w:hint="default"/>
        </w:rPr>
        <w:t>1</w:t>
      </w:r>
      <w:r>
        <w:rPr/>
        <w:t>、并购项目协同效应不达预期的风险 </w:t>
      </w:r>
      <w:r>
        <w:rPr>
          <w:spacing w:val="-1"/>
        </w:rPr>
        <w:t>公司上市后，为实现规模化增长，进行了一些同行业的并购活动。这些并购活动在带来全新技术能力</w:t>
      </w:r>
    </w:p>
    <w:p>
      <w:pPr>
        <w:pStyle w:val="BodyText"/>
        <w:spacing w:line="273" w:lineRule="auto" w:before="22"/>
        <w:ind w:right="1130"/>
        <w:jc w:val="both"/>
      </w:pPr>
      <w:r>
        <w:rPr>
          <w:spacing w:val="-1"/>
        </w:rPr>
        <w:t>和业务增长的同时，也带来企业文化和管理体系融合的挑战，由此带来的不确定性，可能影响预期的协同</w:t>
      </w:r>
      <w:r>
        <w:rPr>
          <w:spacing w:val="-83"/>
        </w:rPr>
        <w:t> </w:t>
      </w:r>
      <w:r>
        <w:rPr>
          <w:spacing w:val="-83"/>
        </w:rPr>
      </w:r>
      <w:r>
        <w:rPr>
          <w:spacing w:val="-1"/>
        </w:rPr>
        <w:t>效应的充分发挥，对业务经营造成一定影响。针对上述风险，公司以战略发展目标为指引，企业文化建设</w:t>
      </w:r>
      <w:r>
        <w:rPr>
          <w:spacing w:val="-86"/>
        </w:rPr>
        <w:t> </w:t>
      </w:r>
      <w:r>
        <w:rPr>
          <w:spacing w:val="-86"/>
        </w:rPr>
      </w:r>
      <w:r>
        <w:rPr>
          <w:spacing w:val="-5"/>
        </w:rPr>
        <w:t>为依托，体系横向合作为抓手，缩短融合时间消耗，最大限度降低重组负面影响，快速提升协同正面效益。</w:t>
      </w:r>
    </w:p>
    <w:p>
      <w:pPr>
        <w:pStyle w:val="BodyText"/>
        <w:spacing w:line="256" w:lineRule="auto"/>
        <w:ind w:left="574" w:right="0"/>
        <w:jc w:val="left"/>
      </w:pPr>
      <w:r>
        <w:rPr>
          <w:rFonts w:ascii="Times New Roman" w:hAnsi="Times New Roman" w:cs="Times New Roman" w:eastAsia="Times New Roman" w:hint="default"/>
        </w:rPr>
        <w:t>2</w:t>
      </w:r>
      <w:r>
        <w:rPr/>
        <w:t>、业务收入季度性波动的风险 公司主要客户为电信运营商、银行和政府部门等大型行业客户，由于其招投标流程、采购评审节奏、</w:t>
      </w:r>
    </w:p>
    <w:p>
      <w:pPr>
        <w:pStyle w:val="BodyText"/>
        <w:spacing w:line="273" w:lineRule="auto" w:before="22"/>
        <w:ind w:right="1131"/>
        <w:jc w:val="both"/>
      </w:pPr>
      <w:r>
        <w:rPr>
          <w:spacing w:val="-1"/>
        </w:rPr>
        <w:t>季度性投资预算控制和大型建设项目整体进度等因素影响，业务结算一般集中在下半年甚至第四季度，部</w:t>
      </w:r>
      <w:r>
        <w:rPr>
          <w:spacing w:val="-81"/>
        </w:rPr>
        <w:t> </w:t>
      </w:r>
      <w:r>
        <w:rPr>
          <w:spacing w:val="-81"/>
        </w:rPr>
      </w:r>
      <w:r>
        <w:rPr>
          <w:spacing w:val="-1"/>
        </w:rPr>
        <w:t>分中标项目存在不能按期结算的风险。而公司的季度费用支出以人力成本为主，相对固定，可能造成季度</w:t>
      </w:r>
      <w:r>
        <w:rPr>
          <w:spacing w:val="-83"/>
        </w:rPr>
        <w:t> </w:t>
      </w:r>
      <w:r>
        <w:rPr>
          <w:spacing w:val="-83"/>
        </w:rPr>
      </w:r>
      <w:r>
        <w:rPr/>
        <w:t>性经营业绩波动。</w:t>
      </w:r>
    </w:p>
    <w:p>
      <w:pPr>
        <w:pStyle w:val="BodyText"/>
        <w:spacing w:line="273" w:lineRule="auto"/>
        <w:ind w:right="1133" w:firstLine="420"/>
        <w:jc w:val="both"/>
      </w:pPr>
      <w:r>
        <w:rPr>
          <w:spacing w:val="-1"/>
        </w:rPr>
        <w:t>针对上述风险，公司以流程优化为抓手，划小成本核算单元，加强项目管理和商务流程管控，建立项</w:t>
      </w:r>
      <w:r>
        <w:rPr/>
        <w:t> </w:t>
      </w:r>
      <w:r>
        <w:rPr>
          <w:spacing w:val="-1"/>
        </w:rPr>
        <w:t>目实施质量保障体系，实施项目验收延迟预警制度，促进按时验收结算，提高运营效率，逐步降低业务收</w:t>
      </w:r>
      <w:r>
        <w:rPr>
          <w:spacing w:val="-86"/>
        </w:rPr>
        <w:t> </w:t>
      </w:r>
      <w:r>
        <w:rPr>
          <w:spacing w:val="-86"/>
        </w:rPr>
      </w:r>
      <w:r>
        <w:rPr/>
        <w:t>入季节性波动。</w:t>
      </w:r>
    </w:p>
    <w:p>
      <w:pPr>
        <w:pStyle w:val="BodyText"/>
        <w:spacing w:line="256" w:lineRule="auto"/>
        <w:ind w:left="580" w:right="1130"/>
        <w:jc w:val="left"/>
      </w:pPr>
      <w:r>
        <w:rPr>
          <w:rFonts w:ascii="Times New Roman" w:hAnsi="Times New Roman" w:cs="Times New Roman" w:eastAsia="Times New Roman" w:hint="default"/>
        </w:rPr>
        <w:t>3</w:t>
      </w:r>
      <w:r>
        <w:rPr/>
        <w:t>、核心人才流失风险 </w:t>
      </w:r>
      <w:r>
        <w:rPr>
          <w:spacing w:val="-1"/>
        </w:rPr>
        <w:t>公司向大数据和产业互联网应用方向转型，企业对于高端人才的需求日益增长，企业对高端人才的争</w:t>
      </w:r>
    </w:p>
    <w:p>
      <w:pPr>
        <w:pStyle w:val="BodyText"/>
        <w:spacing w:line="273" w:lineRule="auto" w:before="22"/>
        <w:ind w:right="0"/>
        <w:jc w:val="left"/>
      </w:pPr>
      <w:r>
        <w:rPr/>
        <w:t>夺已经超出行业范围，核心人员流失对于公司业务发展影响加大。</w:t>
      </w:r>
      <w:r>
        <w:rPr>
          <w:spacing w:val="-21"/>
        </w:rPr>
        <w:t> </w:t>
      </w:r>
      <w:r>
        <w:rPr/>
        <w:t>针对上述风险，公司已进行了以下几</w:t>
      </w:r>
      <w:r>
        <w:rPr/>
        <w:t> </w:t>
      </w:r>
      <w:r>
        <w:rPr>
          <w:spacing w:val="-1"/>
        </w:rPr>
        <w:t>个方面的管理改革：实施股权激励，核心骨干利益与企业利益绑定；组织架构扁平化，根据业务单元按照</w:t>
      </w:r>
      <w:r>
        <w:rPr>
          <w:spacing w:val="-86"/>
        </w:rPr>
        <w:t> </w:t>
      </w:r>
      <w:r>
        <w:rPr>
          <w:spacing w:val="-86"/>
        </w:rPr>
      </w:r>
      <w:r>
        <w:rPr>
          <w:spacing w:val="-1"/>
        </w:rPr>
        <w:t>子公司、事业部管理模式充分授权；加强岗位轮动，为员工搭建持续发展的平台，建立多层次员工关怀体</w:t>
      </w:r>
      <w:r>
        <w:rPr>
          <w:spacing w:val="-86"/>
        </w:rPr>
        <w:t> </w:t>
      </w:r>
      <w:r>
        <w:rPr>
          <w:spacing w:val="-86"/>
        </w:rPr>
      </w:r>
      <w:r>
        <w:rPr/>
        <w:t>系，重视员工学习与培养和培训。</w:t>
      </w:r>
    </w:p>
    <w:p>
      <w:pPr>
        <w:pStyle w:val="BodyText"/>
        <w:spacing w:line="256" w:lineRule="auto"/>
        <w:ind w:left="580" w:right="1130"/>
        <w:jc w:val="left"/>
      </w:pPr>
      <w:r>
        <w:rPr>
          <w:rFonts w:ascii="Times New Roman" w:hAnsi="Times New Roman" w:cs="Times New Roman" w:eastAsia="Times New Roman" w:hint="default"/>
        </w:rPr>
        <w:t>4</w:t>
      </w:r>
      <w:r>
        <w:rPr/>
        <w:t>、新客户资信风险 </w:t>
      </w:r>
      <w:r>
        <w:rPr>
          <w:spacing w:val="-1"/>
        </w:rPr>
        <w:t>近年来公司积极拓展产业互联网和大数据行业应用市场，行业覆盖日益扩大，客户群体迅速增长，部</w:t>
      </w:r>
    </w:p>
    <w:p>
      <w:pPr>
        <w:pStyle w:val="BodyText"/>
        <w:spacing w:line="273" w:lineRule="auto" w:before="22"/>
        <w:ind w:right="1131"/>
        <w:jc w:val="both"/>
      </w:pPr>
      <w:r>
        <w:rPr>
          <w:spacing w:val="-1"/>
        </w:rPr>
        <w:t>分新增客户的信用管理日渐复杂，对商务回款等合同执行环节带来新的压力。针对上述风险，公司主要通</w:t>
      </w:r>
      <w:r>
        <w:rPr>
          <w:spacing w:val="-83"/>
        </w:rPr>
        <w:t> </w:t>
      </w:r>
      <w:r>
        <w:rPr>
          <w:spacing w:val="-83"/>
        </w:rPr>
      </w:r>
      <w:r>
        <w:rPr>
          <w:spacing w:val="-1"/>
        </w:rPr>
        <w:t>过客户资信调查、合同品质评审和商务流程管控，及时甄别信用不良客户，实施信用管控，控制和降低新</w:t>
      </w:r>
      <w:r>
        <w:rPr>
          <w:spacing w:val="-86"/>
        </w:rPr>
        <w:t> </w:t>
      </w:r>
      <w:r>
        <w:rPr>
          <w:spacing w:val="-86"/>
        </w:rPr>
      </w:r>
      <w:r>
        <w:rPr/>
        <w:t>客户资信风险。</w:t>
      </w:r>
    </w:p>
    <w:p>
      <w:pPr>
        <w:pStyle w:val="BodyText"/>
        <w:spacing w:line="256" w:lineRule="auto"/>
        <w:ind w:left="580" w:right="1119"/>
        <w:jc w:val="left"/>
      </w:pPr>
      <w:r>
        <w:rPr>
          <w:rFonts w:ascii="Times New Roman" w:hAnsi="Times New Roman" w:cs="Times New Roman" w:eastAsia="Times New Roman" w:hint="default"/>
        </w:rPr>
        <w:t>5</w:t>
      </w:r>
      <w:r>
        <w:rPr/>
        <w:t>、人工智能领域竞争加剧风险 </w:t>
      </w:r>
      <w:r>
        <w:rPr>
          <w:spacing w:val="-1"/>
        </w:rPr>
        <w:t>随着大数据技术、</w:t>
      </w:r>
      <w:r>
        <w:rPr>
          <w:rFonts w:ascii="Times New Roman" w:hAnsi="Times New Roman" w:cs="Times New Roman" w:eastAsia="Times New Roman" w:hint="default"/>
          <w:spacing w:val="-1"/>
        </w:rPr>
        <w:t>AI</w:t>
      </w:r>
      <w:r>
        <w:rPr>
          <w:spacing w:val="-1"/>
        </w:rPr>
        <w:t>技术和云化技术的快速演变发展，行业应用需求持续增长，市场参与者不断加大</w:t>
      </w:r>
    </w:p>
    <w:p>
      <w:pPr>
        <w:pStyle w:val="BodyText"/>
        <w:spacing w:line="273" w:lineRule="auto" w:before="5"/>
        <w:ind w:right="1131"/>
        <w:jc w:val="both"/>
      </w:pPr>
      <w:r>
        <w:rPr>
          <w:spacing w:val="-1"/>
        </w:rPr>
        <w:t>技术研发及市场开拓的投入，高端数据科学和人工智能研发人才成为各企业激烈争夺的稀缺资源，市场竞</w:t>
      </w:r>
      <w:r>
        <w:rPr>
          <w:spacing w:val="-81"/>
        </w:rPr>
        <w:t> </w:t>
      </w:r>
      <w:r>
        <w:rPr>
          <w:spacing w:val="-81"/>
        </w:rPr>
      </w:r>
      <w:r>
        <w:rPr>
          <w:spacing w:val="-1"/>
        </w:rPr>
        <w:t>争日益加剧，可能演变为同质化竞争和价格战，甚至可能导致零和博弈，对公司的经营业绩造成冲击。针</w:t>
      </w:r>
      <w:r>
        <w:rPr>
          <w:spacing w:val="-85"/>
        </w:rPr>
        <w:t> </w:t>
      </w:r>
      <w:r>
        <w:rPr>
          <w:spacing w:val="-85"/>
        </w:rPr>
      </w:r>
      <w:r>
        <w:rPr>
          <w:spacing w:val="-1"/>
        </w:rPr>
        <w:t>对上述风险，公司通过持之以恒的技术创新不断提升企业的核心竞争力，充分发挥行业积累深厚的巨大优</w:t>
      </w:r>
      <w:r>
        <w:rPr>
          <w:spacing w:val="-81"/>
        </w:rPr>
        <w:t> </w:t>
      </w:r>
      <w:r>
        <w:rPr>
          <w:spacing w:val="-81"/>
        </w:rPr>
      </w:r>
      <w:r>
        <w:rPr/>
        <w:t>势，打造差异化的解决方案，健全贴身敏捷的服务体系，确保经营业绩的可持续增长。</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1972"/>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37"/>
              <w:jc w:val="left"/>
              <w:rPr>
                <w:rFonts w:ascii="宋体" w:hAnsi="宋体" w:cs="宋体" w:eastAsia="宋体" w:hint="default"/>
                <w:sz w:val="18"/>
                <w:szCs w:val="18"/>
              </w:rPr>
            </w:pPr>
            <w:r>
              <w:rPr>
                <w:rFonts w:ascii="宋体" w:hAnsi="宋体" w:cs="宋体" w:eastAsia="宋体" w:hint="default"/>
                <w:sz w:val="18"/>
                <w:szCs w:val="18"/>
              </w:rPr>
              <w:t>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栏目（编号：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2018-01</w:t>
            </w:r>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37"/>
              <w:jc w:val="left"/>
              <w:rPr>
                <w:rFonts w:ascii="宋体" w:hAnsi="宋体" w:cs="宋体" w:eastAsia="宋体" w:hint="default"/>
                <w:sz w:val="18"/>
                <w:szCs w:val="18"/>
              </w:rPr>
            </w:pPr>
            <w:r>
              <w:rPr>
                <w:rFonts w:ascii="宋体" w:hAnsi="宋体" w:cs="宋体" w:eastAsia="宋体" w:hint="default"/>
                <w:sz w:val="18"/>
                <w:szCs w:val="18"/>
              </w:rPr>
              <w:t>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栏目（编号：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w:t>
            </w:r>
            <w:r>
              <w:rPr>
                <w:rFonts w:ascii="宋体" w:hAnsi="宋体" w:cs="宋体" w:eastAsia="宋体" w:hint="default"/>
                <w:sz w:val="18"/>
                <w:szCs w:val="18"/>
              </w:rPr>
              <w:t>）</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37"/>
              <w:jc w:val="left"/>
              <w:rPr>
                <w:rFonts w:ascii="宋体" w:hAnsi="宋体" w:cs="宋体" w:eastAsia="宋体" w:hint="default"/>
                <w:sz w:val="18"/>
                <w:szCs w:val="18"/>
              </w:rPr>
            </w:pPr>
            <w:r>
              <w:rPr>
                <w:rFonts w:ascii="宋体" w:hAnsi="宋体" w:cs="宋体" w:eastAsia="宋体" w:hint="default"/>
                <w:sz w:val="18"/>
                <w:szCs w:val="18"/>
              </w:rPr>
              <w:t>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栏目（编号：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2018-03</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630.179993pt;width:290.95pt;height:20.8pt;mso-position-horizontal-relative:page;mso-position-vertical-relative:page;z-index:-1440904" coordorigin="4857,12604" coordsize="5819,416">
            <v:group style="position:absolute;left:4868;top:12615;width:2;height:393" coordorigin="4868,12615" coordsize="2,393">
              <v:shape style="position:absolute;left:4868;top:12615;width:2;height:393" coordorigin="4868,12615" coordsize="0,393" path="m4868,12615l4868,13008e" filled="false" stroked="true" strokeweight="1.160pt" strokecolor="#ffffff">
                <v:path arrowok="t"/>
              </v:shape>
            </v:group>
            <v:group style="position:absolute;left:4880;top:12615;width:5796;height:393" coordorigin="4880,12615" coordsize="5796,393">
              <v:shape style="position:absolute;left:4880;top:12615;width:5796;height:393" coordorigin="4880,12615" coordsize="5796,393" path="m4880,13008l10675,13008,10675,12615,4880,12615,4880,1300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1972"/>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7"/>
          <w:sz w:val="18"/>
          <w:szCs w:val="18"/>
        </w:rPr>
        <w:t> </w:t>
      </w:r>
      <w:r>
        <w:rPr>
          <w:rFonts w:ascii="宋体" w:hAnsi="宋体" w:cs="宋体" w:eastAsia="宋体" w:hint="default"/>
          <w:spacing w:val="8"/>
          <w:sz w:val="18"/>
          <w:szCs w:val="18"/>
        </w:rPr>
        <w:t>日召开的</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27"/>
          <w:sz w:val="18"/>
          <w:szCs w:val="18"/>
        </w:rPr>
        <w:t> </w:t>
      </w:r>
      <w:r>
        <w:rPr>
          <w:rFonts w:ascii="宋体" w:hAnsi="宋体" w:cs="宋体" w:eastAsia="宋体" w:hint="default"/>
          <w:spacing w:val="14"/>
          <w:sz w:val="18"/>
          <w:szCs w:val="18"/>
        </w:rPr>
        <w:t>年年度股东大会审议通过</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9"/>
          <w:sz w:val="18"/>
          <w:szCs w:val="18"/>
        </w:rPr>
        <w:t> </w:t>
      </w:r>
      <w:r>
        <w:rPr>
          <w:rFonts w:ascii="宋体" w:hAnsi="宋体" w:cs="宋体" w:eastAsia="宋体" w:hint="default"/>
          <w:spacing w:val="14"/>
          <w:sz w:val="18"/>
          <w:szCs w:val="18"/>
        </w:rPr>
        <w:t>年年度权益分派方案，</w:t>
      </w:r>
      <w:r>
        <w:rPr>
          <w:rFonts w:ascii="宋体" w:hAnsi="宋体" w:cs="宋体" w:eastAsia="宋体" w:hint="default"/>
          <w:spacing w:val="-74"/>
          <w:sz w:val="18"/>
          <w:szCs w:val="18"/>
        </w:rPr>
        <w:t> </w:t>
      </w:r>
      <w:r>
        <w:rPr>
          <w:rFonts w:ascii="宋体" w:hAnsi="宋体" w:cs="宋体" w:eastAsia="宋体" w:hint="default"/>
          <w:spacing w:val="11"/>
          <w:sz w:val="18"/>
          <w:szCs w:val="18"/>
        </w:rPr>
        <w:t>以公司</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9"/>
          <w:sz w:val="18"/>
          <w:szCs w:val="18"/>
        </w:rPr>
        <w:t> </w:t>
      </w:r>
      <w:r>
        <w:rPr>
          <w:rFonts w:ascii="宋体" w:hAnsi="宋体" w:cs="宋体" w:eastAsia="宋体" w:hint="default"/>
          <w:spacing w:val="12"/>
          <w:sz w:val="18"/>
          <w:szCs w:val="18"/>
        </w:rPr>
        <w:t>日总股本</w:t>
      </w:r>
      <w:r>
        <w:rPr>
          <w:rFonts w:ascii="宋体" w:hAnsi="宋体" w:cs="宋体" w:eastAsia="宋体" w:hint="default"/>
          <w:spacing w:val="-74"/>
          <w:sz w:val="18"/>
          <w:szCs w:val="18"/>
        </w:rPr>
        <w:t> </w:t>
      </w:r>
      <w:r>
        <w:rPr>
          <w:rFonts w:ascii="宋体" w:hAnsi="宋体" w:cs="宋体" w:eastAsia="宋体" w:hint="default"/>
          <w:sz w:val="18"/>
          <w:szCs w:val="18"/>
        </w:rPr>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399,737,270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w:t>
      </w:r>
      <w:r>
        <w:rPr>
          <w:rFonts w:ascii="Times New Roman" w:hAnsi="Times New Roman" w:cs="Times New Roman" w:eastAsia="Times New Roman" w:hint="default"/>
          <w:sz w:val="18"/>
          <w:szCs w:val="18"/>
        </w:rPr>
        <w:t>0.4</w:t>
      </w:r>
      <w:r>
        <w:rPr>
          <w:rFonts w:ascii="宋体" w:hAnsi="宋体" w:cs="宋体" w:eastAsia="宋体" w:hint="default"/>
          <w:sz w:val="18"/>
          <w:szCs w:val="18"/>
        </w:rPr>
        <w:t>元人民币（含税）。因公司限制性股票激励计划</w:t>
      </w:r>
      <w:r>
        <w:rPr>
          <w:rFonts w:ascii="Times New Roman" w:hAnsi="Times New Roman" w:cs="Times New Roman" w:eastAsia="Times New Roman" w:hint="default"/>
          <w:sz w:val="18"/>
          <w:szCs w:val="18"/>
        </w:rPr>
        <w:t>37</w:t>
      </w:r>
      <w:r>
        <w:rPr>
          <w:rFonts w:ascii="宋体" w:hAnsi="宋体" w:cs="宋体" w:eastAsia="宋体" w:hint="default"/>
          <w:sz w:val="18"/>
          <w:szCs w:val="18"/>
        </w:rPr>
        <w:t>名激励对象共</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653,410</w:t>
      </w:r>
      <w:r>
        <w:rPr>
          <w:rFonts w:ascii="宋体" w:hAnsi="宋体" w:cs="宋体" w:eastAsia="宋体" w:hint="default"/>
          <w:sz w:val="18"/>
          <w:szCs w:val="18"/>
        </w:rPr>
        <w:t>股于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日在中国证券登记结算有限责任公司深圳分公司完成回购注销，使公司股本从</w:t>
      </w:r>
      <w:r>
        <w:rPr>
          <w:rFonts w:ascii="Times New Roman" w:hAnsi="Times New Roman" w:cs="Times New Roman" w:eastAsia="Times New Roman" w:hint="default"/>
          <w:sz w:val="18"/>
          <w:szCs w:val="18"/>
        </w:rPr>
        <w:t>399,737,270</w:t>
      </w:r>
      <w:r>
        <w:rPr>
          <w:rFonts w:ascii="宋体" w:hAnsi="宋体" w:cs="宋体" w:eastAsia="宋体" w:hint="default"/>
          <w:sz w:val="18"/>
          <w:szCs w:val="18"/>
        </w:rPr>
        <w:t>股减少至</w:t>
      </w:r>
    </w:p>
    <w:p>
      <w:pPr>
        <w:spacing w:line="300" w:lineRule="auto"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399,083,860</w:t>
      </w:r>
      <w:r>
        <w:rPr>
          <w:rFonts w:ascii="宋体" w:hAnsi="宋体" w:cs="宋体" w:eastAsia="宋体" w:hint="default"/>
          <w:spacing w:val="-2"/>
          <w:sz w:val="18"/>
          <w:szCs w:val="18"/>
        </w:rPr>
        <w:t>股，故将利润分配方案在分配的现金红利金额不变的基础上，对</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年度利润分配方案进行调整为：以公司总股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本</w:t>
      </w:r>
      <w:r>
        <w:rPr>
          <w:rFonts w:ascii="Times New Roman" w:hAnsi="Times New Roman" w:cs="Times New Roman" w:eastAsia="Times New Roman" w:hint="default"/>
          <w:sz w:val="18"/>
          <w:szCs w:val="18"/>
        </w:rPr>
        <w:t>399,083,860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w:t>
      </w:r>
      <w:r>
        <w:rPr>
          <w:rFonts w:ascii="Times New Roman" w:hAnsi="Times New Roman" w:cs="Times New Roman" w:eastAsia="Times New Roman" w:hint="default"/>
          <w:sz w:val="18"/>
          <w:szCs w:val="18"/>
        </w:rPr>
        <w:t>0.400654</w:t>
      </w:r>
      <w:r>
        <w:rPr>
          <w:rFonts w:ascii="宋体" w:hAnsi="宋体" w:cs="宋体" w:eastAsia="宋体" w:hint="default"/>
          <w:sz w:val="18"/>
          <w:szCs w:val="18"/>
        </w:rPr>
        <w:t>元人民币（含税）。</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3"/>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4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399,083,860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23,945,031.60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23,945,031.60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505,777,642.88</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0" w:right="1140" w:firstLine="0"/>
        <w:jc w:val="right"/>
        <w:rPr>
          <w:rFonts w:ascii="宋体" w:hAnsi="宋体" w:cs="宋体" w:eastAsia="宋体" w:hint="default"/>
          <w:sz w:val="18"/>
          <w:szCs w:val="18"/>
        </w:rPr>
      </w:pPr>
      <w:r>
        <w:rPr/>
        <w:pict>
          <v:shape style="position:absolute;margin-left:56.459999pt;margin-top:-20.948271pt;width:479.2pt;height:56.3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年度权益分配预案为</w:t>
                        </w:r>
                        <w:r>
                          <w:rPr>
                            <w:rFonts w:ascii="宋体" w:hAnsi="宋体" w:cs="宋体" w:eastAsia="宋体" w:hint="default"/>
                            <w:spacing w:val="-10"/>
                            <w:sz w:val="18"/>
                            <w:szCs w:val="18"/>
                          </w:rPr>
                          <w:t>：</w:t>
                        </w:r>
                        <w:r>
                          <w:rPr>
                            <w:rFonts w:ascii="宋体" w:hAnsi="宋体" w:cs="宋体" w:eastAsia="宋体" w:hint="default"/>
                            <w:sz w:val="18"/>
                            <w:szCs w:val="18"/>
                          </w:rPr>
                          <w:t>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399,083,860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w:t>
                        </w:r>
                        <w:r>
                          <w:rPr>
                            <w:rFonts w:ascii="宋体" w:hAnsi="宋体" w:cs="宋体" w:eastAsia="宋体" w:hint="default"/>
                            <w:spacing w:val="-10"/>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10"/>
                            <w:sz w:val="18"/>
                            <w:szCs w:val="18"/>
                          </w:rPr>
                          <w:t>币</w:t>
                        </w:r>
                        <w:r>
                          <w:rPr>
                            <w:rFonts w:ascii="宋体" w:hAnsi="宋体" w:cs="宋体" w:eastAsia="宋体" w:hint="default"/>
                            <w:sz w:val="18"/>
                            <w:szCs w:val="18"/>
                          </w:rPr>
                          <w:t>（含</w:t>
                        </w:r>
                        <w:r>
                          <w:rPr>
                            <w:rFonts w:ascii="宋体" w:hAnsi="宋体" w:cs="宋体" w:eastAsia="宋体" w:hint="default"/>
                            <w:spacing w:val="1"/>
                            <w:sz w:val="18"/>
                            <w:szCs w:val="18"/>
                          </w:rPr>
                          <w:t>税</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以资本公积金转增股本，向全体股东每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年度权益分配预案为：以公司总股本</w:t>
      </w:r>
      <w:r>
        <w:rPr>
          <w:rFonts w:ascii="Times New Roman" w:hAnsi="Times New Roman" w:cs="Times New Roman" w:eastAsia="Times New Roman" w:hint="default"/>
          <w:sz w:val="18"/>
          <w:szCs w:val="18"/>
        </w:rPr>
        <w:t>399,083,860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w:t>
      </w:r>
      <w:r>
        <w:rPr>
          <w:rFonts w:ascii="Times New Roman" w:hAnsi="Times New Roman" w:cs="Times New Roman" w:eastAsia="Times New Roman" w:hint="default"/>
          <w:sz w:val="18"/>
          <w:szCs w:val="18"/>
        </w:rPr>
        <w:t>0.6</w:t>
      </w:r>
      <w:r>
        <w:rPr>
          <w:rFonts w:ascii="宋体" w:hAnsi="宋体" w:cs="宋体" w:eastAsia="宋体" w:hint="default"/>
          <w:sz w:val="18"/>
          <w:szCs w:val="18"/>
        </w:rPr>
        <w:t>元人民币（含税），</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以资本公积金转增股本，向全体股东每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6</w:t>
      </w:r>
      <w:r>
        <w:rPr>
          <w:rFonts w:ascii="宋体" w:hAnsi="宋体" w:cs="宋体" w:eastAsia="宋体" w:hint="default"/>
          <w:sz w:val="18"/>
          <w:szCs w:val="18"/>
        </w:rPr>
        <w:t>股。</w:t>
      </w:r>
    </w:p>
    <w:p>
      <w:pPr>
        <w:spacing w:before="3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年度权益分配预案为：以公司总股本</w:t>
      </w:r>
      <w:r>
        <w:rPr>
          <w:rFonts w:ascii="Times New Roman" w:hAnsi="Times New Roman" w:cs="Times New Roman" w:eastAsia="Times New Roman" w:hint="default"/>
          <w:sz w:val="18"/>
          <w:szCs w:val="18"/>
        </w:rPr>
        <w:t>399,737,270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w:t>
      </w:r>
      <w:r>
        <w:rPr>
          <w:rFonts w:ascii="Times New Roman" w:hAnsi="Times New Roman" w:cs="Times New Roman" w:eastAsia="Times New Roman" w:hint="default"/>
          <w:sz w:val="18"/>
          <w:szCs w:val="18"/>
        </w:rPr>
        <w:t>0.4</w:t>
      </w:r>
      <w:r>
        <w:rPr>
          <w:rFonts w:ascii="宋体" w:hAnsi="宋体" w:cs="宋体" w:eastAsia="宋体" w:hint="default"/>
          <w:sz w:val="18"/>
          <w:szCs w:val="18"/>
        </w:rPr>
        <w:t>元人民币（含税）。</w:t>
      </w:r>
    </w:p>
    <w:p>
      <w:pPr>
        <w:spacing w:line="302" w:lineRule="auto" w:before="102"/>
        <w:ind w:left="154" w:right="116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年度权益分配方案为：以公司总股本</w:t>
      </w:r>
      <w:r>
        <w:rPr>
          <w:rFonts w:ascii="Times New Roman" w:hAnsi="Times New Roman" w:cs="Times New Roman" w:eastAsia="Times New Roman" w:hint="default"/>
          <w:sz w:val="18"/>
          <w:szCs w:val="18"/>
        </w:rPr>
        <w:t>357,733,482</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w:t>
      </w:r>
      <w:r>
        <w:rPr>
          <w:rFonts w:ascii="Times New Roman" w:hAnsi="Times New Roman" w:cs="Times New Roman" w:eastAsia="Times New Roman" w:hint="default"/>
          <w:sz w:val="18"/>
          <w:szCs w:val="18"/>
        </w:rPr>
        <w:t>0.350217</w:t>
      </w:r>
      <w:r>
        <w:rPr>
          <w:rFonts w:ascii="宋体" w:hAnsi="宋体" w:cs="宋体" w:eastAsia="宋体" w:hint="default"/>
          <w:sz w:val="18"/>
          <w:szCs w:val="18"/>
        </w:rPr>
        <w:t>元人民币（含 税）。</w:t>
      </w:r>
      <w:r>
        <w:rPr>
          <w:rFonts w:ascii="Times New Roman" w:hAnsi="Times New Roman" w:cs="Times New Roman" w:eastAsia="Times New Roman" w:hint="default"/>
          <w:sz w:val="18"/>
          <w:szCs w:val="18"/>
        </w:rPr>
        <w:t>s</w:t>
      </w:r>
    </w:p>
    <w:p>
      <w:pPr>
        <w:spacing w:before="50"/>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23,945,031.60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215,542,694.97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3"/>
                <w:sz w:val="18"/>
              </w:rPr>
              <w:t>11.11%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23,945,031.60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15,989,344.30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155,932,941.08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10.25%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15,989,344.30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12,528,441.87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114,903,708.11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10.90%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12,528,441.87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10.90%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1972"/>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41"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 w:right="21"/>
              <w:jc w:val="left"/>
              <w:rPr>
                <w:rFonts w:ascii="宋体" w:hAnsi="宋体" w:cs="宋体" w:eastAsia="宋体" w:hint="default"/>
                <w:sz w:val="18"/>
                <w:szCs w:val="18"/>
              </w:rPr>
            </w:pPr>
            <w:r>
              <w:rPr>
                <w:rFonts w:ascii="宋体" w:hAnsi="宋体" w:cs="宋体" w:eastAsia="宋体" w:hint="default"/>
                <w:sz w:val="18"/>
                <w:szCs w:val="18"/>
              </w:rPr>
              <w:t>上市公司董 事、高管的承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91"/>
              <w:jc w:val="both"/>
              <w:rPr>
                <w:rFonts w:ascii="宋体" w:hAnsi="宋体" w:cs="宋体" w:eastAsia="宋体" w:hint="default"/>
                <w:sz w:val="18"/>
                <w:szCs w:val="18"/>
              </w:rPr>
            </w:pPr>
            <w:r>
              <w:rPr>
                <w:rFonts w:ascii="宋体" w:hAnsi="宋体" w:cs="宋体" w:eastAsia="宋体" w:hint="default"/>
                <w:sz w:val="18"/>
                <w:szCs w:val="18"/>
              </w:rPr>
              <w:t>对发行股份 支付现金购 买资产并募 集配套资金 摊薄即期回 报措施的承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71"/>
              <w:ind w:left="22" w:right="12"/>
              <w:jc w:val="left"/>
              <w:rPr>
                <w:rFonts w:ascii="宋体" w:hAnsi="宋体" w:cs="宋体" w:eastAsia="宋体" w:hint="default"/>
                <w:sz w:val="18"/>
                <w:szCs w:val="18"/>
              </w:rPr>
            </w:pPr>
            <w:r>
              <w:rPr>
                <w:rFonts w:ascii="宋体" w:hAnsi="宋体" w:cs="宋体" w:eastAsia="宋体" w:hint="default"/>
                <w:sz w:val="18"/>
                <w:szCs w:val="18"/>
              </w:rPr>
              <w:t>公司的董事、 高级管理人 员将忠实、勤 勉地履行职 责，维护公司 和全体股东 的合法权益。</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9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94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6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公司董事、高 级管理人员 对公司本次 重组非公开 发行股票可 能涉及的防 范风险保障 措施能够得 到切实履行 作出如下承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、不无 偿或以不公 平条件向其 他单位或者 个人输送利 益，也不采用 其他方式损 害公司利益。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、对董事和 高级管理人 员的职务消 费行为进行 约束。</w:t>
            </w:r>
            <w:r>
              <w:rPr>
                <w:rFonts w:ascii="Times New Roman" w:hAnsi="Times New Roman" w:cs="Times New Roman" w:eastAsia="Times New Roman" w:hint="default"/>
                <w:sz w:val="18"/>
                <w:szCs w:val="18"/>
              </w:rPr>
              <w:t>3</w:t>
            </w:r>
            <w:r>
              <w:rPr>
                <w:rFonts w:ascii="宋体" w:hAnsi="宋体" w:cs="宋体" w:eastAsia="宋体" w:hint="default"/>
                <w:sz w:val="18"/>
                <w:szCs w:val="18"/>
              </w:rPr>
              <w:t>、不 动用公司资 产从事与其 履行职责无 关的投资、消 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 由董事会或 薪酬委员会 制定的薪酬 制度与保障 措施的执行 情况相挂钩。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上市公司收 购维恩贝特 剩余中小股 东股份的承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本次交易完 </w:t>
            </w:r>
            <w:r>
              <w:rPr>
                <w:rFonts w:ascii="宋体" w:hAnsi="宋体" w:cs="宋体" w:eastAsia="宋体" w:hint="default"/>
                <w:spacing w:val="-2"/>
                <w:sz w:val="18"/>
                <w:szCs w:val="18"/>
              </w:rPr>
              <w:t>成后，本公司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承诺一年内 将购买维恩 贝特剩余小 股东所持有 的维恩贝特 </w:t>
            </w:r>
            <w:r>
              <w:rPr>
                <w:rFonts w:ascii="宋体" w:hAnsi="宋体" w:cs="宋体" w:eastAsia="宋体" w:hint="default"/>
                <w:spacing w:val="-2"/>
                <w:sz w:val="18"/>
                <w:szCs w:val="18"/>
              </w:rPr>
              <w:t>的股权，购买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股（已经除权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86"/>
              <w:jc w:val="left"/>
              <w:rPr>
                <w:rFonts w:ascii="宋体" w:hAnsi="宋体" w:cs="宋体" w:eastAsia="宋体" w:hint="default"/>
                <w:sz w:val="18"/>
                <w:szCs w:val="18"/>
              </w:rPr>
            </w:pPr>
            <w:r>
              <w:rPr>
                <w:rFonts w:ascii="宋体" w:hAnsi="宋体" w:cs="宋体" w:eastAsia="宋体" w:hint="default"/>
                <w:sz w:val="18"/>
                <w:szCs w:val="18"/>
              </w:rPr>
              <w:t>交易完成后 一年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345.3pt;mso-position-horizontal-relative:page;mso-position-vertical-relative:page;z-index:-1440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pacing w:val="-15"/>
                <w:sz w:val="18"/>
                <w:szCs w:val="18"/>
              </w:rPr>
              <w:t>除息计算）。</w:t>
            </w:r>
            <w:r>
              <w:rPr>
                <w:rFonts w:ascii="宋体" w:hAnsi="宋体" w:cs="宋体" w:eastAsia="宋体" w:hint="default"/>
                <w:sz w:val="18"/>
                <w:szCs w:val="18"/>
              </w:rPr>
              <w:t> 前述剩余小 股东为除（</w:t>
            </w:r>
            <w:r>
              <w:rPr>
                <w:rFonts w:ascii="Times New Roman" w:hAnsi="Times New Roman" w:cs="Times New Roman" w:eastAsia="Times New Roman" w:hint="default"/>
                <w:sz w:val="18"/>
                <w:szCs w:val="18"/>
              </w:rPr>
              <w:t>1 </w:t>
            </w:r>
            <w:r>
              <w:rPr>
                <w:rFonts w:ascii="宋体" w:hAnsi="宋体" w:cs="宋体" w:eastAsia="宋体" w:hint="default"/>
                <w:sz w:val="18"/>
                <w:szCs w:val="18"/>
              </w:rPr>
              <w:t>陈兵、魏然、 谢明、黄超民 及郭伟杰；</w:t>
            </w:r>
          </w:p>
          <w:p>
            <w:pPr>
              <w:pStyle w:val="TableParagraph"/>
              <w:spacing w:line="309" w:lineRule="auto" w:before="20"/>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）李自英 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 人股东及深 圳市保腾创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深圳保 腾丰享证券 投资基金等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名机构股 </w:t>
            </w:r>
            <w:r>
              <w:rPr>
                <w:rFonts w:ascii="宋体" w:hAnsi="宋体" w:cs="宋体" w:eastAsia="宋体" w:hint="default"/>
                <w:spacing w:val="-15"/>
                <w:sz w:val="18"/>
                <w:szCs w:val="18"/>
              </w:rPr>
              <w:t>东；（</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）已经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与陈兵签订</w:t>
            </w:r>
          </w:p>
          <w:p>
            <w:pPr>
              <w:pStyle w:val="TableParagraph"/>
              <w:spacing w:line="319" w:lineRule="auto" w:before="24"/>
              <w:ind w:left="22" w:right="21"/>
              <w:jc w:val="left"/>
              <w:rPr>
                <w:rFonts w:ascii="宋体" w:hAnsi="宋体" w:cs="宋体" w:eastAsia="宋体" w:hint="default"/>
                <w:sz w:val="18"/>
                <w:szCs w:val="18"/>
              </w:rPr>
            </w:pPr>
            <w:r>
              <w:rPr>
                <w:rFonts w:ascii="宋体" w:hAnsi="宋体" w:cs="宋体" w:eastAsia="宋体" w:hint="default"/>
                <w:sz w:val="18"/>
                <w:szCs w:val="18"/>
              </w:rPr>
              <w:t>《股份转让 </w:t>
            </w:r>
            <w:r>
              <w:rPr>
                <w:rFonts w:ascii="宋体" w:hAnsi="宋体" w:cs="宋体" w:eastAsia="宋体" w:hint="default"/>
                <w:spacing w:val="-2"/>
                <w:sz w:val="18"/>
                <w:szCs w:val="18"/>
              </w:rPr>
              <w:t>协议》的中小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股东之外的 维恩贝特小 股东。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690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55.85pt;height:345.3pt;mso-position-horizontal-relative:char;mso-position-vertical-relative:line" coordorigin="0,0" coordsize="1117,6906">
                  <v:group style="position:absolute;left:0;top:0;width:1117;height:6906" coordorigin="0,0" coordsize="1117,6906">
                    <v:shape style="position:absolute;left:0;top:0;width:1117;height:6906" coordorigin="0,0" coordsize="1117,6906" path="m0,6905l1116,6905,1116,0,0,0,0,6905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02" w:lineRule="auto"/>
              <w:ind w:left="23" w:right="21"/>
              <w:jc w:val="left"/>
              <w:rPr>
                <w:rFonts w:ascii="宋体" w:hAnsi="宋体" w:cs="宋体" w:eastAsia="宋体" w:hint="default"/>
                <w:sz w:val="18"/>
                <w:szCs w:val="18"/>
              </w:rPr>
            </w:pPr>
            <w:r>
              <w:rPr>
                <w:rFonts w:ascii="宋体" w:hAnsi="宋体" w:cs="宋体" w:eastAsia="宋体" w:hint="default"/>
                <w:sz w:val="18"/>
                <w:szCs w:val="18"/>
              </w:rPr>
              <w:t>陈兵等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名业 绩承诺方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减少关联交 易的承诺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、本次发行 股份及支付 现金购买资 </w:t>
            </w:r>
            <w:r>
              <w:rPr>
                <w:rFonts w:ascii="宋体" w:hAnsi="宋体" w:cs="宋体" w:eastAsia="宋体" w:hint="default"/>
                <w:spacing w:val="-2"/>
                <w:sz w:val="18"/>
                <w:szCs w:val="18"/>
              </w:rPr>
              <w:t>产完成后，本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人及本人对 外投资的企 </w:t>
            </w:r>
            <w:r>
              <w:rPr>
                <w:rFonts w:ascii="宋体" w:hAnsi="宋体" w:cs="宋体" w:eastAsia="宋体" w:hint="default"/>
                <w:spacing w:val="-2"/>
                <w:sz w:val="18"/>
                <w:szCs w:val="18"/>
              </w:rPr>
              <w:t>业（包括但不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限于直接持 </w:t>
            </w:r>
            <w:r>
              <w:rPr>
                <w:rFonts w:ascii="宋体" w:hAnsi="宋体" w:cs="宋体" w:eastAsia="宋体" w:hint="default"/>
                <w:spacing w:val="-2"/>
                <w:sz w:val="18"/>
                <w:szCs w:val="18"/>
              </w:rPr>
              <w:t>股、间接持股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或委托持 </w:t>
            </w:r>
            <w:r>
              <w:rPr>
                <w:rFonts w:ascii="宋体" w:hAnsi="宋体" w:cs="宋体" w:eastAsia="宋体" w:hint="default"/>
                <w:spacing w:val="-15"/>
                <w:sz w:val="18"/>
                <w:szCs w:val="18"/>
              </w:rPr>
              <w:t>股）、实际控</w:t>
            </w:r>
            <w:r>
              <w:rPr>
                <w:rFonts w:ascii="宋体" w:hAnsi="宋体" w:cs="宋体" w:eastAsia="宋体" w:hint="default"/>
                <w:sz w:val="18"/>
                <w:szCs w:val="18"/>
              </w:rPr>
              <w:t> 制或担任董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人员的企业 将尽可能减 少与天源迪 科及其下属 </w:t>
            </w:r>
            <w:r>
              <w:rPr>
                <w:rFonts w:ascii="宋体" w:hAnsi="宋体" w:cs="宋体" w:eastAsia="宋体" w:hint="default"/>
                <w:spacing w:val="-2"/>
                <w:sz w:val="18"/>
                <w:szCs w:val="18"/>
              </w:rPr>
              <w:t>公司（包括但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不限于维恩 </w:t>
            </w:r>
            <w:r>
              <w:rPr>
                <w:rFonts w:ascii="宋体" w:hAnsi="宋体" w:cs="宋体" w:eastAsia="宋体" w:hint="default"/>
                <w:spacing w:val="-2"/>
                <w:sz w:val="18"/>
                <w:szCs w:val="18"/>
              </w:rPr>
              <w:t>贝特）的关联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交易，不会利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用自身作为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天源迪科股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东的地位谋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求与天源迪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科及其下属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不限于维恩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贝特）在业务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合作等方面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给予优于市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场第三方的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权利；不会利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用自身作为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天源迪科股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东的地位谋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求与天源迪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科及其下属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不限于维恩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贝特）达成交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易的优先权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w:t>
            </w:r>
            <w:r>
              <w:rPr>
                <w:rFonts w:ascii="Times New Roman" w:hAnsi="Times New Roman" w:cs="Times New Roman" w:eastAsia="Times New Roman" w:hint="default"/>
                <w:sz w:val="18"/>
                <w:szCs w:val="18"/>
              </w:rPr>
              <w:t>2</w:t>
            </w:r>
            <w:r>
              <w:rPr>
                <w:rFonts w:ascii="宋体" w:hAnsi="宋体" w:cs="宋体" w:eastAsia="宋体" w:hint="default"/>
                <w:sz w:val="18"/>
                <w:szCs w:val="18"/>
              </w:rPr>
              <w:t>、若发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生必要且无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法避免的关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及本人对外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股、间接持股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或委托持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制或担任董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将与天源迪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科及其下属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不限于维恩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贝特）按照公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平、公允、等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价有偿原则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依法签订协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议，履行合法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程序，并将按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法规和《深圳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天源迪科信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息技术股份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规定履行信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及相关的内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部决策程序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和回避制度，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格依照与无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进行相同或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相似交易时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易价格具有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公允性，亦不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利用该等交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易从事损害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天源迪科及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其股东合法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将依照《深圳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天源迪科信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息技术股份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规定参加股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东大会，平等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地行使相应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的权利，承担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地位谋求不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正当利益，不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易非法转移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天源迪科及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限于维恩贝</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特）的资金、 利润，保证不 损害天源迪 科及其股东 的合法权益。 </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、本人愿意 承担因违反 上述承诺而 给天源迪科 造成的全部 经济损失，并 承诺在本人 为维恩贝特 关联方期间 持续有效，且 均不可变更 或撤销。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2" w:lineRule="auto"/>
              <w:ind w:left="23" w:right="21"/>
              <w:jc w:val="left"/>
              <w:rPr>
                <w:rFonts w:ascii="宋体" w:hAnsi="宋体" w:cs="宋体" w:eastAsia="宋体" w:hint="default"/>
                <w:sz w:val="18"/>
                <w:szCs w:val="18"/>
              </w:rPr>
            </w:pPr>
            <w:r>
              <w:rPr>
                <w:rFonts w:ascii="宋体" w:hAnsi="宋体" w:cs="宋体" w:eastAsia="宋体" w:hint="default"/>
                <w:sz w:val="18"/>
                <w:szCs w:val="18"/>
              </w:rPr>
              <w:t>陈兵等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名业 绩承诺方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 诺出具之日， 本人及本人 直接或间接 控制的企业、 或直接或间 接参与经营 管理的企业 未在中华人 民共和国（包 括香港、澳门 及台湾地区） 从事与维恩 贝特、天源迪 科及其下属 公司相同或 者相似的业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、本次 发行股份及 支付现金购 买资产完成 后，在《深圳 天源迪科信 息技术股份 公司发行股 份及支付现 金购买资产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协议》中约定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的三年业绩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承诺期及本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人任职期满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内，本人不再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限于在中国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境内或境外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自行、或其以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他人名义、或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与他人合资、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合作、联合经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营）从事、参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与或协助他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人从事任何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与维恩贝特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以及天源迪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科业务有竞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争关系的经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营活动，不再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投资于任何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与维恩贝特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以及天源迪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科业务有竞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争关系的经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济实体。</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间接参与经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营管理的企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不限于停止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经营产生竞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业务纳入天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源迪科或者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转让给无关 联关系第三 方等合法方 </w:t>
            </w:r>
            <w:r>
              <w:rPr>
                <w:rFonts w:ascii="宋体" w:hAnsi="宋体" w:cs="宋体" w:eastAsia="宋体" w:hint="default"/>
                <w:spacing w:val="-2"/>
                <w:sz w:val="18"/>
                <w:szCs w:val="18"/>
              </w:rPr>
              <w:t>式，以避免同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业竞争。</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本人保证本 人关系密切 的家庭成员</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（包括配偶、 父母及配偶 的父母、兄弟 姐妹及其配 偶、年满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 及其配偶、配 偶的兄弟姐 妹和子女配 偶的父母等） 也遵守以上 承诺。</w:t>
            </w:r>
            <w:r>
              <w:rPr>
                <w:rFonts w:ascii="Times New Roman" w:hAnsi="Times New Roman" w:cs="Times New Roman" w:eastAsia="Times New Roman" w:hint="default"/>
                <w:sz w:val="18"/>
                <w:szCs w:val="18"/>
              </w:rPr>
              <w:t>5</w:t>
            </w:r>
            <w:r>
              <w:rPr>
                <w:rFonts w:ascii="宋体" w:hAnsi="宋体" w:cs="宋体" w:eastAsia="宋体" w:hint="default"/>
                <w:sz w:val="18"/>
                <w:szCs w:val="18"/>
              </w:rPr>
              <w:t>、如 因本人或本 人关系密切 的家庭成员 未履行上述 承诺给天源 迪科、维恩贝 特及其他相 关方造成损 失的，承诺人 将赔偿有关 各方因此遭 受的一切损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2" w:lineRule="auto"/>
              <w:ind w:left="23" w:right="21"/>
              <w:jc w:val="left"/>
              <w:rPr>
                <w:rFonts w:ascii="宋体" w:hAnsi="宋体" w:cs="宋体" w:eastAsia="宋体" w:hint="default"/>
                <w:sz w:val="18"/>
                <w:szCs w:val="18"/>
              </w:rPr>
            </w:pPr>
            <w:r>
              <w:rPr>
                <w:rFonts w:ascii="宋体" w:hAnsi="宋体" w:cs="宋体" w:eastAsia="宋体" w:hint="default"/>
                <w:sz w:val="18"/>
                <w:szCs w:val="18"/>
              </w:rPr>
              <w:t>陈兵等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名业 绩承诺方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关于锁定期 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如本交易获 准进行，就上 市公司本次 向本人发行 的全部股份， 本人承诺自 股份发行结 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 行转让，自前 述期限届满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重大资产重 组限售股份 发行后三年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72.47998pt;width:80.1pt;height:686.5pt;mso-position-horizontal-relative:page;mso-position-vertical-relative:page;z-index:-1440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1"/>
                    <w:ind w:left="0" w:right="0" w:firstLine="0"/>
                    <w:jc w:val="left"/>
                    <w:rPr>
                      <w:rFonts w:ascii="宋体" w:hAnsi="宋体" w:cs="宋体" w:eastAsia="宋体" w:hint="default"/>
                      <w:sz w:val="18"/>
                      <w:szCs w:val="18"/>
                    </w:rPr>
                  </w:pPr>
                  <w:r>
                    <w:rPr>
                      <w:rFonts w:ascii="宋体" w:hAnsi="宋体" w:cs="宋体" w:eastAsia="宋体" w:hint="default"/>
                      <w:sz w:val="18"/>
                      <w:szCs w:val="18"/>
                    </w:rPr>
                    <w:t>个月，</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之后，本人通</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自发行结束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的比例按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如下条件分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期解除锁定：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行结束之日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聘请的审计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机构对标的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度实际净利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润数额进行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审计确认并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出具《专项审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核报告</w:t>
            </w:r>
            <w:r>
              <w:rPr>
                <w:rFonts w:ascii="宋体" w:hAnsi="宋体" w:cs="宋体" w:eastAsia="宋体" w:hint="default"/>
                <w:spacing w:val="-90"/>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人于本次交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易中取得的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第一年度用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（若发生）后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可解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除锁定；</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结束之日起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聘请的审计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机构对标的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度实际净利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润数额进行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审计确认并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出具《专项审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核报告</w:t>
            </w:r>
            <w:r>
              <w:rPr>
                <w:rFonts w:ascii="宋体" w:hAnsi="宋体" w:cs="宋体" w:eastAsia="宋体" w:hint="default"/>
                <w:spacing w:val="-90"/>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人于本次交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易中取得的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第二年度用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（若发生）后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可解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除锁定；</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结束之日起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聘请的审计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机构对标的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度实际净利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润数额进行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审计确认并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出具《专项审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核报告</w:t>
            </w:r>
            <w:r>
              <w:rPr>
                <w:rFonts w:ascii="宋体" w:hAnsi="宋体" w:cs="宋体" w:eastAsia="宋体" w:hint="default"/>
                <w:spacing w:val="-90"/>
                <w:sz w:val="18"/>
                <w:szCs w:val="18"/>
              </w:rPr>
              <w:t>》</w:t>
            </w:r>
            <w:r>
              <w:rPr>
                <w:rFonts w:ascii="宋体" w:hAnsi="宋体" w:cs="宋体" w:eastAsia="宋体" w:hint="default"/>
                <w:sz w:val="18"/>
                <w:szCs w:val="18"/>
              </w:rPr>
              <w:t>，并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已完成对标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减值测试及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出具减值测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试报告，本人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中取得的上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数量扣除第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一年度、第二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年度及第三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年度用于业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份数量（若发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生）及减值测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试补偿承诺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（若发生）后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可解除锁定。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在上述锁定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期间内，本人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基于本次交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易所取得的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份因上市公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司分配股票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股利、资本公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积转增等情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形所衍生取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得的股份亦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应遵守前述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份锁定期内，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本人因履行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业绩补偿义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务而向上市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公司进行股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份补偿的，不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受上述锁定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限制。本人承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诺，除遵守上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述股份锁定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的要求外，在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间内，在相关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股份解除锁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定之前，本人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式对处于锁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定期的上市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行其他处分，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包括但不限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于赠与或质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押所持上市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的除外</w:t>
            </w:r>
            <w:r>
              <w:rPr>
                <w:rFonts w:ascii="宋体" w:hAnsi="宋体" w:cs="宋体" w:eastAsia="宋体" w:hint="default"/>
                <w:spacing w:val="-90"/>
                <w:sz w:val="18"/>
                <w:szCs w:val="18"/>
              </w:rPr>
              <w:t>）</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规或中国证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对股份锁定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有其他规定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的，还应同时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符合该等规 </w:t>
            </w:r>
            <w:r>
              <w:rPr>
                <w:rFonts w:ascii="宋体" w:hAnsi="宋体" w:cs="宋体" w:eastAsia="宋体" w:hint="default"/>
                <w:spacing w:val="-2"/>
                <w:sz w:val="18"/>
                <w:szCs w:val="18"/>
              </w:rPr>
              <w:t>定的要求。如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 </w:t>
            </w:r>
            <w:r>
              <w:rPr>
                <w:rFonts w:ascii="宋体" w:hAnsi="宋体" w:cs="宋体" w:eastAsia="宋体" w:hint="default"/>
                <w:spacing w:val="-2"/>
                <w:sz w:val="18"/>
                <w:szCs w:val="18"/>
              </w:rPr>
              <w:t>诺，本人将承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担相应的法 律责任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7"/>
              <w:ind w:left="23" w:right="101"/>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名重 大资产重组 事项交易对 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关于锁定期 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若自其最后 一次买入维 恩贝特股票 至本次交易 的草案公告 之日起满十 </w:t>
            </w:r>
            <w:r>
              <w:rPr>
                <w:rFonts w:ascii="宋体" w:hAnsi="宋体" w:cs="宋体" w:eastAsia="宋体" w:hint="default"/>
                <w:spacing w:val="-2"/>
                <w:sz w:val="18"/>
                <w:szCs w:val="18"/>
              </w:rPr>
              <w:t>二个月的，可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自其取得上 市公司股份 之日起满十 二个月后解 </w:t>
            </w:r>
            <w:r>
              <w:rPr>
                <w:rFonts w:ascii="宋体" w:hAnsi="宋体" w:cs="宋体" w:eastAsia="宋体" w:hint="default"/>
                <w:spacing w:val="-2"/>
                <w:sz w:val="18"/>
                <w:szCs w:val="18"/>
              </w:rPr>
              <w:t>锁；若自其最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后一次买入 维恩贝特股 票至本次交 易的草案公 告之日起不 满十二个月 </w:t>
            </w:r>
            <w:r>
              <w:rPr>
                <w:rFonts w:ascii="宋体" w:hAnsi="宋体" w:cs="宋体" w:eastAsia="宋体" w:hint="default"/>
                <w:spacing w:val="-2"/>
                <w:sz w:val="18"/>
                <w:szCs w:val="18"/>
              </w:rPr>
              <w:t>的，可自其取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得上市公司 股份之日起 满三十六个 月后解锁。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重大资产重 组限售股份 发行后三年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7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2" w:lineRule="auto"/>
              <w:ind w:left="23" w:right="21"/>
              <w:jc w:val="left"/>
              <w:rPr>
                <w:rFonts w:ascii="宋体" w:hAnsi="宋体" w:cs="宋体" w:eastAsia="宋体" w:hint="default"/>
                <w:sz w:val="18"/>
                <w:szCs w:val="18"/>
              </w:rPr>
            </w:pPr>
            <w:r>
              <w:rPr>
                <w:rFonts w:ascii="宋体" w:hAnsi="宋体" w:cs="宋体" w:eastAsia="宋体" w:hint="default"/>
                <w:sz w:val="18"/>
                <w:szCs w:val="18"/>
              </w:rPr>
              <w:t>陈兵等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名业 绩承诺方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关于应收款 项的补充承 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、天源迪科 将在业绩承 诺期结束后，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审计报告出 具之后的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日内，将维恩 贝特在业绩 承诺期内的 应收款项（包 括应收账款、 其他应收款， 不包含已经 计入坏账的 数额）通知陈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86"/>
              <w:jc w:val="left"/>
              <w:rPr>
                <w:rFonts w:ascii="宋体" w:hAnsi="宋体" w:cs="宋体" w:eastAsia="宋体" w:hint="default"/>
                <w:sz w:val="18"/>
                <w:szCs w:val="18"/>
              </w:rPr>
            </w:pPr>
            <w:r>
              <w:rPr>
                <w:rFonts w:ascii="宋体" w:hAnsi="宋体" w:cs="宋体" w:eastAsia="宋体" w:hint="default"/>
                <w:sz w:val="18"/>
                <w:szCs w:val="18"/>
              </w:rPr>
              <w:t>业绩承诺期 及其后两年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兵、魏然、谢</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明、黄超民、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郭伟杰。陈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兵、魏然、谢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明、黄超民、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郭伟杰对前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述应收款项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承担追缴责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2</w:t>
            </w:r>
            <w:r>
              <w:rPr>
                <w:rFonts w:ascii="宋体" w:hAnsi="宋体" w:cs="宋体" w:eastAsia="宋体" w:hint="default"/>
                <w:sz w:val="18"/>
                <w:szCs w:val="18"/>
              </w:rPr>
              <w:t>、在业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绩承诺期结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束之日起两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年后，天源迪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科和陈兵、魏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然、谢明、黄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超民、郭伟杰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年度审计报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告日确认前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中的应收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款项（包括应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收账款、其他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应收款，不包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含已经计入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坏账的数额）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仍未收回的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3</w:t>
            </w:r>
            <w:r>
              <w:rPr>
                <w:rFonts w:ascii="宋体" w:hAnsi="宋体" w:cs="宋体" w:eastAsia="宋体" w:hint="default"/>
                <w:sz w:val="18"/>
                <w:szCs w:val="18"/>
              </w:rPr>
              <w:t>、陈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兵、魏然、谢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明、黄超民、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郭伟杰应缴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纳与上述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确认的未收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回的应收款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项同等金额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的保证金于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天源迪科。陈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兵、魏然、谢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明、黄超民、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郭伟杰应于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收到天源迪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科保证金缴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纳通知后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日内，以现金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方式缴纳保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证金至天源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7699pt;margin-top:72.47998pt;width:80.05pt;height:392.1pt;mso-position-horizontal-relative:page;mso-position-vertical-relative:page;z-index:-1440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陈兵、</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迪科账户。天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源迪科在前 述确认的仍 未收回的应 </w:t>
            </w:r>
            <w:r>
              <w:rPr>
                <w:rFonts w:ascii="宋体" w:hAnsi="宋体" w:cs="宋体" w:eastAsia="宋体" w:hint="default"/>
                <w:spacing w:val="-2"/>
                <w:sz w:val="18"/>
                <w:szCs w:val="18"/>
              </w:rPr>
              <w:t>收款项，每一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笔收回时的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 </w:t>
            </w:r>
            <w:r>
              <w:rPr>
                <w:rFonts w:ascii="宋体" w:hAnsi="宋体" w:cs="宋体" w:eastAsia="宋体" w:hint="default"/>
                <w:spacing w:val="-2"/>
                <w:sz w:val="18"/>
                <w:szCs w:val="18"/>
              </w:rPr>
              <w:t>内，将收回的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该笔应收款 项所对应的 保证金返还 给陈兵、魏 </w:t>
            </w:r>
            <w:r>
              <w:rPr>
                <w:rFonts w:ascii="宋体" w:hAnsi="宋体" w:cs="宋体" w:eastAsia="宋体" w:hint="default"/>
                <w:spacing w:val="-2"/>
                <w:sz w:val="18"/>
                <w:szCs w:val="18"/>
              </w:rPr>
              <w:t>然、谢明、黄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超民、郭伟 杰。</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pStyle w:val="TableParagraph"/>
              <w:spacing w:line="319" w:lineRule="auto"/>
              <w:ind w:left="22" w:right="12"/>
              <w:jc w:val="left"/>
              <w:rPr>
                <w:rFonts w:ascii="宋体" w:hAnsi="宋体" w:cs="宋体" w:eastAsia="宋体" w:hint="default"/>
                <w:sz w:val="18"/>
                <w:szCs w:val="18"/>
              </w:rPr>
            </w:pPr>
            <w:r>
              <w:rPr>
                <w:rFonts w:ascii="宋体" w:hAnsi="宋体" w:cs="宋体" w:eastAsia="宋体" w:hint="default"/>
                <w:sz w:val="18"/>
                <w:szCs w:val="18"/>
              </w:rPr>
              <w:t>魏然、谢明、 黄超民、郭伟 杰各方之间 按照其持有 的维恩贝特 的股份比例 承担前述条 款之保证金 并承担连带 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784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55.85pt;height:392.1pt;mso-position-horizontal-relative:char;mso-position-vertical-relative:line" coordorigin="0,0" coordsize="1117,7842">
                  <v:group style="position:absolute;left:0;top:0;width:1117;height:7842" coordorigin="0,0" coordsize="1117,7842">
                    <v:shape style="position:absolute;left:0;top:0;width:1117;height:7842" coordorigin="0,0" coordsize="1117,7842" path="m0,7842l1116,7842,1116,0,0,0,0,7842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02" w:lineRule="auto"/>
              <w:ind w:left="23" w:right="21"/>
              <w:jc w:val="left"/>
              <w:rPr>
                <w:rFonts w:ascii="宋体" w:hAnsi="宋体" w:cs="宋体" w:eastAsia="宋体" w:hint="default"/>
                <w:sz w:val="18"/>
                <w:szCs w:val="18"/>
              </w:rPr>
            </w:pPr>
            <w:r>
              <w:rPr>
                <w:rFonts w:ascii="宋体" w:hAnsi="宋体" w:cs="宋体" w:eastAsia="宋体" w:hint="default"/>
                <w:sz w:val="18"/>
                <w:szCs w:val="18"/>
              </w:rPr>
              <w:t>陈兵等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名业 绩承诺方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业绩承诺主 体作出承诺， 维恩贝特于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2" w:lineRule="auto" w:before="63"/>
              <w:ind w:left="22"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 承诺净利润 分别不低于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p>
          <w:p>
            <w:pPr>
              <w:pStyle w:val="TableParagraph"/>
              <w:spacing w:line="307"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5,940</w:t>
            </w:r>
            <w:r>
              <w:rPr>
                <w:rFonts w:ascii="Times New Roman" w:hAnsi="Times New Roman" w:cs="Times New Roman" w:eastAsia="Times New Roman" w:hint="default"/>
                <w:spacing w:val="-9"/>
                <w:sz w:val="18"/>
                <w:szCs w:val="18"/>
              </w:rPr>
              <w:t> </w:t>
            </w:r>
            <w:r>
              <w:rPr>
                <w:rFonts w:ascii="宋体" w:hAnsi="宋体" w:cs="宋体" w:eastAsia="宋体" w:hint="default"/>
                <w:spacing w:val="-23"/>
                <w:sz w:val="18"/>
                <w:szCs w:val="18"/>
              </w:rPr>
              <w:t>万元（以</w:t>
            </w:r>
            <w:r>
              <w:rPr>
                <w:rFonts w:ascii="宋体" w:hAnsi="宋体" w:cs="宋体" w:eastAsia="宋体" w:hint="default"/>
                <w:sz w:val="18"/>
                <w:szCs w:val="18"/>
              </w:rPr>
              <w:t> 下合称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 </w:t>
            </w:r>
            <w:r>
              <w:rPr>
                <w:rFonts w:ascii="宋体" w:hAnsi="宋体" w:cs="宋体" w:eastAsia="宋体" w:hint="default"/>
                <w:spacing w:val="-13"/>
                <w:w w:val="100"/>
                <w:sz w:val="18"/>
                <w:szCs w:val="18"/>
              </w:rPr>
              <w:t>净利润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w:t>
            </w:r>
            <w:r>
              <w:rPr>
                <w:rFonts w:ascii="宋体" w:hAnsi="宋体" w:cs="宋体" w:eastAsia="宋体" w:hint="default"/>
                <w:sz w:val="18"/>
                <w:szCs w:val="18"/>
              </w:rPr>
              <w:t> </w:t>
            </w:r>
            <w:r>
              <w:rPr>
                <w:rFonts w:ascii="宋体" w:hAnsi="宋体" w:cs="宋体" w:eastAsia="宋体" w:hint="default"/>
                <w:spacing w:val="-2"/>
                <w:sz w:val="18"/>
                <w:szCs w:val="18"/>
              </w:rPr>
              <w:t>第一年（</w:t>
            </w:r>
            <w:r>
              <w:rPr>
                <w:rFonts w:ascii="Times New Roman" w:hAnsi="Times New Roman" w:cs="Times New Roman" w:eastAsia="Times New Roman" w:hint="default"/>
                <w:spacing w:val="-2"/>
                <w:sz w:val="18"/>
                <w:szCs w:val="18"/>
              </w:rPr>
              <w:t>2016</w:t>
            </w:r>
            <w:r>
              <w:rPr>
                <w:rFonts w:ascii="Times New Roman" w:hAnsi="Times New Roman" w:cs="Times New Roman" w:eastAsia="Times New Roman" w:hint="default"/>
                <w:spacing w:val="-40"/>
                <w:sz w:val="18"/>
                <w:szCs w:val="18"/>
              </w:rPr>
              <w:t> </w:t>
            </w:r>
            <w:r>
              <w:rPr>
                <w:rFonts w:ascii="宋体" w:hAnsi="宋体" w:cs="宋体" w:eastAsia="宋体" w:hint="default"/>
                <w:spacing w:val="-2"/>
                <w:sz w:val="18"/>
                <w:szCs w:val="18"/>
              </w:rPr>
              <w:t>年度）的承诺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净利润超过 </w:t>
            </w:r>
            <w:r>
              <w:rPr>
                <w:rFonts w:ascii="Times New Roman" w:hAnsi="Times New Roman" w:cs="Times New Roman" w:eastAsia="Times New Roman" w:hint="default"/>
                <w:sz w:val="18"/>
                <w:szCs w:val="18"/>
              </w:rPr>
              <w:t>3,300</w:t>
            </w:r>
            <w:r>
              <w:rPr>
                <w:rFonts w:ascii="Times New Roman" w:hAnsi="Times New Roman" w:cs="Times New Roman" w:eastAsia="Times New Roman" w:hint="default"/>
                <w:spacing w:val="-8"/>
                <w:sz w:val="18"/>
                <w:szCs w:val="18"/>
              </w:rPr>
              <w:t> </w:t>
            </w:r>
            <w:r>
              <w:rPr>
                <w:rFonts w:ascii="宋体" w:hAnsi="宋体" w:cs="宋体" w:eastAsia="宋体" w:hint="default"/>
                <w:spacing w:val="-23"/>
                <w:sz w:val="18"/>
                <w:szCs w:val="18"/>
              </w:rPr>
              <w:t>万元（包</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元）但少于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则业绩承诺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主体可不进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行补偿。业绩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承诺主体须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润值</w:t>
            </w:r>
            <w:r>
              <w:rPr>
                <w:rFonts w:ascii="宋体" w:hAnsi="宋体" w:cs="宋体" w:eastAsia="宋体" w:hint="default"/>
                <w:spacing w:val="-90"/>
                <w:sz w:val="18"/>
                <w:szCs w:val="18"/>
              </w:rPr>
              <w:t>，</w:t>
            </w:r>
            <w:r>
              <w:rPr>
                <w:rFonts w:ascii="宋体" w:hAnsi="宋体" w:cs="宋体" w:eastAsia="宋体" w:hint="default"/>
                <w:sz w:val="18"/>
                <w:szCs w:val="18"/>
              </w:rPr>
              <w:t>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4,750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万元。如第二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年度（即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年度）的累计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元</w:t>
            </w:r>
            <w:r>
              <w:rPr>
                <w:rFonts w:ascii="宋体" w:hAnsi="宋体" w:cs="宋体" w:eastAsia="宋体" w:hint="default"/>
                <w:sz w:val="18"/>
                <w:szCs w:val="18"/>
              </w:rPr>
              <w:t>（包含</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8,050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万元）但少于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则业绩承诺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主体可不进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行补偿。截止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诺主体需按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照其承诺完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成三年业绩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总额，即人民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元；否则，业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绩承诺主体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需要按未完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成三年承诺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比例进行补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主体承诺，业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绩承诺期内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业绩承诺主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体发生补偿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义务的，业绩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承诺主体应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首先以其持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有的天源迪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科的股份进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行补偿，若业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3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绩承诺主体 截至当年剩 余的天源迪 科股份数不 足以用于补 偿的，则以现 金进行补偿。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陈鲁康、陈 友、李谦益、 吴志东、谢晓 宾、杨文庆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首次公开发 行前股东所 持股份的流 通限制和自 愿锁定股份 的承诺：担任 公司董事、高 级管理人员 的股东陈友、 陈鲁康、李谦 益、谢晓宾以 及担任董事 的股东吴志 东、杨文庆承 诺在其任职 期间每年转 让的股份不 得超过其所 持有本公司 股份总数的 百分之二十 五；离职后半 年内，不转让 其所持有的 本公司股份。 上述承诺期 限届满后，上 述股份可以 上市流通。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22" w:right="186"/>
              <w:jc w:val="left"/>
              <w:rPr>
                <w:rFonts w:ascii="宋体" w:hAnsi="宋体" w:cs="宋体" w:eastAsia="宋体" w:hint="default"/>
                <w:sz w:val="18"/>
                <w:szCs w:val="18"/>
              </w:rPr>
            </w:pPr>
            <w:r>
              <w:rPr>
                <w:rFonts w:ascii="宋体" w:hAnsi="宋体" w:cs="宋体" w:eastAsia="宋体" w:hint="default"/>
                <w:sz w:val="18"/>
                <w:szCs w:val="18"/>
              </w:rPr>
              <w:t>任职期间内 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正在履行，股</w:t>
            </w:r>
            <w:r>
              <w:rPr>
                <w:rFonts w:ascii="宋体" w:hAnsi="宋体" w:cs="宋体" w:eastAsia="宋体" w:hint="default"/>
                <w:sz w:val="18"/>
                <w:szCs w:val="18"/>
              </w:rPr>
              <w:t> 东吴志东自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日起不再 担任公司董 </w:t>
            </w:r>
            <w:r>
              <w:rPr>
                <w:rFonts w:ascii="宋体" w:hAnsi="宋体" w:cs="宋体" w:eastAsia="宋体" w:hint="default"/>
                <w:spacing w:val="-5"/>
                <w:sz w:val="18"/>
                <w:szCs w:val="18"/>
              </w:rPr>
              <w:t>事，其履行完</w:t>
            </w:r>
            <w:r>
              <w:rPr>
                <w:rFonts w:ascii="宋体" w:hAnsi="宋体" w:cs="宋体" w:eastAsia="宋体" w:hint="default"/>
                <w:sz w:val="18"/>
                <w:szCs w:val="18"/>
              </w:rPr>
              <w:t> 毕本承诺。</w:t>
            </w: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陈鲁康、陈 友、戴昌久、 邓爱国、李谦 益、李毅、魏 丽、吴志东、 谢晓宾、杨文 庆、周俊祥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保持公司经 营决策不因 股权分散发 生重大变化 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公司全体董 事关于保持 公司经营决 策不因股权 分散发生重 大变化的承 </w:t>
            </w:r>
            <w:r>
              <w:rPr>
                <w:rFonts w:ascii="宋体" w:hAnsi="宋体" w:cs="宋体" w:eastAsia="宋体" w:hint="default"/>
                <w:spacing w:val="-2"/>
                <w:sz w:val="18"/>
                <w:szCs w:val="18"/>
              </w:rPr>
              <w:t>诺：在任职期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间内，董事会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86"/>
              <w:jc w:val="left"/>
              <w:rPr>
                <w:rFonts w:ascii="宋体" w:hAnsi="宋体" w:cs="宋体" w:eastAsia="宋体" w:hint="default"/>
                <w:sz w:val="18"/>
                <w:szCs w:val="18"/>
              </w:rPr>
            </w:pPr>
            <w:r>
              <w:rPr>
                <w:rFonts w:ascii="宋体" w:hAnsi="宋体" w:cs="宋体" w:eastAsia="宋体" w:hint="default"/>
                <w:sz w:val="18"/>
                <w:szCs w:val="18"/>
              </w:rPr>
              <w:t>任职期间内 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正在履行，截</w:t>
            </w:r>
            <w:r>
              <w:rPr>
                <w:rFonts w:ascii="宋体" w:hAnsi="宋体" w:cs="宋体" w:eastAsia="宋体" w:hint="default"/>
                <w:sz w:val="18"/>
                <w:szCs w:val="18"/>
              </w:rPr>
              <w:t> 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日，吴 </w:t>
            </w:r>
            <w:r>
              <w:rPr>
                <w:rFonts w:ascii="宋体" w:hAnsi="宋体" w:cs="宋体" w:eastAsia="宋体" w:hint="default"/>
                <w:spacing w:val="-5"/>
                <w:sz w:val="18"/>
                <w:szCs w:val="18"/>
              </w:rPr>
              <w:t>志东、魏丽不</w:t>
            </w:r>
            <w:r>
              <w:rPr>
                <w:rFonts w:ascii="宋体" w:hAnsi="宋体" w:cs="宋体" w:eastAsia="宋体" w:hint="default"/>
                <w:sz w:val="18"/>
                <w:szCs w:val="18"/>
              </w:rPr>
              <w:t> 再担任公司 </w:t>
            </w:r>
            <w:r>
              <w:rPr>
                <w:rFonts w:ascii="宋体" w:hAnsi="宋体" w:cs="宋体" w:eastAsia="宋体" w:hint="default"/>
                <w:spacing w:val="-5"/>
                <w:sz w:val="18"/>
                <w:szCs w:val="18"/>
              </w:rPr>
              <w:t>董事职务，戴</w:t>
            </w:r>
            <w:r>
              <w:rPr>
                <w:rFonts w:ascii="宋体" w:hAnsi="宋体" w:cs="宋体" w:eastAsia="宋体" w:hint="default"/>
                <w:sz w:val="18"/>
                <w:szCs w:val="18"/>
              </w:rPr>
              <w:t> 昌久、邓爱 </w:t>
            </w:r>
            <w:r>
              <w:rPr>
                <w:rFonts w:ascii="宋体" w:hAnsi="宋体" w:cs="宋体" w:eastAsia="宋体" w:hint="default"/>
                <w:spacing w:val="-5"/>
                <w:sz w:val="18"/>
                <w:szCs w:val="18"/>
              </w:rPr>
              <w:t>国、李毅、周</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议案如涉及 公司重大生 产经营决策， 在进行投票 表决时保证： </w:t>
            </w:r>
            <w:r>
              <w:rPr>
                <w:rFonts w:ascii="Times New Roman" w:hAnsi="Times New Roman" w:cs="Times New Roman" w:eastAsia="Times New Roman" w:hint="default"/>
                <w:sz w:val="18"/>
                <w:szCs w:val="18"/>
              </w:rPr>
              <w:t>1</w:t>
            </w:r>
            <w:r>
              <w:rPr>
                <w:rFonts w:ascii="宋体" w:hAnsi="宋体" w:cs="宋体" w:eastAsia="宋体" w:hint="default"/>
                <w:sz w:val="18"/>
                <w:szCs w:val="18"/>
              </w:rPr>
              <w:t>、在公司发 展战略、发展 目标、发展规 划、未来发展 方向等方面， 严格遵守招 股说明书第 十二节</w:t>
            </w:r>
            <w:r>
              <w:rPr>
                <w:rFonts w:ascii="Times New Roman" w:hAnsi="Times New Roman" w:cs="Times New Roman" w:eastAsia="Times New Roman" w:hint="default"/>
                <w:sz w:val="18"/>
                <w:szCs w:val="18"/>
              </w:rPr>
              <w:t>"</w:t>
            </w:r>
            <w:r>
              <w:rPr>
                <w:rFonts w:ascii="宋体" w:hAnsi="宋体" w:cs="宋体" w:eastAsia="宋体" w:hint="default"/>
                <w:sz w:val="18"/>
                <w:szCs w:val="18"/>
              </w:rPr>
              <w:t>未来 发展与规划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一节的有关 内容，且不改 变公司的既 定的发展战 略、发展目 标、发展规 划、未来发展 方向等。</w:t>
            </w:r>
            <w:r>
              <w:rPr>
                <w:rFonts w:ascii="Times New Roman" w:hAnsi="Times New Roman" w:cs="Times New Roman" w:eastAsia="Times New Roman" w:hint="default"/>
                <w:sz w:val="18"/>
                <w:szCs w:val="18"/>
              </w:rPr>
              <w:t>2</w:t>
            </w:r>
            <w:r>
              <w:rPr>
                <w:rFonts w:ascii="宋体" w:hAnsi="宋体" w:cs="宋体" w:eastAsia="宋体" w:hint="default"/>
                <w:sz w:val="18"/>
                <w:szCs w:val="18"/>
              </w:rPr>
              <w:t>、 公司未来将 专注于目前 的主营业务， 即电信、公安 应用软件产 品的开发、生 产和销售，计 算机软、硬件 系统集成，技 术支持与服 务，公司未来 不改变主营 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、公 司未来继续 贯彻执行目 前既定的生 产经营策略， 在研发方面， 按照行业内 技术发展的 趋势组织研 发工作，在销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俊祥不再担 任公司独立 </w:t>
            </w:r>
            <w:r>
              <w:rPr>
                <w:rFonts w:ascii="宋体" w:hAnsi="宋体" w:cs="宋体" w:eastAsia="宋体" w:hint="default"/>
                <w:spacing w:val="-5"/>
                <w:sz w:val="18"/>
                <w:szCs w:val="18"/>
              </w:rPr>
              <w:t>董事职务，以</w:t>
            </w:r>
            <w:r>
              <w:rPr>
                <w:rFonts w:ascii="宋体" w:hAnsi="宋体" w:cs="宋体" w:eastAsia="宋体" w:hint="default"/>
                <w:sz w:val="18"/>
                <w:szCs w:val="18"/>
              </w:rPr>
              <w:t> 上人员已履 行完毕本承 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121.79998pt;width:62pt;height:303.25pt;mso-position-horizontal-relative:page;mso-position-vertical-relative:page;z-index:-1440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60004pt;margin-top:121.79998pt;width:55.85pt;height:303.25pt;mso-position-horizontal-relative:page;mso-position-vertical-relative:page;z-index:-1440688" coordorigin="7353,2436" coordsize="1117,6065">
            <v:shape style="position:absolute;left:7353;top:2436;width:1117;height:6065" coordorigin="7353,2436" coordsize="1117,6065" path="m7353,8500l8470,8500,8470,2436,7353,2436,7353,85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售方面，继续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执行服务式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营销策略。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关于保持公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司控制权稳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定和经营决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策不因股权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分散发生重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大变化的承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诺：承诺未来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案如涉及公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司重大生产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经营决策，在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进行投票表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决时保证：</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在公司发展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战略、发展目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标、发展规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划、未来发展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19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0"/>
              <w:jc w:val="left"/>
              <w:rPr>
                <w:rFonts w:ascii="宋体" w:hAnsi="宋体" w:cs="宋体" w:eastAsia="宋体" w:hint="default"/>
                <w:sz w:val="18"/>
                <w:szCs w:val="18"/>
              </w:rPr>
            </w:pPr>
            <w:r>
              <w:rPr>
                <w:rFonts w:ascii="宋体" w:hAnsi="宋体" w:cs="宋体" w:eastAsia="宋体" w:hint="default"/>
                <w:sz w:val="18"/>
                <w:szCs w:val="18"/>
              </w:rPr>
              <w:t>陈鲁康、陈 友、李谦益、 天泽投资、吴 志东、谢晓 宾、杨文庆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both"/>
              <w:rPr>
                <w:rFonts w:ascii="宋体" w:hAnsi="宋体" w:cs="宋体" w:eastAsia="宋体" w:hint="default"/>
                <w:sz w:val="18"/>
                <w:szCs w:val="18"/>
              </w:rPr>
            </w:pPr>
            <w:r>
              <w:rPr>
                <w:rFonts w:ascii="宋体" w:hAnsi="宋体" w:cs="宋体" w:eastAsia="宋体" w:hint="default"/>
                <w:sz w:val="18"/>
                <w:szCs w:val="18"/>
              </w:rPr>
              <w:t>关于保持公 司控制权稳 定和经营决 策不因股权 分散发生重 大变化的承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2"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方向等方面， 严格遵守招 股说明书第 十二节</w:t>
            </w:r>
            <w:r>
              <w:rPr>
                <w:rFonts w:ascii="Times New Roman" w:hAnsi="Times New Roman" w:cs="Times New Roman" w:eastAsia="Times New Roman" w:hint="default"/>
                <w:sz w:val="18"/>
                <w:szCs w:val="18"/>
              </w:rPr>
              <w:t>"</w:t>
            </w:r>
            <w:r>
              <w:rPr>
                <w:rFonts w:ascii="宋体" w:hAnsi="宋体" w:cs="宋体" w:eastAsia="宋体" w:hint="default"/>
                <w:sz w:val="18"/>
                <w:szCs w:val="18"/>
              </w:rPr>
              <w:t>未来 发展与规划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一节的有关 内容，且不改</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正在履行。截</w:t>
            </w:r>
            <w:r>
              <w:rPr>
                <w:rFonts w:ascii="宋体" w:hAnsi="宋体" w:cs="宋体" w:eastAsia="宋体" w:hint="default"/>
                <w:sz w:val="18"/>
                <w:szCs w:val="18"/>
              </w:rPr>
              <w:t> 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2" w:lineRule="auto"/>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 </w:t>
            </w:r>
            <w:r>
              <w:rPr>
                <w:rFonts w:ascii="宋体" w:hAnsi="宋体" w:cs="宋体" w:eastAsia="宋体" w:hint="default"/>
                <w:spacing w:val="-5"/>
                <w:sz w:val="18"/>
                <w:szCs w:val="18"/>
              </w:rPr>
              <w:t>泽投资、吴志</w:t>
            </w:r>
            <w:r>
              <w:rPr>
                <w:rFonts w:ascii="宋体" w:hAnsi="宋体" w:cs="宋体" w:eastAsia="宋体" w:hint="default"/>
                <w:sz w:val="18"/>
                <w:szCs w:val="18"/>
              </w:rPr>
              <w:t> 东不再是公 司股东</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变公司既定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的发展战略、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发展目标、发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展规划、未来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发展方向等。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将专注于目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前的主营业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务，即电信、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公安应用软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件产品的开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发、生产和销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售，计算机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软、硬件系统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集成，技术支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持与服务，公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司未来不改</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变主营业务。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、公司未来 继续贯彻执 行目前既定 的生产经营 策略，在研发 方面，按照行 业内技术发 展的趋势组 织研发工作， 在销售方面， 继续执行服 务式营销策 略。</w:t>
            </w:r>
            <w:r>
              <w:rPr>
                <w:rFonts w:ascii="Times New Roman" w:hAnsi="Times New Roman" w:cs="Times New Roman" w:eastAsia="Times New Roman" w:hint="default"/>
                <w:sz w:val="18"/>
                <w:szCs w:val="18"/>
              </w:rPr>
              <w:t>4</w:t>
            </w:r>
            <w:r>
              <w:rPr>
                <w:rFonts w:ascii="宋体" w:hAnsi="宋体" w:cs="宋体" w:eastAsia="宋体" w:hint="default"/>
                <w:sz w:val="18"/>
                <w:szCs w:val="18"/>
              </w:rPr>
              <w:t>、在未 来提名董事 及对董事人 选进行投票 表决时，将董 事是否同意 不改变公司 既定的发展 战略、发展目 标、发展规 划、未来发展 方向、主营业 务、生产经营 策略等作为 前提条件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陈鲁康、陈 友、李谦益、 天泽投资、吴 志东、谢晓 宾、杨文庆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公司股东关 于避免同业 竞争的承诺：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、承诺在持 有公司股份 期间，不会以 任何形式从 事对公司的 生产经营构 成或可能构 成同业竞争 的业务和经 营活动，也不 会以任何方 式为公司的 竞争企业提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2"/>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正在履行。截</w:t>
            </w:r>
            <w:r>
              <w:rPr>
                <w:rFonts w:ascii="宋体" w:hAnsi="宋体" w:cs="宋体" w:eastAsia="宋体" w:hint="default"/>
                <w:sz w:val="18"/>
                <w:szCs w:val="18"/>
              </w:rPr>
              <w:t> 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2" w:lineRule="auto"/>
              <w:ind w:left="22"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 </w:t>
            </w:r>
            <w:r>
              <w:rPr>
                <w:rFonts w:ascii="宋体" w:hAnsi="宋体" w:cs="宋体" w:eastAsia="宋体" w:hint="default"/>
                <w:spacing w:val="-5"/>
                <w:sz w:val="18"/>
                <w:szCs w:val="18"/>
              </w:rPr>
              <w:t>泽投资、吴志</w:t>
            </w:r>
            <w:r>
              <w:rPr>
                <w:rFonts w:ascii="宋体" w:hAnsi="宋体" w:cs="宋体" w:eastAsia="宋体" w:hint="default"/>
                <w:sz w:val="18"/>
                <w:szCs w:val="18"/>
              </w:rPr>
              <w:t> 东不再是公 司股东。</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供任何资金、 业务及技术 等方面的帮 助。</w:t>
            </w:r>
            <w:r>
              <w:rPr>
                <w:rFonts w:ascii="Times New Roman" w:hAnsi="Times New Roman" w:cs="Times New Roman" w:eastAsia="Times New Roman" w:hint="default"/>
                <w:sz w:val="18"/>
                <w:szCs w:val="18"/>
              </w:rPr>
              <w:t>2</w:t>
            </w:r>
            <w:r>
              <w:rPr>
                <w:rFonts w:ascii="宋体" w:hAnsi="宋体" w:cs="宋体" w:eastAsia="宋体" w:hint="default"/>
                <w:sz w:val="18"/>
                <w:szCs w:val="18"/>
              </w:rPr>
              <w:t>、在任 职期间内不 以任何方式 直接或间接 从事与公司 现在和将来 主营业务相 同、相似或构 成实质竞争 的业务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1"/>
              <w:ind w:left="23" w:right="39"/>
              <w:jc w:val="left"/>
              <w:rPr>
                <w:rFonts w:ascii="宋体" w:hAnsi="宋体" w:cs="宋体" w:eastAsia="宋体" w:hint="default"/>
                <w:sz w:val="18"/>
                <w:szCs w:val="18"/>
              </w:rPr>
            </w:pPr>
            <w:r>
              <w:rPr>
                <w:rFonts w:ascii="宋体" w:hAnsi="宋体" w:cs="宋体" w:eastAsia="宋体" w:hint="default"/>
                <w:sz w:val="18"/>
                <w:szCs w:val="18"/>
              </w:rPr>
              <w:t>陈鲁康</w:t>
            </w:r>
            <w:r>
              <w:rPr>
                <w:rFonts w:ascii="Times New Roman" w:hAnsi="Times New Roman" w:cs="Times New Roman" w:eastAsia="Times New Roman" w:hint="default"/>
                <w:sz w:val="18"/>
                <w:szCs w:val="18"/>
              </w:rPr>
              <w:t>;</w:t>
            </w:r>
            <w:r>
              <w:rPr>
                <w:rFonts w:ascii="宋体" w:hAnsi="宋体" w:cs="宋体" w:eastAsia="宋体" w:hint="default"/>
                <w:sz w:val="18"/>
                <w:szCs w:val="18"/>
              </w:rPr>
              <w:t>陈秀 琴</w:t>
            </w:r>
            <w:r>
              <w:rPr>
                <w:rFonts w:ascii="Times New Roman" w:hAnsi="Times New Roman" w:cs="Times New Roman" w:eastAsia="Times New Roman" w:hint="default"/>
                <w:sz w:val="18"/>
                <w:szCs w:val="18"/>
              </w:rPr>
              <w:t>;</w:t>
            </w:r>
            <w:r>
              <w:rPr>
                <w:rFonts w:ascii="宋体" w:hAnsi="宋体" w:cs="宋体" w:eastAsia="宋体" w:hint="default"/>
                <w:sz w:val="18"/>
                <w:szCs w:val="18"/>
              </w:rPr>
              <w:t>陈友</w:t>
            </w:r>
            <w:r>
              <w:rPr>
                <w:rFonts w:ascii="Times New Roman" w:hAnsi="Times New Roman" w:cs="Times New Roman" w:eastAsia="Times New Roman" w:hint="default"/>
                <w:sz w:val="18"/>
                <w:szCs w:val="18"/>
              </w:rPr>
              <w:t>;</w:t>
            </w:r>
            <w:r>
              <w:rPr>
                <w:rFonts w:ascii="宋体" w:hAnsi="宋体" w:cs="宋体" w:eastAsia="宋体" w:hint="default"/>
                <w:sz w:val="18"/>
                <w:szCs w:val="18"/>
              </w:rPr>
              <w:t>代峰</w:t>
            </w:r>
            <w:r>
              <w:rPr>
                <w:rFonts w:ascii="Times New Roman" w:hAnsi="Times New Roman" w:cs="Times New Roman" w:eastAsia="Times New Roman" w:hint="default"/>
                <w:sz w:val="18"/>
                <w:szCs w:val="18"/>
              </w:rPr>
              <w:t>; </w:t>
            </w:r>
            <w:r>
              <w:rPr>
                <w:rFonts w:ascii="宋体" w:hAnsi="宋体" w:cs="宋体" w:eastAsia="宋体" w:hint="default"/>
                <w:sz w:val="18"/>
                <w:szCs w:val="18"/>
              </w:rPr>
              <w:t>管四新</w:t>
            </w:r>
            <w:r>
              <w:rPr>
                <w:rFonts w:ascii="Times New Roman" w:hAnsi="Times New Roman" w:cs="Times New Roman" w:eastAsia="Times New Roman" w:hint="default"/>
                <w:sz w:val="18"/>
                <w:szCs w:val="18"/>
              </w:rPr>
              <w:t>;</w:t>
            </w:r>
            <w:r>
              <w:rPr>
                <w:rFonts w:ascii="宋体" w:hAnsi="宋体" w:cs="宋体" w:eastAsia="宋体" w:hint="default"/>
                <w:sz w:val="18"/>
                <w:szCs w:val="18"/>
              </w:rPr>
              <w:t>李谦 益</w:t>
            </w:r>
            <w:r>
              <w:rPr>
                <w:rFonts w:ascii="Times New Roman" w:hAnsi="Times New Roman" w:cs="Times New Roman" w:eastAsia="Times New Roman" w:hint="default"/>
                <w:sz w:val="18"/>
                <w:szCs w:val="18"/>
              </w:rPr>
              <w:t>;</w:t>
            </w:r>
            <w:r>
              <w:rPr>
                <w:rFonts w:ascii="宋体" w:hAnsi="宋体" w:cs="宋体" w:eastAsia="宋体" w:hint="default"/>
                <w:sz w:val="18"/>
                <w:szCs w:val="18"/>
              </w:rPr>
              <w:t>梁金华</w:t>
            </w:r>
            <w:r>
              <w:rPr>
                <w:rFonts w:ascii="Times New Roman" w:hAnsi="Times New Roman" w:cs="Times New Roman" w:eastAsia="Times New Roman" w:hint="default"/>
                <w:sz w:val="18"/>
                <w:szCs w:val="18"/>
              </w:rPr>
              <w:t>;</w:t>
            </w:r>
            <w:r>
              <w:rPr>
                <w:rFonts w:ascii="宋体" w:hAnsi="宋体" w:cs="宋体" w:eastAsia="宋体" w:hint="default"/>
                <w:sz w:val="18"/>
                <w:szCs w:val="18"/>
              </w:rPr>
              <w:t>林 容</w:t>
            </w:r>
            <w:r>
              <w:rPr>
                <w:rFonts w:ascii="Times New Roman" w:hAnsi="Times New Roman" w:cs="Times New Roman" w:eastAsia="Times New Roman" w:hint="default"/>
                <w:sz w:val="18"/>
                <w:szCs w:val="18"/>
              </w:rPr>
              <w:t>;</w:t>
            </w:r>
            <w:r>
              <w:rPr>
                <w:rFonts w:ascii="宋体" w:hAnsi="宋体" w:cs="宋体" w:eastAsia="宋体" w:hint="default"/>
                <w:sz w:val="18"/>
                <w:szCs w:val="18"/>
              </w:rPr>
              <w:t>罗赞</w:t>
            </w:r>
            <w:r>
              <w:rPr>
                <w:rFonts w:ascii="Times New Roman" w:hAnsi="Times New Roman" w:cs="Times New Roman" w:eastAsia="Times New Roman" w:hint="default"/>
                <w:sz w:val="18"/>
                <w:szCs w:val="18"/>
              </w:rPr>
              <w:t>;</w:t>
            </w:r>
            <w:r>
              <w:rPr>
                <w:rFonts w:ascii="宋体" w:hAnsi="宋体" w:cs="宋体" w:eastAsia="宋体" w:hint="default"/>
                <w:sz w:val="18"/>
                <w:szCs w:val="18"/>
              </w:rPr>
              <w:t>钱文 胜</w:t>
            </w:r>
            <w:r>
              <w:rPr>
                <w:rFonts w:ascii="Times New Roman" w:hAnsi="Times New Roman" w:cs="Times New Roman" w:eastAsia="Times New Roman" w:hint="default"/>
                <w:sz w:val="18"/>
                <w:szCs w:val="18"/>
              </w:rPr>
              <w:t>;</w:t>
            </w:r>
            <w:r>
              <w:rPr>
                <w:rFonts w:ascii="宋体" w:hAnsi="宋体" w:cs="宋体" w:eastAsia="宋体" w:hint="default"/>
                <w:sz w:val="18"/>
                <w:szCs w:val="18"/>
              </w:rPr>
              <w:t>盛宝军</w:t>
            </w:r>
            <w:r>
              <w:rPr>
                <w:rFonts w:ascii="Times New Roman" w:hAnsi="Times New Roman" w:cs="Times New Roman" w:eastAsia="Times New Roman" w:hint="default"/>
                <w:sz w:val="18"/>
                <w:szCs w:val="18"/>
              </w:rPr>
              <w:t>;</w:t>
            </w:r>
            <w:r>
              <w:rPr>
                <w:rFonts w:ascii="宋体" w:hAnsi="宋体" w:cs="宋体" w:eastAsia="宋体" w:hint="default"/>
                <w:sz w:val="18"/>
                <w:szCs w:val="18"/>
              </w:rPr>
              <w:t>汪 东升</w:t>
            </w:r>
            <w:r>
              <w:rPr>
                <w:rFonts w:ascii="Times New Roman" w:hAnsi="Times New Roman" w:cs="Times New Roman" w:eastAsia="Times New Roman" w:hint="default"/>
                <w:sz w:val="18"/>
                <w:szCs w:val="18"/>
              </w:rPr>
              <w:t>;</w:t>
            </w:r>
            <w:r>
              <w:rPr>
                <w:rFonts w:ascii="宋体" w:hAnsi="宋体" w:cs="宋体" w:eastAsia="宋体" w:hint="default"/>
                <w:sz w:val="18"/>
                <w:szCs w:val="18"/>
              </w:rPr>
              <w:t>谢晓宾</w:t>
            </w:r>
            <w:r>
              <w:rPr>
                <w:rFonts w:ascii="Times New Roman" w:hAnsi="Times New Roman" w:cs="Times New Roman" w:eastAsia="Times New Roman" w:hint="default"/>
                <w:sz w:val="18"/>
                <w:szCs w:val="18"/>
              </w:rPr>
              <w:t>; </w:t>
            </w:r>
            <w:r>
              <w:rPr>
                <w:rFonts w:ascii="宋体" w:hAnsi="宋体" w:cs="宋体" w:eastAsia="宋体" w:hint="default"/>
                <w:sz w:val="18"/>
                <w:szCs w:val="18"/>
              </w:rPr>
              <w:t>杨文庆</w:t>
            </w:r>
            <w:r>
              <w:rPr>
                <w:rFonts w:ascii="Times New Roman" w:hAnsi="Times New Roman" w:cs="Times New Roman" w:eastAsia="Times New Roman" w:hint="default"/>
                <w:sz w:val="18"/>
                <w:szCs w:val="18"/>
              </w:rPr>
              <w:t>;</w:t>
            </w:r>
            <w:r>
              <w:rPr>
                <w:rFonts w:ascii="宋体" w:hAnsi="宋体" w:cs="宋体" w:eastAsia="宋体" w:hint="default"/>
                <w:sz w:val="18"/>
                <w:szCs w:val="18"/>
              </w:rPr>
              <w:t>郑飞</w:t>
            </w:r>
            <w:r>
              <w:rPr>
                <w:rFonts w:ascii="Times New Roman" w:hAnsi="Times New Roman" w:cs="Times New Roman" w:eastAsia="Times New Roman" w:hint="default"/>
                <w:sz w:val="18"/>
                <w:szCs w:val="18"/>
              </w:rPr>
              <w:t>; </w:t>
            </w:r>
            <w:r>
              <w:rPr>
                <w:rFonts w:ascii="宋体" w:hAnsi="宋体" w:cs="宋体" w:eastAsia="宋体" w:hint="default"/>
                <w:sz w:val="18"/>
                <w:szCs w:val="18"/>
              </w:rPr>
              <w:t>邹立文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为保证公司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 公开发行股 票所募集资 金有效使用， 有效防范即 期回报被摊 薄的风险，提 高未来的回 报能力，发行 人董事、高级 管理人员做 出如下承诺： 本人作为深 圳天源迪科 信息技术股 份有限公司 的董事、高级 管理人员，承 诺将忠实、勤 勉地履行职 责，维护公司 和全体股东 的合法权益。 本人根据中 国证监会的 相关规定对 公司填补即 期回报措施 能够得到切 实履行做出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正在履行。截</w:t>
            </w:r>
            <w:r>
              <w:rPr>
                <w:rFonts w:ascii="宋体" w:hAnsi="宋体" w:cs="宋体" w:eastAsia="宋体" w:hint="default"/>
                <w:sz w:val="18"/>
                <w:szCs w:val="18"/>
              </w:rPr>
              <w:t> 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月，邹立文不</w:t>
            </w:r>
            <w:r>
              <w:rPr>
                <w:rFonts w:ascii="宋体" w:hAnsi="宋体" w:cs="宋体" w:eastAsia="宋体" w:hint="default"/>
                <w:sz w:val="18"/>
                <w:szCs w:val="18"/>
              </w:rPr>
              <w:t> 再担任公司 高管。</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501.3pt;mso-position-horizontal-relative:page;mso-position-vertical-relative:page;z-index:-1440640"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如下承诺：</w:t>
            </w:r>
            <w:r>
              <w:rPr>
                <w:rFonts w:ascii="Times New Roman" w:hAnsi="Times New Roman" w:cs="Times New Roman" w:eastAsia="Times New Roman" w:hint="default"/>
                <w:sz w:val="18"/>
                <w:szCs w:val="18"/>
              </w:rPr>
              <w:t>1</w:t>
            </w:r>
          </w:p>
        </w:tc>
        <w:tc>
          <w:tcPr>
            <w:tcW w:w="1126" w:type="dxa"/>
            <w:vMerge w:val="restart"/>
            <w:tcBorders>
              <w:top w:val="single" w:sz="4" w:space="0" w:color="000000"/>
              <w:left w:val="single" w:sz="4" w:space="0" w:color="000000"/>
              <w:right w:val="single" w:sz="4" w:space="0" w:color="000000"/>
            </w:tcBorders>
          </w:tcPr>
          <w:p>
            <w:pPr>
              <w:pStyle w:val="TableParagraph"/>
              <w:spacing w:line="1002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0"/>
                <w:sz w:val="20"/>
                <w:szCs w:val="20"/>
              </w:rPr>
              <w:pict>
                <v:group style="width:55.85pt;height:501.3pt;mso-position-horizontal-relative:char;mso-position-vertical-relative:line" coordorigin="0,0" coordsize="1117,10026">
                  <v:group style="position:absolute;left:0;top:0;width:1117;height:10026" coordorigin="0,0" coordsize="1117,10026">
                    <v:shape style="position:absolute;left:0;top:0;width:1117;height:10026" coordorigin="0,0" coordsize="1117,10026" path="m0,10026l1116,10026,1116,0,0,0,0,10026xe" filled="true" fillcolor="#ffffff" stroked="false">
                      <v:path arrowok="t"/>
                      <v:fill type="solid"/>
                    </v:shape>
                  </v:group>
                </v:group>
              </w:pict>
            </w:r>
            <w:r>
              <w:rPr>
                <w:rFonts w:ascii="Times New Roman" w:hAnsi="Times New Roman" w:cs="Times New Roman" w:eastAsia="Times New Roman" w:hint="default"/>
                <w:position w:val="-200"/>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不无偿或以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不公平条件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向其他单位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或者个人输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送利益，也不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采用其他方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式损害公司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w:t>
            </w:r>
            <w:r>
              <w:rPr>
                <w:rFonts w:ascii="Times New Roman" w:hAnsi="Times New Roman" w:cs="Times New Roman" w:eastAsia="Times New Roman" w:hint="default"/>
                <w:sz w:val="18"/>
                <w:szCs w:val="18"/>
              </w:rPr>
              <w:t>2</w:t>
            </w:r>
            <w:r>
              <w:rPr>
                <w:rFonts w:ascii="宋体" w:hAnsi="宋体" w:cs="宋体" w:eastAsia="宋体" w:hint="default"/>
                <w:sz w:val="18"/>
                <w:szCs w:val="18"/>
              </w:rPr>
              <w:t>、对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职务消费行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为进行约束；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、不动用公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司资产从事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与履行职责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无关的投资、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消费活动；</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由董事会或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薪酬委员会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制订的薪酬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制度与公司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况相挂钩；</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未来拟公布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激励的行权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况相挂钩。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关于避免同</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业竞争事项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的承诺：截至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本承诺函出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both"/>
              <w:rPr>
                <w:rFonts w:ascii="宋体" w:hAnsi="宋体" w:cs="宋体" w:eastAsia="宋体" w:hint="default"/>
                <w:sz w:val="18"/>
                <w:szCs w:val="18"/>
              </w:rPr>
            </w:pPr>
            <w:r>
              <w:rPr>
                <w:rFonts w:ascii="宋体" w:hAnsi="宋体" w:cs="宋体" w:eastAsia="宋体" w:hint="default"/>
                <w:sz w:val="18"/>
                <w:szCs w:val="18"/>
              </w:rPr>
              <w:t>避免同业竞 争事项的承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2" w:right="12"/>
              <w:jc w:val="both"/>
              <w:rPr>
                <w:rFonts w:ascii="宋体" w:hAnsi="宋体" w:cs="宋体" w:eastAsia="宋体" w:hint="default"/>
                <w:sz w:val="18"/>
                <w:szCs w:val="18"/>
              </w:rPr>
            </w:pPr>
            <w:r>
              <w:rPr>
                <w:rFonts w:ascii="宋体" w:hAnsi="宋体" w:cs="宋体" w:eastAsia="宋体" w:hint="default"/>
                <w:sz w:val="18"/>
                <w:szCs w:val="18"/>
              </w:rPr>
              <w:t>具之日，除信 邦安达以外， 本公司及本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前不存在自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营、与他人共</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同经营或为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他人经营与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信邦安达现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有业务相同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形。前述信邦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安达的现有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业务主要包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括面向家庭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用户端的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号管家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自主客户端、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宽带测速系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统及运营、智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能提速系统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及运营、智能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网关管理及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运营平台以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及由此延伸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出的基于智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能网关的面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对家庭用户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的智能家居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w:t>
            </w:r>
            <w:r>
              <w:rPr>
                <w:rFonts w:ascii="Times New Roman" w:hAnsi="Times New Roman" w:cs="Times New Roman" w:eastAsia="Times New Roman" w:hint="default"/>
                <w:sz w:val="18"/>
                <w:szCs w:val="18"/>
              </w:rPr>
              <w:t>2</w:t>
            </w:r>
            <w:r>
              <w:rPr>
                <w:rFonts w:ascii="宋体" w:hAnsi="宋体" w:cs="宋体" w:eastAsia="宋体" w:hint="default"/>
                <w:sz w:val="18"/>
                <w:szCs w:val="18"/>
              </w:rPr>
              <w:t>、除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信邦安达以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将不会直接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从事、采取向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或与信邦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安达以外的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第三方签订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业务合作协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议的方式间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接从事信邦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安达现有业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务。为避免歧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义和误解，以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从事的以下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业务不应被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认定为包括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在信邦安达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现有业务范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围内或与信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邦安达现有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面向行业用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户（包括电信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行业、公安行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业、金融保险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行业等）的软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件产品开发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及销售，包括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业务运营支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撑解决方案、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大数据业务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平台及应用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解决方案、移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动互联网应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用解决方案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司面向行业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用户（包括电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信行业、公安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行业、金融保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险、电商行业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等）的平台运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w:t>
            </w:r>
            <w:r>
              <w:rPr>
                <w:rFonts w:ascii="Times New Roman" w:hAnsi="Times New Roman" w:cs="Times New Roman" w:eastAsia="Times New Roman" w:hint="default"/>
                <w:sz w:val="18"/>
                <w:szCs w:val="18"/>
              </w:rPr>
              <w:t>3</w:t>
            </w:r>
            <w:r>
              <w:rPr>
                <w:rFonts w:ascii="宋体" w:hAnsi="宋体" w:cs="宋体" w:eastAsia="宋体" w:hint="default"/>
                <w:sz w:val="18"/>
                <w:szCs w:val="18"/>
              </w:rPr>
              <w:t>、如因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国家政策调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整等不可抗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力的原因，本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得从事的业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务时，则本公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司在信邦安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达提出异议</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后，将</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及时转让上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述业务，或促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业及时转让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上述业务，信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邦安达享有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上述业务在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同等条件下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的优先受让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终止上述业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务，或促使本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时终止上述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Times New Roman" w:hAnsi="Times New Roman" w:cs="Times New Roman" w:eastAsia="Times New Roman" w:hint="default"/>
                <w:sz w:val="18"/>
                <w:szCs w:val="18"/>
              </w:rPr>
              <w:t>4</w:t>
            </w:r>
            <w:r>
              <w:rPr>
                <w:rFonts w:ascii="宋体" w:hAnsi="宋体" w:cs="宋体" w:eastAsia="宋体" w:hint="default"/>
                <w:sz w:val="18"/>
                <w:szCs w:val="18"/>
              </w:rPr>
              <w:t>、考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虑到信邦安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达所属行业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的特点，并鉴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于当前信息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技术行业较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快的更新及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迭代速度，新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型技术的不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断问世，及行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业及市场的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迅速变化，如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由此等因素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导致未来本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拟收购标的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模式与信邦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安达不断发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展的业务模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式存在或有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类似或可替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代性，本公司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将与信邦安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达进一步协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商明确各自 的业务领域 和模式，以促 成各方不存 在实质性同 业竞争关系。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20"/>
              <w:jc w:val="left"/>
              <w:rPr>
                <w:rFonts w:ascii="宋体" w:hAnsi="宋体" w:cs="宋体" w:eastAsia="宋体" w:hint="default"/>
                <w:sz w:val="18"/>
                <w:szCs w:val="18"/>
              </w:rPr>
            </w:pPr>
            <w:r>
              <w:rPr>
                <w:rFonts w:ascii="宋体" w:hAnsi="宋体" w:cs="宋体" w:eastAsia="宋体" w:hint="default"/>
                <w:spacing w:val="-2"/>
                <w:sz w:val="18"/>
                <w:szCs w:val="18"/>
              </w:rPr>
              <w:t>关于减少、规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范关联交易 事项的承诺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关于减少、规 范关联交易 事项的承诺：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、本公司承 诺，未来尽量 减少信邦安 达与本公司 及本公司所 控制或施加 重大影响的 企业的不必 要的关联交 易，最大限度 地保证信邦 安达业务的 独立性，提高 其独立面向 市场并提供 服务的能力。 </w:t>
            </w:r>
            <w:r>
              <w:rPr>
                <w:rFonts w:ascii="Times New Roman" w:hAnsi="Times New Roman" w:cs="Times New Roman" w:eastAsia="Times New Roman" w:hint="default"/>
                <w:sz w:val="18"/>
                <w:szCs w:val="18"/>
              </w:rPr>
              <w:t>2</w:t>
            </w:r>
            <w:r>
              <w:rPr>
                <w:rFonts w:ascii="宋体" w:hAnsi="宋体" w:cs="宋体" w:eastAsia="宋体" w:hint="default"/>
                <w:sz w:val="18"/>
                <w:szCs w:val="18"/>
              </w:rPr>
              <w:t>、如果确实 因为双方业 务开展及战 略实施方面 的考虑，需要 开展一定程 度的关联交 易，双方均需 要严格按照</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12"/>
              <w:jc w:val="left"/>
              <w:rPr>
                <w:rFonts w:ascii="宋体" w:hAnsi="宋体" w:cs="宋体" w:eastAsia="宋体" w:hint="default"/>
                <w:sz w:val="18"/>
                <w:szCs w:val="18"/>
              </w:rPr>
            </w:pPr>
            <w:r>
              <w:rPr>
                <w:rFonts w:ascii="宋体" w:hAnsi="宋体" w:cs="宋体" w:eastAsia="宋体" w:hint="default"/>
                <w:sz w:val="18"/>
                <w:szCs w:val="18"/>
              </w:rPr>
              <w:t>《公司章程》 及相关的关 联交易、信息 披露管理制 度，履行必要 的内部决策 和审批流程、 信息披露义 务。相关定价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需要在双方 平等、自愿的 基础上，按照 公平、公正原 则，根据市场 价格协商确 定，不得存在 损害信邦安 达权益的情 形。承诺杜绝 发生占用信 邦安达资金 的情形，承诺 不利用关联 交易转移公 司利润、不利 用关联交易 进行利益输 送，不通过影 响公司的经 营决策及关 联交易损害 公司及股东 的合法权益。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2"/>
                <w:sz w:val="18"/>
                <w:szCs w:val="18"/>
              </w:rPr>
              <w:t>关于减少、规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范关联交易 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、本公司承 诺，未来尽量 减少天源股 份与本公司 及本公司所 控制或施加 重大影响的 企业的不必 要的关联交 易，最大限度 地保证天源 股份业务的 独立性，提高 其独立面向 市场并提供 服务的能力； </w:t>
            </w:r>
            <w:r>
              <w:rPr>
                <w:rFonts w:ascii="Times New Roman" w:hAnsi="Times New Roman" w:cs="Times New Roman" w:eastAsia="Times New Roman" w:hint="default"/>
                <w:sz w:val="18"/>
                <w:szCs w:val="18"/>
              </w:rPr>
              <w:t>2</w:t>
            </w:r>
            <w:r>
              <w:rPr>
                <w:rFonts w:ascii="宋体" w:hAnsi="宋体" w:cs="宋体" w:eastAsia="宋体" w:hint="default"/>
                <w:sz w:val="18"/>
                <w:szCs w:val="18"/>
              </w:rPr>
              <w:t>、如果确实 因为双方业 务开展及战 略实施方面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2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的考虑，需要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开展一定程 度的关联交 </w:t>
            </w:r>
            <w:r>
              <w:rPr>
                <w:rFonts w:ascii="宋体" w:hAnsi="宋体" w:cs="宋体" w:eastAsia="宋体" w:hint="default"/>
                <w:spacing w:val="-2"/>
                <w:sz w:val="18"/>
                <w:szCs w:val="18"/>
              </w:rPr>
              <w:t>易，双方均需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要严格按照</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12"/>
              <w:jc w:val="left"/>
              <w:rPr>
                <w:rFonts w:ascii="宋体" w:hAnsi="宋体" w:cs="宋体" w:eastAsia="宋体" w:hint="default"/>
                <w:sz w:val="18"/>
                <w:szCs w:val="18"/>
              </w:rPr>
            </w:pPr>
            <w:r>
              <w:rPr>
                <w:rFonts w:ascii="宋体" w:hAnsi="宋体" w:cs="宋体" w:eastAsia="宋体" w:hint="default"/>
                <w:sz w:val="18"/>
                <w:szCs w:val="18"/>
              </w:rPr>
              <w:t>《公司章程》 及相关的关 联交易、信息 披露管理制 度，履行必要 的内部决策 和审批流程、 信息披露义 务。相关定价 需要在双方 平等、自愿的 基础上，按照 公平、公正原 则，根据市场 价格协商确 定，不得存在 损害天源股 份权益的情 形。承诺杜绝 发生占用天 源股份资金 的情形，承诺 不利用关联 交易转移公 司利润、不利 用关联交易 进行利益输 送，不通过影 响公司的经 营决策及关 联交易损害 公司及股东 的合法权益。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899"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发行股份及支 付现金购买维 恩贝特 </w:t>
            </w:r>
            <w:r>
              <w:rPr>
                <w:rFonts w:ascii="Times New Roman" w:hAnsi="Times New Roman" w:cs="Times New Roman" w:eastAsia="Times New Roman" w:hint="default"/>
                <w:sz w:val="18"/>
                <w:szCs w:val="18"/>
              </w:rPr>
              <w:t>94.8428%</w:t>
            </w:r>
            <w:r>
              <w:rPr>
                <w:rFonts w:ascii="宋体" w:hAnsi="宋体" w:cs="宋体" w:eastAsia="宋体" w:hint="default"/>
                <w:sz w:val="18"/>
                <w:szCs w:val="18"/>
              </w:rPr>
              <w:t>的股</w:t>
            </w: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份，交易对方 陈兵、魏然、 谢明、 郭伟杰作为业 绩承诺主体</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5,940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6,472.01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80"/>
              <w:jc w:val="both"/>
              <w:rPr>
                <w:rFonts w:ascii="宋体" w:hAnsi="宋体" w:cs="宋体" w:eastAsia="宋体" w:hint="default"/>
                <w:sz w:val="18"/>
                <w:szCs w:val="18"/>
              </w:rPr>
            </w:pPr>
            <w:r>
              <w:rPr>
                <w:rFonts w:ascii="宋体" w:hAnsi="宋体" w:cs="宋体" w:eastAsia="宋体" w:hint="default"/>
                <w:sz w:val="18"/>
                <w:szCs w:val="18"/>
              </w:rPr>
              <w:t>巨潮资讯网： 发行股份及支 付现金购买资 产暨关联交易 报告书（修订 稿）</w:t>
            </w:r>
          </w:p>
        </w:tc>
      </w:tr>
    </w:tbl>
    <w:p>
      <w:pPr>
        <w:spacing w:before="51"/>
        <w:ind w:left="154" w:right="1972" w:firstLine="0"/>
        <w:jc w:val="left"/>
        <w:rPr>
          <w:rFonts w:ascii="宋体" w:hAnsi="宋体" w:cs="宋体" w:eastAsia="宋体" w:hint="default"/>
          <w:sz w:val="18"/>
          <w:szCs w:val="18"/>
        </w:rPr>
      </w:pPr>
      <w:r>
        <w:rPr/>
        <w:pict>
          <v:shape style="position:absolute;margin-left:83.459999pt;margin-top:-55.158283pt;width:92.5pt;height:54.6pt;mso-position-horizontal-relative:page;mso-position-vertical-relative:paragraph;z-index:-1440616" type="#_x0000_t202" filled="false" stroked="false">
            <v:textbox inset="0,0,0,0">
              <w:txbxContent>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黄超民、</w:t>
                  </w:r>
                </w:p>
              </w:txbxContent>
            </v:textbox>
            <w10:wrap type="none"/>
          </v:shape>
        </w:pict>
      </w:r>
      <w:r>
        <w:rPr/>
        <w:pict>
          <v:group style="position:absolute;margin-left:116.660004pt;margin-top:-55.158283pt;width:59.3pt;height:54.6pt;mso-position-horizontal-relative:page;mso-position-vertical-relative:paragraph;z-index:-1440592" coordorigin="2333,-1103" coordsize="1186,1092">
            <v:shape style="position:absolute;left:2333;top:-1103;width:1186;height:1092" coordorigin="2333,-1103" coordsize="1186,1092" path="m2333,-11l3519,-11,3519,-1103,2333,-1103,2333,-11xe" filled="true" fillcolor="#ffffff" stroked="false">
              <v:path arrowok="t"/>
              <v:fill type="solid"/>
            </v:shape>
            <w10:wrap type="none"/>
          </v:group>
        </w:pict>
      </w:r>
      <w:r>
        <w:rPr>
          <w:rFonts w:ascii="宋体" w:hAnsi="宋体" w:cs="宋体" w:eastAsia="宋体" w:hint="default"/>
          <w:sz w:val="18"/>
          <w:szCs w:val="18"/>
        </w:rPr>
        <w:t>公司股东、交易对手方对公司或相关资产年度经营业绩作出的承诺情况</w:t>
      </w:r>
    </w:p>
    <w:p>
      <w:pPr>
        <w:spacing w:before="11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7"/>
        <w:ind w:right="1122" w:firstLine="420"/>
        <w:jc w:val="left"/>
      </w:pPr>
      <w:r>
        <w:rPr>
          <w:spacing w:val="-1"/>
        </w:rPr>
        <w:t>天源迪科发行股份及支付现金购买维恩贝特</w:t>
      </w:r>
      <w:r>
        <w:rPr>
          <w:rFonts w:ascii="Times New Roman" w:hAnsi="Times New Roman" w:cs="Times New Roman" w:eastAsia="Times New Roman" w:hint="default"/>
          <w:spacing w:val="-1"/>
        </w:rPr>
        <w:t>94.8428%</w:t>
      </w:r>
      <w:r>
        <w:rPr>
          <w:spacing w:val="-1"/>
        </w:rPr>
        <w:t>的股份，本次交易对方陈兵、魏然、谢明、黄超</w:t>
      </w:r>
      <w:r>
        <w:rPr/>
        <w:t> 民、郭伟杰作为业绩承诺主体对天源迪科的业绩承诺期间为</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p>
    <w:p>
      <w:pPr>
        <w:pStyle w:val="BodyText"/>
        <w:spacing w:line="256" w:lineRule="auto" w:before="5"/>
        <w:ind w:right="1249" w:firstLine="420"/>
        <w:jc w:val="left"/>
      </w:pPr>
      <w:r>
        <w:rPr/>
        <w:t>业绩承诺主体作出承诺，维恩贝特于</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年度的承诺净利润分别不低于</w:t>
      </w:r>
      <w:r>
        <w:rPr>
          <w:rFonts w:ascii="Times New Roman" w:hAnsi="Times New Roman" w:cs="Times New Roman" w:eastAsia="Times New Roman" w:hint="default"/>
        </w:rPr>
        <w:t>3,800 </w:t>
      </w:r>
      <w:r>
        <w:rPr/>
        <w:t>万元、</w:t>
      </w:r>
      <w:r>
        <w:rPr>
          <w:rFonts w:ascii="Times New Roman" w:hAnsi="Times New Roman" w:cs="Times New Roman" w:eastAsia="Times New Roman" w:hint="default"/>
        </w:rPr>
        <w:t>4,750</w:t>
      </w:r>
      <w:r>
        <w:rPr/>
        <w:t>万元和</w:t>
      </w:r>
      <w:r>
        <w:rPr>
          <w:rFonts w:ascii="Times New Roman" w:hAnsi="Times New Roman" w:cs="Times New Roman" w:eastAsia="Times New Roman" w:hint="default"/>
        </w:rPr>
        <w:t>5,940</w:t>
      </w:r>
      <w:r>
        <w:rPr/>
        <w:t>万元（以下合称</w:t>
      </w:r>
      <w:r>
        <w:rPr>
          <w:rFonts w:ascii="Times New Roman" w:hAnsi="Times New Roman" w:cs="Times New Roman" w:eastAsia="Times New Roman" w:hint="default"/>
        </w:rPr>
        <w:t>“</w:t>
      </w:r>
      <w:r>
        <w:rPr/>
        <w:t>承诺净利润</w:t>
      </w:r>
      <w:r>
        <w:rPr>
          <w:rFonts w:ascii="Times New Roman" w:hAnsi="Times New Roman" w:cs="Times New Roman" w:eastAsia="Times New Roman" w:hint="default"/>
        </w:rPr>
        <w:t>”</w:t>
      </w:r>
      <w:r>
        <w:rPr/>
        <w:t>）。</w:t>
      </w:r>
    </w:p>
    <w:p>
      <w:pPr>
        <w:pStyle w:val="BodyText"/>
        <w:spacing w:line="256" w:lineRule="auto" w:before="5"/>
        <w:ind w:right="1144" w:firstLine="420"/>
        <w:jc w:val="left"/>
      </w:pPr>
      <w:r>
        <w:rPr/>
        <w:t>如第一年（</w:t>
      </w:r>
      <w:r>
        <w:rPr>
          <w:rFonts w:ascii="Times New Roman" w:hAnsi="Times New Roman" w:cs="Times New Roman" w:eastAsia="Times New Roman" w:hint="default"/>
        </w:rPr>
        <w:t>2016</w:t>
      </w:r>
      <w:r>
        <w:rPr/>
        <w:t>年度）的承诺净利润超过</w:t>
      </w:r>
      <w:r>
        <w:rPr>
          <w:rFonts w:ascii="Times New Roman" w:hAnsi="Times New Roman" w:cs="Times New Roman" w:eastAsia="Times New Roman" w:hint="default"/>
        </w:rPr>
        <w:t>3,300</w:t>
      </w:r>
      <w:r>
        <w:rPr/>
        <w:t>万元（包含</w:t>
      </w:r>
      <w:r>
        <w:rPr>
          <w:rFonts w:ascii="Times New Roman" w:hAnsi="Times New Roman" w:cs="Times New Roman" w:eastAsia="Times New Roman" w:hint="default"/>
        </w:rPr>
        <w:t>3,300</w:t>
      </w:r>
      <w:r>
        <w:rPr/>
        <w:t>万元）但少于</w:t>
      </w:r>
      <w:r>
        <w:rPr>
          <w:rFonts w:ascii="Times New Roman" w:hAnsi="Times New Roman" w:cs="Times New Roman" w:eastAsia="Times New Roman" w:hint="default"/>
        </w:rPr>
        <w:t>3,800</w:t>
      </w:r>
      <w:r>
        <w:rPr/>
        <w:t>万元，则业绩承诺 主体可不进行补偿。</w:t>
      </w:r>
    </w:p>
    <w:p>
      <w:pPr>
        <w:pStyle w:val="BodyText"/>
        <w:spacing w:line="256" w:lineRule="auto" w:before="22"/>
        <w:ind w:right="0" w:firstLine="420"/>
        <w:jc w:val="left"/>
      </w:pPr>
      <w:r>
        <w:rPr>
          <w:spacing w:val="-2"/>
        </w:rPr>
        <w:t>业绩承诺主体须在</w:t>
      </w:r>
      <w:r>
        <w:rPr>
          <w:rFonts w:ascii="Times New Roman" w:hAnsi="Times New Roman" w:cs="Times New Roman" w:eastAsia="Times New Roman" w:hint="default"/>
          <w:spacing w:val="-2"/>
        </w:rPr>
        <w:t>2017</w:t>
      </w:r>
      <w:r>
        <w:rPr>
          <w:spacing w:val="-2"/>
        </w:rPr>
        <w:t>年度完成</w:t>
      </w:r>
      <w:r>
        <w:rPr>
          <w:rFonts w:ascii="Times New Roman" w:hAnsi="Times New Roman" w:cs="Times New Roman" w:eastAsia="Times New Roman" w:hint="default"/>
          <w:spacing w:val="-2"/>
        </w:rPr>
        <w:t>2017</w:t>
      </w:r>
      <w:r>
        <w:rPr>
          <w:spacing w:val="-2"/>
        </w:rPr>
        <w:t>年度承诺净利润值，即</w:t>
      </w:r>
      <w:r>
        <w:rPr>
          <w:rFonts w:ascii="Times New Roman" w:hAnsi="Times New Roman" w:cs="Times New Roman" w:eastAsia="Times New Roman" w:hint="default"/>
          <w:spacing w:val="-2"/>
        </w:rPr>
        <w:t>4,750</w:t>
      </w:r>
      <w:r>
        <w:rPr>
          <w:spacing w:val="-2"/>
        </w:rPr>
        <w:t>万元。如第二年度（即</w:t>
      </w:r>
      <w:r>
        <w:rPr>
          <w:rFonts w:ascii="Times New Roman" w:hAnsi="Times New Roman" w:cs="Times New Roman" w:eastAsia="Times New Roman" w:hint="default"/>
          <w:spacing w:val="-2"/>
        </w:rPr>
        <w:t>2017</w:t>
      </w:r>
      <w:r>
        <w:rPr>
          <w:spacing w:val="-2"/>
        </w:rPr>
        <w:t>年度）的</w:t>
      </w:r>
      <w:r>
        <w:rPr/>
        <w:t> 累计承诺净利润超过</w:t>
      </w:r>
      <w:r>
        <w:rPr>
          <w:rFonts w:ascii="Times New Roman" w:hAnsi="Times New Roman" w:cs="Times New Roman" w:eastAsia="Times New Roman" w:hint="default"/>
        </w:rPr>
        <w:t>8,050</w:t>
      </w:r>
      <w:r>
        <w:rPr/>
        <w:t>万元（包含</w:t>
      </w:r>
      <w:r>
        <w:rPr>
          <w:rFonts w:ascii="Times New Roman" w:hAnsi="Times New Roman" w:cs="Times New Roman" w:eastAsia="Times New Roman" w:hint="default"/>
        </w:rPr>
        <w:t>8,050</w:t>
      </w:r>
      <w:r>
        <w:rPr/>
        <w:t>万元）但少于</w:t>
      </w:r>
      <w:r>
        <w:rPr>
          <w:rFonts w:ascii="Times New Roman" w:hAnsi="Times New Roman" w:cs="Times New Roman" w:eastAsia="Times New Roman" w:hint="default"/>
        </w:rPr>
        <w:t>8,550</w:t>
      </w:r>
      <w:r>
        <w:rPr/>
        <w:t>万元，则业绩承诺主体可不进行补偿。</w:t>
      </w:r>
    </w:p>
    <w:p>
      <w:pPr>
        <w:pStyle w:val="BodyText"/>
        <w:spacing w:line="256" w:lineRule="auto" w:before="5"/>
        <w:ind w:right="1144" w:firstLine="42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日，业绩承诺主体需按照其承诺完成三年业绩总额，即人民币</w:t>
      </w:r>
      <w:r>
        <w:rPr>
          <w:rFonts w:ascii="Times New Roman" w:hAnsi="Times New Roman" w:cs="Times New Roman" w:eastAsia="Times New Roman" w:hint="default"/>
        </w:rPr>
        <w:t>14,490</w:t>
      </w:r>
      <w:r>
        <w:rPr/>
        <w:t>万元；否则， 业绩承诺主体需要按未完成三年承诺业绩总额的比例进行补偿。</w:t>
      </w:r>
    </w:p>
    <w:p>
      <w:pPr>
        <w:pStyle w:val="BodyText"/>
        <w:spacing w:line="256" w:lineRule="auto" w:before="22"/>
        <w:ind w:right="1116" w:firstLine="420"/>
        <w:jc w:val="left"/>
      </w:pPr>
      <w:r>
        <w:rPr/>
        <w:t>上述承诺净利润的计算方法如下（下文中除特别声明或说明外，</w:t>
      </w:r>
      <w:r>
        <w:rPr>
          <w:rFonts w:ascii="Times New Roman" w:hAnsi="Times New Roman" w:cs="Times New Roman" w:eastAsia="Times New Roman" w:hint="default"/>
        </w:rPr>
        <w:t>“</w:t>
      </w:r>
      <w:r>
        <w:rPr/>
        <w:t>承诺净利润</w:t>
      </w:r>
      <w:r>
        <w:rPr>
          <w:rFonts w:ascii="Times New Roman" w:hAnsi="Times New Roman" w:cs="Times New Roman" w:eastAsia="Times New Roman" w:hint="default"/>
        </w:rPr>
        <w:t>”</w:t>
      </w:r>
      <w:r>
        <w:rPr/>
        <w:t>均以下述承诺净利润的 计算方法为准进行计算）：</w:t>
      </w:r>
    </w:p>
    <w:p>
      <w:pPr>
        <w:pStyle w:val="BodyText"/>
        <w:spacing w:line="261" w:lineRule="auto" w:before="22"/>
        <w:ind w:right="0" w:firstLine="420"/>
        <w:jc w:val="left"/>
        <w:rPr>
          <w:rFonts w:ascii="Times New Roman" w:hAnsi="Times New Roman" w:cs="Times New Roman" w:eastAsia="Times New Roman" w:hint="default"/>
        </w:rPr>
      </w:pPr>
      <w:r>
        <w:rPr>
          <w:spacing w:val="-1"/>
        </w:rPr>
        <w:t>承诺净利润（或简称</w:t>
      </w:r>
      <w:r>
        <w:rPr>
          <w:rFonts w:ascii="Times New Roman" w:hAnsi="Times New Roman" w:cs="Times New Roman" w:eastAsia="Times New Roman" w:hint="default"/>
          <w:spacing w:val="-1"/>
        </w:rPr>
        <w:t>“</w:t>
      </w:r>
      <w:r>
        <w:rPr>
          <w:spacing w:val="-1"/>
        </w:rPr>
        <w:t>公式一</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经审计的扣除非经常性损益后的归属于母公司的净利润</w:t>
      </w:r>
      <w:r>
        <w:rPr>
          <w:rFonts w:ascii="Times New Roman" w:hAnsi="Times New Roman" w:cs="Times New Roman" w:eastAsia="Times New Roman" w:hint="default"/>
          <w:spacing w:val="-1"/>
        </w:rPr>
        <w:t>+</w:t>
      </w:r>
      <w:r>
        <w:rPr>
          <w:spacing w:val="-1"/>
        </w:rPr>
        <w:t>与维恩贝特</w:t>
      </w:r>
      <w:r>
        <w:rPr/>
        <w:t> </w:t>
      </w:r>
      <w:r>
        <w:rPr>
          <w:spacing w:val="-1"/>
        </w:rPr>
        <w:t>正常经营业务密切相关的扶持基金、人才计划奖励、科技奖励款、政府贴息贷款贴息补助等政府补助（扣</w:t>
      </w:r>
      <w:r>
        <w:rPr>
          <w:spacing w:val="-86"/>
        </w:rPr>
        <w:t> </w:t>
      </w:r>
      <w:r>
        <w:rPr>
          <w:spacing w:val="-86"/>
        </w:rPr>
      </w:r>
      <w:r>
        <w:rPr/>
        <w:t>税后）。其中：（</w:t>
      </w:r>
      <w:r>
        <w:rPr>
          <w:rFonts w:ascii="Times New Roman" w:hAnsi="Times New Roman" w:cs="Times New Roman" w:eastAsia="Times New Roman" w:hint="default"/>
        </w:rPr>
        <w:t>1</w:t>
      </w:r>
      <w:r>
        <w:rPr/>
        <w:t>）可以计入业绩承诺的与维恩贝特正常经营密切相关的扶持基金、人才计划、科技奖 </w:t>
      </w:r>
      <w:r>
        <w:rPr>
          <w:spacing w:val="-2"/>
        </w:rPr>
        <w:t>励、政府贴息贷款贴息补助等政府补助三年合计不超过</w:t>
      </w:r>
      <w:r>
        <w:rPr>
          <w:rFonts w:ascii="Times New Roman" w:hAnsi="Times New Roman" w:cs="Times New Roman" w:eastAsia="Times New Roman" w:hint="default"/>
          <w:spacing w:val="-2"/>
        </w:rPr>
        <w:t>1,200</w:t>
      </w:r>
      <w:r>
        <w:rPr>
          <w:spacing w:val="-2"/>
        </w:rPr>
        <w:t>万元且每年不超过</w:t>
      </w:r>
      <w:r>
        <w:rPr>
          <w:rFonts w:ascii="Times New Roman" w:hAnsi="Times New Roman" w:cs="Times New Roman" w:eastAsia="Times New Roman" w:hint="default"/>
          <w:spacing w:val="-2"/>
        </w:rPr>
        <w:t>500</w:t>
      </w:r>
      <w:r>
        <w:rPr>
          <w:spacing w:val="-2"/>
        </w:rPr>
        <w:t>万元（税前）；（</w:t>
      </w:r>
      <w:r>
        <w:rPr>
          <w:rFonts w:ascii="Times New Roman" w:hAnsi="Times New Roman" w:cs="Times New Roman" w:eastAsia="Times New Roman" w:hint="default"/>
          <w:spacing w:val="-2"/>
        </w:rPr>
        <w:t>2</w:t>
      </w:r>
      <w:r>
        <w:rPr>
          <w:spacing w:val="-2"/>
        </w:rPr>
        <w:t>）若</w:t>
      </w:r>
      <w:r>
        <w:rPr>
          <w:spacing w:val="-95"/>
        </w:rPr>
        <w:t> </w:t>
      </w:r>
      <w:r>
        <w:rPr/>
        <w:t>扣除上述政府补助后，当年度非经常性损益为负数，则该负数值需从上述政府补助里冲减。</w:t>
      </w:r>
      <w:r>
        <w:rPr>
          <w:rFonts w:ascii="Times New Roman" w:hAnsi="Times New Roman" w:cs="Times New Roman" w:eastAsia="Times New Roman" w:hint="default"/>
        </w:rPr>
        <w:t>s</w:t>
      </w:r>
    </w:p>
    <w:p>
      <w:pPr>
        <w:spacing w:before="66"/>
        <w:ind w:left="154" w:right="1972"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300" w:lineRule="auto" w:before="115"/>
        <w:ind w:left="154" w:right="1194" w:firstLine="0"/>
        <w:jc w:val="left"/>
        <w:rPr>
          <w:rFonts w:ascii="宋体" w:hAnsi="宋体" w:cs="宋体" w:eastAsia="宋体" w:hint="default"/>
          <w:sz w:val="18"/>
          <w:szCs w:val="18"/>
        </w:rPr>
      </w:pPr>
      <w:r>
        <w:rPr>
          <w:rFonts w:ascii="宋体" w:hAnsi="宋体" w:cs="宋体" w:eastAsia="宋体" w:hint="default"/>
          <w:sz w:val="18"/>
          <w:szCs w:val="18"/>
        </w:rPr>
        <w:t>维恩贝特</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年度和</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年度和</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年度经过调整后的净利润分别为</w:t>
      </w:r>
      <w:r>
        <w:rPr>
          <w:rFonts w:ascii="Times New Roman" w:hAnsi="Times New Roman" w:cs="Times New Roman" w:eastAsia="Times New Roman" w:hint="default"/>
          <w:sz w:val="18"/>
          <w:szCs w:val="18"/>
        </w:rPr>
        <w:t>3,357.93</w:t>
      </w:r>
      <w:r>
        <w:rPr>
          <w:rFonts w:ascii="宋体" w:hAnsi="宋体" w:cs="宋体" w:eastAsia="宋体" w:hint="default"/>
          <w:sz w:val="18"/>
          <w:szCs w:val="18"/>
        </w:rPr>
        <w:t>万元、</w:t>
      </w:r>
      <w:r>
        <w:rPr>
          <w:rFonts w:ascii="Times New Roman" w:hAnsi="Times New Roman" w:cs="Times New Roman" w:eastAsia="Times New Roman" w:hint="default"/>
          <w:sz w:val="18"/>
          <w:szCs w:val="18"/>
        </w:rPr>
        <w:t>4,778.92</w:t>
      </w:r>
      <w:r>
        <w:rPr>
          <w:rFonts w:ascii="宋体" w:hAnsi="宋体" w:cs="宋体" w:eastAsia="宋体" w:hint="default"/>
          <w:sz w:val="18"/>
          <w:szCs w:val="18"/>
        </w:rPr>
        <w:t>万元、</w:t>
      </w:r>
      <w:r>
        <w:rPr>
          <w:rFonts w:ascii="Times New Roman" w:hAnsi="Times New Roman" w:cs="Times New Roman" w:eastAsia="Times New Roman" w:hint="default"/>
          <w:sz w:val="18"/>
          <w:szCs w:val="18"/>
        </w:rPr>
        <w:t>6,472.01</w:t>
      </w:r>
      <w:r>
        <w:rPr>
          <w:rFonts w:ascii="宋体" w:hAnsi="宋体" w:cs="宋体" w:eastAsia="宋体" w:hint="default"/>
          <w:sz w:val="18"/>
          <w:szCs w:val="18"/>
        </w:rPr>
        <w:t>万元。 维恩贝特</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年度调整后的净利润为</w:t>
      </w:r>
      <w:r>
        <w:rPr>
          <w:rFonts w:ascii="Times New Roman" w:hAnsi="Times New Roman" w:cs="Times New Roman" w:eastAsia="Times New Roman" w:hint="default"/>
          <w:sz w:val="18"/>
          <w:szCs w:val="18"/>
        </w:rPr>
        <w:t>3,357.93</w:t>
      </w:r>
      <w:r>
        <w:rPr>
          <w:rFonts w:ascii="宋体" w:hAnsi="宋体" w:cs="宋体" w:eastAsia="宋体" w:hint="default"/>
          <w:sz w:val="18"/>
          <w:szCs w:val="18"/>
        </w:rPr>
        <w:t>万元，低于业绩承诺</w:t>
      </w:r>
      <w:r>
        <w:rPr>
          <w:rFonts w:ascii="Times New Roman" w:hAnsi="Times New Roman" w:cs="Times New Roman" w:eastAsia="Times New Roman" w:hint="default"/>
          <w:sz w:val="18"/>
          <w:szCs w:val="18"/>
        </w:rPr>
        <w:t>3,800</w:t>
      </w:r>
      <w:r>
        <w:rPr>
          <w:rFonts w:ascii="宋体" w:hAnsi="宋体" w:cs="宋体" w:eastAsia="宋体" w:hint="default"/>
          <w:sz w:val="18"/>
          <w:szCs w:val="18"/>
        </w:rPr>
        <w:t>万元，根据业绩承诺协议</w:t>
      </w:r>
      <w:r>
        <w:rPr>
          <w:rFonts w:ascii="Times New Roman" w:hAnsi="Times New Roman" w:cs="Times New Roman" w:eastAsia="Times New Roman" w:hint="default"/>
          <w:sz w:val="18"/>
          <w:szCs w:val="18"/>
        </w:rPr>
        <w:t>“</w:t>
      </w:r>
      <w:r>
        <w:rPr>
          <w:rFonts w:ascii="宋体" w:hAnsi="宋体" w:cs="宋体" w:eastAsia="宋体" w:hint="default"/>
          <w:sz w:val="18"/>
          <w:szCs w:val="18"/>
        </w:rPr>
        <w:t>如第一年（</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年度）的 承诺净利润超过</w:t>
      </w:r>
      <w:r>
        <w:rPr>
          <w:rFonts w:ascii="Times New Roman" w:hAnsi="Times New Roman" w:cs="Times New Roman" w:eastAsia="Times New Roman" w:hint="default"/>
          <w:sz w:val="18"/>
          <w:szCs w:val="18"/>
        </w:rPr>
        <w:t>3,300</w:t>
      </w:r>
      <w:r>
        <w:rPr>
          <w:rFonts w:ascii="宋体" w:hAnsi="宋体" w:cs="宋体" w:eastAsia="宋体" w:hint="default"/>
          <w:sz w:val="18"/>
          <w:szCs w:val="18"/>
        </w:rPr>
        <w:t>万元（包含</w:t>
      </w:r>
      <w:r>
        <w:rPr>
          <w:rFonts w:ascii="Times New Roman" w:hAnsi="Times New Roman" w:cs="Times New Roman" w:eastAsia="Times New Roman" w:hint="default"/>
          <w:sz w:val="18"/>
          <w:szCs w:val="18"/>
        </w:rPr>
        <w:t>3,300</w:t>
      </w:r>
      <w:r>
        <w:rPr>
          <w:rFonts w:ascii="宋体" w:hAnsi="宋体" w:cs="宋体" w:eastAsia="宋体" w:hint="default"/>
          <w:sz w:val="18"/>
          <w:szCs w:val="18"/>
        </w:rPr>
        <w:t>万元）但少于</w:t>
      </w:r>
      <w:r>
        <w:rPr>
          <w:rFonts w:ascii="Times New Roman" w:hAnsi="Times New Roman" w:cs="Times New Roman" w:eastAsia="Times New Roman" w:hint="default"/>
          <w:sz w:val="18"/>
          <w:szCs w:val="18"/>
        </w:rPr>
        <w:t>3,800</w:t>
      </w:r>
      <w:r>
        <w:rPr>
          <w:rFonts w:ascii="宋体" w:hAnsi="宋体" w:cs="宋体" w:eastAsia="宋体" w:hint="default"/>
          <w:sz w:val="18"/>
          <w:szCs w:val="18"/>
        </w:rPr>
        <w:t>万元，则业绩承诺主体可不进行补偿</w:t>
      </w:r>
      <w:r>
        <w:rPr>
          <w:rFonts w:ascii="Times New Roman" w:hAnsi="Times New Roman" w:cs="Times New Roman" w:eastAsia="Times New Roman" w:hint="default"/>
          <w:sz w:val="18"/>
          <w:szCs w:val="18"/>
        </w:rPr>
        <w:t>”</w:t>
      </w:r>
      <w:r>
        <w:rPr>
          <w:rFonts w:ascii="宋体" w:hAnsi="宋体" w:cs="宋体" w:eastAsia="宋体" w:hint="default"/>
          <w:sz w:val="18"/>
          <w:szCs w:val="18"/>
        </w:rPr>
        <w:t>，不需要进行业绩补偿。 维恩贝特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年度经过调整后的净利润为</w:t>
      </w:r>
      <w:r>
        <w:rPr>
          <w:rFonts w:ascii="Times New Roman" w:hAnsi="Times New Roman" w:cs="Times New Roman" w:eastAsia="Times New Roman" w:hint="default"/>
          <w:sz w:val="18"/>
          <w:szCs w:val="18"/>
        </w:rPr>
        <w:t>4,778.92</w:t>
      </w:r>
      <w:r>
        <w:rPr>
          <w:rFonts w:ascii="宋体" w:hAnsi="宋体" w:cs="宋体" w:eastAsia="宋体" w:hint="default"/>
          <w:sz w:val="18"/>
          <w:szCs w:val="18"/>
        </w:rPr>
        <w:t>万元，完成了业绩承诺的</w:t>
      </w:r>
      <w:r>
        <w:rPr>
          <w:rFonts w:ascii="Times New Roman" w:hAnsi="Times New Roman" w:cs="Times New Roman" w:eastAsia="Times New Roman" w:hint="default"/>
          <w:sz w:val="18"/>
          <w:szCs w:val="18"/>
        </w:rPr>
        <w:t>4,750</w:t>
      </w:r>
      <w:r>
        <w:rPr>
          <w:rFonts w:ascii="宋体" w:hAnsi="宋体" w:cs="宋体" w:eastAsia="宋体" w:hint="default"/>
          <w:sz w:val="18"/>
          <w:szCs w:val="18"/>
        </w:rPr>
        <w:t>万元，不需要进行业绩补偿。 维恩贝特</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年度经过调整后的净利润为</w:t>
      </w:r>
      <w:r>
        <w:rPr>
          <w:rFonts w:ascii="Times New Roman" w:hAnsi="Times New Roman" w:cs="Times New Roman" w:eastAsia="Times New Roman" w:hint="default"/>
          <w:sz w:val="18"/>
          <w:szCs w:val="18"/>
        </w:rPr>
        <w:t>6,472.01</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2016-2018</w:t>
      </w:r>
      <w:r>
        <w:rPr>
          <w:rFonts w:ascii="宋体" w:hAnsi="宋体" w:cs="宋体" w:eastAsia="宋体" w:hint="default"/>
          <w:sz w:val="18"/>
          <w:szCs w:val="18"/>
        </w:rPr>
        <w:t>年度合计净利润为</w:t>
      </w:r>
      <w:r>
        <w:rPr>
          <w:rFonts w:ascii="Times New Roman" w:hAnsi="Times New Roman" w:cs="Times New Roman" w:eastAsia="Times New Roman" w:hint="default"/>
          <w:sz w:val="18"/>
          <w:szCs w:val="18"/>
        </w:rPr>
        <w:t>14,608.86</w:t>
      </w:r>
      <w:r>
        <w:rPr>
          <w:rFonts w:ascii="宋体" w:hAnsi="宋体" w:cs="宋体" w:eastAsia="宋体" w:hint="default"/>
          <w:sz w:val="18"/>
          <w:szCs w:val="18"/>
        </w:rPr>
        <w:t>万元，完成了业绩承诺的 </w:t>
      </w:r>
      <w:r>
        <w:rPr>
          <w:rFonts w:ascii="Times New Roman" w:hAnsi="Times New Roman" w:cs="Times New Roman" w:eastAsia="Times New Roman" w:hint="default"/>
          <w:sz w:val="18"/>
          <w:szCs w:val="18"/>
        </w:rPr>
        <w:t>14,490</w:t>
      </w:r>
      <w:r>
        <w:rPr>
          <w:rFonts w:ascii="宋体" w:hAnsi="宋体" w:cs="宋体" w:eastAsia="宋体" w:hint="default"/>
          <w:sz w:val="18"/>
          <w:szCs w:val="18"/>
        </w:rPr>
        <w:t>万元，不需要进行业绩补偿。</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1972"/>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3"/>
        <w:spacing w:line="240" w:lineRule="auto"/>
        <w:ind w:right="1972"/>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1972"/>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1022" w:firstLine="420"/>
        <w:jc w:val="left"/>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26</w:t>
      </w:r>
      <w:r>
        <w:rPr>
          <w:spacing w:val="-7"/>
        </w:rPr>
        <w:t>日公司召开第四届董事会第十九次会议，审议通过了《关于公司会计政策变更的议案》。</w:t>
      </w:r>
      <w:r>
        <w:rPr/>
        <w:t> 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日发布了《关于修订印发一般企业财务报表格式的通知》（财会【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w:t>
      </w:r>
      <w:r>
        <w:rPr>
          <w:spacing w:val="-34"/>
        </w:rPr>
        <w:t> </w:t>
      </w:r>
      <w:r>
        <w:rPr>
          <w:spacing w:val="-34"/>
        </w:rPr>
      </w:r>
      <w:r>
        <w:rPr/>
        <w:t>对一般企业财务报表格式进行了修订，适用于</w:t>
      </w:r>
      <w:r>
        <w:rPr>
          <w:rFonts w:ascii="Times New Roman" w:hAnsi="Times New Roman" w:cs="Times New Roman" w:eastAsia="Times New Roman" w:hint="default"/>
        </w:rPr>
        <w:t>2017</w:t>
      </w:r>
      <w:r>
        <w:rPr/>
        <w:t>年度及以后期间的财务报表。基于以上原因，公司将根 据财政部《关于修订印发一般企业财务报表格式的通知》要求编制</w:t>
      </w:r>
      <w:r>
        <w:rPr>
          <w:rFonts w:ascii="Times New Roman" w:hAnsi="Times New Roman" w:cs="Times New Roman" w:eastAsia="Times New Roman" w:hint="default"/>
        </w:rPr>
        <w:t>2017</w:t>
      </w:r>
      <w:r>
        <w:rPr/>
        <w:t>年度及以后期间的财务报表，在资 产负债表中增加</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行项目和</w:t>
      </w:r>
      <w:r>
        <w:rPr>
          <w:rFonts w:ascii="Times New Roman" w:hAnsi="Times New Roman" w:cs="Times New Roman" w:eastAsia="Times New Roman" w:hint="default"/>
        </w:rPr>
        <w:t>“</w:t>
      </w:r>
      <w:r>
        <w:rPr/>
        <w:t>持有待售负债</w:t>
      </w:r>
      <w:r>
        <w:rPr>
          <w:rFonts w:ascii="Times New Roman" w:hAnsi="Times New Roman" w:cs="Times New Roman" w:eastAsia="Times New Roman" w:hint="default"/>
        </w:rPr>
        <w:t>”</w:t>
      </w:r>
      <w:r>
        <w:rPr/>
        <w:t>行项目，在利润表中增加</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行项</w:t>
      </w:r>
    </w:p>
    <w:p>
      <w:pPr>
        <w:pStyle w:val="BodyText"/>
        <w:spacing w:line="256" w:lineRule="auto" w:before="5"/>
        <w:ind w:right="0"/>
        <w:jc w:val="left"/>
      </w:pPr>
      <w:r>
        <w:rPr>
          <w:spacing w:val="-2"/>
        </w:rPr>
        <w:t>目</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行项目</w:t>
      </w:r>
      <w:r>
        <w:rPr>
          <w:rFonts w:ascii="Times New Roman" w:hAnsi="Times New Roman" w:cs="Times New Roman" w:eastAsia="Times New Roman" w:hint="default"/>
          <w:spacing w:val="-2"/>
        </w:rPr>
        <w:t>,“</w:t>
      </w:r>
      <w:r>
        <w:rPr>
          <w:spacing w:val="-2"/>
        </w:rPr>
        <w:t>持续经营净利润</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终止经营净利润</w:t>
      </w:r>
      <w:r>
        <w:rPr>
          <w:rFonts w:ascii="Times New Roman" w:hAnsi="Times New Roman" w:cs="Times New Roman" w:eastAsia="Times New Roman" w:hint="default"/>
          <w:spacing w:val="-2"/>
        </w:rPr>
        <w:t>”</w:t>
      </w:r>
      <w:r>
        <w:rPr>
          <w:spacing w:val="-2"/>
        </w:rPr>
        <w:t>行项目。该变更仅对财务报表列示项目产生影</w:t>
      </w:r>
      <w:r>
        <w:rPr>
          <w:spacing w:val="-63"/>
        </w:rPr>
        <w:t> </w:t>
      </w:r>
      <w:r>
        <w:rPr>
          <w:spacing w:val="-63"/>
        </w:rPr>
      </w:r>
      <w:r>
        <w:rPr/>
        <w:t>响，对当期及前期列报的损益，总资产，净资产不产生影响。</w:t>
      </w:r>
    </w:p>
    <w:p>
      <w:pPr>
        <w:pStyle w:val="BodyText"/>
        <w:spacing w:line="264" w:lineRule="auto" w:before="22"/>
        <w:ind w:right="0"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日公司召开第四届董事会第二十四次会议，审议通过了《关于公司会计政策变更的 </w:t>
      </w:r>
      <w:r>
        <w:rPr>
          <w:spacing w:val="-5"/>
        </w:rPr>
        <w:t>议案》。财政部于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1"/>
        </w:rPr>
        <w:t> </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15</w:t>
      </w:r>
      <w:r>
        <w:rPr>
          <w:spacing w:val="-3"/>
        </w:rPr>
        <w:t>日发布《关于修订</w:t>
      </w:r>
      <w:r>
        <w:rPr>
          <w:rFonts w:ascii="Times New Roman" w:hAnsi="Times New Roman" w:cs="Times New Roman" w:eastAsia="Times New Roman" w:hint="default"/>
          <w:spacing w:val="-3"/>
        </w:rPr>
        <w:t>2018</w:t>
      </w:r>
      <w:r>
        <w:rPr>
          <w:spacing w:val="-3"/>
        </w:rPr>
        <w:t>年度一般企业财务报表格式的通知》（财会</w:t>
      </w:r>
      <w:r>
        <w:rPr>
          <w:rFonts w:ascii="Times New Roman" w:hAnsi="Times New Roman" w:cs="Times New Roman" w:eastAsia="Times New Roman" w:hint="default"/>
          <w:spacing w:val="-3"/>
        </w:rPr>
        <w:t>[2018]15</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号），对一般企业财务报表格式进行了修订。财会</w:t>
      </w:r>
      <w:r>
        <w:rPr>
          <w:rFonts w:ascii="Times New Roman" w:hAnsi="Times New Roman" w:cs="Times New Roman" w:eastAsia="Times New Roman" w:hint="default"/>
        </w:rPr>
        <w:t>[2018]15</w:t>
      </w:r>
      <w:r>
        <w:rPr/>
        <w:t>号规定，执行企业会计准则的非金融企业中， </w:t>
      </w:r>
      <w:r>
        <w:rPr>
          <w:spacing w:val="-1"/>
        </w:rPr>
        <w:t>尚未执行新金融准则和新收入准则的企业应当按照企业会计准则和一般企业财务报表格式（适用于尚未执</w:t>
      </w:r>
      <w:r>
        <w:rPr>
          <w:spacing w:val="-81"/>
        </w:rPr>
        <w:t> </w:t>
      </w:r>
      <w:r>
        <w:rPr>
          <w:spacing w:val="-81"/>
        </w:rPr>
      </w:r>
      <w:r>
        <w:rPr>
          <w:spacing w:val="-1"/>
        </w:rPr>
        <w:t>行新金融准则和新收入准则的企业）的要求编制财务报表。企业对不存在相应业务的报表项目可结合本企</w:t>
      </w:r>
      <w:r>
        <w:rPr>
          <w:spacing w:val="-81"/>
        </w:rPr>
        <w:t> </w:t>
      </w:r>
      <w:r>
        <w:rPr>
          <w:spacing w:val="-81"/>
        </w:rPr>
      </w:r>
      <w:r>
        <w:rPr>
          <w:spacing w:val="-1"/>
        </w:rPr>
        <w:t>业的实际情况进行必要删减，企业根据重要性原则并结合本企业的实际情况可以对确需单独列示的内容增</w:t>
      </w:r>
      <w:r>
        <w:rPr>
          <w:spacing w:val="-81"/>
        </w:rPr>
        <w:t> </w:t>
      </w:r>
      <w:r>
        <w:rPr>
          <w:spacing w:val="-81"/>
        </w:rPr>
      </w:r>
      <w:r>
        <w:rPr/>
        <w:t>加报表项目。根据财会</w:t>
      </w:r>
      <w:r>
        <w:rPr>
          <w:rFonts w:ascii="Times New Roman" w:hAnsi="Times New Roman" w:cs="Times New Roman" w:eastAsia="Times New Roman" w:hint="default"/>
        </w:rPr>
        <w:t>[2018]15</w:t>
      </w:r>
      <w:r>
        <w:rPr/>
        <w:t>号文件的要求，公司需对会计政策相关内容进行相应调整，按照该文件规 定的一般企业财务报表格式（适用于尚未执行新金融准则和新收入准则的企业）编制公司的财务报表。</w:t>
      </w:r>
    </w:p>
    <w:p>
      <w:pPr>
        <w:pStyle w:val="BodyText"/>
        <w:spacing w:line="256" w:lineRule="auto" w:before="16"/>
        <w:ind w:right="0" w:firstLine="420"/>
        <w:jc w:val="left"/>
      </w:pPr>
      <w:r>
        <w:rPr/>
        <w:t>根据财会</w:t>
      </w:r>
      <w:r>
        <w:rPr>
          <w:rFonts w:ascii="Times New Roman" w:hAnsi="Times New Roman" w:cs="Times New Roman" w:eastAsia="Times New Roman" w:hint="default"/>
        </w:rPr>
        <w:t>[2018]15</w:t>
      </w:r>
      <w:r>
        <w:rPr/>
        <w:t>号文件的要求，公司调整以下财务报表项目的列示，并对可比会计期间的比较数据 进行相应调整：</w:t>
      </w:r>
    </w:p>
    <w:p>
      <w:pPr>
        <w:pStyle w:val="BodyText"/>
        <w:spacing w:line="240" w:lineRule="auto" w:before="22"/>
        <w:ind w:left="574" w:right="1972"/>
        <w:jc w:val="left"/>
      </w:pPr>
      <w:r>
        <w:rPr>
          <w:rFonts w:ascii="Times New Roman" w:hAnsi="Times New Roman" w:cs="Times New Roman" w:eastAsia="Times New Roman" w:hint="default"/>
        </w:rPr>
        <w:t>1</w:t>
      </w:r>
      <w:r>
        <w:rPr/>
        <w:t>、原 </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项目；</w:t>
      </w:r>
    </w:p>
    <w:p>
      <w:pPr>
        <w:pStyle w:val="BodyText"/>
        <w:spacing w:line="240" w:lineRule="auto" w:before="21"/>
        <w:ind w:left="574" w:right="1972"/>
        <w:jc w:val="left"/>
      </w:pPr>
      <w:r>
        <w:rPr>
          <w:rFonts w:ascii="Times New Roman" w:hAnsi="Times New Roman" w:cs="Times New Roman" w:eastAsia="Times New Roman" w:hint="default"/>
        </w:rPr>
        <w:t>2</w:t>
      </w:r>
      <w:r>
        <w:rPr/>
        <w:t>、原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w:t>
      </w:r>
    </w:p>
    <w:p>
      <w:pPr>
        <w:pStyle w:val="BodyText"/>
        <w:spacing w:line="240" w:lineRule="auto" w:before="21"/>
        <w:ind w:left="574" w:right="1972"/>
        <w:jc w:val="left"/>
      </w:pPr>
      <w:r>
        <w:rPr>
          <w:rFonts w:ascii="Times New Roman" w:hAnsi="Times New Roman" w:cs="Times New Roman" w:eastAsia="Times New Roman" w:hint="default"/>
        </w:rPr>
        <w:t>3</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w:t>
      </w:r>
    </w:p>
    <w:p>
      <w:pPr>
        <w:pStyle w:val="BodyText"/>
        <w:spacing w:line="240" w:lineRule="auto" w:before="21"/>
        <w:ind w:left="574" w:right="1972"/>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p>
    <w:p>
      <w:pPr>
        <w:pStyle w:val="BodyText"/>
        <w:spacing w:line="240" w:lineRule="auto" w:before="21"/>
        <w:ind w:left="574" w:right="1972"/>
        <w:jc w:val="left"/>
      </w:pPr>
      <w:r>
        <w:rPr>
          <w:rFonts w:ascii="Times New Roman" w:hAnsi="Times New Roman" w:cs="Times New Roman" w:eastAsia="Times New Roman" w:hint="default"/>
        </w:rPr>
        <w:t>5</w:t>
      </w:r>
      <w:r>
        <w:rPr/>
        <w:t>、原 </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项目；</w:t>
      </w:r>
    </w:p>
    <w:p>
      <w:pPr>
        <w:pStyle w:val="BodyText"/>
        <w:spacing w:line="240" w:lineRule="auto" w:before="21"/>
        <w:ind w:left="574" w:right="1972"/>
        <w:jc w:val="left"/>
      </w:pPr>
      <w:r>
        <w:rPr>
          <w:rFonts w:ascii="Times New Roman" w:hAnsi="Times New Roman" w:cs="Times New Roman" w:eastAsia="Times New Roman" w:hint="default"/>
        </w:rPr>
        <w:t>6</w:t>
      </w:r>
      <w:r>
        <w:rPr/>
        <w:t>、原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w:t>
      </w:r>
    </w:p>
    <w:p>
      <w:pPr>
        <w:pStyle w:val="BodyText"/>
        <w:spacing w:line="240" w:lineRule="auto" w:before="21"/>
        <w:ind w:left="574" w:right="1972"/>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w:t>
      </w:r>
    </w:p>
    <w:p>
      <w:pPr>
        <w:pStyle w:val="BodyText"/>
        <w:spacing w:line="240" w:lineRule="auto" w:before="21"/>
        <w:ind w:left="574" w:right="1972"/>
        <w:jc w:val="left"/>
      </w:pPr>
      <w:r>
        <w:rPr>
          <w:rFonts w:ascii="Times New Roman" w:hAnsi="Times New Roman" w:cs="Times New Roman" w:eastAsia="Times New Roman" w:hint="default"/>
        </w:rPr>
        <w:t>8</w:t>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项目，原计入</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项目的研发费用单独列示</w:t>
      </w:r>
    </w:p>
    <w:p>
      <w:pPr>
        <w:pStyle w:val="BodyText"/>
        <w:spacing w:line="256" w:lineRule="auto" w:before="21"/>
        <w:ind w:left="574" w:right="0"/>
        <w:jc w:val="left"/>
      </w:pPr>
      <w:r>
        <w:rPr>
          <w:rFonts w:ascii="Times New Roman" w:hAnsi="Times New Roman" w:cs="Times New Roman" w:eastAsia="Times New Roman" w:hint="default"/>
        </w:rPr>
        <w:t>9</w:t>
      </w: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 </w:t>
      </w:r>
      <w:r>
        <w:rPr>
          <w:spacing w:val="-1"/>
        </w:rPr>
        <w:t>除上述项目变动影响外，本次会计政策变更不涉及对公司以前年度的追溯调整。本次会计政策变更不</w:t>
      </w:r>
    </w:p>
    <w:p>
      <w:pPr>
        <w:pStyle w:val="BodyText"/>
        <w:spacing w:line="240" w:lineRule="auto" w:before="22"/>
        <w:ind w:right="1972"/>
        <w:jc w:val="left"/>
      </w:pPr>
      <w:r>
        <w:rPr/>
        <w:t>会对当期和会计政策变更前公司总资产、负债总额、净资产及净利润产生任何影响。</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1972"/>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2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报告期内新设控股孙公司合肥迪科数金人才服务有限公司，注销子公司深圳市前海吉源供应链有限公司。</w:t>
      </w:r>
    </w:p>
    <w:p>
      <w:pPr>
        <w:spacing w:line="240" w:lineRule="auto" w:before="7"/>
        <w:rPr>
          <w:rFonts w:ascii="宋体" w:hAnsi="宋体" w:cs="宋体" w:eastAsia="宋体" w:hint="default"/>
          <w:sz w:val="19"/>
          <w:szCs w:val="19"/>
        </w:rPr>
      </w:pPr>
    </w:p>
    <w:p>
      <w:pPr>
        <w:pStyle w:val="Heading3"/>
        <w:spacing w:line="240" w:lineRule="auto"/>
        <w:ind w:right="1972"/>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陈勇、吕红涛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972"/>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1972"/>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1972"/>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6"/>
        <w:rPr>
          <w:rFonts w:ascii="宋体" w:hAnsi="宋体" w:cs="宋体" w:eastAsia="宋体" w:hint="default"/>
          <w:sz w:val="19"/>
          <w:szCs w:val="19"/>
        </w:rPr>
      </w:pPr>
    </w:p>
    <w:p>
      <w:pPr>
        <w:pStyle w:val="Heading3"/>
        <w:spacing w:line="240" w:lineRule="auto"/>
        <w:ind w:right="1972"/>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3"/>
        <w:spacing w:line="240" w:lineRule="auto"/>
        <w:ind w:right="1972"/>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公司第一大股东陈友先生不存在诉讼事项，不存在较大数额债务到期未清偿的情况。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1972"/>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574" w:right="1972"/>
        <w:jc w:val="left"/>
      </w:pPr>
      <w:r>
        <w:rPr/>
        <w:t>（一）报告期内股权激励计划履行情况</w:t>
      </w:r>
    </w:p>
    <w:p>
      <w:pPr>
        <w:pStyle w:val="BodyText"/>
        <w:spacing w:line="261" w:lineRule="auto" w:before="37"/>
        <w:ind w:right="1131"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日，公司第四届董事会第十九次会议、第四届监事会第十六次会议审议通过了《关于</w:t>
      </w:r>
      <w:r>
        <w:rPr/>
        <w:t> </w:t>
      </w:r>
      <w:r>
        <w:rPr>
          <w:spacing w:val="-1"/>
        </w:rPr>
        <w:t>回购注销已不符合激励条件激励对象已获授但尚未解锁的限制性股票的议案》。因公司限制性股票激励计</w:t>
      </w:r>
      <w:r>
        <w:rPr>
          <w:spacing w:val="-81"/>
        </w:rPr>
        <w:t> </w:t>
      </w:r>
      <w:r>
        <w:rPr>
          <w:spacing w:val="-81"/>
        </w:rPr>
      </w:r>
      <w:r>
        <w:rPr>
          <w:spacing w:val="-6"/>
        </w:rPr>
        <w:t>划激励对象（吴亚军、熊英、孔翔天、黄有卿、邱永波、王明波、郭俊龙、徐宏伟、赵魏来、曹宇、赵超、</w:t>
      </w:r>
      <w:r>
        <w:rPr>
          <w:spacing w:val="-61"/>
        </w:rPr>
        <w:t> </w:t>
      </w:r>
      <w:r>
        <w:rPr>
          <w:spacing w:val="-61"/>
        </w:rPr>
      </w:r>
      <w:r>
        <w:rPr>
          <w:spacing w:val="-1"/>
        </w:rPr>
        <w:t>郭大朋、曹伟、荣世雨、杨高峰、郑宇）共</w:t>
      </w:r>
      <w:r>
        <w:rPr>
          <w:rFonts w:ascii="Times New Roman" w:hAnsi="Times New Roman" w:cs="Times New Roman" w:eastAsia="Times New Roman" w:hint="default"/>
          <w:spacing w:val="-1"/>
        </w:rPr>
        <w:t>16</w:t>
      </w:r>
      <w:r>
        <w:rPr>
          <w:spacing w:val="-1"/>
        </w:rPr>
        <w:t>人因个人原因离职，已不符合激励条件，其已获授但尚未解</w:t>
      </w:r>
      <w:r>
        <w:rPr>
          <w:spacing w:val="-85"/>
        </w:rPr>
        <w:t> </w:t>
      </w:r>
      <w:r>
        <w:rPr>
          <w:spacing w:val="-85"/>
        </w:rPr>
      </w:r>
      <w:r>
        <w:rPr>
          <w:spacing w:val="-2"/>
        </w:rPr>
        <w:t>锁的限制性股票合计</w:t>
      </w:r>
      <w:r>
        <w:rPr>
          <w:rFonts w:ascii="Times New Roman" w:hAnsi="Times New Roman" w:cs="Times New Roman" w:eastAsia="Times New Roman" w:hint="default"/>
          <w:spacing w:val="-2"/>
        </w:rPr>
        <w:t>308,980</w:t>
      </w:r>
      <w:r>
        <w:rPr>
          <w:spacing w:val="-2"/>
        </w:rPr>
        <w:t>股将全部注销。基于</w:t>
      </w:r>
      <w:r>
        <w:rPr>
          <w:rFonts w:ascii="Times New Roman" w:hAnsi="Times New Roman" w:cs="Times New Roman" w:eastAsia="Times New Roman" w:hint="default"/>
          <w:spacing w:val="-2"/>
        </w:rPr>
        <w:t>2017</w:t>
      </w:r>
      <w:r>
        <w:rPr>
          <w:spacing w:val="-2"/>
        </w:rPr>
        <w:t>年度考核情况，将注销缪定文、付强、黄铭铭、赵其</w:t>
      </w:r>
      <w:r>
        <w:rPr>
          <w:spacing w:val="-80"/>
        </w:rPr>
        <w:t> </w:t>
      </w:r>
      <w:r>
        <w:rPr>
          <w:spacing w:val="-80"/>
        </w:rPr>
      </w:r>
      <w:r>
        <w:rPr>
          <w:spacing w:val="-2"/>
        </w:rPr>
        <w:t>峰</w:t>
      </w:r>
      <w:r>
        <w:rPr>
          <w:rFonts w:ascii="Times New Roman" w:hAnsi="Times New Roman" w:cs="Times New Roman" w:eastAsia="Times New Roman" w:hint="default"/>
          <w:spacing w:val="-2"/>
        </w:rPr>
        <w:t>4</w:t>
      </w:r>
      <w:r>
        <w:rPr>
          <w:spacing w:val="-2"/>
        </w:rPr>
        <w:t>人已获授但尚未解锁的第二期限制性股票合计</w:t>
      </w:r>
      <w:r>
        <w:rPr>
          <w:rFonts w:ascii="Times New Roman" w:hAnsi="Times New Roman" w:cs="Times New Roman" w:eastAsia="Times New Roman" w:hint="default"/>
          <w:spacing w:val="-2"/>
        </w:rPr>
        <w:t>39,000</w:t>
      </w:r>
      <w:r>
        <w:rPr>
          <w:spacing w:val="-2"/>
        </w:rPr>
        <w:t>股。本次拟注销的已获授但尚未解锁的限制性股票</w:t>
      </w:r>
      <w:r>
        <w:rPr>
          <w:spacing w:val="-83"/>
        </w:rPr>
        <w:t> </w:t>
      </w:r>
      <w:r>
        <w:rPr>
          <w:spacing w:val="-83"/>
        </w:rPr>
      </w:r>
      <w:r>
        <w:rPr/>
        <w:t>共计</w:t>
      </w:r>
      <w:r>
        <w:rPr>
          <w:rFonts w:ascii="Times New Roman" w:hAnsi="Times New Roman" w:cs="Times New Roman" w:eastAsia="Times New Roman" w:hint="default"/>
        </w:rPr>
        <w:t>347,980</w:t>
      </w:r>
      <w:r>
        <w:rPr/>
        <w:t>股，回购价格为每股</w:t>
      </w:r>
      <w:r>
        <w:rPr>
          <w:rFonts w:ascii="Times New Roman" w:hAnsi="Times New Roman" w:cs="Times New Roman" w:eastAsia="Times New Roman" w:hint="default"/>
        </w:rPr>
        <w:t>8.6249783</w:t>
      </w:r>
      <w:r>
        <w:rPr/>
        <w:t>元。</w:t>
      </w:r>
    </w:p>
    <w:p>
      <w:pPr>
        <w:pStyle w:val="BodyText"/>
        <w:spacing w:line="240" w:lineRule="auto" w:before="0"/>
        <w:ind w:left="574" w:right="0"/>
        <w:jc w:val="left"/>
      </w:pPr>
      <w:r>
        <w:rPr>
          <w:spacing w:val="8"/>
        </w:rPr>
        <w:t>经过本次调整，公司限制性股票激励计划授予的限制性股票数量（不含已解锁的第一期）调整为</w:t>
      </w:r>
    </w:p>
    <w:p>
      <w:pPr>
        <w:pStyle w:val="BodyText"/>
        <w:spacing w:line="240" w:lineRule="auto" w:before="37"/>
        <w:ind w:right="1972"/>
        <w:jc w:val="left"/>
      </w:pPr>
      <w:r>
        <w:rPr>
          <w:rFonts w:ascii="Times New Roman" w:hAnsi="Times New Roman" w:cs="Times New Roman" w:eastAsia="Times New Roman" w:hint="default"/>
        </w:rPr>
        <w:t>8,047,680</w:t>
      </w:r>
      <w:r>
        <w:rPr/>
        <w:t>股，限制性股票激励计划调整为</w:t>
      </w:r>
      <w:r>
        <w:rPr>
          <w:rFonts w:ascii="Times New Roman" w:hAnsi="Times New Roman" w:cs="Times New Roman" w:eastAsia="Times New Roman" w:hint="default"/>
        </w:rPr>
        <w:t>377</w:t>
      </w:r>
      <w:r>
        <w:rPr/>
        <w:t>人。</w:t>
      </w:r>
    </w:p>
    <w:p>
      <w:pPr>
        <w:pStyle w:val="BodyText"/>
        <w:spacing w:line="261" w:lineRule="auto" w:before="21"/>
        <w:ind w:right="1130" w:firstLine="42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日，公司第四届董事会第二十一次会议、第四届监事会第十八次会议审议通过了《关</w:t>
      </w:r>
      <w:r>
        <w:rPr/>
        <w:t> </w:t>
      </w:r>
      <w:r>
        <w:rPr>
          <w:spacing w:val="-1"/>
        </w:rPr>
        <w:t>于回购注销已不符合激励条件激励对象已获授但尚未解锁的限制性股票的议案》。因公司限制性股票激励</w:t>
      </w:r>
      <w:r>
        <w:rPr>
          <w:spacing w:val="-81"/>
        </w:rPr>
        <w:t> </w:t>
      </w:r>
      <w:r>
        <w:rPr>
          <w:spacing w:val="-81"/>
        </w:rPr>
      </w:r>
      <w:r>
        <w:rPr/>
        <w:t>计划激励对象（蔡大军、黄胜、廖小荣、文明海、江卫、丰伟、詹文涛、谭琛）共</w:t>
      </w:r>
      <w:r>
        <w:rPr>
          <w:rFonts w:ascii="Times New Roman" w:hAnsi="Times New Roman" w:cs="Times New Roman" w:eastAsia="Times New Roman" w:hint="default"/>
        </w:rPr>
        <w:t>8</w:t>
      </w:r>
      <w:r>
        <w:rPr/>
        <w:t>人因个人原因离职，</w:t>
      </w:r>
      <w:r>
        <w:rPr>
          <w:spacing w:val="-25"/>
        </w:rPr>
        <w:t> </w:t>
      </w:r>
      <w:r>
        <w:rPr>
          <w:spacing w:val="-25"/>
        </w:rPr>
      </w:r>
      <w:r>
        <w:rPr>
          <w:spacing w:val="15"/>
        </w:rPr>
        <w:t>已不符合激励条件，其已获授但尚未解锁的限制性股票合计将</w:t>
      </w:r>
      <w:r>
        <w:rPr>
          <w:spacing w:val="-73"/>
        </w:rPr>
        <w:t> </w:t>
      </w:r>
      <w:r>
        <w:rPr>
          <w:rFonts w:ascii="Times New Roman" w:hAnsi="Times New Roman" w:cs="Times New Roman" w:eastAsia="Times New Roman" w:hint="default"/>
          <w:spacing w:val="10"/>
        </w:rPr>
        <w:t>81,480</w:t>
      </w:r>
      <w:r>
        <w:rPr>
          <w:spacing w:val="10"/>
        </w:rPr>
        <w:t>股全部注销，回购价格为每股</w:t>
      </w:r>
      <w:r>
        <w:rPr>
          <w:spacing w:val="-93"/>
        </w:rPr>
        <w:t> </w:t>
      </w:r>
      <w:r>
        <w:rPr>
          <w:spacing w:val="-93"/>
        </w:rPr>
      </w:r>
      <w:r>
        <w:rPr>
          <w:rFonts w:ascii="Times New Roman" w:hAnsi="Times New Roman" w:cs="Times New Roman" w:eastAsia="Times New Roman" w:hint="default"/>
        </w:rPr>
        <w:t>8.5849129</w:t>
      </w:r>
      <w:r>
        <w:rPr/>
        <w:t>元。</w:t>
      </w:r>
    </w:p>
    <w:p>
      <w:pPr>
        <w:pStyle w:val="BodyText"/>
        <w:spacing w:line="256" w:lineRule="auto" w:before="0"/>
        <w:ind w:right="1130" w:firstLine="420"/>
        <w:jc w:val="both"/>
      </w:pPr>
      <w:r>
        <w:rPr>
          <w:spacing w:val="-1"/>
        </w:rPr>
        <w:t>经过本次调整，限制性股票激励计划授予的限制性股票数量（不含已解锁的第一期）调整为</w:t>
      </w:r>
      <w:r>
        <w:rPr>
          <w:rFonts w:ascii="Times New Roman" w:hAnsi="Times New Roman" w:cs="Times New Roman" w:eastAsia="Times New Roman" w:hint="default"/>
          <w:spacing w:val="-1"/>
        </w:rPr>
        <w:t>7,966,200</w:t>
      </w:r>
      <w:r>
        <w:rPr>
          <w:rFonts w:ascii="Times New Roman" w:hAnsi="Times New Roman" w:cs="Times New Roman" w:eastAsia="Times New Roman" w:hint="default"/>
        </w:rPr>
        <w:t> </w:t>
      </w:r>
      <w:r>
        <w:rPr/>
        <w:t>股，授予对象调整为</w:t>
      </w:r>
      <w:r>
        <w:rPr>
          <w:rFonts w:ascii="Times New Roman" w:hAnsi="Times New Roman" w:cs="Times New Roman" w:eastAsia="Times New Roman" w:hint="default"/>
        </w:rPr>
        <w:t>369</w:t>
      </w:r>
      <w:r>
        <w:rPr/>
        <w:t>人。</w:t>
      </w:r>
    </w:p>
    <w:p>
      <w:pPr>
        <w:pStyle w:val="BodyText"/>
        <w:spacing w:line="256" w:lineRule="auto" w:before="5"/>
        <w:ind w:right="1131" w:firstLine="42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日，第四届董事会第二十一次会议和第四届监事会第十八次会议审议通过了《关于限</w:t>
      </w:r>
      <w:r>
        <w:rPr/>
        <w:t> 制性股票激励计划第二个解锁期解锁条件成就的议案》，同意</w:t>
      </w:r>
      <w:r>
        <w:rPr>
          <w:rFonts w:ascii="Times New Roman" w:hAnsi="Times New Roman" w:cs="Times New Roman" w:eastAsia="Times New Roman" w:hint="default"/>
        </w:rPr>
        <w:t>365</w:t>
      </w:r>
      <w:r>
        <w:rPr/>
        <w:t>名激励对象在限制性股票激励计划第二</w:t>
      </w:r>
      <w:r>
        <w:rPr>
          <w:spacing w:val="-29"/>
        </w:rPr>
        <w:t> </w:t>
      </w:r>
      <w:r>
        <w:rPr>
          <w:spacing w:val="-29"/>
        </w:rPr>
      </w:r>
      <w:r>
        <w:rPr/>
        <w:t>个解锁期解锁限制性股票</w:t>
      </w:r>
      <w:r>
        <w:rPr>
          <w:rFonts w:ascii="Times New Roman" w:hAnsi="Times New Roman" w:cs="Times New Roman" w:eastAsia="Times New Roman" w:hint="default"/>
        </w:rPr>
        <w:t>3,391,800</w:t>
      </w:r>
      <w:r>
        <w:rPr/>
        <w:t>股。</w:t>
      </w:r>
    </w:p>
    <w:p>
      <w:pPr>
        <w:pStyle w:val="BodyText"/>
        <w:spacing w:line="256" w:lineRule="auto" w:before="5"/>
        <w:ind w:right="1130" w:firstLine="42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日，公司</w:t>
      </w:r>
      <w:r>
        <w:rPr>
          <w:rFonts w:ascii="Times New Roman" w:hAnsi="Times New Roman" w:cs="Times New Roman" w:eastAsia="Times New Roman" w:hint="default"/>
          <w:spacing w:val="-1"/>
        </w:rPr>
        <w:t>2016</w:t>
      </w:r>
      <w:r>
        <w:rPr>
          <w:spacing w:val="-1"/>
        </w:rPr>
        <w:t>年股权激励限制性股票第二个解锁期共计</w:t>
      </w:r>
      <w:r>
        <w:rPr>
          <w:rFonts w:ascii="Times New Roman" w:hAnsi="Times New Roman" w:cs="Times New Roman" w:eastAsia="Times New Roman" w:hint="default"/>
          <w:spacing w:val="-1"/>
        </w:rPr>
        <w:t>3,391,800</w:t>
      </w:r>
      <w:r>
        <w:rPr>
          <w:spacing w:val="-1"/>
        </w:rPr>
        <w:t>股已解除限售，实际</w:t>
      </w:r>
      <w:r>
        <w:rPr/>
        <w:t> 可上市流通数量为</w:t>
      </w:r>
      <w:r>
        <w:rPr>
          <w:rFonts w:ascii="Times New Roman" w:hAnsi="Times New Roman" w:cs="Times New Roman" w:eastAsia="Times New Roman" w:hint="default"/>
        </w:rPr>
        <w:t>3,179,325</w:t>
      </w:r>
      <w:r>
        <w:rPr/>
        <w:t>股。</w:t>
      </w:r>
    </w:p>
    <w:p>
      <w:pPr>
        <w:pStyle w:val="BodyText"/>
        <w:spacing w:line="261" w:lineRule="auto" w:before="5"/>
        <w:ind w:right="1130" w:firstLine="42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日，第四届董事会第二十四次会议和第四届监事会第二十一次会议审议通过了《关 </w:t>
      </w:r>
      <w:r>
        <w:rPr>
          <w:spacing w:val="-1"/>
        </w:rPr>
        <w:t>于回购注销已不符合激励条件激励对象已获授但尚未解锁的限制性股票的议案》。因公司限制性股票激励</w:t>
      </w:r>
      <w:r>
        <w:rPr>
          <w:spacing w:val="-80"/>
        </w:rPr>
        <w:t> </w:t>
      </w:r>
      <w:r>
        <w:rPr>
          <w:spacing w:val="-80"/>
        </w:rPr>
      </w:r>
      <w:r>
        <w:rPr>
          <w:spacing w:val="-3"/>
        </w:rPr>
        <w:t>计划激励对象（孔德风、代慧、邓远杰、黄河、刘招才、李筠、陶国洪、汤东来）共</w:t>
      </w:r>
      <w:r>
        <w:rPr>
          <w:rFonts w:ascii="Times New Roman" w:hAnsi="Times New Roman" w:cs="Times New Roman" w:eastAsia="Times New Roman" w:hint="default"/>
          <w:spacing w:val="-3"/>
        </w:rPr>
        <w:t>8</w:t>
      </w:r>
      <w:r>
        <w:rPr>
          <w:spacing w:val="-3"/>
        </w:rPr>
        <w:t>人因个人原因离职，</w:t>
      </w:r>
      <w:r>
        <w:rPr>
          <w:spacing w:val="-96"/>
        </w:rPr>
        <w:t> </w:t>
      </w:r>
      <w:r>
        <w:rPr>
          <w:spacing w:val="-96"/>
        </w:rPr>
      </w:r>
      <w:r>
        <w:rPr>
          <w:spacing w:val="15"/>
        </w:rPr>
        <w:t>已不符合激励条件，其已获授但尚未解锁的限制性股票合计</w:t>
      </w:r>
      <w:r>
        <w:rPr>
          <w:spacing w:val="-79"/>
        </w:rPr>
        <w:t> </w:t>
      </w:r>
      <w:r>
        <w:rPr>
          <w:rFonts w:ascii="Times New Roman" w:hAnsi="Times New Roman" w:cs="Times New Roman" w:eastAsia="Times New Roman" w:hint="default"/>
          <w:spacing w:val="11"/>
        </w:rPr>
        <w:t>69,440</w:t>
      </w:r>
      <w:r>
        <w:rPr>
          <w:spacing w:val="11"/>
        </w:rPr>
        <w:t>股将全部注销，回购价格为每股</w:t>
      </w:r>
      <w:r>
        <w:rPr>
          <w:spacing w:val="-102"/>
        </w:rPr>
        <w:t> </w:t>
      </w:r>
      <w:r>
        <w:rPr>
          <w:spacing w:val="-102"/>
        </w:rPr>
      </w:r>
      <w:r>
        <w:rPr>
          <w:rFonts w:ascii="Times New Roman" w:hAnsi="Times New Roman" w:cs="Times New Roman" w:eastAsia="Times New Roman" w:hint="default"/>
        </w:rPr>
        <w:t>8.5849129</w:t>
      </w:r>
      <w:r>
        <w:rPr/>
        <w:t>元。</w:t>
      </w:r>
    </w:p>
    <w:p>
      <w:pPr>
        <w:pStyle w:val="BodyText"/>
        <w:spacing w:line="240" w:lineRule="auto" w:before="0"/>
        <w:ind w:left="574" w:right="0"/>
        <w:jc w:val="left"/>
      </w:pPr>
      <w:r>
        <w:rPr/>
        <w:t>经过本次调整，限制性股票激励计划授予的限制性股票数量（不含已解锁的第一期、第二期）调整为</w:t>
      </w:r>
    </w:p>
    <w:p>
      <w:pPr>
        <w:pStyle w:val="BodyText"/>
        <w:spacing w:line="240" w:lineRule="auto" w:before="37"/>
        <w:ind w:right="1972"/>
        <w:jc w:val="left"/>
      </w:pPr>
      <w:r>
        <w:rPr>
          <w:rFonts w:ascii="Times New Roman" w:hAnsi="Times New Roman" w:cs="Times New Roman" w:eastAsia="Times New Roman" w:hint="default"/>
        </w:rPr>
        <w:t>4,504,960</w:t>
      </w:r>
      <w:r>
        <w:rPr/>
        <w:t>股，授予对象调整为</w:t>
      </w:r>
      <w:r>
        <w:rPr>
          <w:rFonts w:ascii="Times New Roman" w:hAnsi="Times New Roman" w:cs="Times New Roman" w:eastAsia="Times New Roman" w:hint="default"/>
        </w:rPr>
        <w:t>361</w:t>
      </w:r>
      <w:r>
        <w:rPr/>
        <w:t>人。</w:t>
      </w:r>
    </w:p>
    <w:p>
      <w:pPr>
        <w:spacing w:line="240" w:lineRule="auto" w:before="6"/>
        <w:rPr>
          <w:rFonts w:ascii="宋体" w:hAnsi="宋体" w:cs="宋体" w:eastAsia="宋体" w:hint="default"/>
          <w:sz w:val="25"/>
          <w:szCs w:val="25"/>
        </w:rPr>
      </w:pPr>
    </w:p>
    <w:p>
      <w:pPr>
        <w:pStyle w:val="BodyText"/>
        <w:spacing w:line="240" w:lineRule="auto" w:before="0"/>
        <w:ind w:left="574" w:right="1972"/>
        <w:jc w:val="left"/>
      </w:pPr>
      <w:r>
        <w:rPr/>
        <w:t>（二）股权激励事项临时报告披露网站查询</w:t>
      </w:r>
    </w:p>
    <w:p>
      <w:pPr>
        <w:spacing w:line="240" w:lineRule="auto" w:before="13"/>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3285"/>
        <w:gridCol w:w="3285"/>
        <w:gridCol w:w="3286"/>
      </w:tblGrid>
      <w:tr>
        <w:trPr>
          <w:trHeight w:val="347" w:hRule="exact"/>
        </w:trPr>
        <w:tc>
          <w:tcPr>
            <w:tcW w:w="32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临时公告名称</w:t>
            </w:r>
            <w:r>
              <w:rPr>
                <w:rFonts w:ascii="宋体" w:hAnsi="宋体" w:cs="宋体" w:eastAsia="宋体" w:hint="default"/>
                <w:sz w:val="21"/>
                <w:szCs w:val="21"/>
              </w:rPr>
            </w:r>
          </w:p>
        </w:tc>
        <w:tc>
          <w:tcPr>
            <w:tcW w:w="32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792" w:right="0"/>
              <w:jc w:val="left"/>
              <w:rPr>
                <w:rFonts w:ascii="宋体" w:hAnsi="宋体" w:cs="宋体" w:eastAsia="宋体" w:hint="default"/>
                <w:sz w:val="21"/>
                <w:szCs w:val="21"/>
              </w:rPr>
            </w:pPr>
            <w:r>
              <w:rPr>
                <w:rFonts w:ascii="宋体" w:hAnsi="宋体" w:cs="宋体" w:eastAsia="宋体" w:hint="default"/>
                <w:b/>
                <w:bCs/>
                <w:sz w:val="21"/>
                <w:szCs w:val="21"/>
              </w:rPr>
              <w:t>临时公告披露日期</w:t>
            </w:r>
            <w:r>
              <w:rPr>
                <w:rFonts w:ascii="宋体" w:hAnsi="宋体" w:cs="宋体" w:eastAsia="宋体" w:hint="default"/>
                <w:sz w:val="21"/>
                <w:szCs w:val="21"/>
              </w:rPr>
            </w:r>
          </w:p>
        </w:tc>
        <w:tc>
          <w:tcPr>
            <w:tcW w:w="3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临时公告披露索引</w:t>
            </w:r>
            <w:r>
              <w:rPr>
                <w:rFonts w:ascii="宋体" w:hAnsi="宋体" w:cs="宋体" w:eastAsia="宋体" w:hint="default"/>
                <w:sz w:val="21"/>
                <w:szCs w:val="21"/>
              </w:rPr>
            </w:r>
          </w:p>
        </w:tc>
      </w:tr>
      <w:tr>
        <w:trPr>
          <w:trHeight w:val="972"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7"/>
              <w:jc w:val="both"/>
              <w:rPr>
                <w:rFonts w:ascii="宋体" w:hAnsi="宋体" w:cs="宋体" w:eastAsia="宋体" w:hint="default"/>
                <w:sz w:val="21"/>
                <w:szCs w:val="21"/>
              </w:rPr>
            </w:pPr>
            <w:r>
              <w:rPr>
                <w:rFonts w:ascii="宋体" w:hAnsi="宋体" w:cs="宋体" w:eastAsia="宋体" w:hint="default"/>
                <w:sz w:val="21"/>
                <w:szCs w:val="21"/>
              </w:rPr>
              <w:t>关于回购注销已不符合激励条件激 励对象已获授但尚未解锁的限制性 股票的公告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3" w:right="89"/>
              <w:jc w:val="left"/>
              <w:rPr>
                <w:rFonts w:ascii="宋体" w:hAnsi="宋体" w:cs="宋体" w:eastAsia="宋体" w:hint="default"/>
                <w:sz w:val="21"/>
                <w:szCs w:val="21"/>
              </w:rPr>
            </w:pPr>
            <w:r>
              <w:rPr>
                <w:rFonts w:ascii="宋体" w:hAnsi="宋体" w:cs="宋体" w:eastAsia="宋体" w:hint="default"/>
                <w:sz w:val="21"/>
                <w:szCs w:val="21"/>
              </w:rPr>
              <w:t>巨潮资讯网</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告</w:t>
            </w:r>
            <w:r>
              <w:rPr>
                <w:rFonts w:ascii="Times New Roman" w:hAnsi="Times New Roman" w:cs="Times New Roman" w:eastAsia="Times New Roman" w:hint="default"/>
                <w:sz w:val="21"/>
                <w:szCs w:val="21"/>
              </w:rPr>
              <w:t>2018-21</w:t>
            </w:r>
            <w:r>
              <w:rPr>
                <w:rFonts w:ascii="宋体" w:hAnsi="宋体" w:cs="宋体" w:eastAsia="宋体" w:hint="default"/>
                <w:sz w:val="21"/>
                <w:szCs w:val="21"/>
              </w:rPr>
              <w:t>）</w:t>
            </w:r>
          </w:p>
        </w:tc>
      </w:tr>
      <w:tr>
        <w:trPr>
          <w:trHeight w:val="971"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7"/>
              <w:jc w:val="both"/>
              <w:rPr>
                <w:rFonts w:ascii="宋体" w:hAnsi="宋体" w:cs="宋体" w:eastAsia="宋体" w:hint="default"/>
                <w:sz w:val="21"/>
                <w:szCs w:val="21"/>
              </w:rPr>
            </w:pPr>
            <w:r>
              <w:rPr>
                <w:rFonts w:ascii="宋体" w:hAnsi="宋体" w:cs="宋体" w:eastAsia="宋体" w:hint="default"/>
                <w:sz w:val="21"/>
                <w:szCs w:val="21"/>
              </w:rPr>
              <w:t>关于回购注销已不符合激励条件激 励对象已获授但尚未解锁的限制性 股票的公告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3" w:right="89"/>
              <w:jc w:val="left"/>
              <w:rPr>
                <w:rFonts w:ascii="宋体" w:hAnsi="宋体" w:cs="宋体" w:eastAsia="宋体" w:hint="default"/>
                <w:sz w:val="21"/>
                <w:szCs w:val="21"/>
              </w:rPr>
            </w:pPr>
            <w:r>
              <w:rPr>
                <w:rFonts w:ascii="宋体" w:hAnsi="宋体" w:cs="宋体" w:eastAsia="宋体" w:hint="default"/>
                <w:sz w:val="21"/>
                <w:szCs w:val="21"/>
              </w:rPr>
              <w:t>巨潮资讯网</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告</w:t>
            </w:r>
            <w:r>
              <w:rPr>
                <w:rFonts w:ascii="Times New Roman" w:hAnsi="Times New Roman" w:cs="Times New Roman" w:eastAsia="Times New Roman" w:hint="default"/>
                <w:sz w:val="21"/>
                <w:szCs w:val="21"/>
              </w:rPr>
              <w:t>2018-40</w:t>
            </w:r>
            <w:r>
              <w:rPr>
                <w:rFonts w:ascii="宋体" w:hAnsi="宋体" w:cs="宋体" w:eastAsia="宋体" w:hint="default"/>
                <w:sz w:val="21"/>
                <w:szCs w:val="21"/>
              </w:rPr>
              <w:t>）</w:t>
            </w:r>
          </w:p>
        </w:tc>
      </w:tr>
      <w:tr>
        <w:trPr>
          <w:trHeight w:val="65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7"/>
              <w:jc w:val="left"/>
              <w:rPr>
                <w:rFonts w:ascii="宋体" w:hAnsi="宋体" w:cs="宋体" w:eastAsia="宋体" w:hint="default"/>
                <w:sz w:val="21"/>
                <w:szCs w:val="21"/>
              </w:rPr>
            </w:pPr>
            <w:r>
              <w:rPr>
                <w:rFonts w:ascii="宋体" w:hAnsi="宋体" w:cs="宋体" w:eastAsia="宋体" w:hint="default"/>
                <w:sz w:val="21"/>
                <w:szCs w:val="21"/>
              </w:rPr>
              <w:t>关于限制性股票激励计划第二个解 锁期解锁条件成就的公告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3" w:right="89"/>
              <w:jc w:val="left"/>
              <w:rPr>
                <w:rFonts w:ascii="宋体" w:hAnsi="宋体" w:cs="宋体" w:eastAsia="宋体" w:hint="default"/>
                <w:sz w:val="21"/>
                <w:szCs w:val="21"/>
              </w:rPr>
            </w:pPr>
            <w:r>
              <w:rPr>
                <w:rFonts w:ascii="宋体" w:hAnsi="宋体" w:cs="宋体" w:eastAsia="宋体" w:hint="default"/>
                <w:sz w:val="21"/>
                <w:szCs w:val="21"/>
              </w:rPr>
              <w:t>巨潮资讯网</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告</w:t>
            </w:r>
            <w:r>
              <w:rPr>
                <w:rFonts w:ascii="Times New Roman" w:hAnsi="Times New Roman" w:cs="Times New Roman" w:eastAsia="Times New Roman" w:hint="default"/>
                <w:sz w:val="21"/>
                <w:szCs w:val="21"/>
              </w:rPr>
              <w:t>2018-39</w:t>
            </w:r>
            <w:r>
              <w:rPr>
                <w:rFonts w:ascii="宋体" w:hAnsi="宋体" w:cs="宋体" w:eastAsia="宋体" w:hint="default"/>
                <w:sz w:val="21"/>
                <w:szCs w:val="21"/>
              </w:rPr>
              <w:t>）</w:t>
            </w:r>
          </w:p>
        </w:tc>
      </w:tr>
      <w:tr>
        <w:trPr>
          <w:trHeight w:val="348"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13"/>
              <w:jc w:val="center"/>
              <w:rPr>
                <w:rFonts w:ascii="宋体" w:hAnsi="宋体" w:cs="宋体" w:eastAsia="宋体" w:hint="default"/>
                <w:sz w:val="21"/>
                <w:szCs w:val="21"/>
              </w:rPr>
            </w:pPr>
            <w:r>
              <w:rPr>
                <w:rFonts w:ascii="宋体" w:hAnsi="宋体" w:cs="宋体" w:eastAsia="宋体" w:hint="default"/>
                <w:sz w:val="21"/>
                <w:szCs w:val="21"/>
              </w:rPr>
              <w:t>关于限制性股票激励计划第二个解</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84"/>
              <w:jc w:val="center"/>
              <w:rPr>
                <w:rFonts w:ascii="宋体" w:hAnsi="宋体" w:cs="宋体" w:eastAsia="宋体" w:hint="default"/>
                <w:sz w:val="21"/>
                <w:szCs w:val="21"/>
              </w:rPr>
            </w:pPr>
            <w:r>
              <w:rPr>
                <w:rFonts w:ascii="宋体" w:hAnsi="宋体" w:cs="宋体" w:eastAsia="宋体" w:hint="default"/>
                <w:sz w:val="21"/>
                <w:szCs w:val="21"/>
              </w:rPr>
              <w:t>巨潮资讯网</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（公</w:t>
            </w:r>
          </w:p>
        </w:tc>
      </w:tr>
    </w:tbl>
    <w:p>
      <w:pPr>
        <w:spacing w:after="0" w:line="287"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3285"/>
        <w:gridCol w:w="3285"/>
        <w:gridCol w:w="3286"/>
      </w:tblGrid>
      <w:tr>
        <w:trPr>
          <w:trHeight w:val="34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锁期股份上市流通的提示性公告</w:t>
            </w:r>
          </w:p>
        </w:tc>
        <w:tc>
          <w:tcPr>
            <w:tcW w:w="3285" w:type="dxa"/>
            <w:tcBorders>
              <w:top w:val="single" w:sz="6" w:space="0" w:color="000000"/>
              <w:left w:val="single" w:sz="6" w:space="0" w:color="000000"/>
              <w:bottom w:val="single" w:sz="6" w:space="0" w:color="000000"/>
              <w:right w:val="single" w:sz="6" w:space="0" w:color="000000"/>
            </w:tcBorders>
          </w:tcPr>
          <w:p>
            <w:pP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 w:right="0"/>
              <w:jc w:val="left"/>
              <w:rPr>
                <w:rFonts w:ascii="宋体" w:hAnsi="宋体" w:cs="宋体" w:eastAsia="宋体" w:hint="default"/>
                <w:sz w:val="21"/>
                <w:szCs w:val="21"/>
              </w:rPr>
            </w:pPr>
            <w:r>
              <w:rPr>
                <w:rFonts w:ascii="宋体" w:hAnsi="宋体" w:cs="宋体" w:eastAsia="宋体" w:hint="default"/>
                <w:sz w:val="21"/>
                <w:szCs w:val="21"/>
              </w:rPr>
              <w:t>告</w:t>
            </w:r>
            <w:r>
              <w:rPr>
                <w:rFonts w:ascii="Times New Roman" w:hAnsi="Times New Roman" w:cs="Times New Roman" w:eastAsia="Times New Roman" w:hint="default"/>
                <w:sz w:val="21"/>
                <w:szCs w:val="21"/>
              </w:rPr>
              <w:t>2018-44</w:t>
            </w:r>
            <w:r>
              <w:rPr>
                <w:rFonts w:ascii="宋体" w:hAnsi="宋体" w:cs="宋体" w:eastAsia="宋体" w:hint="default"/>
                <w:sz w:val="21"/>
                <w:szCs w:val="21"/>
              </w:rPr>
              <w:t>）</w:t>
            </w:r>
          </w:p>
        </w:tc>
      </w:tr>
      <w:tr>
        <w:trPr>
          <w:trHeight w:val="972"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7"/>
              <w:jc w:val="both"/>
              <w:rPr>
                <w:rFonts w:ascii="宋体" w:hAnsi="宋体" w:cs="宋体" w:eastAsia="宋体" w:hint="default"/>
                <w:sz w:val="21"/>
                <w:szCs w:val="21"/>
              </w:rPr>
            </w:pPr>
            <w:r>
              <w:rPr>
                <w:rFonts w:ascii="宋体" w:hAnsi="宋体" w:cs="宋体" w:eastAsia="宋体" w:hint="default"/>
                <w:sz w:val="21"/>
                <w:szCs w:val="21"/>
              </w:rPr>
              <w:t>关于回购注销已不符合激励条件激 励对象已获授但尚未解锁的限制性 股票的公告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3" w:right="89"/>
              <w:jc w:val="left"/>
              <w:rPr>
                <w:rFonts w:ascii="宋体" w:hAnsi="宋体" w:cs="宋体" w:eastAsia="宋体" w:hint="default"/>
                <w:sz w:val="21"/>
                <w:szCs w:val="21"/>
              </w:rPr>
            </w:pPr>
            <w:r>
              <w:rPr>
                <w:rFonts w:ascii="宋体" w:hAnsi="宋体" w:cs="宋体" w:eastAsia="宋体" w:hint="default"/>
                <w:sz w:val="21"/>
                <w:szCs w:val="21"/>
              </w:rPr>
              <w:t>巨潮资讯网</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告</w:t>
            </w:r>
            <w:r>
              <w:rPr>
                <w:rFonts w:ascii="Times New Roman" w:hAnsi="Times New Roman" w:cs="Times New Roman" w:eastAsia="Times New Roman" w:hint="default"/>
                <w:sz w:val="21"/>
                <w:szCs w:val="21"/>
              </w:rPr>
              <w:t>2018-65</w:t>
            </w:r>
            <w:r>
              <w:rPr>
                <w:rFonts w:ascii="宋体" w:hAnsi="宋体" w:cs="宋体" w:eastAsia="宋体" w:hint="default"/>
                <w:sz w:val="21"/>
                <w:szCs w:val="21"/>
              </w:rPr>
              <w:t>）</w:t>
            </w:r>
          </w:p>
        </w:tc>
      </w:tr>
    </w:tbl>
    <w:p>
      <w:pPr>
        <w:spacing w:line="240" w:lineRule="auto" w:before="5"/>
        <w:rPr>
          <w:rFonts w:ascii="宋体" w:hAnsi="宋体" w:cs="宋体" w:eastAsia="宋体" w:hint="default"/>
          <w:sz w:val="24"/>
          <w:szCs w:val="24"/>
        </w:rPr>
      </w:pPr>
    </w:p>
    <w:p>
      <w:pPr>
        <w:spacing w:line="292" w:lineRule="auto" w:before="44"/>
        <w:ind w:left="574" w:right="0" w:hanging="420"/>
        <w:jc w:val="left"/>
        <w:rPr>
          <w:rFonts w:ascii="宋体" w:hAnsi="宋体" w:cs="宋体" w:eastAsia="宋体" w:hint="default"/>
          <w:sz w:val="21"/>
          <w:szCs w:val="21"/>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w:t>
      </w:r>
      <w:r>
        <w:rPr>
          <w:rFonts w:ascii="宋体" w:hAnsi="宋体" w:cs="宋体" w:eastAsia="宋体" w:hint="default"/>
          <w:sz w:val="21"/>
          <w:szCs w:val="21"/>
        </w:rPr>
        <w:t>实施股权激励计划对公司本报告期及以后各年度财务状况和经营成果的影响：</w:t>
      </w:r>
      <w:r>
        <w:rPr>
          <w:rFonts w:ascii="宋体" w:hAnsi="宋体" w:cs="宋体" w:eastAsia="宋体" w:hint="default"/>
          <w:sz w:val="21"/>
          <w:szCs w:val="21"/>
        </w:rPr>
        <w:t> </w:t>
      </w:r>
      <w:r>
        <w:rPr>
          <w:rFonts w:ascii="宋体" w:hAnsi="宋体" w:cs="宋体" w:eastAsia="宋体" w:hint="default"/>
          <w:spacing w:val="-1"/>
          <w:sz w:val="21"/>
          <w:szCs w:val="21"/>
        </w:rPr>
        <w:t>根据《企业会计准则第</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号</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股份支付》和《企业会计准则第</w:t>
      </w:r>
      <w:r>
        <w:rPr>
          <w:rFonts w:ascii="Times New Roman" w:hAnsi="Times New Roman" w:cs="Times New Roman" w:eastAsia="Times New Roman" w:hint="default"/>
          <w:spacing w:val="-1"/>
          <w:sz w:val="21"/>
          <w:szCs w:val="21"/>
        </w:rPr>
        <w:t>22</w:t>
      </w:r>
      <w:r>
        <w:rPr>
          <w:rFonts w:ascii="宋体" w:hAnsi="宋体" w:cs="宋体" w:eastAsia="宋体" w:hint="default"/>
          <w:spacing w:val="-1"/>
          <w:sz w:val="21"/>
          <w:szCs w:val="21"/>
        </w:rPr>
        <w:t>号</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金融工具确认和计量》中关</w:t>
      </w:r>
    </w:p>
    <w:p>
      <w:pPr>
        <w:pStyle w:val="BodyText"/>
        <w:spacing w:line="245" w:lineRule="exact" w:before="0"/>
        <w:ind w:right="0"/>
        <w:jc w:val="left"/>
      </w:pPr>
      <w:r>
        <w:rPr/>
        <w:t>于公允价值确定的相关规定，企业需要选择适当的估值模型对限制性股票的公允价值进行计算，按照《企</w:t>
      </w:r>
    </w:p>
    <w:p>
      <w:pPr>
        <w:pStyle w:val="BodyText"/>
        <w:spacing w:line="266" w:lineRule="auto" w:before="37"/>
        <w:ind w:right="1131"/>
        <w:jc w:val="both"/>
      </w:pPr>
      <w:r>
        <w:rPr>
          <w:spacing w:val="-1"/>
        </w:rPr>
        <w:t>业会计准则第</w:t>
      </w:r>
      <w:r>
        <w:rPr>
          <w:rFonts w:ascii="Times New Roman" w:hAnsi="Times New Roman" w:cs="Times New Roman" w:eastAsia="Times New Roman" w:hint="default"/>
          <w:spacing w:val="-1"/>
        </w:rPr>
        <w:t>11</w:t>
      </w:r>
      <w:r>
        <w:rPr>
          <w:spacing w:val="-1"/>
        </w:rPr>
        <w:t>号－股份支付》的规定，公司将在禁售期的每个资产负债表日，根据最新取得的可解锁人</w:t>
      </w:r>
      <w:r>
        <w:rPr>
          <w:spacing w:val="-84"/>
        </w:rPr>
        <w:t> </w:t>
      </w:r>
      <w:r>
        <w:rPr>
          <w:spacing w:val="-84"/>
        </w:rPr>
      </w:r>
      <w:r>
        <w:rPr>
          <w:spacing w:val="-1"/>
        </w:rPr>
        <w:t>数变动、业绩指标完成情况等后续信息，修正预计可解锁的限制性股票数量，并按照限制性股票授予日的</w:t>
      </w:r>
      <w:r>
        <w:rPr>
          <w:spacing w:val="-83"/>
        </w:rPr>
        <w:t> </w:t>
      </w:r>
      <w:r>
        <w:rPr>
          <w:spacing w:val="-83"/>
        </w:rPr>
      </w:r>
      <w:r>
        <w:rPr>
          <w:spacing w:val="-1"/>
        </w:rPr>
        <w:t>公允价值，最终确认本计划的股份支付费用，该等费用将在本计划的实施过程中按照解锁比例进行分期确</w:t>
      </w:r>
      <w:r>
        <w:rPr>
          <w:spacing w:val="-81"/>
        </w:rPr>
        <w:t> </w:t>
      </w:r>
      <w:r>
        <w:rPr>
          <w:spacing w:val="-81"/>
        </w:rPr>
      </w:r>
      <w:r>
        <w:rPr/>
        <w:t>认。</w:t>
      </w:r>
    </w:p>
    <w:p>
      <w:pPr>
        <w:pStyle w:val="BodyText"/>
        <w:spacing w:line="256" w:lineRule="auto" w:before="14"/>
        <w:ind w:right="0" w:firstLine="420"/>
        <w:jc w:val="left"/>
      </w:pPr>
      <w:r>
        <w:rPr/>
        <w:t>董事会已确定激励计划的授予日为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日，未来将根据授予日限制性股票的公允价值总额确 认激励成本。</w:t>
      </w:r>
    </w:p>
    <w:p>
      <w:pPr>
        <w:pStyle w:val="BodyText"/>
        <w:spacing w:line="256" w:lineRule="auto" w:before="22"/>
        <w:ind w:right="1118" w:firstLine="420"/>
        <w:jc w:val="left"/>
      </w:pPr>
      <w:r>
        <w:rPr/>
        <w:t>经测算，预计公司此次股权激励财务成本为</w:t>
      </w:r>
      <w:r>
        <w:rPr>
          <w:rFonts w:ascii="Times New Roman" w:hAnsi="Times New Roman" w:cs="Times New Roman" w:eastAsia="Times New Roman" w:hint="default"/>
        </w:rPr>
        <w:t>1,628.01</w:t>
      </w:r>
      <w:r>
        <w:rPr/>
        <w:t>万元，则激励成本在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年的摊销情况 见下表：</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610"/>
        <w:gridCol w:w="2003"/>
        <w:gridCol w:w="2070"/>
        <w:gridCol w:w="1890"/>
        <w:gridCol w:w="2026"/>
      </w:tblGrid>
      <w:tr>
        <w:trPr>
          <w:trHeight w:val="427" w:hRule="exact"/>
        </w:trPr>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28"/>
              <w:jc w:val="center"/>
              <w:rPr>
                <w:rFonts w:ascii="宋体" w:hAnsi="宋体" w:cs="宋体" w:eastAsia="宋体" w:hint="default"/>
                <w:sz w:val="18"/>
                <w:szCs w:val="18"/>
              </w:rPr>
            </w:pPr>
            <w:r>
              <w:rPr>
                <w:rFonts w:ascii="宋体" w:hAnsi="宋体" w:cs="宋体" w:eastAsia="宋体" w:hint="default"/>
                <w:sz w:val="18"/>
                <w:szCs w:val="18"/>
              </w:rPr>
              <w:t>摊销总金额（万元）</w:t>
            </w:r>
          </w:p>
        </w:tc>
        <w:tc>
          <w:tcPr>
            <w:tcW w:w="2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75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0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r>
      <w:tr>
        <w:trPr>
          <w:trHeight w:val="428"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1,628.01</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689.32</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737"/>
              <w:jc w:val="right"/>
              <w:rPr>
                <w:rFonts w:ascii="Times New Roman" w:hAnsi="Times New Roman" w:cs="Times New Roman" w:eastAsia="Times New Roman" w:hint="default"/>
                <w:sz w:val="21"/>
                <w:szCs w:val="21"/>
              </w:rPr>
            </w:pPr>
            <w:r>
              <w:rPr>
                <w:rFonts w:ascii="Times New Roman"/>
                <w:sz w:val="21"/>
              </w:rPr>
              <w:t>639.31</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47" w:right="0"/>
              <w:jc w:val="left"/>
              <w:rPr>
                <w:rFonts w:ascii="Times New Roman" w:hAnsi="Times New Roman" w:cs="Times New Roman" w:eastAsia="Times New Roman" w:hint="default"/>
                <w:sz w:val="21"/>
                <w:szCs w:val="21"/>
              </w:rPr>
            </w:pPr>
            <w:r>
              <w:rPr>
                <w:rFonts w:ascii="Times New Roman"/>
                <w:sz w:val="21"/>
              </w:rPr>
              <w:t>228.91</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67" w:right="0"/>
              <w:jc w:val="left"/>
              <w:rPr>
                <w:rFonts w:ascii="Times New Roman" w:hAnsi="Times New Roman" w:cs="Times New Roman" w:eastAsia="Times New Roman" w:hint="default"/>
                <w:sz w:val="21"/>
                <w:szCs w:val="21"/>
              </w:rPr>
            </w:pPr>
            <w:r>
              <w:rPr>
                <w:rFonts w:ascii="Times New Roman"/>
                <w:sz w:val="21"/>
              </w:rPr>
              <w:t>70.47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3"/>
        <w:spacing w:line="240" w:lineRule="auto" w:before="26"/>
        <w:ind w:right="1972"/>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89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广州天源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987.92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987.92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3" w:right="0"/>
              <w:jc w:val="center"/>
              <w:rPr>
                <w:rFonts w:ascii="Times New Roman" w:hAnsi="Times New Roman" w:cs="Times New Roman" w:eastAsia="Times New Roman" w:hint="default"/>
                <w:sz w:val="18"/>
                <w:szCs w:val="18"/>
              </w:rPr>
            </w:pPr>
            <w:r>
              <w:rPr>
                <w:rFonts w:ascii="Times New Roman"/>
                <w:sz w:val="18"/>
              </w:rPr>
              <w:t>53.41%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316" w:lineRule="auto" w:before="65"/>
              <w:ind w:left="22" w:right="71"/>
              <w:jc w:val="both"/>
              <w:rPr>
                <w:rFonts w:ascii="宋体" w:hAnsi="宋体" w:cs="宋体" w:eastAsia="宋体" w:hint="default"/>
                <w:sz w:val="18"/>
                <w:szCs w:val="18"/>
              </w:rPr>
            </w:pPr>
            <w:r>
              <w:rPr>
                <w:rFonts w:ascii="宋体" w:hAnsi="宋体" w:cs="宋体" w:eastAsia="宋体" w:hint="default"/>
                <w:sz w:val="18"/>
                <w:szCs w:val="18"/>
              </w:rPr>
              <w:t>年度日 常性关 联交易 预计的 议案</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5"/>
              <w:jc w:val="both"/>
              <w:rPr>
                <w:rFonts w:ascii="宋体" w:hAnsi="宋体" w:cs="宋体" w:eastAsia="宋体" w:hint="default"/>
                <w:sz w:val="18"/>
                <w:szCs w:val="18"/>
              </w:rPr>
            </w:pPr>
            <w:r>
              <w:rPr>
                <w:rFonts w:ascii="宋体" w:hAnsi="宋体" w:cs="宋体" w:eastAsia="宋体" w:hint="default"/>
                <w:sz w:val="18"/>
                <w:szCs w:val="18"/>
              </w:rPr>
              <w:t>北京信邦 安达信息 科技股份</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227.22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12.29%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年度日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92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1"/>
              <w:jc w:val="both"/>
              <w:rPr>
                <w:rFonts w:ascii="宋体" w:hAnsi="宋体" w:cs="宋体" w:eastAsia="宋体" w:hint="default"/>
                <w:sz w:val="18"/>
                <w:szCs w:val="18"/>
              </w:rPr>
            </w:pPr>
            <w:r>
              <w:rPr>
                <w:rFonts w:ascii="宋体" w:hAnsi="宋体" w:cs="宋体" w:eastAsia="宋体" w:hint="default"/>
                <w:sz w:val="18"/>
                <w:szCs w:val="18"/>
              </w:rPr>
              <w:t>常性关 联交易 预计的 议案</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289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深州市汇 巨信息技 术有限公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9"/>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88.42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316" w:lineRule="auto" w:before="65"/>
              <w:ind w:left="22" w:right="71"/>
              <w:jc w:val="both"/>
              <w:rPr>
                <w:rFonts w:ascii="宋体" w:hAnsi="宋体" w:cs="宋体" w:eastAsia="宋体" w:hint="default"/>
                <w:sz w:val="18"/>
                <w:szCs w:val="18"/>
              </w:rPr>
            </w:pPr>
            <w:r>
              <w:rPr>
                <w:rFonts w:ascii="宋体" w:hAnsi="宋体" w:cs="宋体" w:eastAsia="宋体" w:hint="default"/>
                <w:sz w:val="18"/>
                <w:szCs w:val="18"/>
              </w:rPr>
              <w:t>年度日 常性关 联交易 预计的 议案</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289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深州市汇 巨信息技 术有限公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9"/>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316" w:lineRule="auto" w:before="65"/>
              <w:ind w:left="22" w:right="71"/>
              <w:jc w:val="both"/>
              <w:rPr>
                <w:rFonts w:ascii="宋体" w:hAnsi="宋体" w:cs="宋体" w:eastAsia="宋体" w:hint="default"/>
                <w:sz w:val="18"/>
                <w:szCs w:val="18"/>
              </w:rPr>
            </w:pPr>
            <w:r>
              <w:rPr>
                <w:rFonts w:ascii="宋体" w:hAnsi="宋体" w:cs="宋体" w:eastAsia="宋体" w:hint="default"/>
                <w:sz w:val="18"/>
                <w:szCs w:val="18"/>
              </w:rPr>
              <w:t>年度日 常性关 联交易 预计的 议案</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289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45"/>
              <w:jc w:val="both"/>
              <w:rPr>
                <w:rFonts w:ascii="宋体" w:hAnsi="宋体" w:cs="宋体" w:eastAsia="宋体" w:hint="default"/>
                <w:sz w:val="18"/>
                <w:szCs w:val="18"/>
              </w:rPr>
            </w:pPr>
            <w:r>
              <w:rPr>
                <w:rFonts w:ascii="宋体" w:hAnsi="宋体" w:cs="宋体" w:eastAsia="宋体" w:hint="default"/>
                <w:sz w:val="18"/>
                <w:szCs w:val="18"/>
              </w:rPr>
              <w:t>北京江融 信科技有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2"/>
              <w:jc w:val="both"/>
              <w:rPr>
                <w:rFonts w:ascii="宋体" w:hAnsi="宋体" w:cs="宋体" w:eastAsia="宋体" w:hint="default"/>
                <w:sz w:val="18"/>
                <w:szCs w:val="18"/>
              </w:rPr>
            </w:pPr>
            <w:r>
              <w:rPr>
                <w:rFonts w:ascii="宋体" w:hAnsi="宋体" w:cs="宋体" w:eastAsia="宋体" w:hint="default"/>
                <w:sz w:val="18"/>
                <w:szCs w:val="18"/>
              </w:rPr>
              <w:t>子公司 参股公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9"/>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435.73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316" w:lineRule="auto" w:before="65"/>
              <w:ind w:left="22" w:right="71"/>
              <w:jc w:val="both"/>
              <w:rPr>
                <w:rFonts w:ascii="宋体" w:hAnsi="宋体" w:cs="宋体" w:eastAsia="宋体" w:hint="default"/>
                <w:sz w:val="18"/>
                <w:szCs w:val="18"/>
              </w:rPr>
            </w:pPr>
            <w:r>
              <w:rPr>
                <w:rFonts w:ascii="宋体" w:hAnsi="宋体" w:cs="宋体" w:eastAsia="宋体" w:hint="default"/>
                <w:sz w:val="18"/>
                <w:szCs w:val="18"/>
              </w:rPr>
              <w:t>年度日 常性关 联交易 预计的 议案</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289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深圳市科 陆电子科 技股份有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2"/>
              <w:jc w:val="left"/>
              <w:rPr>
                <w:rFonts w:ascii="宋体" w:hAnsi="宋体" w:cs="宋体" w:eastAsia="宋体" w:hint="default"/>
                <w:sz w:val="18"/>
                <w:szCs w:val="18"/>
              </w:rPr>
            </w:pPr>
            <w:r>
              <w:rPr>
                <w:rFonts w:ascii="宋体" w:hAnsi="宋体" w:cs="宋体" w:eastAsia="宋体" w:hint="default"/>
                <w:sz w:val="18"/>
                <w:szCs w:val="18"/>
              </w:rPr>
              <w:t>关联董 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9"/>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2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现金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关于增 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9" w:lineRule="auto"/>
              <w:ind w:left="22" w:right="71"/>
              <w:jc w:val="both"/>
              <w:rPr>
                <w:rFonts w:ascii="宋体" w:hAnsi="宋体" w:cs="宋体" w:eastAsia="宋体" w:hint="default"/>
                <w:sz w:val="18"/>
                <w:szCs w:val="18"/>
              </w:rPr>
            </w:pPr>
            <w:r>
              <w:rPr>
                <w:rFonts w:ascii="宋体" w:hAnsi="宋体" w:cs="宋体" w:eastAsia="宋体" w:hint="default"/>
                <w:sz w:val="18"/>
                <w:szCs w:val="18"/>
              </w:rPr>
              <w:t>年度日 常性关 联交易 预计的 议案</w:t>
            </w:r>
          </w:p>
          <w:p>
            <w:pPr>
              <w:pStyle w:val="TableParagraph"/>
              <w:spacing w:line="240" w:lineRule="auto" w:before="1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1,849.5</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845"/>
        <w:gridCol w:w="680"/>
        <w:gridCol w:w="674"/>
        <w:gridCol w:w="674"/>
        <w:gridCol w:w="674"/>
        <w:gridCol w:w="674"/>
        <w:gridCol w:w="674"/>
        <w:gridCol w:w="675"/>
        <w:gridCol w:w="673"/>
        <w:gridCol w:w="671"/>
        <w:gridCol w:w="644"/>
      </w:tblGrid>
      <w:tr>
        <w:trPr>
          <w:trHeight w:val="362"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1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日，深圳天源迪科信息技术股份有限公司第四届董事会第十九次会议</w:t>
            </w:r>
          </w:p>
          <w:p>
            <w:pPr>
              <w:pStyle w:val="TableParagraph"/>
              <w:spacing w:line="307" w:lineRule="auto" w:before="61"/>
              <w:ind w:left="16" w:right="21"/>
              <w:jc w:val="both"/>
              <w:rPr>
                <w:rFonts w:ascii="宋体" w:hAnsi="宋体" w:cs="宋体" w:eastAsia="宋体" w:hint="default"/>
                <w:sz w:val="18"/>
                <w:szCs w:val="18"/>
              </w:rPr>
            </w:pPr>
            <w:r>
              <w:rPr>
                <w:rFonts w:ascii="宋体" w:hAnsi="宋体" w:cs="宋体" w:eastAsia="宋体" w:hint="default"/>
                <w:spacing w:val="-1"/>
                <w:sz w:val="18"/>
                <w:szCs w:val="18"/>
              </w:rPr>
              <w:t>审议通过了《关于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年度日常性关联交易预计的议案》，</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1"/>
                <w:sz w:val="18"/>
                <w:szCs w:val="18"/>
              </w:rPr>
              <w:t>日，深圳</w:t>
            </w:r>
            <w:r>
              <w:rPr>
                <w:rFonts w:ascii="宋体" w:hAnsi="宋体" w:cs="宋体" w:eastAsia="宋体" w:hint="default"/>
                <w:sz w:val="18"/>
                <w:szCs w:val="18"/>
              </w:rPr>
              <w:t> 天源迪科信息技术股份有限公司第四届董事会第二十一次会议审议通过了《关于增加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年度日常性关联交易预计的议案》，报告期内，日常关联交易金额在审议通过的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预计额度内。</w:t>
            </w:r>
          </w:p>
        </w:tc>
      </w:tr>
      <w:tr>
        <w:trPr>
          <w:trHeight w:val="1017" w:hRule="exact"/>
        </w:trPr>
        <w:tc>
          <w:tcPr>
            <w:tcW w:w="28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vMerge/>
            <w:tcBorders>
              <w:left w:val="single" w:sz="9" w:space="0" w:color="D2D2D2"/>
              <w:right w:val="single" w:sz="4" w:space="0" w:color="000000"/>
            </w:tcBorders>
          </w:tcPr>
          <w:p>
            <w:pPr/>
          </w:p>
        </w:tc>
      </w:tr>
      <w:tr>
        <w:trPr>
          <w:trHeight w:val="317" w:hRule="exact"/>
        </w:trPr>
        <w:tc>
          <w:tcPr>
            <w:tcW w:w="2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14" w:type="dxa"/>
            <w:gridSpan w:val="10"/>
            <w:vMerge/>
            <w:tcBorders>
              <w:left w:val="single" w:sz="9" w:space="0" w:color="D2D2D2"/>
              <w:bottom w:val="single" w:sz="4" w:space="0" w:color="000000"/>
              <w:right w:val="single" w:sz="4" w:space="0" w:color="000000"/>
            </w:tcBorders>
          </w:tcPr>
          <w:p>
            <w:pPr/>
          </w:p>
        </w:tc>
      </w:tr>
      <w:tr>
        <w:trPr>
          <w:trHeight w:val="714"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972"/>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5"/>
        <w:spacing w:line="240" w:lineRule="auto"/>
        <w:ind w:right="1972"/>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5"/>
        <w:spacing w:line="240" w:lineRule="auto"/>
        <w:ind w:right="1972"/>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5"/>
        <w:spacing w:line="240" w:lineRule="auto"/>
        <w:ind w:right="1972"/>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3"/>
        <w:spacing w:line="240" w:lineRule="auto"/>
        <w:ind w:right="1972"/>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3"/>
        <w:rPr>
          <w:rFonts w:ascii="宋体" w:hAnsi="宋体" w:cs="宋体" w:eastAsia="宋体" w:hint="default"/>
          <w:sz w:val="21"/>
          <w:szCs w:val="21"/>
        </w:rPr>
      </w:pPr>
    </w:p>
    <w:p>
      <w:pPr>
        <w:pStyle w:val="Heading5"/>
        <w:spacing w:line="240" w:lineRule="auto"/>
        <w:ind w:right="1972"/>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5"/>
        <w:spacing w:line="240" w:lineRule="auto"/>
        <w:ind w:right="1972"/>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13"/>
        <w:gridCol w:w="916"/>
        <w:gridCol w:w="925"/>
        <w:gridCol w:w="1305"/>
        <w:gridCol w:w="1054"/>
        <w:gridCol w:w="1038"/>
        <w:gridCol w:w="1051"/>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5"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深圳市金华威数码科 技有限公司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28,000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合肥天源迪科信息技 术有限公司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合肥英泽信息科技有 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维恩贝特科技有限公 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8"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40,500</w:t>
            </w:r>
          </w:p>
        </w:tc>
      </w:tr>
      <w:tr>
        <w:trPr>
          <w:trHeight w:val="402"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09"/>
        <w:gridCol w:w="2229"/>
        <w:gridCol w:w="2093"/>
        <w:gridCol w:w="2633"/>
      </w:tblGrid>
      <w:tr>
        <w:trPr>
          <w:trHeight w:val="36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tcBorders>
              <w:top w:val="single" w:sz="4" w:space="0" w:color="000000"/>
              <w:left w:val="single" w:sz="13" w:space="0" w:color="D2D2D2"/>
              <w:bottom w:val="single" w:sz="4" w:space="0" w:color="000000"/>
              <w:right w:val="single" w:sz="9" w:space="0" w:color="D2D2D2"/>
            </w:tcBorders>
          </w:tcPr>
          <w:p>
            <w:pP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
        </w:tc>
      </w:tr>
      <w:tr>
        <w:trPr>
          <w:trHeight w:val="407"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11"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w:t>
            </w:r>
          </w:p>
        </w:tc>
      </w:tr>
      <w:tr>
        <w:trPr>
          <w:trHeight w:val="402"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2"/>
        <w:rPr>
          <w:rFonts w:ascii="宋体" w:hAnsi="宋体" w:cs="宋体" w:eastAsia="宋体" w:hint="default"/>
          <w:sz w:val="20"/>
          <w:szCs w:val="20"/>
        </w:rPr>
      </w:pPr>
    </w:p>
    <w:p>
      <w:pPr>
        <w:pStyle w:val="Heading5"/>
        <w:spacing w:line="240" w:lineRule="auto"/>
        <w:ind w:right="1972"/>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5"/>
        <w:spacing w:line="240" w:lineRule="auto"/>
        <w:ind w:right="1972"/>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pStyle w:val="Heading5"/>
        <w:spacing w:line="240" w:lineRule="auto"/>
        <w:ind w:right="1972"/>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3"/>
        <w:spacing w:line="240" w:lineRule="auto"/>
        <w:ind w:right="1972"/>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spacing w:line="547" w:lineRule="auto" w:before="0"/>
        <w:ind w:left="154" w:right="0" w:firstLine="0"/>
        <w:jc w:val="left"/>
        <w:rPr>
          <w:rFonts w:ascii="宋体" w:hAnsi="宋体" w:cs="宋体" w:eastAsia="宋体" w:hint="default"/>
          <w:sz w:val="21"/>
          <w:szCs w:val="21"/>
        </w:rPr>
      </w:pPr>
      <w:bookmarkStart w:name="1、履行社会责任情况" w:id="97"/>
      <w:bookmarkEnd w:id="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pacing w:val="-3"/>
          <w:w w:val="99"/>
          <w:sz w:val="18"/>
          <w:szCs w:val="18"/>
        </w:rPr>
        <w:t>公司</w:t>
      </w:r>
      <w:r>
        <w:rPr>
          <w:rFonts w:ascii="Times New Roman" w:hAnsi="Times New Roman" w:cs="Times New Roman" w:eastAsia="Times New Roman" w:hint="default"/>
          <w:spacing w:val="-3"/>
          <w:w w:val="99"/>
          <w:sz w:val="18"/>
          <w:szCs w:val="18"/>
        </w:rPr>
        <w:t>2018</w:t>
      </w:r>
      <w:r>
        <w:rPr>
          <w:rFonts w:ascii="宋体" w:hAnsi="宋体" w:cs="宋体" w:eastAsia="宋体" w:hint="default"/>
          <w:spacing w:val="-3"/>
          <w:w w:val="99"/>
          <w:sz w:val="18"/>
          <w:szCs w:val="18"/>
        </w:rPr>
        <w:t>年度社会责任报告已于</w:t>
      </w:r>
      <w:r>
        <w:rPr>
          <w:rFonts w:ascii="Times New Roman" w:hAnsi="Times New Roman" w:cs="Times New Roman" w:eastAsia="Times New Roman" w:hint="default"/>
          <w:spacing w:val="-3"/>
          <w:w w:val="99"/>
          <w:sz w:val="18"/>
          <w:szCs w:val="18"/>
        </w:rPr>
        <w:t>2019</w:t>
      </w:r>
      <w:r>
        <w:rPr>
          <w:rFonts w:ascii="宋体" w:hAnsi="宋体" w:cs="宋体" w:eastAsia="宋体" w:hint="default"/>
          <w:spacing w:val="-3"/>
          <w:w w:val="99"/>
          <w:sz w:val="18"/>
          <w:szCs w:val="18"/>
        </w:rPr>
        <w:t>年</w:t>
      </w:r>
      <w:r>
        <w:rPr>
          <w:rFonts w:ascii="Times New Roman" w:hAnsi="Times New Roman" w:cs="Times New Roman" w:eastAsia="Times New Roman" w:hint="default"/>
          <w:spacing w:val="-3"/>
          <w:w w:val="99"/>
          <w:sz w:val="18"/>
          <w:szCs w:val="18"/>
        </w:rPr>
        <w:t>3</w:t>
      </w:r>
      <w:r>
        <w:rPr>
          <w:rFonts w:ascii="宋体" w:hAnsi="宋体" w:cs="宋体" w:eastAsia="宋体" w:hint="default"/>
          <w:spacing w:val="-3"/>
          <w:w w:val="99"/>
          <w:sz w:val="18"/>
          <w:szCs w:val="18"/>
        </w:rPr>
        <w:t>月</w:t>
      </w:r>
      <w:r>
        <w:rPr>
          <w:rFonts w:ascii="Times New Roman" w:hAnsi="Times New Roman" w:cs="Times New Roman" w:eastAsia="Times New Roman" w:hint="default"/>
          <w:spacing w:val="-3"/>
          <w:w w:val="99"/>
          <w:sz w:val="18"/>
          <w:szCs w:val="18"/>
        </w:rPr>
        <w:t>29</w:t>
      </w:r>
      <w:r>
        <w:rPr>
          <w:rFonts w:ascii="宋体" w:hAnsi="宋体" w:cs="宋体" w:eastAsia="宋体" w:hint="default"/>
          <w:spacing w:val="-3"/>
          <w:w w:val="99"/>
          <w:sz w:val="18"/>
          <w:szCs w:val="18"/>
        </w:rPr>
        <w:t>日披露于中国证监会指定信息披露网站（巨潮资讯网</w:t>
      </w:r>
      <w:r>
        <w:rPr>
          <w:rFonts w:ascii="Times New Roman" w:hAnsi="Times New Roman" w:cs="Times New Roman" w:eastAsia="Times New Roman" w:hint="default"/>
          <w:spacing w:val="-3"/>
          <w:w w:val="99"/>
          <w:sz w:val="18"/>
          <w:szCs w:val="18"/>
        </w:rPr>
        <w:t>http</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//www.cninfo.com.cn)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9"/>
          <w:w w:val="99"/>
          <w:sz w:val="18"/>
          <w:szCs w:val="18"/>
        </w:rPr>
        <w:t> </w:t>
      </w:r>
      <w:r>
        <w:rPr>
          <w:rFonts w:ascii="Times New Roman" w:hAnsi="Times New Roman" w:cs="Times New Roman" w:eastAsia="Times New Roman" w:hint="default"/>
          <w:spacing w:val="-19"/>
          <w:w w:val="99"/>
          <w:sz w:val="18"/>
          <w:szCs w:val="18"/>
        </w:rPr>
      </w:r>
      <w:bookmarkStart w:name="2、履行精准扶贫社会责任情况" w:id="98"/>
      <w:bookmarkEnd w:id="98"/>
      <w:r>
        <w:rPr>
          <w:rFonts w:ascii="Times New Roman" w:hAnsi="Times New Roman" w:cs="Times New Roman" w:eastAsia="Times New Roman" w:hint="default"/>
          <w:spacing w:val="-19"/>
          <w:w w:val="99"/>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before="50"/>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6072" w:firstLine="0"/>
        <w:jc w:val="left"/>
        <w:rPr>
          <w:rFonts w:ascii="宋体" w:hAnsi="宋体" w:cs="宋体" w:eastAsia="宋体" w:hint="default"/>
          <w:sz w:val="18"/>
          <w:szCs w:val="18"/>
        </w:rPr>
      </w:pPr>
      <w:r>
        <w:rPr>
          <w:rFonts w:ascii="宋体" w:hAnsi="宋体" w:cs="宋体" w:eastAsia="宋体" w:hint="default"/>
          <w:sz w:val="18"/>
          <w:szCs w:val="18"/>
        </w:rPr>
        <w:t>否 公司及其子公司不属于环境保护部门公布的重点排污单位。</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7"/>
        <w:ind w:left="514" w:right="0"/>
        <w:jc w:val="left"/>
      </w:pPr>
      <w:r>
        <w:rPr>
          <w:rFonts w:ascii="Times New Roman" w:hAnsi="Times New Roman" w:cs="Times New Roman" w:eastAsia="Times New Roman" w:hint="default"/>
        </w:rPr>
        <w:t>1</w:t>
      </w:r>
      <w:r>
        <w:rPr/>
        <w:t>、报告期内减资情况 根据公司《限制性股票激励计划》（草案）</w:t>
      </w:r>
      <w:r>
        <w:rPr>
          <w:rFonts w:ascii="Times New Roman" w:hAnsi="Times New Roman" w:cs="Times New Roman" w:eastAsia="Times New Roman" w:hint="default"/>
        </w:rPr>
        <w:t>“</w:t>
      </w:r>
      <w:r>
        <w:rPr/>
        <w:t>第八章激励计划的变更与终止</w:t>
      </w:r>
      <w:r>
        <w:rPr>
          <w:rFonts w:ascii="Times New Roman" w:hAnsi="Times New Roman" w:cs="Times New Roman" w:eastAsia="Times New Roman" w:hint="default"/>
        </w:rPr>
        <w:t>”</w:t>
      </w:r>
      <w:r>
        <w:rPr/>
        <w:t>的相关规定，因公司限制</w:t>
      </w:r>
    </w:p>
    <w:p>
      <w:pPr>
        <w:pStyle w:val="BodyText"/>
        <w:spacing w:line="256" w:lineRule="auto" w:before="5"/>
        <w:ind w:right="1131"/>
        <w:jc w:val="both"/>
      </w:pPr>
      <w:r>
        <w:rPr>
          <w:spacing w:val="-1"/>
        </w:rPr>
        <w:t>性股票激励计划激励对象黄育成、刘宝珍、吴亚军、熊英、孔翔天等共</w:t>
      </w:r>
      <w:r>
        <w:rPr>
          <w:rFonts w:ascii="Times New Roman" w:hAnsi="Times New Roman" w:cs="Times New Roman" w:eastAsia="Times New Roman" w:hint="default"/>
          <w:spacing w:val="-1"/>
        </w:rPr>
        <w:t>33</w:t>
      </w:r>
      <w:r>
        <w:rPr>
          <w:spacing w:val="-1"/>
        </w:rPr>
        <w:t>人因个人原因离职，已不符合激</w:t>
      </w:r>
      <w:r>
        <w:rPr>
          <w:spacing w:val="-84"/>
        </w:rPr>
        <w:t> </w:t>
      </w:r>
      <w:r>
        <w:rPr>
          <w:spacing w:val="-84"/>
        </w:rPr>
      </w:r>
      <w:r>
        <w:rPr>
          <w:spacing w:val="-6"/>
        </w:rPr>
        <w:t>励条件，其已获授但尚未解锁的限制性股票合计</w:t>
      </w:r>
      <w:r>
        <w:rPr>
          <w:rFonts w:ascii="Times New Roman" w:hAnsi="Times New Roman" w:cs="Times New Roman" w:eastAsia="Times New Roman" w:hint="default"/>
          <w:spacing w:val="-6"/>
        </w:rPr>
        <w:t>614,410</w:t>
      </w:r>
      <w:r>
        <w:rPr>
          <w:spacing w:val="-6"/>
        </w:rPr>
        <w:t>股全部注销；基于</w:t>
      </w:r>
      <w:r>
        <w:rPr>
          <w:rFonts w:ascii="Times New Roman" w:hAnsi="Times New Roman" w:cs="Times New Roman" w:eastAsia="Times New Roman" w:hint="default"/>
          <w:spacing w:val="-6"/>
        </w:rPr>
        <w:t>2017</w:t>
      </w:r>
      <w:r>
        <w:rPr>
          <w:spacing w:val="-6"/>
        </w:rPr>
        <w:t>年度考核情况，注销缪定文、</w:t>
      </w:r>
      <w:r>
        <w:rPr>
          <w:spacing w:val="-76"/>
        </w:rPr>
        <w:t> </w:t>
      </w:r>
      <w:r>
        <w:rPr>
          <w:spacing w:val="-76"/>
        </w:rPr>
      </w:r>
      <w:r>
        <w:rPr>
          <w:spacing w:val="6"/>
        </w:rPr>
        <w:t>付强、黄铭铭、赵其峰共</w:t>
      </w:r>
      <w:r>
        <w:rPr>
          <w:rFonts w:ascii="Times New Roman" w:hAnsi="Times New Roman" w:cs="Times New Roman" w:eastAsia="Times New Roman" w:hint="default"/>
          <w:spacing w:val="6"/>
        </w:rPr>
        <w:t>4</w:t>
      </w:r>
      <w:r>
        <w:rPr>
          <w:spacing w:val="6"/>
        </w:rPr>
        <w:t>人已获授但尚未解锁的第二期限制性股票合计</w:t>
      </w:r>
      <w:r>
        <w:rPr>
          <w:rFonts w:ascii="Times New Roman" w:hAnsi="Times New Roman" w:cs="Times New Roman" w:eastAsia="Times New Roman" w:hint="default"/>
          <w:spacing w:val="6"/>
        </w:rPr>
        <w:t>39,000</w:t>
      </w:r>
      <w:r>
        <w:rPr>
          <w:spacing w:val="6"/>
        </w:rPr>
        <w:t>股。上述限制性股票共</w:t>
      </w:r>
      <w:r>
        <w:rPr>
          <w:spacing w:val="-64"/>
        </w:rPr>
        <w:t> </w:t>
      </w:r>
      <w:r>
        <w:rPr>
          <w:spacing w:val="-64"/>
        </w:rPr>
      </w:r>
      <w:r>
        <w:rPr>
          <w:rFonts w:ascii="Times New Roman" w:hAnsi="Times New Roman" w:cs="Times New Roman" w:eastAsia="Times New Roman" w:hint="default"/>
          <w:spacing w:val="-2"/>
        </w:rPr>
        <w:t>653,410</w:t>
      </w:r>
      <w:r>
        <w:rPr>
          <w:spacing w:val="-2"/>
        </w:rPr>
        <w:t>股已于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日在中国证券登记结算有限责任公司深圳分公司完成回购注销。本次回购注销完</w:t>
      </w:r>
      <w:r>
        <w:rPr>
          <w:spacing w:val="-80"/>
        </w:rPr>
        <w:t> </w:t>
      </w:r>
      <w:r>
        <w:rPr>
          <w:spacing w:val="-80"/>
        </w:rPr>
      </w:r>
      <w:r>
        <w:rPr>
          <w:spacing w:val="-3"/>
        </w:rPr>
        <w:t>成后，公司股份总数由</w:t>
      </w:r>
      <w:r>
        <w:rPr>
          <w:rFonts w:ascii="Times New Roman" w:hAnsi="Times New Roman" w:cs="Times New Roman" w:eastAsia="Times New Roman" w:hint="default"/>
          <w:spacing w:val="-3"/>
        </w:rPr>
        <w:t>399,737,270</w:t>
      </w:r>
      <w:r>
        <w:rPr>
          <w:spacing w:val="-3"/>
        </w:rPr>
        <w:t>股变更为</w:t>
      </w:r>
      <w:r>
        <w:rPr>
          <w:rFonts w:ascii="Times New Roman" w:hAnsi="Times New Roman" w:cs="Times New Roman" w:eastAsia="Times New Roman" w:hint="default"/>
          <w:spacing w:val="-3"/>
        </w:rPr>
        <w:t>399,083,860</w:t>
      </w:r>
      <w:r>
        <w:rPr>
          <w:spacing w:val="-3"/>
        </w:rPr>
        <w:t>股。详见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w:t>
      </w:r>
      <w:r>
        <w:rPr>
          <w:spacing w:val="-3"/>
        </w:rPr>
        <w:t>日公告（</w:t>
      </w:r>
      <w:hyperlink r:id="rId12">
        <w:r>
          <w:rPr>
            <w:rFonts w:ascii="Times New Roman" w:hAnsi="Times New Roman" w:cs="Times New Roman" w:eastAsia="Times New Roman" w:hint="default"/>
            <w:spacing w:val="-3"/>
          </w:rPr>
          <w:t>www.cninfo.com.cn</w:t>
        </w:r>
      </w:hyperlink>
      <w:r>
        <w:rPr>
          <w:rFonts w:ascii="Times New Roman" w:hAnsi="Times New Roman" w:cs="Times New Roman" w:eastAsia="Times New Roman" w:hint="default"/>
          <w:spacing w:val="29"/>
        </w:rPr>
        <w:t> </w:t>
      </w:r>
      <w:r>
        <w:rPr/>
        <w:t>公</w:t>
      </w:r>
      <w:r>
        <w:rPr>
          <w:spacing w:val="-95"/>
        </w:rPr>
        <w:t> </w:t>
      </w:r>
      <w:r>
        <w:rPr/>
        <w:t>告</w:t>
      </w:r>
      <w:r>
        <w:rPr>
          <w:rFonts w:ascii="Times New Roman" w:hAnsi="Times New Roman" w:cs="Times New Roman" w:eastAsia="Times New Roman" w:hint="default"/>
        </w:rPr>
        <w:t>2018-33</w:t>
      </w:r>
      <w:r>
        <w:rPr/>
        <w:t>）</w:t>
      </w:r>
    </w:p>
    <w:p>
      <w:pPr>
        <w:pStyle w:val="BodyText"/>
        <w:spacing w:line="240" w:lineRule="auto" w:before="5"/>
        <w:ind w:left="514" w:right="1972"/>
        <w:jc w:val="left"/>
      </w:pPr>
      <w:r>
        <w:rPr>
          <w:rFonts w:ascii="Times New Roman" w:hAnsi="Times New Roman" w:cs="Times New Roman" w:eastAsia="Times New Roman" w:hint="default"/>
        </w:rPr>
        <w:t>2</w:t>
      </w:r>
      <w:r>
        <w:rPr/>
        <w:t>、报告期内会计政策变更情况</w:t>
      </w:r>
    </w:p>
    <w:p>
      <w:pPr>
        <w:pStyle w:val="BodyText"/>
        <w:spacing w:line="256" w:lineRule="auto" w:before="21"/>
        <w:ind w:right="1127" w:firstLine="360"/>
        <w:jc w:val="both"/>
      </w:pP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26</w:t>
      </w:r>
      <w:r>
        <w:rPr>
          <w:spacing w:val="-6"/>
        </w:rPr>
        <w:t>日，公司召开第四届董事会第十九次会议，审议通过了《关于公司会计政策变更的议案》，</w:t>
      </w:r>
      <w:r>
        <w:rPr/>
        <w:t> 本次会计政策变更后，公司执行的会计政策为财政部于</w:t>
      </w:r>
      <w:r>
        <w:rPr>
          <w:spacing w:val="4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日修订并发布的《关于修订印发一</w:t>
      </w:r>
      <w:r>
        <w:rPr>
          <w:spacing w:val="-87"/>
        </w:rPr>
        <w:t> </w:t>
      </w:r>
      <w:r>
        <w:rPr/>
        <w:t>般企业财务报表格式的通知》（财会</w:t>
      </w:r>
      <w:r>
        <w:rPr>
          <w:rFonts w:ascii="Times New Roman" w:hAnsi="Times New Roman" w:cs="Times New Roman" w:eastAsia="Times New Roman" w:hint="default"/>
        </w:rPr>
        <w:t>[2017]30</w:t>
      </w:r>
      <w:r>
        <w:rPr>
          <w:rFonts w:ascii="Times New Roman" w:hAnsi="Times New Roman" w:cs="Times New Roman" w:eastAsia="Times New Roman" w:hint="default"/>
          <w:spacing w:val="-2"/>
        </w:rPr>
        <w:t> </w:t>
      </w:r>
      <w:r>
        <w:rPr/>
        <w:t>号）。公司将根据财政部《关于修订印发一般企业财务报表 </w:t>
      </w:r>
      <w:r>
        <w:rPr>
          <w:spacing w:val="-2"/>
        </w:rPr>
        <w:t>格式的通知》要求编制</w:t>
      </w:r>
      <w:r>
        <w:rPr>
          <w:rFonts w:ascii="Times New Roman" w:hAnsi="Times New Roman" w:cs="Times New Roman" w:eastAsia="Times New Roman" w:hint="default"/>
          <w:spacing w:val="-2"/>
        </w:rPr>
        <w:t>2017</w:t>
      </w:r>
      <w:r>
        <w:rPr>
          <w:spacing w:val="-2"/>
        </w:rPr>
        <w:t>年度及以后期间的财务报表，在资产负债表中增加</w:t>
      </w:r>
      <w:r>
        <w:rPr>
          <w:rFonts w:ascii="Times New Roman" w:hAnsi="Times New Roman" w:cs="Times New Roman" w:eastAsia="Times New Roman" w:hint="default"/>
          <w:spacing w:val="-2"/>
        </w:rPr>
        <w:t>“</w:t>
      </w:r>
      <w:r>
        <w:rPr>
          <w:spacing w:val="-2"/>
        </w:rPr>
        <w:t>持有待售资产</w:t>
      </w:r>
      <w:r>
        <w:rPr>
          <w:rFonts w:ascii="Times New Roman" w:hAnsi="Times New Roman" w:cs="Times New Roman" w:eastAsia="Times New Roman" w:hint="default"/>
          <w:spacing w:val="-2"/>
        </w:rPr>
        <w:t>”</w:t>
      </w:r>
      <w:r>
        <w:rPr>
          <w:spacing w:val="-2"/>
        </w:rPr>
        <w:t>行项目和</w:t>
      </w:r>
      <w:r>
        <w:rPr>
          <w:rFonts w:ascii="Times New Roman" w:hAnsi="Times New Roman" w:cs="Times New Roman" w:eastAsia="Times New Roman" w:hint="default"/>
          <w:spacing w:val="-2"/>
        </w:rPr>
        <w:t>“</w:t>
      </w:r>
      <w:r>
        <w:rPr>
          <w:spacing w:val="-2"/>
        </w:rPr>
        <w:t>持</w:t>
      </w:r>
      <w:r>
        <w:rPr>
          <w:spacing w:val="-100"/>
        </w:rPr>
        <w:t> </w:t>
      </w:r>
      <w:r>
        <w:rPr>
          <w:spacing w:val="-3"/>
        </w:rPr>
        <w:t>有待售负债</w:t>
      </w:r>
      <w:r>
        <w:rPr>
          <w:rFonts w:ascii="Times New Roman" w:hAnsi="Times New Roman" w:cs="Times New Roman" w:eastAsia="Times New Roman" w:hint="default"/>
          <w:spacing w:val="-3"/>
        </w:rPr>
        <w:t>”</w:t>
      </w:r>
      <w:r>
        <w:rPr>
          <w:spacing w:val="-3"/>
        </w:rPr>
        <w:t>行项目，在利润表中增加</w:t>
      </w:r>
      <w:r>
        <w:rPr>
          <w:rFonts w:ascii="Times New Roman" w:hAnsi="Times New Roman" w:cs="Times New Roman" w:eastAsia="Times New Roman" w:hint="default"/>
          <w:spacing w:val="-3"/>
        </w:rPr>
        <w:t>“</w:t>
      </w:r>
      <w:r>
        <w:rPr>
          <w:spacing w:val="-3"/>
        </w:rPr>
        <w:t>资产处置收益</w:t>
      </w:r>
      <w:r>
        <w:rPr>
          <w:rFonts w:ascii="Times New Roman" w:hAnsi="Times New Roman" w:cs="Times New Roman" w:eastAsia="Times New Roman" w:hint="default"/>
          <w:spacing w:val="-3"/>
        </w:rPr>
        <w:t>”</w:t>
      </w:r>
      <w:r>
        <w:rPr>
          <w:spacing w:val="-3"/>
        </w:rPr>
        <w:t>行项目、</w:t>
      </w:r>
      <w:r>
        <w:rPr>
          <w:rFonts w:ascii="Times New Roman" w:hAnsi="Times New Roman" w:cs="Times New Roman" w:eastAsia="Times New Roman" w:hint="default"/>
          <w:spacing w:val="-3"/>
        </w:rPr>
        <w:t>“</w:t>
      </w:r>
      <w:r>
        <w:rPr>
          <w:spacing w:val="-3"/>
        </w:rPr>
        <w:t>其他收益</w:t>
      </w:r>
      <w:r>
        <w:rPr>
          <w:rFonts w:ascii="Times New Roman" w:hAnsi="Times New Roman" w:cs="Times New Roman" w:eastAsia="Times New Roman" w:hint="default"/>
          <w:spacing w:val="-3"/>
        </w:rPr>
        <w:t>”</w:t>
      </w:r>
      <w:r>
        <w:rPr>
          <w:spacing w:val="-3"/>
        </w:rPr>
        <w:t>行项目、</w:t>
      </w:r>
      <w:r>
        <w:rPr>
          <w:rFonts w:ascii="Times New Roman" w:hAnsi="Times New Roman" w:cs="Times New Roman" w:eastAsia="Times New Roman" w:hint="default"/>
          <w:spacing w:val="-3"/>
        </w:rPr>
        <w:t>“</w:t>
      </w:r>
      <w:r>
        <w:rPr>
          <w:spacing w:val="-3"/>
        </w:rPr>
        <w:t>持续经营净利润</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终</w:t>
      </w:r>
      <w:r>
        <w:rPr>
          <w:spacing w:val="-94"/>
        </w:rPr>
        <w:t> </w:t>
      </w:r>
      <w:r>
        <w:rPr/>
        <w:t>止经营净利润</w:t>
      </w:r>
      <w:r>
        <w:rPr>
          <w:rFonts w:ascii="Times New Roman" w:hAnsi="Times New Roman" w:cs="Times New Roman" w:eastAsia="Times New Roman" w:hint="default"/>
        </w:rPr>
        <w:t>”</w:t>
      </w:r>
      <w:r>
        <w:rPr/>
        <w:t>行项目。该变更仅对财务报表列示项目产生影响，对当期及前期列报的损益、总资产、净</w:t>
      </w:r>
      <w:r>
        <w:rPr>
          <w:spacing w:val="-23"/>
        </w:rPr>
        <w:t> </w:t>
      </w:r>
      <w:r>
        <w:rPr>
          <w:spacing w:val="-23"/>
        </w:rPr>
      </w:r>
      <w:r>
        <w:rPr/>
        <w:t>资产不产生影响。详见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日公告（</w:t>
      </w:r>
      <w:hyperlink r:id="rId15">
        <w:r>
          <w:rPr>
            <w:rFonts w:ascii="Times New Roman" w:hAnsi="Times New Roman" w:cs="Times New Roman" w:eastAsia="Times New Roman" w:hint="default"/>
          </w:rPr>
          <w:t>www.cninfo.com.cn</w:t>
        </w:r>
        <w:r>
          <w:rPr/>
          <w:t>公告</w:t>
        </w:r>
        <w:r>
          <w:rPr>
            <w:rFonts w:ascii="Times New Roman" w:hAnsi="Times New Roman" w:cs="Times New Roman" w:eastAsia="Times New Roman" w:hint="default"/>
          </w:rPr>
          <w:t>2018-20</w:t>
        </w:r>
      </w:hyperlink>
      <w:r>
        <w:rPr/>
        <w:t>）</w:t>
      </w:r>
    </w:p>
    <w:p>
      <w:pPr>
        <w:pStyle w:val="BodyText"/>
        <w:spacing w:line="264" w:lineRule="auto" w:before="5"/>
        <w:ind w:right="112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日，公司召开第四届董事会第二十四次会议，审议通过了《关于公司会计政策变更的议 案》。财政部于</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日发布《关于修订</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号），对一般企业财务报表格式进行了修订。财会</w:t>
      </w:r>
      <w:r>
        <w:rPr>
          <w:rFonts w:ascii="Times New Roman" w:hAnsi="Times New Roman" w:cs="Times New Roman" w:eastAsia="Times New Roman" w:hint="default"/>
        </w:rPr>
        <w:t>[2018]15</w:t>
      </w:r>
      <w:r>
        <w:rPr/>
        <w:t>号规定，执行企业会计准则的非金融企业中，</w:t>
      </w:r>
      <w:r>
        <w:rPr>
          <w:spacing w:val="-64"/>
        </w:rPr>
        <w:t> </w:t>
      </w:r>
      <w:r>
        <w:rPr>
          <w:spacing w:val="-1"/>
        </w:rPr>
        <w:t>尚未执行新金融准则和新收入准则的企业应当按照企业会计准则和一般企业财务报表格式（适用于尚未执</w:t>
      </w:r>
      <w:r>
        <w:rPr>
          <w:spacing w:val="-81"/>
        </w:rPr>
        <w:t> </w:t>
      </w:r>
      <w:r>
        <w:rPr>
          <w:spacing w:val="-81"/>
        </w:rPr>
      </w:r>
      <w:r>
        <w:rPr>
          <w:spacing w:val="-1"/>
        </w:rPr>
        <w:t>行新金融准则和新收入准则的企业）的要求编制财务报表。企业对不存在相应业务的报表项目可结合本企</w:t>
      </w:r>
      <w:r>
        <w:rPr>
          <w:spacing w:val="-81"/>
        </w:rPr>
        <w:t> </w:t>
      </w:r>
      <w:r>
        <w:rPr>
          <w:spacing w:val="-81"/>
        </w:rPr>
      </w:r>
      <w:r>
        <w:rPr>
          <w:spacing w:val="-1"/>
        </w:rPr>
        <w:t>业的实际情况进行必要删减，企业根据重要性原则并结合本企业的实际情况可以对确需单独列示的内容增</w:t>
      </w:r>
      <w:r>
        <w:rPr>
          <w:spacing w:val="-81"/>
        </w:rPr>
        <w:t> </w:t>
      </w:r>
      <w:r>
        <w:rPr>
          <w:spacing w:val="-81"/>
        </w:rPr>
      </w:r>
      <w:r>
        <w:rPr/>
        <w:t>加报表项目。根据财会</w:t>
      </w:r>
      <w:r>
        <w:rPr>
          <w:rFonts w:ascii="Times New Roman" w:hAnsi="Times New Roman" w:cs="Times New Roman" w:eastAsia="Times New Roman" w:hint="default"/>
        </w:rPr>
        <w:t>[2018]15</w:t>
      </w:r>
      <w:r>
        <w:rPr/>
        <w:t>号文件的要求，公司需对会计政策相关内容进行相应调整，按照该文件规</w:t>
      </w:r>
      <w:r>
        <w:rPr>
          <w:spacing w:val="-66"/>
        </w:rPr>
        <w:t> </w:t>
      </w:r>
      <w:r>
        <w:rPr>
          <w:spacing w:val="-66"/>
        </w:rPr>
      </w:r>
      <w:r>
        <w:rPr>
          <w:spacing w:val="-1"/>
        </w:rPr>
        <w:t>定的一般企业财务报表格式（适用于尚未执行新金融准则和新收入准则的企业）编制公司的财务报表。根</w:t>
      </w:r>
      <w:r>
        <w:rPr>
          <w:spacing w:val="-83"/>
        </w:rPr>
        <w:t> </w:t>
      </w:r>
      <w:r>
        <w:rPr>
          <w:spacing w:val="-83"/>
        </w:rPr>
      </w:r>
      <w:r>
        <w:rPr/>
        <w:t>据财会</w:t>
      </w:r>
      <w:r>
        <w:rPr>
          <w:rFonts w:ascii="Times New Roman" w:hAnsi="Times New Roman" w:cs="Times New Roman" w:eastAsia="Times New Roman" w:hint="default"/>
        </w:rPr>
        <w:t>[2018]15</w:t>
      </w:r>
      <w:r>
        <w:rPr/>
        <w:t>号文件的要求，公司调整相应财务报表项目的列示，并对可比会计期间的比较数据进行相</w:t>
      </w:r>
      <w:r>
        <w:rPr>
          <w:spacing w:val="-63"/>
        </w:rPr>
        <w:t> </w:t>
      </w:r>
      <w:r>
        <w:rPr>
          <w:spacing w:val="-63"/>
        </w:rPr>
      </w:r>
      <w:r>
        <w:rPr>
          <w:spacing w:val="-1"/>
        </w:rPr>
        <w:t>应调整，本次会计政策变更不涉及对公司以前年度的追溯调整。本次会计政策变更不会对当期和会计政策</w:t>
      </w:r>
      <w:r>
        <w:rPr>
          <w:spacing w:val="-81"/>
        </w:rPr>
        <w:t> </w:t>
      </w:r>
      <w:r>
        <w:rPr>
          <w:spacing w:val="-81"/>
        </w:rPr>
      </w:r>
      <w:r>
        <w:rPr/>
        <w:t>变</w:t>
      </w:r>
      <w:r>
        <w:rPr>
          <w:spacing w:val="-67"/>
        </w:rPr>
        <w:t> </w:t>
      </w:r>
      <w:r>
        <w:rPr/>
        <w:t>更</w:t>
      </w:r>
      <w:r>
        <w:rPr>
          <w:spacing w:val="-67"/>
        </w:rPr>
        <w:t> </w:t>
      </w:r>
      <w:r>
        <w:rPr/>
        <w:t>前</w:t>
      </w:r>
      <w:r>
        <w:rPr>
          <w:spacing w:val="-67"/>
        </w:rPr>
        <w:t> </w:t>
      </w:r>
      <w:r>
        <w:rPr/>
        <w:t>公</w:t>
      </w:r>
      <w:r>
        <w:rPr>
          <w:spacing w:val="-67"/>
        </w:rPr>
        <w:t> </w:t>
      </w:r>
      <w:r>
        <w:rPr/>
        <w:t>司</w:t>
      </w:r>
      <w:r>
        <w:rPr>
          <w:spacing w:val="-67"/>
        </w:rPr>
        <w:t> </w:t>
      </w:r>
      <w:r>
        <w:rPr/>
        <w:t>总</w:t>
      </w:r>
      <w:r>
        <w:rPr>
          <w:spacing w:val="-67"/>
        </w:rPr>
        <w:t> </w:t>
      </w:r>
      <w:r>
        <w:rPr/>
        <w:t>资</w:t>
      </w:r>
      <w:r>
        <w:rPr>
          <w:spacing w:val="-67"/>
        </w:rPr>
        <w:t> </w:t>
      </w:r>
      <w:r>
        <w:rPr/>
        <w:t>产</w:t>
      </w:r>
      <w:r>
        <w:rPr>
          <w:spacing w:val="-67"/>
        </w:rPr>
        <w:t> </w:t>
      </w:r>
      <w:r>
        <w:rPr/>
        <w:t>、</w:t>
      </w:r>
      <w:r>
        <w:rPr>
          <w:spacing w:val="-67"/>
        </w:rPr>
        <w:t> </w:t>
      </w:r>
      <w:r>
        <w:rPr/>
        <w:t>负</w:t>
      </w:r>
      <w:r>
        <w:rPr>
          <w:spacing w:val="-67"/>
        </w:rPr>
        <w:t> </w:t>
      </w:r>
      <w:r>
        <w:rPr/>
        <w:t>债</w:t>
      </w:r>
      <w:r>
        <w:rPr>
          <w:spacing w:val="-67"/>
        </w:rPr>
        <w:t> </w:t>
      </w:r>
      <w:r>
        <w:rPr/>
        <w:t>总</w:t>
      </w:r>
      <w:r>
        <w:rPr>
          <w:spacing w:val="-67"/>
        </w:rPr>
        <w:t> </w:t>
      </w:r>
      <w:r>
        <w:rPr/>
        <w:t>额</w:t>
      </w:r>
      <w:r>
        <w:rPr>
          <w:spacing w:val="-67"/>
        </w:rPr>
        <w:t> </w:t>
      </w:r>
      <w:r>
        <w:rPr/>
        <w:t>、</w:t>
      </w:r>
      <w:r>
        <w:rPr>
          <w:spacing w:val="-67"/>
        </w:rPr>
        <w:t> </w:t>
      </w:r>
      <w:r>
        <w:rPr/>
        <w:t>净</w:t>
      </w:r>
      <w:r>
        <w:rPr>
          <w:spacing w:val="-67"/>
        </w:rPr>
        <w:t> </w:t>
      </w:r>
      <w:r>
        <w:rPr/>
        <w:t>资</w:t>
      </w:r>
      <w:r>
        <w:rPr>
          <w:spacing w:val="-67"/>
        </w:rPr>
        <w:t> </w:t>
      </w:r>
      <w:r>
        <w:rPr/>
        <w:t>产</w:t>
      </w:r>
      <w:r>
        <w:rPr>
          <w:spacing w:val="-67"/>
        </w:rPr>
        <w:t> </w:t>
      </w:r>
      <w:r>
        <w:rPr/>
        <w:t>及</w:t>
      </w:r>
      <w:r>
        <w:rPr>
          <w:spacing w:val="-67"/>
        </w:rPr>
        <w:t> </w:t>
      </w:r>
      <w:r>
        <w:rPr/>
        <w:t>净</w:t>
      </w:r>
      <w:r>
        <w:rPr>
          <w:spacing w:val="-67"/>
        </w:rPr>
        <w:t> </w:t>
      </w:r>
      <w:r>
        <w:rPr/>
        <w:t>利</w:t>
      </w:r>
      <w:r>
        <w:rPr>
          <w:spacing w:val="-67"/>
        </w:rPr>
        <w:t> </w:t>
      </w:r>
      <w:r>
        <w:rPr/>
        <w:t>润</w:t>
      </w:r>
      <w:r>
        <w:rPr>
          <w:spacing w:val="-67"/>
        </w:rPr>
        <w:t> </w:t>
      </w:r>
      <w:r>
        <w:rPr/>
        <w:t>产</w:t>
      </w:r>
      <w:r>
        <w:rPr>
          <w:spacing w:val="-67"/>
        </w:rPr>
        <w:t> </w:t>
      </w:r>
      <w:r>
        <w:rPr/>
        <w:t>生</w:t>
      </w:r>
      <w:r>
        <w:rPr>
          <w:spacing w:val="-67"/>
        </w:rPr>
        <w:t> </w:t>
      </w:r>
      <w:r>
        <w:rPr/>
        <w:t>任</w:t>
      </w:r>
      <w:r>
        <w:rPr>
          <w:spacing w:val="-67"/>
        </w:rPr>
        <w:t> </w:t>
      </w:r>
      <w:r>
        <w:rPr/>
        <w:t>何</w:t>
      </w:r>
      <w:r>
        <w:rPr>
          <w:spacing w:val="-67"/>
        </w:rPr>
        <w:t> </w:t>
      </w:r>
      <w:r>
        <w:rPr/>
        <w:t>影</w:t>
      </w:r>
      <w:r>
        <w:rPr>
          <w:spacing w:val="-67"/>
        </w:rPr>
        <w:t> </w:t>
      </w:r>
      <w:r>
        <w:rPr/>
        <w:t>响</w:t>
      </w:r>
      <w:r>
        <w:rPr>
          <w:spacing w:val="-67"/>
        </w:rPr>
        <w:t> </w:t>
      </w:r>
      <w:r>
        <w:rPr/>
        <w:t>。</w:t>
      </w:r>
      <w:r>
        <w:rPr>
          <w:spacing w:val="-67"/>
        </w:rPr>
        <w:t> </w:t>
      </w:r>
      <w:r>
        <w:rPr/>
        <w:t>详</w:t>
      </w:r>
      <w:r>
        <w:rPr>
          <w:spacing w:val="-67"/>
        </w:rPr>
        <w:t> </w:t>
      </w:r>
      <w:r>
        <w:rPr/>
        <w:t>见</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w:t>
      </w:r>
      <w:r>
        <w:rPr>
          <w:spacing w:val="-67"/>
        </w:rPr>
        <w:t> </w:t>
      </w:r>
      <w:r>
        <w:rPr>
          <w:rFonts w:ascii="Times New Roman" w:hAnsi="Times New Roman" w:cs="Times New Roman" w:eastAsia="Times New Roman" w:hint="default"/>
        </w:rPr>
        <w:t>23</w:t>
      </w:r>
      <w:r>
        <w:rPr>
          <w:rFonts w:ascii="Times New Roman" w:hAnsi="Times New Roman" w:cs="Times New Roman" w:eastAsia="Times New Roman" w:hint="default"/>
          <w:spacing w:val="-13"/>
        </w:rPr>
        <w:t> </w:t>
      </w:r>
      <w:r>
        <w:rPr/>
        <w:t>日</w:t>
      </w:r>
      <w:r>
        <w:rPr>
          <w:spacing w:val="-67"/>
        </w:rPr>
        <w:t> </w:t>
      </w:r>
      <w:r>
        <w:rPr/>
        <w:t>公</w:t>
      </w:r>
      <w:r>
        <w:rPr>
          <w:spacing w:val="-66"/>
        </w:rPr>
        <w:t> </w:t>
      </w:r>
      <w:r>
        <w:rPr/>
        <w:t>告</w:t>
      </w:r>
    </w:p>
    <w:p>
      <w:pPr>
        <w:pStyle w:val="BodyText"/>
        <w:spacing w:line="289" w:lineRule="exact" w:before="0"/>
        <w:ind w:right="0"/>
        <w:jc w:val="both"/>
      </w:pPr>
      <w:r>
        <w:rPr/>
        <w:t>（</w:t>
      </w:r>
      <w:hyperlink r:id="rId16">
        <w:r>
          <w:rPr>
            <w:rFonts w:ascii="Times New Roman" w:hAnsi="Times New Roman" w:cs="Times New Roman" w:eastAsia="Times New Roman" w:hint="default"/>
          </w:rPr>
          <w:t>www.cninfo.com.cn</w:t>
        </w:r>
        <w:r>
          <w:rPr/>
          <w:t>公告</w:t>
        </w:r>
        <w:r>
          <w:rPr>
            <w:rFonts w:ascii="Times New Roman" w:hAnsi="Times New Roman" w:cs="Times New Roman" w:eastAsia="Times New Roman" w:hint="default"/>
          </w:rPr>
          <w:t>2018-66</w:t>
        </w:r>
      </w:hyperlink>
      <w:r>
        <w:rPr/>
        <w:t>）</w:t>
      </w:r>
    </w:p>
    <w:p>
      <w:pPr>
        <w:pStyle w:val="BodyText"/>
        <w:spacing w:line="240" w:lineRule="auto" w:before="21"/>
        <w:ind w:left="514" w:right="1972"/>
        <w:jc w:val="left"/>
      </w:pPr>
      <w:r>
        <w:rPr>
          <w:rFonts w:ascii="Times New Roman" w:hAnsi="Times New Roman" w:cs="Times New Roman" w:eastAsia="Times New Roman" w:hint="default"/>
        </w:rPr>
        <w:t>3</w:t>
      </w:r>
      <w:r>
        <w:rPr/>
        <w:t>、报告期内获得的政府补助情况</w:t>
      </w:r>
    </w:p>
    <w:p>
      <w:pPr>
        <w:pStyle w:val="BodyText"/>
        <w:spacing w:line="240" w:lineRule="auto" w:before="21"/>
        <w:ind w:left="514" w:right="0"/>
        <w:jc w:val="left"/>
      </w:pPr>
      <w:r>
        <w:rPr>
          <w:spacing w:val="12"/>
        </w:rPr>
        <w:t>截至</w:t>
      </w:r>
      <w:r>
        <w:rPr>
          <w:spacing w:val="-8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w:t>
      </w:r>
      <w:r>
        <w:rPr>
          <w:spacing w:val="-81"/>
        </w:rPr>
        <w:t>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月</w:t>
      </w:r>
      <w:r>
        <w:rPr>
          <w:spacing w:val="-80"/>
        </w:rPr>
        <w:t> </w:t>
      </w:r>
      <w:r>
        <w:rPr>
          <w:rFonts w:ascii="Times New Roman" w:hAnsi="Times New Roman" w:cs="Times New Roman" w:eastAsia="Times New Roman" w:hint="default"/>
        </w:rPr>
        <w:t>23</w:t>
      </w:r>
      <w:r>
        <w:rPr>
          <w:rFonts w:ascii="Times New Roman" w:hAnsi="Times New Roman" w:cs="Times New Roman" w:eastAsia="Times New Roman" w:hint="default"/>
          <w:spacing w:val="-27"/>
        </w:rPr>
        <w:t> </w:t>
      </w:r>
      <w:r>
        <w:rPr>
          <w:spacing w:val="12"/>
        </w:rPr>
        <w:t>日，</w:t>
      </w:r>
      <w:r>
        <w:rPr>
          <w:spacing w:val="-82"/>
        </w:rPr>
        <w:t> </w:t>
      </w:r>
      <w:r>
        <w:rPr>
          <w:spacing w:val="21"/>
        </w:rPr>
        <w:t>公司及控股子公司</w:t>
      </w:r>
      <w:r>
        <w:rPr>
          <w:spacing w:val="33"/>
        </w:rPr>
        <w:t> </w:t>
      </w:r>
      <w:r>
        <w:rPr>
          <w:rFonts w:ascii="Times New Roman" w:hAnsi="Times New Roman" w:cs="Times New Roman" w:eastAsia="Times New Roman" w:hint="default"/>
        </w:rPr>
        <w:t>2018 </w:t>
      </w:r>
      <w:r>
        <w:rPr>
          <w:rFonts w:ascii="Times New Roman" w:hAnsi="Times New Roman" w:cs="Times New Roman" w:eastAsia="Times New Roman" w:hint="default"/>
          <w:spacing w:val="6"/>
        </w:rPr>
        <w:t> </w:t>
      </w:r>
      <w:r>
        <w:rPr>
          <w:spacing w:val="23"/>
        </w:rPr>
        <w:t>年度累计获得各项政府补助资金共计人民币</w:t>
      </w:r>
    </w:p>
    <w:p>
      <w:pPr>
        <w:pStyle w:val="BodyText"/>
        <w:spacing w:line="240" w:lineRule="auto" w:before="21"/>
        <w:ind w:right="0"/>
        <w:jc w:val="both"/>
      </w:pPr>
      <w:r>
        <w:rPr>
          <w:rFonts w:ascii="Times New Roman" w:hAnsi="Times New Roman" w:cs="Times New Roman" w:eastAsia="Times New Roman" w:hint="default"/>
        </w:rPr>
        <w:t>35,326,227.42 </w:t>
      </w:r>
      <w:r>
        <w:rPr>
          <w:spacing w:val="-3"/>
        </w:rPr>
        <w:t>元，其中增值税即征即退政府补助资金为人民币</w:t>
      </w:r>
      <w:r>
        <w:rPr>
          <w:spacing w:val="-17"/>
        </w:rPr>
        <w:t> </w:t>
      </w:r>
      <w:r>
        <w:rPr>
          <w:rFonts w:ascii="Times New Roman" w:hAnsi="Times New Roman" w:cs="Times New Roman" w:eastAsia="Times New Roman" w:hint="default"/>
        </w:rPr>
        <w:t>20,176,207.39</w:t>
      </w:r>
      <w:r>
        <w:rPr/>
        <w:t>元，政府科研项目补助资金及</w:t>
      </w:r>
    </w:p>
    <w:p>
      <w:pPr>
        <w:pStyle w:val="BodyText"/>
        <w:spacing w:line="240" w:lineRule="auto" w:before="21"/>
        <w:ind w:right="0"/>
        <w:jc w:val="both"/>
      </w:pPr>
      <w:r>
        <w:rPr/>
        <w:t>其它政府补助资金为人民币 </w:t>
      </w:r>
      <w:r>
        <w:rPr>
          <w:rFonts w:ascii="Times New Roman" w:hAnsi="Times New Roman" w:cs="Times New Roman" w:eastAsia="Times New Roman" w:hint="default"/>
        </w:rPr>
        <w:t>15,150,020.03</w:t>
      </w:r>
      <w:r>
        <w:rPr>
          <w:rFonts w:ascii="Times New Roman" w:hAnsi="Times New Roman" w:cs="Times New Roman" w:eastAsia="Times New Roman" w:hint="default"/>
          <w:spacing w:val="49"/>
        </w:rPr>
        <w:t> </w:t>
      </w:r>
      <w:r>
        <w:rPr>
          <w:spacing w:val="-4"/>
        </w:rPr>
        <w:t>元。详见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23</w:t>
      </w:r>
      <w:r>
        <w:rPr>
          <w:spacing w:val="-4"/>
        </w:rPr>
        <w:t>日公告（</w:t>
      </w:r>
      <w:hyperlink r:id="rId17">
        <w:r>
          <w:rPr>
            <w:rFonts w:ascii="Times New Roman" w:hAnsi="Times New Roman" w:cs="Times New Roman" w:eastAsia="Times New Roman" w:hint="default"/>
            <w:spacing w:val="-4"/>
          </w:rPr>
          <w:t>www.cninfo.com.cn</w:t>
        </w:r>
        <w:r>
          <w:rPr>
            <w:spacing w:val="-4"/>
          </w:rPr>
          <w:t>公告</w:t>
        </w:r>
        <w:r>
          <w:rPr>
            <w:rFonts w:ascii="Times New Roman" w:hAnsi="Times New Roman" w:cs="Times New Roman" w:eastAsia="Times New Roman" w:hint="default"/>
            <w:spacing w:val="-4"/>
          </w:rPr>
          <w:t>2018-68</w:t>
        </w:r>
      </w:hyperlink>
      <w:r>
        <w:rPr>
          <w:spacing w:val="-4"/>
        </w:rPr>
        <w:t>）</w:t>
      </w:r>
    </w:p>
    <w:p>
      <w:pPr>
        <w:pStyle w:val="BodyText"/>
        <w:spacing w:line="240" w:lineRule="auto" w:before="21"/>
        <w:ind w:left="514" w:right="1972"/>
        <w:jc w:val="left"/>
      </w:pPr>
      <w:r>
        <w:rPr>
          <w:rFonts w:ascii="Times New Roman" w:hAnsi="Times New Roman" w:cs="Times New Roman" w:eastAsia="Times New Roman" w:hint="default"/>
        </w:rPr>
        <w:t>4</w:t>
      </w:r>
      <w:r>
        <w:rPr/>
        <w:t>、报告期内对外担保事项</w:t>
      </w:r>
    </w:p>
    <w:p>
      <w:pPr>
        <w:pStyle w:val="BodyText"/>
        <w:spacing w:line="261" w:lineRule="auto" w:before="21"/>
        <w:ind w:right="1130"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日，公司召开了第四届董事会第十九次会议，审议通过了《关于对金华威提供财务资助及</w:t>
      </w:r>
      <w:r>
        <w:rPr/>
        <w:t> </w:t>
      </w:r>
      <w:r>
        <w:rPr>
          <w:spacing w:val="-1"/>
        </w:rPr>
        <w:t>向银行申请流动资金贷款并提供担保的议案》。公司控股子公司金华威因日常经营资金需求，</w:t>
      </w:r>
      <w:r>
        <w:rPr>
          <w:rFonts w:ascii="Times New Roman" w:hAnsi="Times New Roman" w:cs="Times New Roman" w:eastAsia="Times New Roman" w:hint="default"/>
          <w:spacing w:val="-1"/>
        </w:rPr>
        <w:t>2018</w:t>
      </w:r>
      <w:r>
        <w:rPr>
          <w:spacing w:val="-1"/>
        </w:rPr>
        <w:t>年度计</w:t>
      </w:r>
      <w:r>
        <w:rPr>
          <w:spacing w:val="-81"/>
        </w:rPr>
        <w:t> </w:t>
      </w:r>
      <w:r>
        <w:rPr>
          <w:spacing w:val="-81"/>
        </w:rPr>
      </w:r>
      <w:r>
        <w:rPr>
          <w:spacing w:val="-2"/>
        </w:rPr>
        <w:t>划需要使用流动资金</w:t>
      </w:r>
      <w:r>
        <w:rPr>
          <w:rFonts w:ascii="Times New Roman" w:hAnsi="Times New Roman" w:cs="Times New Roman" w:eastAsia="Times New Roman" w:hint="default"/>
          <w:spacing w:val="-2"/>
        </w:rPr>
        <w:t>120,000</w:t>
      </w:r>
      <w:r>
        <w:rPr>
          <w:spacing w:val="-2"/>
        </w:rPr>
        <w:t>万元。由于金华威向银行申请贷款的资金成本高于公司的贷款成本，为了保证</w:t>
      </w:r>
      <w:r>
        <w:rPr>
          <w:spacing w:val="-83"/>
        </w:rPr>
        <w:t> </w:t>
      </w:r>
      <w:r>
        <w:rPr>
          <w:spacing w:val="-83"/>
        </w:rPr>
      </w:r>
      <w:r>
        <w:rPr>
          <w:spacing w:val="-1"/>
        </w:rPr>
        <w:t>资金需求，同时降低融资成本，金华威向银行申请使用流动资金贷款和公司为金华威提供财务资助，合计</w:t>
      </w:r>
      <w:r>
        <w:rPr>
          <w:spacing w:val="-83"/>
        </w:rPr>
        <w:t> </w:t>
      </w:r>
      <w:r>
        <w:rPr>
          <w:spacing w:val="-83"/>
        </w:rPr>
      </w:r>
      <w:r>
        <w:rPr>
          <w:spacing w:val="-2"/>
        </w:rPr>
        <w:t>额度不超过</w:t>
      </w:r>
      <w:r>
        <w:rPr>
          <w:rFonts w:ascii="Times New Roman" w:hAnsi="Times New Roman" w:cs="Times New Roman" w:eastAsia="Times New Roman" w:hint="default"/>
          <w:spacing w:val="-2"/>
        </w:rPr>
        <w:t>120,000</w:t>
      </w:r>
      <w:r>
        <w:rPr>
          <w:spacing w:val="-2"/>
        </w:rPr>
        <w:t>万元。公司为其申请的流动资金贷款提供担保，担保和财务资助期限</w:t>
      </w:r>
      <w:r>
        <w:rPr>
          <w:rFonts w:ascii="Times New Roman" w:hAnsi="Times New Roman" w:cs="Times New Roman" w:eastAsia="Times New Roman" w:hint="default"/>
          <w:spacing w:val="-2"/>
        </w:rPr>
        <w:t>2</w:t>
      </w:r>
      <w:r>
        <w:rPr>
          <w:spacing w:val="-2"/>
        </w:rPr>
        <w:t>年。详见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p>
    <w:p>
      <w:pPr>
        <w:spacing w:after="0" w:line="261"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40" w:lineRule="auto" w:before="35"/>
        <w:ind w:right="0"/>
        <w:jc w:val="both"/>
      </w:pPr>
      <w:r>
        <w:rPr/>
        <w:t>月</w:t>
      </w:r>
      <w:r>
        <w:rPr>
          <w:rFonts w:ascii="Times New Roman" w:hAnsi="Times New Roman" w:cs="Times New Roman" w:eastAsia="Times New Roman" w:hint="default"/>
        </w:rPr>
        <w:t>28</w:t>
      </w:r>
      <w:r>
        <w:rPr/>
        <w:t>日公告（</w:t>
      </w:r>
      <w:hyperlink r:id="rId18">
        <w:r>
          <w:rPr>
            <w:rFonts w:ascii="Times New Roman" w:hAnsi="Times New Roman" w:cs="Times New Roman" w:eastAsia="Times New Roman" w:hint="default"/>
          </w:rPr>
          <w:t>www.cninfo.com.cn</w:t>
        </w:r>
        <w:r>
          <w:rPr/>
          <w:t>公告</w:t>
        </w:r>
        <w:r>
          <w:rPr>
            <w:rFonts w:ascii="Times New Roman" w:hAnsi="Times New Roman" w:cs="Times New Roman" w:eastAsia="Times New Roman" w:hint="default"/>
          </w:rPr>
          <w:t>2018-16</w:t>
        </w:r>
      </w:hyperlink>
      <w:r>
        <w:rPr/>
        <w:t>）</w:t>
      </w:r>
    </w:p>
    <w:p>
      <w:pPr>
        <w:pStyle w:val="BodyText"/>
        <w:spacing w:line="256" w:lineRule="auto" w:before="2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、报告期内股东股份质押事项 </w:t>
      </w:r>
      <w:r>
        <w:rPr>
          <w:spacing w:val="2"/>
        </w:rPr>
        <w:t>持有公司</w:t>
      </w:r>
      <w:r>
        <w:rPr>
          <w:rFonts w:ascii="Times New Roman" w:hAnsi="Times New Roman" w:cs="Times New Roman" w:eastAsia="Times New Roman" w:hint="default"/>
          <w:spacing w:val="2"/>
        </w:rPr>
        <w:t>5%</w:t>
      </w:r>
      <w:r>
        <w:rPr>
          <w:spacing w:val="2"/>
        </w:rPr>
        <w:t>以上股份的股东陈兵先生于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日向国元证券质押其持有的公司股份</w:t>
      </w:r>
      <w:r>
        <w:rPr>
          <w:rFonts w:ascii="Times New Roman" w:hAnsi="Times New Roman" w:cs="Times New Roman" w:eastAsia="Times New Roman" w:hint="default"/>
          <w:spacing w:val="2"/>
        </w:rPr>
        <w:t>15,000,000</w:t>
      </w:r>
    </w:p>
    <w:p>
      <w:pPr>
        <w:pStyle w:val="BodyText"/>
        <w:spacing w:line="256" w:lineRule="auto" w:before="5"/>
        <w:ind w:right="1126"/>
        <w:jc w:val="both"/>
      </w:pPr>
      <w:r>
        <w:rPr/>
        <w:t>股。截止目前，陈兵先生持有本公司股份</w:t>
      </w:r>
      <w:r>
        <w:rPr>
          <w:rFonts w:ascii="Times New Roman" w:hAnsi="Times New Roman" w:cs="Times New Roman" w:eastAsia="Times New Roman" w:hint="default"/>
        </w:rPr>
        <w:t>21,574,957</w:t>
      </w:r>
      <w:r>
        <w:rPr/>
        <w:t>股，占公司总股本的</w:t>
      </w:r>
      <w:r>
        <w:rPr>
          <w:rFonts w:ascii="Times New Roman" w:hAnsi="Times New Roman" w:cs="Times New Roman" w:eastAsia="Times New Roman" w:hint="default"/>
        </w:rPr>
        <w:t>5.40%</w:t>
      </w:r>
      <w:r>
        <w:rPr/>
        <w:t>，累计质押</w:t>
      </w:r>
      <w:r>
        <w:rPr>
          <w:rFonts w:ascii="Times New Roman" w:hAnsi="Times New Roman" w:cs="Times New Roman" w:eastAsia="Times New Roman" w:hint="default"/>
        </w:rPr>
        <w:t>15,000,000</w:t>
      </w:r>
      <w:r>
        <w:rPr/>
        <w:t>股，</w:t>
      </w:r>
      <w:r>
        <w:rPr>
          <w:spacing w:val="-41"/>
        </w:rPr>
        <w:t> </w:t>
      </w:r>
      <w:r>
        <w:rPr/>
        <w:t>占公司总股本</w:t>
      </w:r>
      <w:r>
        <w:rPr>
          <w:rFonts w:ascii="Times New Roman" w:hAnsi="Times New Roman" w:cs="Times New Roman" w:eastAsia="Times New Roman" w:hint="default"/>
        </w:rPr>
        <w:t>3.75%</w:t>
      </w:r>
      <w:r>
        <w:rPr/>
        <w:t>，占其持有本公司股份的</w:t>
      </w:r>
      <w:r>
        <w:rPr>
          <w:rFonts w:ascii="Times New Roman" w:hAnsi="Times New Roman" w:cs="Times New Roman" w:eastAsia="Times New Roman" w:hint="default"/>
        </w:rPr>
        <w:t>69.53%</w:t>
      </w:r>
      <w:r>
        <w:rPr/>
        <w:t>。详见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日公告（</w:t>
      </w:r>
      <w:hyperlink r:id="rId19">
        <w:r>
          <w:rPr>
            <w:rFonts w:ascii="Times New Roman" w:hAnsi="Times New Roman" w:cs="Times New Roman" w:eastAsia="Times New Roman" w:hint="default"/>
          </w:rPr>
          <w:t>www.cninfo.com.cn</w:t>
        </w:r>
        <w:r>
          <w:rPr/>
          <w:t>公告</w:t>
        </w:r>
      </w:hyperlink>
      <w:r>
        <w:rPr>
          <w:spacing w:val="5"/>
        </w:rPr>
        <w:t> </w:t>
      </w:r>
      <w:r>
        <w:rPr>
          <w:spacing w:val="5"/>
        </w:rPr>
      </w:r>
      <w:r>
        <w:rPr>
          <w:rFonts w:ascii="Times New Roman" w:hAnsi="Times New Roman" w:cs="Times New Roman" w:eastAsia="Times New Roman" w:hint="default"/>
        </w:rPr>
        <w:t>2018-28</w:t>
      </w:r>
      <w:r>
        <w:rPr/>
        <w:t>）</w:t>
      </w:r>
    </w:p>
    <w:p>
      <w:pPr>
        <w:pStyle w:val="BodyText"/>
        <w:spacing w:line="256" w:lineRule="auto" w:before="5"/>
        <w:ind w:right="1022" w:firstLine="360"/>
        <w:jc w:val="left"/>
      </w:pPr>
      <w:r>
        <w:rPr/>
        <w:t>持有公司</w:t>
      </w:r>
      <w:r>
        <w:rPr>
          <w:rFonts w:ascii="Times New Roman" w:hAnsi="Times New Roman" w:cs="Times New Roman" w:eastAsia="Times New Roman" w:hint="default"/>
        </w:rPr>
        <w:t>5%</w:t>
      </w:r>
      <w:r>
        <w:rPr/>
        <w:t>以上股份的股东陈友先生于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日向广发证券质押其持有的公司股份</w:t>
      </w:r>
      <w:r>
        <w:rPr>
          <w:rFonts w:ascii="Times New Roman" w:hAnsi="Times New Roman" w:cs="Times New Roman" w:eastAsia="Times New Roman" w:hint="default"/>
        </w:rPr>
        <w:t>7,500,000</w:t>
      </w:r>
      <w:r>
        <w:rPr/>
        <w:t>股。</w:t>
      </w:r>
      <w:r>
        <w:rPr>
          <w:spacing w:val="1"/>
        </w:rPr>
        <w:t> </w:t>
      </w:r>
      <w:r>
        <w:rPr/>
        <w:t>截至目前，陈友先生持有本公司股份</w:t>
      </w:r>
      <w:r>
        <w:rPr>
          <w:rFonts w:ascii="Times New Roman" w:hAnsi="Times New Roman" w:cs="Times New Roman" w:eastAsia="Times New Roman" w:hint="default"/>
        </w:rPr>
        <w:t>40,555,964</w:t>
      </w:r>
      <w:r>
        <w:rPr/>
        <w:t>股，占公司总股本的 </w:t>
      </w:r>
      <w:r>
        <w:rPr>
          <w:rFonts w:ascii="Times New Roman" w:hAnsi="Times New Roman" w:cs="Times New Roman" w:eastAsia="Times New Roman" w:hint="default"/>
        </w:rPr>
        <w:t>10.16%</w:t>
      </w:r>
      <w:r>
        <w:rPr/>
        <w:t>，累计质押</w:t>
      </w:r>
      <w:r>
        <w:rPr>
          <w:rFonts w:ascii="Times New Roman" w:hAnsi="Times New Roman" w:cs="Times New Roman" w:eastAsia="Times New Roman" w:hint="default"/>
        </w:rPr>
        <w:t>15,500,000</w:t>
      </w:r>
      <w:r>
        <w:rPr/>
        <w:t>股，占</w:t>
      </w:r>
      <w:r>
        <w:rPr>
          <w:spacing w:val="-51"/>
        </w:rPr>
        <w:t> </w:t>
      </w:r>
      <w:r>
        <w:rPr>
          <w:spacing w:val="5"/>
        </w:rPr>
        <w:t>公司总股本</w:t>
      </w:r>
      <w:r>
        <w:rPr>
          <w:rFonts w:ascii="Times New Roman" w:hAnsi="Times New Roman" w:cs="Times New Roman" w:eastAsia="Times New Roman" w:hint="default"/>
          <w:spacing w:val="5"/>
        </w:rPr>
        <w:t>3.88%</w:t>
      </w:r>
      <w:r>
        <w:rPr>
          <w:spacing w:val="5"/>
        </w:rPr>
        <w:t>，占其持有本公司股份的</w:t>
      </w:r>
      <w:r>
        <w:rPr>
          <w:rFonts w:ascii="Times New Roman" w:hAnsi="Times New Roman" w:cs="Times New Roman" w:eastAsia="Times New Roman" w:hint="default"/>
          <w:spacing w:val="5"/>
        </w:rPr>
        <w:t>38.22%</w:t>
      </w:r>
      <w:r>
        <w:rPr>
          <w:spacing w:val="5"/>
        </w:rPr>
        <w:t>。详见</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13</w:t>
      </w:r>
      <w:r>
        <w:rPr>
          <w:spacing w:val="5"/>
        </w:rPr>
        <w:t>日公告（</w:t>
      </w:r>
      <w:hyperlink r:id="rId19">
        <w:r>
          <w:rPr>
            <w:rFonts w:ascii="Times New Roman" w:hAnsi="Times New Roman" w:cs="Times New Roman" w:eastAsia="Times New Roman" w:hint="default"/>
            <w:spacing w:val="5"/>
          </w:rPr>
          <w:t>www.cninfo.com.cn</w:t>
        </w:r>
        <w:r>
          <w:rPr>
            <w:spacing w:val="5"/>
          </w:rPr>
          <w:t>公告</w:t>
        </w:r>
      </w:hyperlink>
      <w:r>
        <w:rPr>
          <w:spacing w:val="-92"/>
        </w:rPr>
        <w:t> </w:t>
      </w:r>
      <w:r>
        <w:rPr>
          <w:spacing w:val="-92"/>
        </w:rPr>
      </w:r>
      <w:r>
        <w:rPr>
          <w:rFonts w:ascii="Times New Roman" w:hAnsi="Times New Roman" w:cs="Times New Roman" w:eastAsia="Times New Roman" w:hint="default"/>
        </w:rPr>
        <w:t>2018-59</w:t>
      </w:r>
      <w:r>
        <w:rPr/>
        <w:t>）</w:t>
      </w:r>
    </w:p>
    <w:p>
      <w:pPr>
        <w:pStyle w:val="BodyText"/>
        <w:spacing w:line="256" w:lineRule="auto" w:before="5"/>
        <w:ind w:left="514" w:right="0"/>
        <w:jc w:val="left"/>
      </w:pPr>
      <w:r>
        <w:rPr>
          <w:rFonts w:ascii="Times New Roman" w:hAnsi="Times New Roman" w:cs="Times New Roman" w:eastAsia="Times New Roman" w:hint="default"/>
        </w:rPr>
        <w:t>6</w:t>
      </w:r>
      <w:r>
        <w:rPr/>
        <w:t>、报告期内对外投资事项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日召开第四届董事会第二十三次会议，审议通过了《关于拟投资建设合肥研发基地</w:t>
      </w:r>
    </w:p>
    <w:p>
      <w:pPr>
        <w:pStyle w:val="BodyText"/>
        <w:spacing w:line="264" w:lineRule="auto" w:before="5"/>
        <w:ind w:right="1129"/>
        <w:jc w:val="both"/>
      </w:pPr>
      <w:r>
        <w:rPr>
          <w:spacing w:val="-1"/>
        </w:rPr>
        <w:t>二期项目的议案》。公司之全资子公司合肥天源迪科信息技术有限公司计划使用自有资金及自筹资金不超</w:t>
      </w:r>
      <w:r>
        <w:rPr>
          <w:spacing w:val="-81"/>
        </w:rPr>
        <w:t> </w:t>
      </w:r>
      <w:r>
        <w:rPr>
          <w:spacing w:val="-81"/>
        </w:rPr>
      </w:r>
      <w:r>
        <w:rPr/>
        <w:t>过人民币</w:t>
      </w:r>
      <w:r>
        <w:rPr>
          <w:rFonts w:ascii="Times New Roman" w:hAnsi="Times New Roman" w:cs="Times New Roman" w:eastAsia="Times New Roman" w:hint="default"/>
        </w:rPr>
        <w:t>4</w:t>
      </w:r>
      <w:r>
        <w:rPr/>
        <w:t>亿元，在合肥高新技术产业开发区投资建设天源迪科合肥研发基地二期项目。详见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日公告（</w:t>
      </w:r>
      <w:hyperlink r:id="rId12">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0"/>
        </w:rPr>
        <w:t> </w:t>
      </w:r>
      <w:r>
        <w:rPr/>
        <w:t>公告</w:t>
      </w:r>
      <w:r>
        <w:rPr>
          <w:rFonts w:ascii="Times New Roman" w:hAnsi="Times New Roman" w:cs="Times New Roman" w:eastAsia="Times New Roman" w:hint="default"/>
        </w:rPr>
        <w:t>2018-58</w:t>
      </w:r>
      <w:r>
        <w:rPr/>
        <w:t>）</w:t>
      </w:r>
    </w:p>
    <w:p>
      <w:pPr>
        <w:pStyle w:val="BodyText"/>
        <w:spacing w:line="256" w:lineRule="auto" w:before="0"/>
        <w:ind w:right="1130" w:firstLine="36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日召开第四届董事会第二十五次会议，审议通过了《关于拟参与联合竞拍</w:t>
      </w:r>
      <w:r>
        <w:rPr>
          <w:rFonts w:ascii="Times New Roman" w:hAnsi="Times New Roman" w:cs="Times New Roman" w:eastAsia="Times New Roman" w:hint="default"/>
          <w:spacing w:val="-2"/>
        </w:rPr>
        <w:t>“</w:t>
      </w:r>
      <w:r>
        <w:rPr>
          <w:spacing w:val="-2"/>
        </w:rPr>
        <w:t>深圳智</w:t>
      </w:r>
      <w:r>
        <w:rPr/>
        <w:t> 能制造中心</w:t>
      </w:r>
      <w:r>
        <w:rPr>
          <w:rFonts w:ascii="Times New Roman" w:hAnsi="Times New Roman" w:cs="Times New Roman" w:eastAsia="Times New Roman" w:hint="default"/>
        </w:rPr>
        <w:t>”</w:t>
      </w:r>
      <w:r>
        <w:rPr/>
        <w:t>项目地块土地使用权的议案》和《关于拟与联合竞拍方设立合资公司的议案》。公司拟参与</w:t>
      </w:r>
      <w:r>
        <w:rPr>
          <w:spacing w:val="-25"/>
        </w:rPr>
        <w:t> </w:t>
      </w:r>
      <w:r>
        <w:rPr>
          <w:spacing w:val="-25"/>
        </w:rPr>
      </w:r>
      <w:r>
        <w:rPr/>
        <w:t>联合竞拍位于福田区梅林街道的</w:t>
      </w:r>
      <w:r>
        <w:rPr>
          <w:rFonts w:ascii="Times New Roman" w:hAnsi="Times New Roman" w:cs="Times New Roman" w:eastAsia="Times New Roman" w:hint="default"/>
        </w:rPr>
        <w:t>“</w:t>
      </w:r>
      <w:r>
        <w:rPr/>
        <w:t>深圳智能制造中心</w:t>
      </w:r>
      <w:r>
        <w:rPr>
          <w:rFonts w:ascii="Times New Roman" w:hAnsi="Times New Roman" w:cs="Times New Roman" w:eastAsia="Times New Roman" w:hint="default"/>
        </w:rPr>
        <w:t>”</w:t>
      </w:r>
      <w:r>
        <w:rPr/>
        <w:t>项目土地使用权，如竞拍成功，公司拟与联合竞拍方 设立合资公司，由合资公司负责开发、建设及运营本项目。公司将按照项目权益比例（即占比</w:t>
      </w:r>
      <w:r>
        <w:rPr>
          <w:rFonts w:ascii="Times New Roman" w:hAnsi="Times New Roman" w:cs="Times New Roman" w:eastAsia="Times New Roman" w:hint="default"/>
        </w:rPr>
        <w:t>20%</w:t>
      </w:r>
      <w:r>
        <w:rPr/>
        <w:t>）支付</w:t>
      </w:r>
      <w:r>
        <w:rPr>
          <w:spacing w:val="-95"/>
        </w:rPr>
        <w:t> </w:t>
      </w:r>
      <w:r>
        <w:rPr>
          <w:spacing w:val="-95"/>
        </w:rPr>
      </w:r>
      <w:r>
        <w:rPr>
          <w:spacing w:val="-1"/>
        </w:rPr>
        <w:t>保证金和地价不超过人民币</w:t>
      </w:r>
      <w:r>
        <w:rPr>
          <w:rFonts w:ascii="Times New Roman" w:hAnsi="Times New Roman" w:cs="Times New Roman" w:eastAsia="Times New Roman" w:hint="default"/>
          <w:spacing w:val="-1"/>
        </w:rPr>
        <w:t>1.5</w:t>
      </w:r>
      <w:r>
        <w:rPr>
          <w:spacing w:val="-1"/>
        </w:rPr>
        <w:t>亿元，公司将按照占合资公司持股比例（即持股</w:t>
      </w:r>
      <w:r>
        <w:rPr>
          <w:rFonts w:ascii="Times New Roman" w:hAnsi="Times New Roman" w:cs="Times New Roman" w:eastAsia="Times New Roman" w:hint="default"/>
          <w:spacing w:val="-1"/>
        </w:rPr>
        <w:t>20%</w:t>
      </w:r>
      <w:r>
        <w:rPr>
          <w:spacing w:val="-1"/>
        </w:rPr>
        <w:t>）在后续开发建设中投</w:t>
      </w:r>
      <w:r>
        <w:rPr>
          <w:spacing w:val="-101"/>
        </w:rPr>
        <w:t> </w:t>
      </w:r>
      <w:r>
        <w:rPr>
          <w:spacing w:val="-101"/>
        </w:rPr>
      </w:r>
      <w:r>
        <w:rPr>
          <w:spacing w:val="-2"/>
        </w:rPr>
        <w:t>资不超过人民币</w:t>
      </w:r>
      <w:r>
        <w:rPr>
          <w:rFonts w:ascii="Times New Roman" w:hAnsi="Times New Roman" w:cs="Times New Roman" w:eastAsia="Times New Roman" w:hint="default"/>
          <w:spacing w:val="-2"/>
        </w:rPr>
        <w:t>1.6</w:t>
      </w:r>
      <w:r>
        <w:rPr>
          <w:spacing w:val="-2"/>
        </w:rPr>
        <w:t>亿元。公司在本次竞拍土地使用权以及成立合资公司进行建设开发和运营事项中计划投</w:t>
      </w:r>
      <w:r>
        <w:rPr>
          <w:spacing w:val="-86"/>
        </w:rPr>
        <w:t> </w:t>
      </w:r>
      <w:r>
        <w:rPr>
          <w:spacing w:val="-86"/>
        </w:rPr>
      </w:r>
      <w:r>
        <w:rPr/>
        <w:t>资总金额不超过人民币</w:t>
      </w:r>
      <w:r>
        <w:rPr>
          <w:rFonts w:ascii="Times New Roman" w:hAnsi="Times New Roman" w:cs="Times New Roman" w:eastAsia="Times New Roman" w:hint="default"/>
        </w:rPr>
        <w:t>3.1</w:t>
      </w:r>
      <w:r>
        <w:rPr/>
        <w:t>亿元。详见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日公告（</w:t>
      </w:r>
      <w:hyperlink r:id="rId12">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24"/>
        </w:rPr>
        <w:t> </w:t>
      </w:r>
      <w:r>
        <w:rPr/>
        <w:t>公告</w:t>
      </w:r>
      <w:r>
        <w:rPr>
          <w:rFonts w:ascii="Times New Roman" w:hAnsi="Times New Roman" w:cs="Times New Roman" w:eastAsia="Times New Roman" w:hint="default"/>
        </w:rPr>
        <w:t>2018-70</w:t>
      </w:r>
      <w:r>
        <w:rPr/>
        <w:t>）</w:t>
      </w:r>
    </w:p>
    <w:p>
      <w:pPr>
        <w:spacing w:line="240" w:lineRule="auto" w:before="9"/>
        <w:rPr>
          <w:rFonts w:ascii="宋体" w:hAnsi="宋体" w:cs="宋体" w:eastAsia="宋体" w:hint="default"/>
          <w:sz w:val="21"/>
          <w:szCs w:val="21"/>
        </w:rPr>
      </w:pPr>
    </w:p>
    <w:p>
      <w:pPr>
        <w:pStyle w:val="Heading3"/>
        <w:spacing w:line="240" w:lineRule="auto"/>
        <w:ind w:right="0"/>
        <w:jc w:val="both"/>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、公司参股子公司广州天源信息科技股份有限公司于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日起在全国股转系统挂牌正式公开转让，证券代码：</w:t>
      </w:r>
    </w:p>
    <w:p>
      <w:pPr>
        <w:spacing w:before="6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872811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转</w:t>
      </w:r>
      <w:r>
        <w:rPr>
          <w:rFonts w:ascii="宋体" w:hAnsi="宋体" w:cs="宋体" w:eastAsia="宋体" w:hint="default"/>
          <w:spacing w:val="-60"/>
          <w:sz w:val="18"/>
          <w:szCs w:val="18"/>
        </w:rPr>
        <w:t> </w:t>
      </w:r>
      <w:r>
        <w:rPr>
          <w:rFonts w:ascii="宋体" w:hAnsi="宋体" w:cs="宋体" w:eastAsia="宋体" w:hint="default"/>
          <w:sz w:val="18"/>
          <w:szCs w:val="18"/>
        </w:rPr>
        <w:t>让</w:t>
      </w:r>
      <w:r>
        <w:rPr>
          <w:rFonts w:ascii="宋体" w:hAnsi="宋体" w:cs="宋体" w:eastAsia="宋体" w:hint="default"/>
          <w:spacing w:val="-58"/>
          <w:sz w:val="18"/>
          <w:szCs w:val="18"/>
        </w:rPr>
        <w:t> </w:t>
      </w:r>
      <w:r>
        <w:rPr>
          <w:rFonts w:ascii="宋体" w:hAnsi="宋体" w:cs="宋体" w:eastAsia="宋体" w:hint="default"/>
          <w:sz w:val="18"/>
          <w:szCs w:val="18"/>
        </w:rPr>
        <w:t>方</w:t>
      </w:r>
      <w:r>
        <w:rPr>
          <w:rFonts w:ascii="宋体" w:hAnsi="宋体" w:cs="宋体" w:eastAsia="宋体" w:hint="default"/>
          <w:spacing w:val="-60"/>
          <w:sz w:val="18"/>
          <w:szCs w:val="18"/>
        </w:rPr>
        <w:t> </w:t>
      </w:r>
      <w:r>
        <w:rPr>
          <w:rFonts w:ascii="宋体" w:hAnsi="宋体" w:cs="宋体" w:eastAsia="宋体" w:hint="default"/>
          <w:sz w:val="18"/>
          <w:szCs w:val="18"/>
        </w:rPr>
        <w:t>式</w:t>
      </w:r>
      <w:r>
        <w:rPr>
          <w:rFonts w:ascii="宋体" w:hAnsi="宋体" w:cs="宋体" w:eastAsia="宋体" w:hint="default"/>
          <w:spacing w:val="-60"/>
          <w:sz w:val="18"/>
          <w:szCs w:val="18"/>
        </w:rPr>
        <w:t> </w:t>
      </w:r>
      <w:r>
        <w:rPr>
          <w:rFonts w:ascii="宋体" w:hAnsi="宋体" w:cs="宋体" w:eastAsia="宋体" w:hint="default"/>
          <w:sz w:val="18"/>
          <w:szCs w:val="18"/>
        </w:rPr>
        <w:t>为</w:t>
      </w:r>
      <w:r>
        <w:rPr>
          <w:rFonts w:ascii="宋体" w:hAnsi="宋体" w:cs="宋体" w:eastAsia="宋体" w:hint="default"/>
          <w:spacing w:val="-60"/>
          <w:sz w:val="18"/>
          <w:szCs w:val="18"/>
        </w:rPr>
        <w:t> </w:t>
      </w:r>
      <w:r>
        <w:rPr>
          <w:rFonts w:ascii="宋体" w:hAnsi="宋体" w:cs="宋体" w:eastAsia="宋体" w:hint="default"/>
          <w:sz w:val="18"/>
          <w:szCs w:val="18"/>
        </w:rPr>
        <w:t>集</w:t>
      </w:r>
      <w:r>
        <w:rPr>
          <w:rFonts w:ascii="宋体" w:hAnsi="宋体" w:cs="宋体" w:eastAsia="宋体" w:hint="default"/>
          <w:spacing w:val="-58"/>
          <w:sz w:val="18"/>
          <w:szCs w:val="18"/>
        </w:rPr>
        <w:t> </w:t>
      </w:r>
      <w:r>
        <w:rPr>
          <w:rFonts w:ascii="宋体" w:hAnsi="宋体" w:cs="宋体" w:eastAsia="宋体" w:hint="default"/>
          <w:sz w:val="18"/>
          <w:szCs w:val="18"/>
        </w:rPr>
        <w:t>合</w:t>
      </w:r>
      <w:r>
        <w:rPr>
          <w:rFonts w:ascii="宋体" w:hAnsi="宋体" w:cs="宋体" w:eastAsia="宋体" w:hint="default"/>
          <w:spacing w:val="-58"/>
          <w:sz w:val="18"/>
          <w:szCs w:val="18"/>
        </w:rPr>
        <w:t> </w:t>
      </w:r>
      <w:r>
        <w:rPr>
          <w:rFonts w:ascii="宋体" w:hAnsi="宋体" w:cs="宋体" w:eastAsia="宋体" w:hint="default"/>
          <w:sz w:val="18"/>
          <w:szCs w:val="18"/>
        </w:rPr>
        <w:t>竞</w:t>
      </w:r>
      <w:r>
        <w:rPr>
          <w:rFonts w:ascii="宋体" w:hAnsi="宋体" w:cs="宋体" w:eastAsia="宋体" w:hint="default"/>
          <w:spacing w:val="-60"/>
          <w:sz w:val="18"/>
          <w:szCs w:val="18"/>
        </w:rPr>
        <w:t> </w:t>
      </w:r>
      <w:r>
        <w:rPr>
          <w:rFonts w:ascii="宋体" w:hAnsi="宋体" w:cs="宋体" w:eastAsia="宋体" w:hint="default"/>
          <w:sz w:val="18"/>
          <w:szCs w:val="18"/>
        </w:rPr>
        <w:t>价</w:t>
      </w:r>
      <w:r>
        <w:rPr>
          <w:rFonts w:ascii="宋体" w:hAnsi="宋体" w:cs="宋体" w:eastAsia="宋体" w:hint="default"/>
          <w:spacing w:val="-60"/>
          <w:sz w:val="18"/>
          <w:szCs w:val="18"/>
        </w:rPr>
        <w:t> </w:t>
      </w:r>
      <w:r>
        <w:rPr>
          <w:rFonts w:ascii="宋体" w:hAnsi="宋体" w:cs="宋体" w:eastAsia="宋体" w:hint="default"/>
          <w:sz w:val="18"/>
          <w:szCs w:val="18"/>
        </w:rPr>
        <w:t>转</w:t>
      </w:r>
      <w:r>
        <w:rPr>
          <w:rFonts w:ascii="宋体" w:hAnsi="宋体" w:cs="宋体" w:eastAsia="宋体" w:hint="default"/>
          <w:spacing w:val="-60"/>
          <w:sz w:val="18"/>
          <w:szCs w:val="18"/>
        </w:rPr>
        <w:t> </w:t>
      </w:r>
      <w:r>
        <w:rPr>
          <w:rFonts w:ascii="宋体" w:hAnsi="宋体" w:cs="宋体" w:eastAsia="宋体" w:hint="default"/>
          <w:sz w:val="18"/>
          <w:szCs w:val="18"/>
        </w:rPr>
        <w:t>让</w:t>
      </w:r>
      <w:r>
        <w:rPr>
          <w:rFonts w:ascii="宋体" w:hAnsi="宋体" w:cs="宋体" w:eastAsia="宋体" w:hint="default"/>
          <w:spacing w:val="-58"/>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详</w:t>
      </w:r>
      <w:r>
        <w:rPr>
          <w:rFonts w:ascii="宋体" w:hAnsi="宋体" w:cs="宋体" w:eastAsia="宋体" w:hint="default"/>
          <w:spacing w:val="-60"/>
          <w:sz w:val="18"/>
          <w:szCs w:val="18"/>
        </w:rPr>
        <w:t> </w:t>
      </w:r>
      <w:r>
        <w:rPr>
          <w:rFonts w:ascii="宋体" w:hAnsi="宋体" w:cs="宋体" w:eastAsia="宋体" w:hint="default"/>
          <w:sz w:val="18"/>
          <w:szCs w:val="18"/>
        </w:rPr>
        <w:t>情</w:t>
      </w:r>
      <w:r>
        <w:rPr>
          <w:rFonts w:ascii="宋体" w:hAnsi="宋体" w:cs="宋体" w:eastAsia="宋体" w:hint="default"/>
          <w:spacing w:val="-60"/>
          <w:sz w:val="18"/>
          <w:szCs w:val="18"/>
        </w:rPr>
        <w:t> </w:t>
      </w:r>
      <w:r>
        <w:rPr>
          <w:rFonts w:ascii="宋体" w:hAnsi="宋体" w:cs="宋体" w:eastAsia="宋体" w:hint="default"/>
          <w:sz w:val="18"/>
          <w:szCs w:val="18"/>
        </w:rPr>
        <w:t>参</w:t>
      </w:r>
      <w:r>
        <w:rPr>
          <w:rFonts w:ascii="宋体" w:hAnsi="宋体" w:cs="宋体" w:eastAsia="宋体" w:hint="default"/>
          <w:spacing w:val="-60"/>
          <w:sz w:val="18"/>
          <w:szCs w:val="18"/>
        </w:rPr>
        <w:t> </w:t>
      </w:r>
      <w:r>
        <w:rPr>
          <w:rFonts w:ascii="宋体" w:hAnsi="宋体" w:cs="宋体" w:eastAsia="宋体" w:hint="default"/>
          <w:sz w:val="18"/>
          <w:szCs w:val="18"/>
        </w:rPr>
        <w:t>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r>
        <w:rPr>
          <w:rFonts w:ascii="宋体" w:hAnsi="宋体" w:cs="宋体" w:eastAsia="宋体" w:hint="default"/>
          <w:spacing w:val="-60"/>
          <w:sz w:val="18"/>
          <w:szCs w:val="18"/>
        </w:rPr>
        <w:t> </w:t>
      </w:r>
      <w:r>
        <w:rPr>
          <w:rFonts w:ascii="宋体" w:hAnsi="宋体" w:cs="宋体" w:eastAsia="宋体" w:hint="default"/>
          <w:sz w:val="18"/>
          <w:szCs w:val="18"/>
        </w:rPr>
        <w:t>披</w:t>
      </w:r>
      <w:r>
        <w:rPr>
          <w:rFonts w:ascii="宋体" w:hAnsi="宋体" w:cs="宋体" w:eastAsia="宋体" w:hint="default"/>
          <w:spacing w:val="-58"/>
          <w:sz w:val="18"/>
          <w:szCs w:val="18"/>
        </w:rPr>
        <w:t> </w:t>
      </w:r>
      <w:r>
        <w:rPr>
          <w:rFonts w:ascii="宋体" w:hAnsi="宋体" w:cs="宋体" w:eastAsia="宋体" w:hint="default"/>
          <w:sz w:val="18"/>
          <w:szCs w:val="18"/>
        </w:rPr>
        <w:t>露</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pacing w:val="-60"/>
          <w:sz w:val="18"/>
          <w:szCs w:val="18"/>
        </w:rPr>
        <w:t> </w:t>
      </w:r>
      <w:r>
        <w:rPr>
          <w:rFonts w:ascii="宋体" w:hAnsi="宋体" w:cs="宋体" w:eastAsia="宋体" w:hint="default"/>
          <w:sz w:val="18"/>
          <w:szCs w:val="18"/>
        </w:rPr>
        <w:t>关</w:t>
      </w:r>
      <w:r>
        <w:rPr>
          <w:rFonts w:ascii="宋体" w:hAnsi="宋体" w:cs="宋体" w:eastAsia="宋体" w:hint="default"/>
          <w:spacing w:val="-60"/>
          <w:sz w:val="18"/>
          <w:szCs w:val="18"/>
        </w:rPr>
        <w:t> </w:t>
      </w:r>
      <w:r>
        <w:rPr>
          <w:rFonts w:ascii="宋体" w:hAnsi="宋体" w:cs="宋体" w:eastAsia="宋体" w:hint="default"/>
          <w:sz w:val="18"/>
          <w:szCs w:val="18"/>
        </w:rPr>
        <w:t>于</w:t>
      </w:r>
      <w:r>
        <w:rPr>
          <w:rFonts w:ascii="宋体" w:hAnsi="宋体" w:cs="宋体" w:eastAsia="宋体" w:hint="default"/>
          <w:spacing w:val="-58"/>
          <w:sz w:val="18"/>
          <w:szCs w:val="18"/>
        </w:rPr>
        <w:t> </w:t>
      </w:r>
      <w:r>
        <w:rPr>
          <w:rFonts w:ascii="宋体" w:hAnsi="宋体" w:cs="宋体" w:eastAsia="宋体" w:hint="default"/>
          <w:sz w:val="18"/>
          <w:szCs w:val="18"/>
        </w:rPr>
        <w:t>参</w:t>
      </w:r>
      <w:r>
        <w:rPr>
          <w:rFonts w:ascii="宋体" w:hAnsi="宋体" w:cs="宋体" w:eastAsia="宋体" w:hint="default"/>
          <w:spacing w:val="-58"/>
          <w:sz w:val="18"/>
          <w:szCs w:val="18"/>
        </w:rPr>
        <w:t> </w:t>
      </w:r>
      <w:r>
        <w:rPr>
          <w:rFonts w:ascii="宋体" w:hAnsi="宋体" w:cs="宋体" w:eastAsia="宋体" w:hint="default"/>
          <w:sz w:val="18"/>
          <w:szCs w:val="18"/>
        </w:rPr>
        <w:t>股</w:t>
      </w:r>
      <w:r>
        <w:rPr>
          <w:rFonts w:ascii="宋体" w:hAnsi="宋体" w:cs="宋体" w:eastAsia="宋体" w:hint="default"/>
          <w:spacing w:val="-60"/>
          <w:sz w:val="18"/>
          <w:szCs w:val="18"/>
        </w:rPr>
        <w:t> </w:t>
      </w:r>
      <w:r>
        <w:rPr>
          <w:rFonts w:ascii="宋体" w:hAnsi="宋体" w:cs="宋体" w:eastAsia="宋体" w:hint="default"/>
          <w:sz w:val="18"/>
          <w:szCs w:val="18"/>
        </w:rPr>
        <w:t>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60"/>
          <w:sz w:val="18"/>
          <w:szCs w:val="18"/>
        </w:rPr>
        <w:t> </w:t>
      </w:r>
      <w:r>
        <w:rPr>
          <w:rFonts w:ascii="宋体" w:hAnsi="宋体" w:cs="宋体" w:eastAsia="宋体" w:hint="default"/>
          <w:sz w:val="18"/>
          <w:szCs w:val="18"/>
        </w:rPr>
        <w:t>司</w:t>
      </w:r>
      <w:r>
        <w:rPr>
          <w:rFonts w:ascii="宋体" w:hAnsi="宋体" w:cs="宋体" w:eastAsia="宋体" w:hint="default"/>
          <w:spacing w:val="-58"/>
          <w:sz w:val="18"/>
          <w:szCs w:val="18"/>
        </w:rPr>
        <w:t> </w:t>
      </w:r>
      <w:r>
        <w:rPr>
          <w:rFonts w:ascii="宋体" w:hAnsi="宋体" w:cs="宋体" w:eastAsia="宋体" w:hint="default"/>
          <w:sz w:val="18"/>
          <w:szCs w:val="18"/>
        </w:rPr>
        <w:t>正</w:t>
      </w:r>
      <w:r>
        <w:rPr>
          <w:rFonts w:ascii="宋体" w:hAnsi="宋体" w:cs="宋体" w:eastAsia="宋体" w:hint="default"/>
          <w:spacing w:val="-58"/>
          <w:sz w:val="18"/>
          <w:szCs w:val="18"/>
        </w:rPr>
        <w:t> </w:t>
      </w:r>
      <w:r>
        <w:rPr>
          <w:rFonts w:ascii="宋体" w:hAnsi="宋体" w:cs="宋体" w:eastAsia="宋体" w:hint="default"/>
          <w:sz w:val="18"/>
          <w:szCs w:val="18"/>
        </w:rPr>
        <w:t>式</w:t>
      </w:r>
      <w:r>
        <w:rPr>
          <w:rFonts w:ascii="宋体" w:hAnsi="宋体" w:cs="宋体" w:eastAsia="宋体" w:hint="default"/>
          <w:spacing w:val="-60"/>
          <w:sz w:val="18"/>
          <w:szCs w:val="18"/>
        </w:rPr>
        <w:t> </w:t>
      </w:r>
      <w:r>
        <w:rPr>
          <w:rFonts w:ascii="宋体" w:hAnsi="宋体" w:cs="宋体" w:eastAsia="宋体" w:hint="default"/>
          <w:sz w:val="18"/>
          <w:szCs w:val="18"/>
        </w:rPr>
        <w:t>挂</w:t>
      </w:r>
      <w:r>
        <w:rPr>
          <w:rFonts w:ascii="宋体" w:hAnsi="宋体" w:cs="宋体" w:eastAsia="宋体" w:hint="default"/>
          <w:spacing w:val="-60"/>
          <w:sz w:val="18"/>
          <w:szCs w:val="18"/>
        </w:rPr>
        <w:t> </w:t>
      </w:r>
      <w:r>
        <w:rPr>
          <w:rFonts w:ascii="宋体" w:hAnsi="宋体" w:cs="宋体" w:eastAsia="宋体" w:hint="default"/>
          <w:sz w:val="18"/>
          <w:szCs w:val="18"/>
        </w:rPr>
        <w:t>牌</w:t>
      </w:r>
      <w:r>
        <w:rPr>
          <w:rFonts w:ascii="宋体" w:hAnsi="宋体" w:cs="宋体" w:eastAsia="宋体" w:hint="default"/>
          <w:spacing w:val="-60"/>
          <w:sz w:val="18"/>
          <w:szCs w:val="18"/>
        </w:rPr>
        <w:t> </w:t>
      </w:r>
      <w:r>
        <w:rPr>
          <w:rFonts w:ascii="宋体" w:hAnsi="宋体" w:cs="宋体" w:eastAsia="宋体" w:hint="default"/>
          <w:sz w:val="18"/>
          <w:szCs w:val="18"/>
        </w:rPr>
        <w:t>新</w:t>
      </w:r>
      <w:r>
        <w:rPr>
          <w:rFonts w:ascii="宋体" w:hAnsi="宋体" w:cs="宋体" w:eastAsia="宋体" w:hint="default"/>
          <w:spacing w:val="-58"/>
          <w:sz w:val="18"/>
          <w:szCs w:val="18"/>
        </w:rPr>
        <w:t> </w:t>
      </w:r>
      <w:r>
        <w:rPr>
          <w:rFonts w:ascii="宋体" w:hAnsi="宋体" w:cs="宋体" w:eastAsia="宋体" w:hint="default"/>
          <w:sz w:val="18"/>
          <w:szCs w:val="18"/>
        </w:rPr>
        <w:t>三</w:t>
      </w:r>
      <w:r>
        <w:rPr>
          <w:rFonts w:ascii="宋体" w:hAnsi="宋体" w:cs="宋体" w:eastAsia="宋体" w:hint="default"/>
          <w:spacing w:val="-58"/>
          <w:sz w:val="18"/>
          <w:szCs w:val="18"/>
        </w:rPr>
        <w:t> </w:t>
      </w:r>
      <w:r>
        <w:rPr>
          <w:rFonts w:ascii="宋体" w:hAnsi="宋体" w:cs="宋体" w:eastAsia="宋体" w:hint="default"/>
          <w:sz w:val="18"/>
          <w:szCs w:val="18"/>
        </w:rPr>
        <w:t>板</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60"/>
          <w:sz w:val="18"/>
          <w:szCs w:val="18"/>
        </w:rPr>
        <w:t> </w:t>
      </w:r>
      <w:r>
        <w:rPr>
          <w:rFonts w:ascii="宋体" w:hAnsi="宋体" w:cs="宋体" w:eastAsia="宋体" w:hint="default"/>
          <w:sz w:val="18"/>
          <w:szCs w:val="18"/>
        </w:rPr>
        <w:t>告</w:t>
      </w:r>
    </w:p>
    <w:p>
      <w:pPr>
        <w:spacing w:before="63"/>
        <w:ind w:left="154" w:right="0" w:firstLine="0"/>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公告</w:t>
      </w:r>
      <w:r>
        <w:rPr>
          <w:rFonts w:ascii="Times New Roman" w:hAnsi="Times New Roman" w:cs="Times New Roman" w:eastAsia="Times New Roman" w:hint="default"/>
          <w:sz w:val="18"/>
          <w:szCs w:val="18"/>
        </w:rPr>
        <w:t>2018-34</w:t>
      </w:r>
      <w:r>
        <w:rPr>
          <w:rFonts w:ascii="宋体" w:hAnsi="宋体" w:cs="宋体" w:eastAsia="宋体" w:hint="default"/>
          <w:sz w:val="18"/>
          <w:szCs w:val="18"/>
        </w:rPr>
        <w:t>）</w:t>
      </w:r>
    </w:p>
    <w:p>
      <w:pPr>
        <w:spacing w:line="300" w:lineRule="auto" w:before="63"/>
        <w:ind w:left="154" w:right="113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日召开第四届董事会第二十三次会议，审议通过了《关于拟投资建设合肥研发基地二 期项目的议案》。公司之全资子公司合肥天源迪科信息技术有限公司计划使用自有资金及自筹资金不超过人民币</w:t>
      </w:r>
      <w:r>
        <w:rPr>
          <w:rFonts w:ascii="Times New Roman" w:hAnsi="Times New Roman" w:cs="Times New Roman" w:eastAsia="Times New Roman" w:hint="default"/>
          <w:sz w:val="18"/>
          <w:szCs w:val="18"/>
        </w:rPr>
        <w:t>4</w:t>
      </w:r>
      <w:r>
        <w:rPr>
          <w:rFonts w:ascii="宋体" w:hAnsi="宋体" w:cs="宋体" w:eastAsia="宋体" w:hint="default"/>
          <w:sz w:val="18"/>
          <w:szCs w:val="18"/>
        </w:rPr>
        <w:t>亿元，在 合肥高新技术产业开发区投资建设天源迪科合肥研发基地二期项目。详见</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日公告（</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w:t>
      </w:r>
      <w:r>
        <w:rPr>
          <w:rFonts w:ascii="Times New Roman" w:hAnsi="Times New Roman" w:cs="Times New Roman" w:eastAsia="Times New Roman" w:hint="default"/>
          <w:sz w:val="18"/>
          <w:szCs w:val="18"/>
        </w:rPr>
        <w:t>2018-58</w:t>
      </w:r>
      <w:r>
        <w:rPr>
          <w:rFonts w:ascii="宋体" w:hAnsi="宋体" w:cs="宋体" w:eastAsia="宋体" w:hint="default"/>
          <w:sz w:val="18"/>
          <w:szCs w:val="18"/>
        </w:rPr>
        <w:t>）</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972"/>
        <w:jc w:val="left"/>
        <w:rPr>
          <w:b w:val="0"/>
          <w:bCs w:val="0"/>
        </w:rPr>
      </w:pPr>
      <w:bookmarkStart w:name="第六节 股份变动及股东情况" w:id="102"/>
      <w:bookmarkEnd w:id="102"/>
      <w:r>
        <w:rPr>
          <w:b w:val="0"/>
          <w:bCs w:val="0"/>
        </w:rPr>
      </w:r>
      <w:bookmarkStart w:name="_bookmark4"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972"/>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65"/>
        <w:gridCol w:w="1016"/>
        <w:gridCol w:w="660"/>
        <w:gridCol w:w="840"/>
        <w:gridCol w:w="496"/>
        <w:gridCol w:w="960"/>
        <w:gridCol w:w="1064"/>
        <w:gridCol w:w="960"/>
        <w:gridCol w:w="906"/>
        <w:gridCol w:w="794"/>
      </w:tblGrid>
      <w:tr>
        <w:trPr>
          <w:trHeight w:val="206" w:hRule="exact"/>
        </w:trPr>
        <w:tc>
          <w:tcPr>
            <w:tcW w:w="1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2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6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865" w:type="dxa"/>
            <w:vMerge w:val="restart"/>
            <w:tcBorders>
              <w:top w:val="nil" w:sz="6" w:space="0" w:color="auto"/>
              <w:left w:val="single" w:sz="4" w:space="0" w:color="000000"/>
              <w:right w:val="single" w:sz="4" w:space="0" w:color="000000"/>
            </w:tcBorders>
            <w:shd w:val="clear" w:color="auto" w:fill="D2D2D2"/>
          </w:tcPr>
          <w:p>
            <w:pPr/>
          </w:p>
        </w:tc>
        <w:tc>
          <w:tcPr>
            <w:tcW w:w="1676" w:type="dxa"/>
            <w:gridSpan w:val="2"/>
            <w:vMerge/>
            <w:tcBorders>
              <w:left w:val="single" w:sz="4" w:space="0" w:color="000000"/>
              <w:bottom w:val="single" w:sz="4" w:space="0" w:color="000000"/>
              <w:right w:val="single" w:sz="4" w:space="0" w:color="000000"/>
            </w:tcBorders>
            <w:shd w:val="clear" w:color="auto" w:fill="D2D2D2"/>
          </w:tcPr>
          <w:p>
            <w:pPr/>
          </w:p>
        </w:tc>
        <w:tc>
          <w:tcPr>
            <w:tcW w:w="4321" w:type="dxa"/>
            <w:gridSpan w:val="5"/>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65" w:type="dxa"/>
            <w:vMerge/>
            <w:tcBorders>
              <w:left w:val="single" w:sz="4" w:space="0" w:color="000000"/>
              <w:bottom w:val="nil" w:sz="6" w:space="0" w:color="auto"/>
              <w:right w:val="single" w:sz="4" w:space="0" w:color="000000"/>
            </w:tcBorders>
            <w:shd w:val="clear" w:color="auto" w:fill="D2D2D2"/>
          </w:tcPr>
          <w:p>
            <w:pPr/>
          </w:p>
        </w:tc>
        <w:tc>
          <w:tcPr>
            <w:tcW w:w="1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496"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906"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127,263,262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31.84%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-27,417,558</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-27,417,558</w:t>
            </w:r>
            <w:r>
              <w:rPr>
                <w:rFonts w:ascii="Times New Roman"/>
                <w:sz w:val="18"/>
              </w:rPr>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99,845,704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25.02%</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127,263,262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31.84%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-27,417,558</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-27,417,558</w:t>
            </w:r>
            <w:r>
              <w:rPr>
                <w:rFonts w:ascii="Times New Roman"/>
                <w:sz w:val="18"/>
              </w:rPr>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99,845,704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25.02%</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1,304,929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0.33%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-1,304,929</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-1,304,929</w:t>
            </w:r>
            <w:r>
              <w:rPr>
                <w:rFonts w:ascii="Times New Roman"/>
                <w:sz w:val="18"/>
              </w:rPr>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125,958,333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31.51%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-26,112,629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-26,112,629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99,845,704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25.02%</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272,474,008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68.16%</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2" w:right="0"/>
              <w:jc w:val="left"/>
              <w:rPr>
                <w:rFonts w:ascii="Times New Roman" w:hAnsi="Times New Roman" w:cs="Times New Roman" w:eastAsia="Times New Roman" w:hint="default"/>
                <w:sz w:val="18"/>
                <w:szCs w:val="18"/>
              </w:rPr>
            </w:pPr>
            <w:r>
              <w:rPr>
                <w:rFonts w:ascii="Times New Roman"/>
                <w:sz w:val="18"/>
              </w:rPr>
              <w:t>26,764,148</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26,764,148</w:t>
            </w:r>
          </w:p>
        </w:tc>
        <w:tc>
          <w:tcPr>
            <w:tcW w:w="9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299,238,15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74.98%</w:t>
            </w:r>
          </w:p>
        </w:tc>
      </w:tr>
      <w:tr>
        <w:trPr>
          <w:trHeight w:val="392" w:hRule="exact"/>
        </w:trPr>
        <w:tc>
          <w:tcPr>
            <w:tcW w:w="18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16" w:type="dxa"/>
            <w:vMerge/>
            <w:tcBorders>
              <w:left w:val="single" w:sz="9" w:space="0" w:color="D2D2D2"/>
              <w:right w:val="single" w:sz="4" w:space="0" w:color="000000"/>
            </w:tcBorders>
          </w:tcPr>
          <w:p>
            <w:pPr/>
          </w:p>
        </w:tc>
        <w:tc>
          <w:tcPr>
            <w:tcW w:w="6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90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6" w:type="dxa"/>
            <w:vMerge/>
            <w:tcBorders>
              <w:left w:val="single" w:sz="9" w:space="0" w:color="D2D2D2"/>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0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1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272,474,008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68.16%</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2" w:right="0"/>
              <w:jc w:val="left"/>
              <w:rPr>
                <w:rFonts w:ascii="Times New Roman" w:hAnsi="Times New Roman" w:cs="Times New Roman" w:eastAsia="Times New Roman" w:hint="default"/>
                <w:sz w:val="18"/>
                <w:szCs w:val="18"/>
              </w:rPr>
            </w:pPr>
            <w:r>
              <w:rPr>
                <w:rFonts w:ascii="Times New Roman"/>
                <w:sz w:val="18"/>
              </w:rPr>
              <w:t>26,764,148</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26,764,148</w:t>
            </w:r>
          </w:p>
        </w:tc>
        <w:tc>
          <w:tcPr>
            <w:tcW w:w="9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299,238,15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74.98%</w:t>
            </w:r>
          </w:p>
        </w:tc>
      </w:tr>
      <w:tr>
        <w:trPr>
          <w:trHeight w:val="392" w:hRule="exact"/>
        </w:trPr>
        <w:tc>
          <w:tcPr>
            <w:tcW w:w="18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16" w:type="dxa"/>
            <w:vMerge/>
            <w:tcBorders>
              <w:left w:val="single" w:sz="9" w:space="0" w:color="D2D2D2"/>
              <w:right w:val="single" w:sz="4" w:space="0" w:color="000000"/>
            </w:tcBorders>
          </w:tcPr>
          <w:p>
            <w:pPr/>
          </w:p>
        </w:tc>
        <w:tc>
          <w:tcPr>
            <w:tcW w:w="6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90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6" w:type="dxa"/>
            <w:vMerge/>
            <w:tcBorders>
              <w:left w:val="single" w:sz="9" w:space="0" w:color="D2D2D2"/>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0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399,737,270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-653,410</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-653,410</w:t>
            </w:r>
          </w:p>
        </w:tc>
        <w:tc>
          <w:tcPr>
            <w:tcW w:w="9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399,083,86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18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16" w:type="dxa"/>
            <w:vMerge/>
            <w:tcBorders>
              <w:left w:val="single" w:sz="9" w:space="0" w:color="D2D2D2"/>
              <w:right w:val="single" w:sz="4" w:space="0" w:color="000000"/>
            </w:tcBorders>
          </w:tcPr>
          <w:p>
            <w:pPr/>
          </w:p>
        </w:tc>
        <w:tc>
          <w:tcPr>
            <w:tcW w:w="6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90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6" w:type="dxa"/>
            <w:vMerge/>
            <w:tcBorders>
              <w:left w:val="single" w:sz="9" w:space="0" w:color="D2D2D2"/>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0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4"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、根据中国证券登记结算有限责任公司深圳分公司于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日下发的《上市公司高层人员持有本公司可转让股份 法定额度及解锁股份确认明细表》，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年度高管解除锁定股份数</w:t>
      </w:r>
      <w:r>
        <w:rPr>
          <w:rFonts w:ascii="Times New Roman" w:hAnsi="Times New Roman" w:cs="Times New Roman" w:eastAsia="Times New Roman" w:hint="default"/>
          <w:sz w:val="18"/>
          <w:szCs w:val="18"/>
        </w:rPr>
        <w:t>7,575,000</w:t>
      </w:r>
      <w:r>
        <w:rPr>
          <w:rFonts w:ascii="宋体" w:hAnsi="宋体" w:cs="宋体" w:eastAsia="宋体" w:hint="default"/>
          <w:sz w:val="18"/>
          <w:szCs w:val="18"/>
        </w:rPr>
        <w:t>股。</w:t>
      </w:r>
    </w:p>
    <w:p>
      <w:pPr>
        <w:spacing w:line="300" w:lineRule="auto" w:before="13"/>
        <w:ind w:left="154" w:right="11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、根据公司《限制性股票激励计划》（草案）</w:t>
      </w:r>
      <w:r>
        <w:rPr>
          <w:rFonts w:ascii="Times New Roman" w:hAnsi="Times New Roman" w:cs="Times New Roman" w:eastAsia="Times New Roman" w:hint="default"/>
          <w:sz w:val="18"/>
          <w:szCs w:val="18"/>
        </w:rPr>
        <w:t>“</w:t>
      </w:r>
      <w:r>
        <w:rPr>
          <w:rFonts w:ascii="宋体" w:hAnsi="宋体" w:cs="宋体" w:eastAsia="宋体" w:hint="default"/>
          <w:sz w:val="18"/>
          <w:szCs w:val="18"/>
        </w:rPr>
        <w:t>第八章激励计划的变更与终止</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的相关规定，因公司限制性股票激励计 </w:t>
      </w:r>
      <w:r>
        <w:rPr>
          <w:rFonts w:ascii="宋体" w:hAnsi="宋体" w:cs="宋体" w:eastAsia="宋体" w:hint="default"/>
          <w:spacing w:val="-2"/>
          <w:sz w:val="18"/>
          <w:szCs w:val="18"/>
        </w:rPr>
        <w:t>划激励对象黄育成、刘宝珍、吴亚军、熊英、孔翔天等共</w:t>
      </w:r>
      <w:r>
        <w:rPr>
          <w:rFonts w:ascii="Times New Roman" w:hAnsi="Times New Roman" w:cs="Times New Roman" w:eastAsia="Times New Roman" w:hint="default"/>
          <w:spacing w:val="-2"/>
          <w:sz w:val="18"/>
          <w:szCs w:val="18"/>
        </w:rPr>
        <w:t>33</w:t>
      </w:r>
      <w:r>
        <w:rPr>
          <w:rFonts w:ascii="宋体" w:hAnsi="宋体" w:cs="宋体" w:eastAsia="宋体" w:hint="default"/>
          <w:spacing w:val="-2"/>
          <w:sz w:val="18"/>
          <w:szCs w:val="18"/>
        </w:rPr>
        <w:t>人因个人原因离职，已不符合激励条件，其已获授但尚未解锁的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限制性股票合计</w:t>
      </w:r>
      <w:r>
        <w:rPr>
          <w:rFonts w:ascii="Times New Roman" w:hAnsi="Times New Roman" w:cs="Times New Roman" w:eastAsia="Times New Roman" w:hint="default"/>
          <w:spacing w:val="-1"/>
          <w:sz w:val="18"/>
          <w:szCs w:val="18"/>
        </w:rPr>
        <w:t>614,410</w:t>
      </w:r>
      <w:r>
        <w:rPr>
          <w:rFonts w:ascii="宋体" w:hAnsi="宋体" w:cs="宋体" w:eastAsia="宋体" w:hint="default"/>
          <w:spacing w:val="-1"/>
          <w:sz w:val="18"/>
          <w:szCs w:val="18"/>
        </w:rPr>
        <w:t>股全部注销；基于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年度考核情况，注销缪定文、付强、黄铭铭、赵其峰共</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人已获授但尚未解锁</w:t>
      </w:r>
      <w:r>
        <w:rPr>
          <w:rFonts w:ascii="宋体" w:hAnsi="宋体" w:cs="宋体" w:eastAsia="宋体" w:hint="default"/>
          <w:spacing w:val="-72"/>
          <w:sz w:val="18"/>
          <w:szCs w:val="18"/>
        </w:rPr>
        <w:t> </w:t>
      </w:r>
      <w:r>
        <w:rPr>
          <w:rFonts w:ascii="宋体" w:hAnsi="宋体" w:cs="宋体" w:eastAsia="宋体" w:hint="default"/>
          <w:sz w:val="18"/>
          <w:szCs w:val="18"/>
        </w:rPr>
        <w:t>的第二期限制性股票合计</w:t>
      </w:r>
      <w:r>
        <w:rPr>
          <w:rFonts w:ascii="Times New Roman" w:hAnsi="Times New Roman" w:cs="Times New Roman" w:eastAsia="Times New Roman" w:hint="default"/>
          <w:sz w:val="18"/>
          <w:szCs w:val="18"/>
        </w:rPr>
        <w:t>39,000</w:t>
      </w:r>
      <w:r>
        <w:rPr>
          <w:rFonts w:ascii="宋体" w:hAnsi="宋体" w:cs="宋体" w:eastAsia="宋体" w:hint="default"/>
          <w:sz w:val="18"/>
          <w:szCs w:val="18"/>
        </w:rPr>
        <w:t>股。</w:t>
      </w:r>
    </w:p>
    <w:p>
      <w:pPr>
        <w:spacing w:before="13"/>
        <w:ind w:left="514" w:right="0" w:firstLine="0"/>
        <w:jc w:val="left"/>
        <w:rPr>
          <w:rFonts w:ascii="宋体" w:hAnsi="宋体" w:cs="宋体" w:eastAsia="宋体" w:hint="default"/>
          <w:sz w:val="18"/>
          <w:szCs w:val="18"/>
        </w:rPr>
      </w:pPr>
      <w:r>
        <w:rPr>
          <w:rFonts w:ascii="宋体" w:hAnsi="宋体" w:cs="宋体" w:eastAsia="宋体" w:hint="default"/>
          <w:sz w:val="18"/>
          <w:szCs w:val="18"/>
        </w:rPr>
        <w:t>上述限制性股票共</w:t>
      </w:r>
      <w:r>
        <w:rPr>
          <w:rFonts w:ascii="Times New Roman" w:hAnsi="Times New Roman" w:cs="Times New Roman" w:eastAsia="Times New Roman" w:hint="default"/>
          <w:sz w:val="18"/>
          <w:szCs w:val="18"/>
        </w:rPr>
        <w:t>653,410</w:t>
      </w:r>
      <w:r>
        <w:rPr>
          <w:rFonts w:ascii="宋体" w:hAnsi="宋体" w:cs="宋体" w:eastAsia="宋体" w:hint="default"/>
          <w:sz w:val="18"/>
          <w:szCs w:val="18"/>
        </w:rPr>
        <w:t>股已于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日在中国证券登记结算有限责任公司深圳分公司完成回购注销。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日，限制性股票激励计划第二个解锁期解锁的限制性股票</w:t>
      </w:r>
      <w:r>
        <w:rPr>
          <w:rFonts w:ascii="Times New Roman" w:hAnsi="Times New Roman" w:cs="Times New Roman" w:eastAsia="Times New Roman" w:hint="default"/>
          <w:sz w:val="18"/>
          <w:szCs w:val="18"/>
        </w:rPr>
        <w:t>3,391,800</w:t>
      </w:r>
      <w:r>
        <w:rPr>
          <w:rFonts w:ascii="宋体" w:hAnsi="宋体" w:cs="宋体" w:eastAsia="宋体" w:hint="default"/>
          <w:sz w:val="18"/>
          <w:szCs w:val="18"/>
        </w:rPr>
        <w:t>股上市。 </w:t>
      </w:r>
      <w:r>
        <w:rPr>
          <w:rFonts w:ascii="宋体" w:hAnsi="宋体" w:cs="宋体" w:eastAsia="宋体" w:hint="default"/>
          <w:spacing w:val="-2"/>
          <w:sz w:val="18"/>
          <w:szCs w:val="18"/>
        </w:rPr>
        <w:t>备注：因林容、管四新、代峰、罗赞、陈秀琴、钱文胜为公司高级管理人员，其限制性股票解锁时，按照高管年度总股</w:t>
      </w:r>
    </w:p>
    <w:p>
      <w:pPr>
        <w:spacing w:line="300" w:lineRule="auto" w:before="31"/>
        <w:ind w:left="154" w:right="1118" w:firstLine="0"/>
        <w:jc w:val="left"/>
        <w:rPr>
          <w:rFonts w:ascii="宋体" w:hAnsi="宋体" w:cs="宋体" w:eastAsia="宋体" w:hint="default"/>
          <w:sz w:val="18"/>
          <w:szCs w:val="18"/>
        </w:rPr>
      </w:pPr>
      <w:r>
        <w:rPr>
          <w:rFonts w:ascii="宋体" w:hAnsi="宋体" w:cs="宋体" w:eastAsia="宋体" w:hint="default"/>
          <w:spacing w:val="-1"/>
          <w:sz w:val="18"/>
          <w:szCs w:val="18"/>
        </w:rPr>
        <w:t>数</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的解限额度，上述</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人解锁的限制性股票中，合计</w:t>
      </w:r>
      <w:r>
        <w:rPr>
          <w:rFonts w:ascii="Times New Roman" w:hAnsi="Times New Roman" w:cs="Times New Roman" w:eastAsia="Times New Roman" w:hint="default"/>
          <w:spacing w:val="-1"/>
          <w:sz w:val="18"/>
          <w:szCs w:val="18"/>
        </w:rPr>
        <w:t>212,475</w:t>
      </w:r>
      <w:r>
        <w:rPr>
          <w:rFonts w:ascii="宋体" w:hAnsi="宋体" w:cs="宋体" w:eastAsia="宋体" w:hint="default"/>
          <w:spacing w:val="-1"/>
          <w:sz w:val="18"/>
          <w:szCs w:val="18"/>
        </w:rPr>
        <w:t>股放在高管锁定股类别下，实际可上市流通数量为</w:t>
      </w:r>
      <w:r>
        <w:rPr>
          <w:rFonts w:ascii="Times New Roman" w:hAnsi="Times New Roman" w:cs="Times New Roman" w:eastAsia="Times New Roman" w:hint="default"/>
          <w:spacing w:val="-1"/>
          <w:sz w:val="18"/>
          <w:szCs w:val="18"/>
        </w:rPr>
        <w:t>3,179,325</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r>
      <w:r>
        <w:rPr>
          <w:rFonts w:ascii="宋体" w:hAnsi="宋体" w:cs="宋体" w:eastAsia="宋体" w:hint="default"/>
          <w:sz w:val="18"/>
          <w:szCs w:val="18"/>
        </w:rPr>
        <w:t>股。</w:t>
      </w:r>
    </w:p>
    <w:p>
      <w:pPr>
        <w:spacing w:line="300" w:lineRule="auto" w:before="32"/>
        <w:ind w:left="154" w:right="1129"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日，公司分别向陈兵等</w:t>
      </w:r>
      <w:r>
        <w:rPr>
          <w:rFonts w:ascii="Times New Roman" w:hAnsi="Times New Roman" w:cs="Times New Roman" w:eastAsia="Times New Roman" w:hint="default"/>
          <w:spacing w:val="2"/>
          <w:sz w:val="18"/>
          <w:szCs w:val="18"/>
        </w:rPr>
        <w:t>89</w:t>
      </w:r>
      <w:r>
        <w:rPr>
          <w:rFonts w:ascii="宋体" w:hAnsi="宋体" w:cs="宋体" w:eastAsia="宋体" w:hint="default"/>
          <w:spacing w:val="2"/>
          <w:sz w:val="18"/>
          <w:szCs w:val="18"/>
        </w:rPr>
        <w:t>名自然人及深圳市保腾创业投资有限公司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深圳保腾丰享证券投资基金等</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家机构共计发行</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股股票数量为</w:t>
      </w:r>
      <w:r>
        <w:rPr>
          <w:rFonts w:ascii="Times New Roman" w:hAnsi="Times New Roman" w:cs="Times New Roman" w:eastAsia="Times New Roman" w:hint="default"/>
          <w:spacing w:val="-1"/>
          <w:sz w:val="18"/>
          <w:szCs w:val="18"/>
        </w:rPr>
        <w:t>42,003,788</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日，重大资产重组部分限售股份解除限售条件已成就，申请解除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限售股份数量为</w:t>
      </w:r>
      <w:r>
        <w:rPr>
          <w:rFonts w:ascii="Times New Roman" w:hAnsi="Times New Roman" w:cs="Times New Roman" w:eastAsia="Times New Roman" w:hint="default"/>
          <w:sz w:val="18"/>
          <w:szCs w:val="18"/>
        </w:rPr>
        <w:t>20,282,721</w:t>
      </w:r>
      <w:r>
        <w:rPr>
          <w:rFonts w:ascii="宋体" w:hAnsi="宋体" w:cs="宋体" w:eastAsia="宋体" w:hint="default"/>
          <w:sz w:val="18"/>
          <w:szCs w:val="18"/>
        </w:rPr>
        <w:t>股。</w:t>
      </w:r>
    </w:p>
    <w:p>
      <w:pPr>
        <w:spacing w:line="340" w:lineRule="auto" w:before="13"/>
        <w:ind w:left="154" w:right="1242" w:firstLine="360"/>
        <w:jc w:val="left"/>
        <w:rPr>
          <w:rFonts w:ascii="宋体" w:hAnsi="宋体" w:cs="宋体" w:eastAsia="宋体" w:hint="default"/>
          <w:sz w:val="18"/>
          <w:szCs w:val="18"/>
        </w:rPr>
      </w:pPr>
      <w:r>
        <w:rPr>
          <w:rFonts w:ascii="宋体" w:hAnsi="宋体" w:cs="宋体" w:eastAsia="宋体" w:hint="default"/>
          <w:sz w:val="18"/>
          <w:szCs w:val="18"/>
        </w:rPr>
        <w:t>备注：因陈兵为公司董事，按照高管年度总股数</w:t>
      </w:r>
      <w:r>
        <w:rPr>
          <w:rFonts w:ascii="Times New Roman" w:hAnsi="Times New Roman" w:cs="Times New Roman" w:eastAsia="Times New Roman" w:hint="default"/>
          <w:sz w:val="18"/>
          <w:szCs w:val="18"/>
        </w:rPr>
        <w:t>25%</w:t>
      </w:r>
      <w:r>
        <w:rPr>
          <w:rFonts w:ascii="宋体" w:hAnsi="宋体" w:cs="宋体" w:eastAsia="宋体" w:hint="default"/>
          <w:sz w:val="18"/>
          <w:szCs w:val="18"/>
        </w:rPr>
        <w:t>的解限额度，其解除限售的</w:t>
      </w:r>
      <w:r>
        <w:rPr>
          <w:rFonts w:ascii="Times New Roman" w:hAnsi="Times New Roman" w:cs="Times New Roman" w:eastAsia="Times New Roman" w:hint="default"/>
          <w:sz w:val="18"/>
          <w:szCs w:val="18"/>
        </w:rPr>
        <w:t>4,314,991</w:t>
      </w:r>
      <w:r>
        <w:rPr>
          <w:rFonts w:ascii="宋体" w:hAnsi="宋体" w:cs="宋体" w:eastAsia="宋体" w:hint="default"/>
          <w:sz w:val="18"/>
          <w:szCs w:val="18"/>
        </w:rPr>
        <w:t>股放在高管锁定股类别下。 股份变动的批准情况</w:t>
      </w:r>
    </w:p>
    <w:p>
      <w:pPr>
        <w:spacing w:before="4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7" w:lineRule="auto" w:before="101"/>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日，公司第四届董事会第十三次会议、第四届监事会第十次会议审议通过了《关于拟回购注销已不符合</w:t>
      </w:r>
      <w:r>
        <w:rPr>
          <w:rFonts w:ascii="宋体" w:hAnsi="宋体" w:cs="宋体" w:eastAsia="宋体" w:hint="default"/>
          <w:sz w:val="18"/>
          <w:szCs w:val="18"/>
        </w:rPr>
        <w:t> </w:t>
      </w:r>
      <w:r>
        <w:rPr>
          <w:rFonts w:ascii="宋体" w:hAnsi="宋体" w:cs="宋体" w:eastAsia="宋体" w:hint="default"/>
          <w:spacing w:val="-2"/>
          <w:sz w:val="18"/>
          <w:szCs w:val="18"/>
        </w:rPr>
        <w:t>激励条件激励对象已获授但尚未解锁的限制性股票的议案》，公司限制性股票激励计划激励对象黄育成、杨斌、陈亮宇、郭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林华、徐剑生、蒋伟、张伟、刘红卫共八人因个人原因离职，其已获授但尚未解锁的限制性股票共</w:t>
      </w:r>
      <w:r>
        <w:rPr>
          <w:rFonts w:ascii="Times New Roman" w:hAnsi="Times New Roman" w:cs="Times New Roman" w:eastAsia="Times New Roman" w:hint="default"/>
          <w:sz w:val="18"/>
          <w:szCs w:val="18"/>
        </w:rPr>
        <w:t>14.73</w:t>
      </w:r>
      <w:r>
        <w:rPr>
          <w:rFonts w:ascii="宋体" w:hAnsi="宋体" w:cs="宋体" w:eastAsia="宋体" w:hint="default"/>
          <w:sz w:val="18"/>
          <w:szCs w:val="18"/>
        </w:rPr>
        <w:t>万股全部进行回购</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注销。</w:t>
      </w:r>
    </w:p>
    <w:p>
      <w:pPr>
        <w:spacing w:line="309" w:lineRule="auto" w:before="26"/>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日，公司第四届董事会第十六次会议、第四届监事会第十三次会议审议通过了《关于回购注销已不符合 </w:t>
      </w:r>
      <w:r>
        <w:rPr>
          <w:rFonts w:ascii="宋体" w:hAnsi="宋体" w:cs="宋体" w:eastAsia="宋体" w:hint="default"/>
          <w:spacing w:val="-2"/>
          <w:sz w:val="18"/>
          <w:szCs w:val="18"/>
        </w:rPr>
        <w:t>激励条件激励对象已获授但尚未解锁的限制性股票的议案》，公司限制性股票激励计划激励对象杨健丽、刘宝珍、张盈、刘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欢欢共</w:t>
      </w:r>
      <w:r>
        <w:rPr>
          <w:rFonts w:ascii="Times New Roman" w:hAnsi="Times New Roman" w:cs="Times New Roman" w:eastAsia="Times New Roman" w:hint="default"/>
          <w:sz w:val="18"/>
          <w:szCs w:val="18"/>
        </w:rPr>
        <w:t>4</w:t>
      </w:r>
      <w:r>
        <w:rPr>
          <w:rFonts w:ascii="宋体" w:hAnsi="宋体" w:cs="宋体" w:eastAsia="宋体" w:hint="default"/>
          <w:sz w:val="18"/>
          <w:szCs w:val="18"/>
        </w:rPr>
        <w:t>人因个人原因离职，其已获授但尚未解锁的其限制性股票共计</w:t>
      </w:r>
      <w:r>
        <w:rPr>
          <w:rFonts w:ascii="Times New Roman" w:hAnsi="Times New Roman" w:cs="Times New Roman" w:eastAsia="Times New Roman" w:hint="default"/>
          <w:sz w:val="18"/>
          <w:szCs w:val="18"/>
        </w:rPr>
        <w:t>6.251</w:t>
      </w:r>
      <w:r>
        <w:rPr>
          <w:rFonts w:ascii="宋体" w:hAnsi="宋体" w:cs="宋体" w:eastAsia="宋体" w:hint="default"/>
          <w:sz w:val="18"/>
          <w:szCs w:val="18"/>
        </w:rPr>
        <w:t>万股予以回购注销。</w:t>
      </w:r>
    </w:p>
    <w:p>
      <w:pPr>
        <w:spacing w:line="307" w:lineRule="auto" w:before="5"/>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日，公司第四届董事会第十七次会议、第四届监事会第十四次会议审议通过了《关于回购注销已不符 </w:t>
      </w:r>
      <w:r>
        <w:rPr>
          <w:rFonts w:ascii="宋体" w:hAnsi="宋体" w:cs="宋体" w:eastAsia="宋体" w:hint="default"/>
          <w:spacing w:val="-2"/>
          <w:sz w:val="18"/>
          <w:szCs w:val="18"/>
        </w:rPr>
        <w:t>合激励条件激励对象已获授但尚未解锁的限制性股票的议案》，因公司限制性股票激励计划激励对象杨世海、刘化一、谭红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涛、孔德杰、杨学荣共</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人因个人原因离职，公司将上述原激励对象已获授但尚未解锁的限制性股票共</w:t>
      </w:r>
      <w:r>
        <w:rPr>
          <w:rFonts w:ascii="Times New Roman" w:hAnsi="Times New Roman" w:cs="Times New Roman" w:eastAsia="Times New Roman" w:hint="default"/>
          <w:spacing w:val="-1"/>
          <w:sz w:val="18"/>
          <w:szCs w:val="18"/>
        </w:rPr>
        <w:t>9.562</w:t>
      </w:r>
      <w:r>
        <w:rPr>
          <w:rFonts w:ascii="宋体" w:hAnsi="宋体" w:cs="宋体" w:eastAsia="宋体" w:hint="default"/>
          <w:spacing w:val="-1"/>
          <w:sz w:val="18"/>
          <w:szCs w:val="18"/>
        </w:rPr>
        <w:t>万股全部进行回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购注销。</w:t>
      </w:r>
    </w:p>
    <w:p>
      <w:pPr>
        <w:spacing w:line="304" w:lineRule="auto" w:before="26"/>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日，公司第四届董事会第十九次会议、第四届监事会第十六次会议审议通过了《关于回购注销已不符合</w:t>
      </w:r>
      <w:r>
        <w:rPr>
          <w:rFonts w:ascii="宋体" w:hAnsi="宋体" w:cs="宋体" w:eastAsia="宋体" w:hint="default"/>
          <w:sz w:val="18"/>
          <w:szCs w:val="18"/>
        </w:rPr>
        <w:t> </w:t>
      </w:r>
      <w:r>
        <w:rPr>
          <w:rFonts w:ascii="宋体" w:hAnsi="宋体" w:cs="宋体" w:eastAsia="宋体" w:hint="default"/>
          <w:spacing w:val="-5"/>
          <w:sz w:val="18"/>
          <w:szCs w:val="18"/>
        </w:rPr>
        <w:t>激励条件激励对象已获授但尚未解锁的限制性股票的议案》。因公司限制性股票激励计划激励对象（吴亚军、熊英、孔翔天、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黄有卿、邱永波、王明波、郭俊龙、徐宏伟、赵魏来、曹宇、赵超、郭大朋、曹伟、荣世雨、杨高峰、郑宇）共</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人因个人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原因离职，已不符合激励条件，其已获授但尚未解锁的限制性股票合计</w:t>
      </w:r>
      <w:r>
        <w:rPr>
          <w:rFonts w:ascii="Times New Roman" w:hAnsi="Times New Roman" w:cs="Times New Roman" w:eastAsia="Times New Roman" w:hint="default"/>
          <w:sz w:val="18"/>
          <w:szCs w:val="18"/>
        </w:rPr>
        <w:t>308,980</w:t>
      </w:r>
      <w:r>
        <w:rPr>
          <w:rFonts w:ascii="宋体" w:hAnsi="宋体" w:cs="宋体" w:eastAsia="宋体" w:hint="default"/>
          <w:sz w:val="18"/>
          <w:szCs w:val="18"/>
        </w:rPr>
        <w:t>股将全部注销。基于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年度考核情况，将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注销缪定文、付强、黄铭铭、赵其峰</w:t>
      </w:r>
      <w:r>
        <w:rPr>
          <w:rFonts w:ascii="Times New Roman" w:hAnsi="Times New Roman" w:cs="Times New Roman" w:eastAsia="Times New Roman" w:hint="default"/>
          <w:sz w:val="18"/>
          <w:szCs w:val="18"/>
        </w:rPr>
        <w:t>4</w:t>
      </w:r>
      <w:r>
        <w:rPr>
          <w:rFonts w:ascii="宋体" w:hAnsi="宋体" w:cs="宋体" w:eastAsia="宋体" w:hint="default"/>
          <w:sz w:val="18"/>
          <w:szCs w:val="18"/>
        </w:rPr>
        <w:t>人已获授但尚未解锁的第二期限制性股票合计</w:t>
      </w:r>
      <w:r>
        <w:rPr>
          <w:rFonts w:ascii="Times New Roman" w:hAnsi="Times New Roman" w:cs="Times New Roman" w:eastAsia="Times New Roman" w:hint="default"/>
          <w:sz w:val="18"/>
          <w:szCs w:val="18"/>
        </w:rPr>
        <w:t>39,000</w:t>
      </w:r>
      <w:r>
        <w:rPr>
          <w:rFonts w:ascii="宋体" w:hAnsi="宋体" w:cs="宋体" w:eastAsia="宋体" w:hint="default"/>
          <w:sz w:val="18"/>
          <w:szCs w:val="18"/>
        </w:rPr>
        <w:t>股。本次拟注销的已获授但尚未</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解锁的限制性股票共计</w:t>
      </w:r>
      <w:r>
        <w:rPr>
          <w:rFonts w:ascii="Times New Roman" w:hAnsi="Times New Roman" w:cs="Times New Roman" w:eastAsia="Times New Roman" w:hint="default"/>
          <w:sz w:val="18"/>
          <w:szCs w:val="18"/>
        </w:rPr>
        <w:t>347,980</w:t>
      </w:r>
      <w:r>
        <w:rPr>
          <w:rFonts w:ascii="宋体" w:hAnsi="宋体" w:cs="宋体" w:eastAsia="宋体" w:hint="default"/>
          <w:sz w:val="18"/>
          <w:szCs w:val="18"/>
        </w:rPr>
        <w:t>股。</w:t>
      </w:r>
    </w:p>
    <w:p>
      <w:pPr>
        <w:spacing w:line="307" w:lineRule="auto" w:before="9"/>
        <w:ind w:left="154"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日，公司第四届董事会第二十一次会议、第四届监事会第十八次会议审议通过了《关于回购注销已不符</w:t>
      </w:r>
      <w:r>
        <w:rPr>
          <w:rFonts w:ascii="宋体" w:hAnsi="宋体" w:cs="宋体" w:eastAsia="宋体" w:hint="default"/>
          <w:sz w:val="18"/>
          <w:szCs w:val="18"/>
        </w:rPr>
        <w:t> </w:t>
      </w:r>
      <w:r>
        <w:rPr>
          <w:rFonts w:ascii="宋体" w:hAnsi="宋体" w:cs="宋体" w:eastAsia="宋体" w:hint="default"/>
          <w:spacing w:val="-2"/>
          <w:sz w:val="18"/>
          <w:szCs w:val="18"/>
        </w:rPr>
        <w:t>合激励条件激励对象已获授但尚未解锁的限制性股票的议案》。因公司限制性股票激励计划激励对象（蔡大军、黄胜、廖小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荣、文明海、江卫、丰伟、詹文涛、谭琛）共</w:t>
      </w:r>
      <w:r>
        <w:rPr>
          <w:rFonts w:ascii="Times New Roman" w:hAnsi="Times New Roman" w:cs="Times New Roman" w:eastAsia="Times New Roman" w:hint="default"/>
          <w:sz w:val="18"/>
          <w:szCs w:val="18"/>
        </w:rPr>
        <w:t>8</w:t>
      </w:r>
      <w:r>
        <w:rPr>
          <w:rFonts w:ascii="宋体" w:hAnsi="宋体" w:cs="宋体" w:eastAsia="宋体" w:hint="default"/>
          <w:sz w:val="18"/>
          <w:szCs w:val="18"/>
        </w:rPr>
        <w:t>人因个人原因离职，已不符合激励条件，其已获授但尚未解锁的限制性股票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81,480</w:t>
      </w:r>
      <w:r>
        <w:rPr>
          <w:rFonts w:ascii="宋体" w:hAnsi="宋体" w:cs="宋体" w:eastAsia="宋体" w:hint="default"/>
          <w:sz w:val="18"/>
          <w:szCs w:val="18"/>
        </w:rPr>
        <w:t>股将全部注销。</w:t>
      </w:r>
    </w:p>
    <w:p>
      <w:pPr>
        <w:spacing w:line="304" w:lineRule="auto" w:before="7"/>
        <w:ind w:left="154" w:right="1130" w:firstLine="360"/>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日，第四届董事会第二十一次会议、第四届监事会第十八次会议审议通过了《关于限制性股票激励计划</w:t>
      </w:r>
      <w:r>
        <w:rPr>
          <w:rFonts w:ascii="宋体" w:hAnsi="宋体" w:cs="宋体" w:eastAsia="宋体" w:hint="default"/>
          <w:sz w:val="18"/>
          <w:szCs w:val="18"/>
        </w:rPr>
        <w:t> </w:t>
      </w:r>
      <w:r>
        <w:rPr>
          <w:rFonts w:ascii="宋体" w:hAnsi="宋体" w:cs="宋体" w:eastAsia="宋体" w:hint="default"/>
          <w:spacing w:val="-3"/>
          <w:sz w:val="18"/>
          <w:szCs w:val="18"/>
        </w:rPr>
        <w:t>第二个解锁期解锁条件成就的议案》，同意</w:t>
      </w:r>
      <w:r>
        <w:rPr>
          <w:rFonts w:ascii="Times New Roman" w:hAnsi="Times New Roman" w:cs="Times New Roman" w:eastAsia="Times New Roman" w:hint="default"/>
          <w:spacing w:val="-3"/>
          <w:sz w:val="18"/>
          <w:szCs w:val="18"/>
        </w:rPr>
        <w:t>365</w:t>
      </w:r>
      <w:r>
        <w:rPr>
          <w:rFonts w:ascii="宋体" w:hAnsi="宋体" w:cs="宋体" w:eastAsia="宋体" w:hint="default"/>
          <w:spacing w:val="-3"/>
          <w:sz w:val="18"/>
          <w:szCs w:val="18"/>
        </w:rPr>
        <w:t>名激励对象在限制性股票激励计划第二个解锁期解锁限制性股票</w:t>
      </w:r>
      <w:r>
        <w:rPr>
          <w:rFonts w:ascii="Times New Roman" w:hAnsi="Times New Roman" w:cs="Times New Roman" w:eastAsia="Times New Roman" w:hint="default"/>
          <w:spacing w:val="-3"/>
          <w:sz w:val="18"/>
          <w:szCs w:val="18"/>
        </w:rPr>
        <w:t>3,391,800</w:t>
      </w:r>
      <w:r>
        <w:rPr>
          <w:rFonts w:ascii="宋体" w:hAnsi="宋体" w:cs="宋体" w:eastAsia="宋体" w:hint="default"/>
          <w:spacing w:val="-3"/>
          <w:sz w:val="18"/>
          <w:szCs w:val="18"/>
        </w:rPr>
        <w:t>股。</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日，第四届董事会第二十四次会议和第四届监事会第二十一次会议审议通过了《关于回购注销已不 </w:t>
      </w:r>
      <w:r>
        <w:rPr>
          <w:rFonts w:ascii="宋体" w:hAnsi="宋体" w:cs="宋体" w:eastAsia="宋体" w:hint="default"/>
          <w:spacing w:val="-2"/>
          <w:sz w:val="18"/>
          <w:szCs w:val="18"/>
        </w:rPr>
        <w:t>符合激励条件激励对象已获授但尚未解锁的限制性股票的议案》。因公司限制性股票激励计划激励对象（孔德风、代慧、邓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远杰、黄河、刘招才、李筠、陶国洪、汤东来）共</w:t>
      </w:r>
      <w:r>
        <w:rPr>
          <w:rFonts w:ascii="Times New Roman" w:hAnsi="Times New Roman" w:cs="Times New Roman" w:eastAsia="Times New Roman" w:hint="default"/>
          <w:sz w:val="18"/>
          <w:szCs w:val="18"/>
        </w:rPr>
        <w:t>8</w:t>
      </w:r>
      <w:r>
        <w:rPr>
          <w:rFonts w:ascii="宋体" w:hAnsi="宋体" w:cs="宋体" w:eastAsia="宋体" w:hint="default"/>
          <w:sz w:val="18"/>
          <w:szCs w:val="18"/>
        </w:rPr>
        <w:t>人因个人原因离职，已不符合激励条件，其已获授但尚未解锁的限制性</w:t>
      </w:r>
    </w:p>
    <w:p>
      <w:pPr>
        <w:spacing w:line="340" w:lineRule="auto" w:before="9"/>
        <w:ind w:left="154" w:right="8277" w:firstLine="0"/>
        <w:jc w:val="left"/>
        <w:rPr>
          <w:rFonts w:ascii="宋体" w:hAnsi="宋体" w:cs="宋体" w:eastAsia="宋体" w:hint="default"/>
          <w:sz w:val="18"/>
          <w:szCs w:val="18"/>
        </w:rPr>
      </w:pPr>
      <w:r>
        <w:rPr>
          <w:rFonts w:ascii="宋体" w:hAnsi="宋体" w:cs="宋体" w:eastAsia="宋体" w:hint="default"/>
          <w:sz w:val="18"/>
          <w:szCs w:val="18"/>
        </w:rPr>
        <w:t>股票合计</w:t>
      </w:r>
      <w:r>
        <w:rPr>
          <w:rFonts w:ascii="Times New Roman" w:hAnsi="Times New Roman" w:cs="Times New Roman" w:eastAsia="Times New Roman" w:hint="default"/>
          <w:sz w:val="18"/>
          <w:szCs w:val="18"/>
        </w:rPr>
        <w:t>69,440</w:t>
      </w:r>
      <w:r>
        <w:rPr>
          <w:rFonts w:ascii="宋体" w:hAnsi="宋体" w:cs="宋体" w:eastAsia="宋体" w:hint="default"/>
          <w:sz w:val="18"/>
          <w:szCs w:val="18"/>
        </w:rPr>
        <w:t>股将全部注销。 股份变动的过户情况</w:t>
      </w:r>
    </w:p>
    <w:p>
      <w:pPr>
        <w:spacing w:line="319" w:lineRule="auto" w:before="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日，公司向中国证券登记结算有限责任公司深圳分公司申请办理回购注销限制性股票共</w:t>
      </w:r>
      <w:r>
        <w:rPr>
          <w:rFonts w:ascii="Times New Roman" w:hAnsi="Times New Roman" w:cs="Times New Roman" w:eastAsia="Times New Roman" w:hint="default"/>
          <w:sz w:val="18"/>
          <w:szCs w:val="18"/>
        </w:rPr>
        <w:t>653,410</w:t>
      </w:r>
      <w:r>
        <w:rPr>
          <w:rFonts w:ascii="宋体" w:hAnsi="宋体" w:cs="宋体" w:eastAsia="宋体" w:hint="default"/>
          <w:sz w:val="18"/>
          <w:szCs w:val="18"/>
        </w:rPr>
        <w:t>股，本次回购注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销限制性股票后，公司股份总数将由</w:t>
      </w:r>
      <w:r>
        <w:rPr>
          <w:rFonts w:ascii="Times New Roman" w:hAnsi="Times New Roman" w:cs="Times New Roman" w:eastAsia="Times New Roman" w:hint="default"/>
          <w:spacing w:val="-2"/>
          <w:sz w:val="18"/>
          <w:szCs w:val="18"/>
        </w:rPr>
        <w:t>399,737,270</w:t>
      </w:r>
      <w:r>
        <w:rPr>
          <w:rFonts w:ascii="宋体" w:hAnsi="宋体" w:cs="宋体" w:eastAsia="宋体" w:hint="default"/>
          <w:spacing w:val="-2"/>
          <w:sz w:val="18"/>
          <w:szCs w:val="18"/>
        </w:rPr>
        <w:t>股变更为</w:t>
      </w:r>
      <w:r>
        <w:rPr>
          <w:rFonts w:ascii="Times New Roman" w:hAnsi="Times New Roman" w:cs="Times New Roman" w:eastAsia="Times New Roman" w:hint="default"/>
          <w:spacing w:val="-2"/>
          <w:sz w:val="18"/>
          <w:szCs w:val="18"/>
        </w:rPr>
        <w:t>399,083,860</w:t>
      </w:r>
      <w:r>
        <w:rPr>
          <w:rFonts w:ascii="宋体" w:hAnsi="宋体" w:cs="宋体" w:eastAsia="宋体" w:hint="default"/>
          <w:spacing w:val="-2"/>
          <w:sz w:val="18"/>
          <w:szCs w:val="18"/>
        </w:rPr>
        <w:t>股。立信会计师事务所（特殊普通合伙）已对本次限制</w:t>
      </w:r>
    </w:p>
    <w:p>
      <w:pPr>
        <w:spacing w:line="340" w:lineRule="auto" w:before="0"/>
        <w:ind w:left="154" w:right="5802" w:firstLine="0"/>
        <w:jc w:val="left"/>
        <w:rPr>
          <w:rFonts w:ascii="宋体" w:hAnsi="宋体" w:cs="宋体" w:eastAsia="宋体" w:hint="default"/>
          <w:sz w:val="18"/>
          <w:szCs w:val="18"/>
        </w:rPr>
      </w:pPr>
      <w:r>
        <w:rPr>
          <w:rFonts w:ascii="宋体" w:hAnsi="宋体" w:cs="宋体" w:eastAsia="宋体" w:hint="default"/>
          <w:sz w:val="18"/>
          <w:szCs w:val="18"/>
        </w:rPr>
        <w:t>性股票注销事项出具信会师报字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Times New Roman" w:hAnsi="Times New Roman" w:cs="Times New Roman" w:eastAsia="Times New Roman" w:hint="default"/>
          <w:sz w:val="18"/>
          <w:szCs w:val="18"/>
        </w:rPr>
        <w:t>ZA14931</w:t>
      </w:r>
      <w:r>
        <w:rPr>
          <w:rFonts w:ascii="宋体" w:hAnsi="宋体" w:cs="宋体" w:eastAsia="宋体" w:hint="default"/>
          <w:sz w:val="18"/>
          <w:szCs w:val="18"/>
        </w:rPr>
        <w:t>号验资报告。 股份回购的实施进展情况</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467.339996pt;margin-top:648.880005pt;width:67.650pt;height:25.45pt;mso-position-horizontal-relative:page;mso-position-vertical-relative:page;z-index:-1440568" coordorigin="9347,12978" coordsize="1353,509">
            <v:group style="position:absolute;left:9347;top:12978;width:1353;height:156" coordorigin="9347,12978" coordsize="1353,156">
              <v:shape style="position:absolute;left:9347;top:12978;width:1353;height:156" coordorigin="9347,12978" coordsize="1353,156" path="m9347,13134l10699,13134,10699,12978,9347,12978,9347,13134xe" filled="true" fillcolor="#ffffff" stroked="false">
                <v:path arrowok="t"/>
                <v:fill type="solid"/>
              </v:shape>
            </v:group>
            <v:group style="position:absolute;left:9370;top:13134;width:1307;height:353" coordorigin="9370,13134" coordsize="1307,353">
              <v:shape style="position:absolute;left:9370;top:13134;width:1307;height:353" coordorigin="9370,13134" coordsize="1307,353" path="m9370,13486l10676,13486,10676,13134,9370,13134,9370,13486xe" filled="true" fillcolor="#ffffff" stroked="false">
                <v:path arrowok="t"/>
                <v:fill type="solid"/>
              </v:shape>
            </v:group>
            <w10:wrap type="none"/>
          </v:group>
        </w:pict>
      </w:r>
      <w:r>
        <w:rPr/>
        <w:pict>
          <v:group style="position:absolute;margin-left:467.339996pt;margin-top:700.179993pt;width:67.650pt;height:25.5pt;mso-position-horizontal-relative:page;mso-position-vertical-relative:page;z-index:-1440544" coordorigin="9347,14004" coordsize="1353,510">
            <v:group style="position:absolute;left:9347;top:14004;width:1353;height:157" coordorigin="9347,14004" coordsize="1353,157">
              <v:shape style="position:absolute;left:9347;top:14004;width:1353;height:157" coordorigin="9347,14004" coordsize="1353,157" path="m9347,14160l10699,14160,10699,14004,9347,14004,9347,14160xe" filled="true" fillcolor="#ffffff" stroked="false">
                <v:path arrowok="t"/>
                <v:fill type="solid"/>
              </v:shape>
            </v:group>
            <v:group style="position:absolute;left:9370;top:14160;width:1307;height:353" coordorigin="9370,14160" coordsize="1307,353">
              <v:shape style="position:absolute;left:9370;top:14160;width:1307;height:353" coordorigin="9370,14160" coordsize="1307,353" path="m9370,14513l10676,14513,10676,14160,9370,14160,9370,14513xe" filled="true" fillcolor="#ffffff" stroked="false">
                <v:path arrowok="t"/>
                <v:fill type="solid"/>
              </v:shape>
            </v:group>
            <w10:wrap type="none"/>
          </v:group>
        </w:pict>
      </w:r>
    </w:p>
    <w:p>
      <w:pPr>
        <w:spacing w:line="338" w:lineRule="auto" w:before="44"/>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3"/>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2"/>
        <w:ind w:left="154" w:right="93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详见公司财务数据</w:t>
      </w:r>
    </w:p>
    <w:p>
      <w:pPr>
        <w:spacing w:before="43"/>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34,916,973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30,416,973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2,418,964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股为首</w:t>
            </w:r>
          </w:p>
          <w:p>
            <w:pPr>
              <w:pStyle w:val="TableParagraph"/>
              <w:spacing w:line="319"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发后限售股；现 任董事长，任职 期间所持股份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2,418,964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股非公</w:t>
            </w:r>
          </w:p>
          <w:p>
            <w:pPr>
              <w:pStyle w:val="TableParagraph"/>
              <w:spacing w:line="316"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开发行股份解限 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00" w:lineRule="auto"/>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日；高管限</w:t>
            </w:r>
            <w:r>
              <w:rPr>
                <w:rFonts w:ascii="宋体" w:hAnsi="宋体" w:cs="宋体" w:eastAsia="宋体" w:hint="default"/>
                <w:sz w:val="18"/>
                <w:szCs w:val="18"/>
              </w:rPr>
              <w:t> 售股每年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 定</w:t>
            </w:r>
          </w:p>
        </w:tc>
      </w:tr>
      <w:tr>
        <w:trPr>
          <w:trHeight w:val="445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21,574,957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5,393,739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16,181,218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4" w:right="75"/>
              <w:jc w:val="left"/>
              <w:rPr>
                <w:rFonts w:ascii="宋体" w:hAnsi="宋体" w:cs="宋体" w:eastAsia="宋体" w:hint="default"/>
                <w:sz w:val="18"/>
                <w:szCs w:val="18"/>
              </w:rPr>
            </w:pPr>
            <w:r>
              <w:rPr>
                <w:rFonts w:ascii="宋体" w:hAnsi="宋体" w:cs="宋体" w:eastAsia="宋体" w:hint="default"/>
                <w:sz w:val="18"/>
                <w:szCs w:val="18"/>
              </w:rPr>
              <w:t>现任董事，任职 期间所持股份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完成</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p>
          <w:p>
            <w:pPr>
              <w:pStyle w:val="TableParagraph"/>
              <w:spacing w:line="314" w:lineRule="auto" w:before="63"/>
              <w:ind w:left="22" w:right="37"/>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年度业绩承后， 第二期和第三期 首发后限售股按 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 比例解锁，第二 期解锁自登记之 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14" w:lineRule="auto" w:before="1"/>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日）起满二</w:t>
            </w:r>
            <w:r>
              <w:rPr>
                <w:rFonts w:ascii="宋体" w:hAnsi="宋体" w:cs="宋体" w:eastAsia="宋体" w:hint="default"/>
                <w:sz w:val="18"/>
                <w:szCs w:val="18"/>
              </w:rPr>
              <w:t> 十四个月；解限 后股份还需依据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13,525,500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13,150,500</w:t>
            </w:r>
          </w:p>
        </w:tc>
        <w:tc>
          <w:tcPr>
            <w:tcW w:w="1370"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4" w:right="67"/>
              <w:jc w:val="both"/>
              <w:rPr>
                <w:rFonts w:ascii="宋体" w:hAnsi="宋体" w:cs="宋体" w:eastAsia="宋体" w:hint="default"/>
                <w:sz w:val="18"/>
                <w:szCs w:val="18"/>
              </w:rPr>
            </w:pPr>
            <w:r>
              <w:rPr>
                <w:rFonts w:ascii="宋体" w:hAnsi="宋体" w:cs="宋体" w:eastAsia="宋体" w:hint="default"/>
                <w:spacing w:val="-6"/>
                <w:sz w:val="18"/>
                <w:szCs w:val="18"/>
              </w:rPr>
              <w:t>现任董事、高管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9" w:space="0" w:color="FFFFFF"/>
              <w:bottom w:val="single" w:sz="4" w:space="0" w:color="000000"/>
              <w:right w:val="single" w:sz="4" w:space="0" w:color="000000"/>
            </w:tcBorders>
          </w:tcPr>
          <w:p>
            <w:pPr>
              <w:pStyle w:val="TableParagraph"/>
              <w:spacing w:line="196" w:lineRule="exact"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高管限售股每年</w:t>
            </w:r>
          </w:p>
          <w:p>
            <w:pPr>
              <w:pStyle w:val="TableParagraph"/>
              <w:spacing w:line="240" w:lineRule="auto" w:before="7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9,029,372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6,779,372</w:t>
            </w:r>
          </w:p>
        </w:tc>
        <w:tc>
          <w:tcPr>
            <w:tcW w:w="1370"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4" w:right="67"/>
              <w:jc w:val="both"/>
              <w:rPr>
                <w:rFonts w:ascii="宋体" w:hAnsi="宋体" w:cs="宋体" w:eastAsia="宋体" w:hint="default"/>
                <w:sz w:val="18"/>
                <w:szCs w:val="18"/>
              </w:rPr>
            </w:pPr>
            <w:r>
              <w:rPr>
                <w:rFonts w:ascii="宋体" w:hAnsi="宋体" w:cs="宋体" w:eastAsia="宋体" w:hint="default"/>
                <w:spacing w:val="-6"/>
                <w:sz w:val="18"/>
                <w:szCs w:val="18"/>
              </w:rPr>
              <w:t>现任董事、高管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9" w:space="0" w:color="FFFFFF"/>
              <w:bottom w:val="single" w:sz="4" w:space="0" w:color="000000"/>
              <w:right w:val="single" w:sz="4" w:space="0" w:color="000000"/>
            </w:tcBorders>
          </w:tcPr>
          <w:p>
            <w:pPr>
              <w:pStyle w:val="TableParagraph"/>
              <w:spacing w:line="196" w:lineRule="exact"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高管限售股每年</w:t>
            </w:r>
          </w:p>
          <w:p>
            <w:pPr>
              <w:pStyle w:val="TableParagraph"/>
              <w:spacing w:line="240" w:lineRule="auto" w:before="7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7.339996pt;margin-top:175.099976pt;width:67.650pt;height:25.45pt;mso-position-horizontal-relative:page;mso-position-vertical-relative:page;z-index:-1440520" coordorigin="9347,3502" coordsize="1353,509">
            <v:group style="position:absolute;left:9347;top:3502;width:1353;height:156" coordorigin="9347,3502" coordsize="1353,156">
              <v:shape style="position:absolute;left:9347;top:3502;width:1353;height:156" coordorigin="9347,3502" coordsize="1353,156" path="m9347,3658l10699,3658,10699,3502,9347,3502,9347,3658xe" filled="true" fillcolor="#ffffff" stroked="false">
                <v:path arrowok="t"/>
                <v:fill type="solid"/>
              </v:shape>
            </v:group>
            <v:group style="position:absolute;left:9370;top:3658;width:1307;height:353" coordorigin="9370,3658" coordsize="1307,353">
              <v:shape style="position:absolute;left:9370;top:3658;width:1307;height:353" coordorigin="9370,3658" coordsize="1307,353" path="m9370,4011l10676,4011,10676,3658,9370,3658,9370,40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9,927,000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9,927,000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现任董事，任职 期间所持股份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高管限售股每年</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现任董事，任职 期间所持股份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高管限售股每年</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1,612,753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1,215,253</w:t>
            </w:r>
          </w:p>
        </w:tc>
        <w:tc>
          <w:tcPr>
            <w:tcW w:w="1370"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4" w:right="67"/>
              <w:jc w:val="both"/>
              <w:rPr>
                <w:rFonts w:ascii="宋体" w:hAnsi="宋体" w:cs="宋体" w:eastAsia="宋体" w:hint="default"/>
                <w:sz w:val="18"/>
                <w:szCs w:val="18"/>
              </w:rPr>
            </w:pPr>
            <w:r>
              <w:rPr>
                <w:rFonts w:ascii="宋体" w:hAnsi="宋体" w:cs="宋体" w:eastAsia="宋体" w:hint="default"/>
                <w:spacing w:val="-6"/>
                <w:sz w:val="18"/>
                <w:szCs w:val="18"/>
              </w:rPr>
              <w:t>现任董事、高管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任职期间所持股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9" w:space="0" w:color="FFFFFF"/>
              <w:bottom w:val="single" w:sz="4" w:space="0" w:color="000000"/>
              <w:right w:val="single" w:sz="4" w:space="0" w:color="000000"/>
            </w:tcBorders>
          </w:tcPr>
          <w:p>
            <w:pPr>
              <w:pStyle w:val="TableParagraph"/>
              <w:spacing w:line="196" w:lineRule="exact"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高管限售股每年</w:t>
            </w:r>
          </w:p>
          <w:p>
            <w:pPr>
              <w:pStyle w:val="TableParagraph"/>
              <w:spacing w:line="240" w:lineRule="auto" w:before="7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348,375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87,094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261,281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限制性股票；现 任高管，任职期 间所持股份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一期尚未解锁；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28,125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84,375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限制性股票；现 任高管，任职期 间所持股份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一期尚未解锁；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限制性股票；现 任高管，任职期 间所持股份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一期尚未解锁；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限制性股票；现 任高管，任职期 间所持股份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一期尚未解锁；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480,468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480,468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限制性股票；现 任高管，任职期 间所持股份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一期尚未解锁；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限制性股票；现 任高管，任职期 间所持股份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限制性股票剩余 一期尚未解锁； 高管限售股每年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155,594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155,593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现任监事，任职 期间所持股份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高管限售股每年</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69"/>
              <w:jc w:val="left"/>
              <w:rPr>
                <w:rFonts w:ascii="宋体" w:hAnsi="宋体" w:cs="宋体" w:eastAsia="宋体" w:hint="default"/>
                <w:sz w:val="18"/>
                <w:szCs w:val="18"/>
              </w:rPr>
            </w:pPr>
            <w:r>
              <w:rPr>
                <w:rFonts w:ascii="宋体" w:hAnsi="宋体" w:cs="宋体" w:eastAsia="宋体" w:hint="default"/>
                <w:sz w:val="18"/>
                <w:szCs w:val="18"/>
              </w:rPr>
              <w:t>其他限制性股票 激励份数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7,503,779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3,158,699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4,345,080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限制性股票剩余 一期</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4,194,160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w:t>
            </w:r>
          </w:p>
          <w:p>
            <w:pPr>
              <w:pStyle w:val="TableParagraph"/>
              <w:spacing w:line="309" w:lineRule="auto"/>
              <w:ind w:left="22" w:right="67"/>
              <w:jc w:val="left"/>
              <w:rPr>
                <w:rFonts w:ascii="宋体" w:hAnsi="宋体" w:cs="宋体" w:eastAsia="宋体" w:hint="default"/>
                <w:sz w:val="18"/>
                <w:szCs w:val="18"/>
              </w:rPr>
            </w:pPr>
            <w:r>
              <w:rPr>
                <w:rFonts w:ascii="宋体" w:hAnsi="宋体" w:cs="宋体" w:eastAsia="宋体" w:hint="default"/>
                <w:sz w:val="18"/>
                <w:szCs w:val="18"/>
              </w:rPr>
              <w:t>尚未解锁，另尚 未注销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150,920 </w:t>
            </w:r>
            <w:r>
              <w:rPr>
                <w:rFonts w:ascii="宋体" w:hAnsi="宋体" w:cs="宋体" w:eastAsia="宋体" w:hint="default"/>
                <w:sz w:val="18"/>
                <w:szCs w:val="18"/>
              </w:rPr>
              <w:t>股</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回购注销限制性 股票股份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653,410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653,410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已回购注销</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已回购注销</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9"/>
              <w:jc w:val="left"/>
              <w:rPr>
                <w:rFonts w:ascii="宋体" w:hAnsi="宋体" w:cs="宋体" w:eastAsia="宋体" w:hint="default"/>
                <w:sz w:val="18"/>
                <w:szCs w:val="18"/>
              </w:rPr>
            </w:pPr>
            <w:r>
              <w:rPr>
                <w:rFonts w:ascii="宋体" w:hAnsi="宋体" w:cs="宋体" w:eastAsia="宋体" w:hint="default"/>
                <w:sz w:val="18"/>
                <w:szCs w:val="18"/>
              </w:rPr>
              <w:t>其他非公开发行 股份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20,428,831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10,573,990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9,854,841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报告期内首发后 限售股解除限售 </w:t>
            </w:r>
            <w:r>
              <w:rPr>
                <w:rFonts w:ascii="Times New Roman" w:hAnsi="Times New Roman" w:cs="Times New Roman" w:eastAsia="Times New Roman" w:hint="default"/>
                <w:sz w:val="18"/>
                <w:szCs w:val="18"/>
              </w:rPr>
              <w:t>10,573,990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127,263,262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27,417,558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99,845,704</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1972"/>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）限制性股票回购注销</w:t>
      </w:r>
      <w:r>
        <w:rPr>
          <w:rFonts w:ascii="Times New Roman" w:hAnsi="Times New Roman" w:cs="Times New Roman" w:eastAsia="Times New Roman" w:hint="default"/>
          <w:sz w:val="18"/>
          <w:szCs w:val="18"/>
        </w:rPr>
        <w:t>653,410</w:t>
      </w:r>
      <w:r>
        <w:rPr>
          <w:rFonts w:ascii="宋体" w:hAnsi="宋体" w:cs="宋体" w:eastAsia="宋体" w:hint="default"/>
          <w:sz w:val="18"/>
          <w:szCs w:val="18"/>
        </w:rPr>
        <w:t>股 </w:t>
      </w:r>
      <w:r>
        <w:rPr>
          <w:rFonts w:ascii="宋体" w:hAnsi="宋体" w:cs="宋体" w:eastAsia="宋体" w:hint="default"/>
          <w:spacing w:val="-2"/>
          <w:sz w:val="18"/>
          <w:szCs w:val="18"/>
        </w:rPr>
        <w:t>根据公司《限制性股票激励计划》（草案）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第八章激励计划的变更与终止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的相关规定，因公司限制性股票激励计划激励对</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象黄育成、刘宝珍、吴亚军、熊英、孔翔天等共</w:t>
      </w:r>
      <w:r>
        <w:rPr>
          <w:rFonts w:ascii="Times New Roman" w:hAnsi="Times New Roman" w:cs="Times New Roman" w:eastAsia="Times New Roman" w:hint="default"/>
          <w:spacing w:val="-2"/>
          <w:sz w:val="18"/>
          <w:szCs w:val="18"/>
        </w:rPr>
        <w:t>33</w:t>
      </w:r>
      <w:r>
        <w:rPr>
          <w:rFonts w:ascii="宋体" w:hAnsi="宋体" w:cs="宋体" w:eastAsia="宋体" w:hint="default"/>
          <w:spacing w:val="-2"/>
          <w:sz w:val="18"/>
          <w:szCs w:val="18"/>
        </w:rPr>
        <w:t>人因个人原因离职，已不符合激励条件，其已获授但尚未解锁的限制性股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票合计</w:t>
      </w:r>
      <w:r>
        <w:rPr>
          <w:rFonts w:ascii="Times New Roman" w:hAnsi="Times New Roman" w:cs="Times New Roman" w:eastAsia="Times New Roman" w:hint="default"/>
          <w:spacing w:val="-1"/>
          <w:sz w:val="18"/>
          <w:szCs w:val="18"/>
        </w:rPr>
        <w:t>614,410</w:t>
      </w:r>
      <w:r>
        <w:rPr>
          <w:rFonts w:ascii="宋体" w:hAnsi="宋体" w:cs="宋体" w:eastAsia="宋体" w:hint="default"/>
          <w:spacing w:val="-1"/>
          <w:sz w:val="18"/>
          <w:szCs w:val="18"/>
        </w:rPr>
        <w:t>股全部注销；基于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年度考核情况，注销缪定文、付强、黄铭铭、赵其峰共</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人已获授但尚未解锁的第二期</w:t>
      </w:r>
      <w:r>
        <w:rPr>
          <w:rFonts w:ascii="宋体" w:hAnsi="宋体" w:cs="宋体" w:eastAsia="宋体" w:hint="default"/>
          <w:spacing w:val="-71"/>
          <w:sz w:val="18"/>
          <w:szCs w:val="18"/>
        </w:rPr>
        <w:t> </w:t>
      </w:r>
      <w:r>
        <w:rPr>
          <w:rFonts w:ascii="宋体" w:hAnsi="宋体" w:cs="宋体" w:eastAsia="宋体" w:hint="default"/>
          <w:spacing w:val="-2"/>
          <w:sz w:val="18"/>
          <w:szCs w:val="18"/>
        </w:rPr>
        <w:t>限制性股票合计</w:t>
      </w:r>
      <w:r>
        <w:rPr>
          <w:rFonts w:ascii="Times New Roman" w:hAnsi="Times New Roman" w:cs="Times New Roman" w:eastAsia="Times New Roman" w:hint="default"/>
          <w:spacing w:val="-2"/>
          <w:sz w:val="18"/>
          <w:szCs w:val="18"/>
        </w:rPr>
        <w:t>39,000</w:t>
      </w:r>
      <w:r>
        <w:rPr>
          <w:rFonts w:ascii="宋体" w:hAnsi="宋体" w:cs="宋体" w:eastAsia="宋体" w:hint="default"/>
          <w:spacing w:val="-2"/>
          <w:sz w:val="18"/>
          <w:szCs w:val="18"/>
        </w:rPr>
        <w:t>股。上述限制性股票共</w:t>
      </w:r>
      <w:r>
        <w:rPr>
          <w:rFonts w:ascii="Times New Roman" w:hAnsi="Times New Roman" w:cs="Times New Roman" w:eastAsia="Times New Roman" w:hint="default"/>
          <w:spacing w:val="-2"/>
          <w:sz w:val="18"/>
          <w:szCs w:val="18"/>
        </w:rPr>
        <w:t>653,410</w:t>
      </w:r>
      <w:r>
        <w:rPr>
          <w:rFonts w:ascii="宋体" w:hAnsi="宋体" w:cs="宋体" w:eastAsia="宋体" w:hint="default"/>
          <w:spacing w:val="-2"/>
          <w:sz w:val="18"/>
          <w:szCs w:val="18"/>
        </w:rPr>
        <w:t>股已于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日在中国证券登记结算有限责任公司深圳分公司完成</w:t>
      </w:r>
      <w:r>
        <w:rPr>
          <w:rFonts w:ascii="宋体" w:hAnsi="宋体" w:cs="宋体" w:eastAsia="宋体" w:hint="default"/>
          <w:spacing w:val="-48"/>
          <w:sz w:val="18"/>
          <w:szCs w:val="18"/>
        </w:rPr>
        <w:t> </w:t>
      </w:r>
      <w:r>
        <w:rPr>
          <w:rFonts w:ascii="宋体" w:hAnsi="宋体" w:cs="宋体" w:eastAsia="宋体" w:hint="default"/>
          <w:sz w:val="18"/>
          <w:szCs w:val="18"/>
        </w:rPr>
        <w:t>回购注销。本次回购注销完成后，公司股份总数由</w:t>
      </w:r>
      <w:r>
        <w:rPr>
          <w:rFonts w:ascii="Times New Roman" w:hAnsi="Times New Roman" w:cs="Times New Roman" w:eastAsia="Times New Roman" w:hint="default"/>
          <w:sz w:val="18"/>
          <w:szCs w:val="18"/>
        </w:rPr>
        <w:t>399,737,270</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399,083,860</w:t>
      </w:r>
      <w:r>
        <w:rPr>
          <w:rFonts w:ascii="宋体" w:hAnsi="宋体" w:cs="宋体" w:eastAsia="宋体" w:hint="default"/>
          <w:sz w:val="18"/>
          <w:szCs w:val="18"/>
        </w:rPr>
        <w:t>股。</w:t>
      </w:r>
    </w:p>
    <w:p>
      <w:pPr>
        <w:spacing w:line="240" w:lineRule="auto" w:before="1"/>
        <w:rPr>
          <w:rFonts w:ascii="宋体" w:hAnsi="宋体" w:cs="宋体" w:eastAsia="宋体" w:hint="default"/>
          <w:sz w:val="22"/>
          <w:szCs w:val="22"/>
        </w:rPr>
      </w:pPr>
    </w:p>
    <w:p>
      <w:pPr>
        <w:pStyle w:val="Heading5"/>
        <w:spacing w:line="240" w:lineRule="auto"/>
        <w:ind w:right="1972"/>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1972"/>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49.277008pt;margin-top:68.291710pt;width:85.6pt;height:31.2pt;mso-position-horizontal-relative:page;mso-position-vertical-relative:paragraph;z-index:-1440496"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68.291710pt;width:52.45pt;height:31.2pt;mso-position-horizontal-relative:page;mso-position-vertical-relative:paragraph;z-index:-1440472"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23"/>
        <w:gridCol w:w="146"/>
        <w:gridCol w:w="673"/>
        <w:gridCol w:w="739"/>
        <w:gridCol w:w="744"/>
        <w:gridCol w:w="842"/>
        <w:gridCol w:w="332"/>
        <w:gridCol w:w="445"/>
        <w:gridCol w:w="824"/>
        <w:gridCol w:w="791"/>
        <w:gridCol w:w="334"/>
        <w:gridCol w:w="1027"/>
        <w:gridCol w:w="279"/>
        <w:gridCol w:w="513"/>
        <w:gridCol w:w="558"/>
      </w:tblGrid>
      <w:tr>
        <w:trPr>
          <w:trHeight w:val="162"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19"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22,230</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23,752</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19"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19"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17"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16" w:right="4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1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2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42"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7"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1361"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 w:right="-22"/>
              <w:jc w:val="left"/>
              <w:rPr>
                <w:rFonts w:ascii="Times New Roman" w:hAnsi="Times New Roman" w:cs="Times New Roman" w:eastAsia="Times New Roman" w:hint="default"/>
                <w:sz w:val="18"/>
                <w:szCs w:val="18"/>
              </w:rPr>
            </w:pPr>
            <w:r>
              <w:rPr>
                <w:rFonts w:ascii="Times New Roman"/>
                <w:sz w:val="18"/>
              </w:rPr>
              <w:t>10.16%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40,555,96</w:t>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30,416,97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10,138,99</w:t>
            </w:r>
          </w:p>
        </w:tc>
        <w:tc>
          <w:tcPr>
            <w:tcW w:w="1361"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2"/>
              <w:ind w:left="3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4" w:space="0" w:color="D2D2D2"/>
              <w:left w:val="single" w:sz="4" w:space="0" w:color="000000"/>
              <w:bottom w:val="single" w:sz="4" w:space="0" w:color="000000"/>
              <w:right w:val="single" w:sz="4" w:space="0" w:color="000000"/>
            </w:tcBorders>
          </w:tcPr>
          <w:p>
            <w:pPr>
              <w:pStyle w:val="TableParagraph"/>
              <w:spacing w:line="240" w:lineRule="auto" w:before="42"/>
              <w:ind w:left="506" w:right="0"/>
              <w:jc w:val="left"/>
              <w:rPr>
                <w:rFonts w:ascii="Times New Roman" w:hAnsi="Times New Roman" w:cs="Times New Roman" w:eastAsia="Times New Roman" w:hint="default"/>
                <w:sz w:val="18"/>
                <w:szCs w:val="18"/>
              </w:rPr>
            </w:pPr>
            <w:r>
              <w:rPr>
                <w:rFonts w:ascii="Times New Roman"/>
                <w:sz w:val="18"/>
              </w:rPr>
              <w:t>15,500,000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21,574,95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16,181,21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5,393,739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-3,980,00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13,236,00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9,927,000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3,309,000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鹏华基金－建设 银行－中国人寿</w:t>
            </w:r>
          </w:p>
          <w:p>
            <w:pPr>
              <w:pStyle w:val="TableParagraph"/>
              <w:spacing w:line="319" w:lineRule="auto" w:before="19"/>
              <w:ind w:left="22" w:right="174"/>
              <w:jc w:val="both"/>
              <w:rPr>
                <w:rFonts w:ascii="宋体" w:hAnsi="宋体" w:cs="宋体" w:eastAsia="宋体" w:hint="default"/>
                <w:sz w:val="18"/>
                <w:szCs w:val="18"/>
              </w:rPr>
            </w:pPr>
            <w:r>
              <w:rPr>
                <w:rFonts w:ascii="宋体" w:hAnsi="宋体" w:cs="宋体" w:eastAsia="宋体" w:hint="default"/>
                <w:sz w:val="18"/>
                <w:szCs w:val="18"/>
              </w:rPr>
              <w:t>－中国人寿委托 鹏华基金公司混 合型组合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10,394,60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10,394,60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10,394,60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9,039,163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6,779,372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2,259,791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6,705,000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招商银行股份有 限公司－鹏华新 兴产业混合型证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8,603,599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8,603,599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8,603,599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谢仁国</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8,039,708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-2,489,58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8,039,708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魏然</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6,053,436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3,329,390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2,724,046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pacing w:val="-1"/>
                <w:sz w:val="18"/>
                <w:szCs w:val="18"/>
              </w:rPr>
              <w:t>公司主要股东陈友、陈兵、陈鲁康、谢晓宾、李谦益、杨文庆、魏然之间不存在关联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关系，也不存在一致行动。未知上述其他股东之间是否存在关联关系及一致行动。</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鹏华基金－建设银行－中国人寿－ 中国人寿委托鹏华基金公司混合型 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10,394,600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10,394,600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10,138,991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10,138,991</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招商银行股份有限公司－鹏华新兴 产业混合型证券投资基金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8,603,599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8,603,599</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谢仁国</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8,039,708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8,039,708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5,393,739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5,393,739</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招商银行股份有限公司－鹏华创新 驱动混合型证券投资基金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5,281,000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5,281,000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基本养老保险基金一二零三组合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4,838,610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4,838,610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中国建设银行股份有限公司－鹏华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4,813,422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4,813,422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36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丰收债券型证券投资基金</w:t>
            </w:r>
          </w:p>
        </w:tc>
        <w:tc>
          <w:tcPr>
            <w:tcW w:w="398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中国工商银行股份有限公司－鹏华 丰盛稳固收益债券型证券投资基金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4,473,802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4,473,802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谢雄友</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3,926,753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3,926,753</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名无限售流通股股东中，公司主要股东陈友、陈兵之间不存在关联关系，也不</w:t>
            </w:r>
          </w:p>
          <w:p>
            <w:pPr>
              <w:pStyle w:val="TableParagraph"/>
              <w:spacing w:line="309"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存在一致行动。前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名股东中，公司主要股东陈友、陈兵、陈鲁康、谢晓宾、李谦 </w:t>
            </w:r>
            <w:r>
              <w:rPr>
                <w:rFonts w:ascii="宋体" w:hAnsi="宋体" w:cs="宋体" w:eastAsia="宋体" w:hint="default"/>
                <w:spacing w:val="-1"/>
                <w:sz w:val="18"/>
                <w:szCs w:val="18"/>
              </w:rPr>
              <w:t>益、杨文庆、魏然之间不存在关联关系，也不存在一致行动。未知上述其他股东之间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是否存在关联关系及一致行动。</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谢仁国除通过普通证券账户持有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4,041,292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股外，还通过招商证券公司客户信用交易</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3,998,416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股，实际合计持有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8,039,708 </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股。谢雄友通过普通证券账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 </w:t>
            </w:r>
            <w:r>
              <w:rPr>
                <w:rFonts w:ascii="宋体" w:hAnsi="宋体" w:cs="宋体" w:eastAsia="宋体" w:hint="default"/>
                <w:sz w:val="18"/>
                <w:szCs w:val="18"/>
              </w:rPr>
              <w:t>股，通过国信证券股份有限公司客户信用交易担保证券账户持有</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3,921,453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3,926,753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8232" w:firstLine="0"/>
        <w:jc w:val="left"/>
        <w:rPr>
          <w:rFonts w:ascii="宋体" w:hAnsi="宋体" w:cs="宋体" w:eastAsia="宋体" w:hint="default"/>
          <w:sz w:val="18"/>
          <w:szCs w:val="18"/>
        </w:rPr>
      </w:pPr>
      <w:r>
        <w:rPr>
          <w:rFonts w:ascii="宋体" w:hAnsi="宋体" w:cs="宋体" w:eastAsia="宋体" w:hint="default"/>
          <w:sz w:val="18"/>
          <w:szCs w:val="18"/>
        </w:rPr>
        <w:t>控股股东性质：无控股主体 控股股东类型：不存在 公司不存在控股股东情况的说明</w:t>
      </w:r>
    </w:p>
    <w:p>
      <w:pPr>
        <w:spacing w:line="300" w:lineRule="auto" w:before="25"/>
        <w:ind w:left="154" w:right="1132" w:firstLine="0"/>
        <w:jc w:val="both"/>
        <w:rPr>
          <w:rFonts w:ascii="宋体" w:hAnsi="宋体" w:cs="宋体" w:eastAsia="宋体" w:hint="default"/>
          <w:sz w:val="18"/>
          <w:szCs w:val="18"/>
        </w:rPr>
      </w:pPr>
      <w:r>
        <w:rPr>
          <w:rFonts w:ascii="宋体" w:hAnsi="宋体" w:cs="宋体" w:eastAsia="宋体" w:hint="default"/>
          <w:sz w:val="18"/>
          <w:szCs w:val="18"/>
        </w:rPr>
        <w:t>公司主要股东陈友（持股比例为</w:t>
      </w:r>
      <w:r>
        <w:rPr>
          <w:rFonts w:ascii="Times New Roman" w:hAnsi="Times New Roman" w:cs="Times New Roman" w:eastAsia="Times New Roman" w:hint="default"/>
          <w:sz w:val="18"/>
          <w:szCs w:val="18"/>
        </w:rPr>
        <w:t>10.16%</w:t>
      </w:r>
      <w:r>
        <w:rPr>
          <w:rFonts w:ascii="宋体" w:hAnsi="宋体" w:cs="宋体" w:eastAsia="宋体" w:hint="default"/>
          <w:sz w:val="18"/>
          <w:szCs w:val="18"/>
        </w:rPr>
        <w:t>）、陈兵（持股比例为</w:t>
      </w:r>
      <w:r>
        <w:rPr>
          <w:rFonts w:ascii="Times New Roman" w:hAnsi="Times New Roman" w:cs="Times New Roman" w:eastAsia="Times New Roman" w:hint="default"/>
          <w:sz w:val="18"/>
          <w:szCs w:val="18"/>
        </w:rPr>
        <w:t>5.41%</w:t>
      </w:r>
      <w:r>
        <w:rPr>
          <w:rFonts w:ascii="宋体" w:hAnsi="宋体" w:cs="宋体" w:eastAsia="宋体" w:hint="default"/>
          <w:sz w:val="18"/>
          <w:szCs w:val="18"/>
        </w:rPr>
        <w:t>）、陈鲁康（持股比例为</w:t>
      </w:r>
      <w:r>
        <w:rPr>
          <w:rFonts w:ascii="Times New Roman" w:hAnsi="Times New Roman" w:cs="Times New Roman" w:eastAsia="Times New Roman" w:hint="default"/>
          <w:sz w:val="18"/>
          <w:szCs w:val="18"/>
        </w:rPr>
        <w:t>3.40%</w:t>
      </w:r>
      <w:r>
        <w:rPr>
          <w:rFonts w:ascii="宋体" w:hAnsi="宋体" w:cs="宋体" w:eastAsia="宋体" w:hint="default"/>
          <w:sz w:val="18"/>
          <w:szCs w:val="18"/>
        </w:rPr>
        <w:t>）、谢晓宾（持股比例 </w:t>
      </w:r>
      <w:r>
        <w:rPr>
          <w:rFonts w:ascii="宋体" w:hAnsi="宋体" w:cs="宋体" w:eastAsia="宋体" w:hint="default"/>
          <w:spacing w:val="-1"/>
          <w:sz w:val="18"/>
          <w:szCs w:val="18"/>
        </w:rPr>
        <w:t>为</w:t>
      </w:r>
      <w:r>
        <w:rPr>
          <w:rFonts w:ascii="Times New Roman" w:hAnsi="Times New Roman" w:cs="Times New Roman" w:eastAsia="Times New Roman" w:hint="default"/>
          <w:spacing w:val="-1"/>
          <w:sz w:val="18"/>
          <w:szCs w:val="18"/>
        </w:rPr>
        <w:t>3.32%</w:t>
      </w:r>
      <w:r>
        <w:rPr>
          <w:rFonts w:ascii="宋体" w:hAnsi="宋体" w:cs="宋体" w:eastAsia="宋体" w:hint="default"/>
          <w:spacing w:val="-1"/>
          <w:sz w:val="18"/>
          <w:szCs w:val="18"/>
        </w:rPr>
        <w:t>）、李谦益（持股比例为</w:t>
      </w:r>
      <w:r>
        <w:rPr>
          <w:rFonts w:ascii="Times New Roman" w:hAnsi="Times New Roman" w:cs="Times New Roman" w:eastAsia="Times New Roman" w:hint="default"/>
          <w:spacing w:val="-1"/>
          <w:sz w:val="18"/>
          <w:szCs w:val="18"/>
        </w:rPr>
        <w:t>2.26%</w:t>
      </w:r>
      <w:r>
        <w:rPr>
          <w:rFonts w:ascii="宋体" w:hAnsi="宋体" w:cs="宋体" w:eastAsia="宋体" w:hint="default"/>
          <w:spacing w:val="-1"/>
          <w:sz w:val="18"/>
          <w:szCs w:val="18"/>
        </w:rPr>
        <w:t>）、杨文庆（持股比例为</w:t>
      </w:r>
      <w:r>
        <w:rPr>
          <w:rFonts w:ascii="Times New Roman" w:hAnsi="Times New Roman" w:cs="Times New Roman" w:eastAsia="Times New Roman" w:hint="default"/>
          <w:spacing w:val="-1"/>
          <w:sz w:val="18"/>
          <w:szCs w:val="18"/>
        </w:rPr>
        <w:t>2.24%</w:t>
      </w:r>
      <w:r>
        <w:rPr>
          <w:rFonts w:ascii="宋体" w:hAnsi="宋体" w:cs="宋体" w:eastAsia="宋体" w:hint="default"/>
          <w:spacing w:val="-1"/>
          <w:sz w:val="18"/>
          <w:szCs w:val="18"/>
        </w:rPr>
        <w:t>），持股比例分散，且不存在一致行动，公司不存在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控股股东。</w:t>
      </w:r>
    </w:p>
    <w:p>
      <w:pPr>
        <w:spacing w:line="240" w:lineRule="auto" w:before="0"/>
        <w:rPr>
          <w:rFonts w:ascii="宋体" w:hAnsi="宋体" w:cs="宋体" w:eastAsia="宋体" w:hint="default"/>
          <w:sz w:val="18"/>
          <w:szCs w:val="18"/>
        </w:rPr>
      </w:pPr>
    </w:p>
    <w:p>
      <w:pPr>
        <w:spacing w:before="148"/>
        <w:ind w:left="154" w:right="1972"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5"/>
        <w:spacing w:line="240" w:lineRule="auto"/>
        <w:ind w:right="1972"/>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实际控制人性质：无实际控制人 实际控制人类型：不存在 公司不存在实际控制人情况的说明</w:t>
      </w:r>
    </w:p>
    <w:p>
      <w:pPr>
        <w:spacing w:before="25"/>
        <w:ind w:left="154" w:right="0" w:firstLine="0"/>
        <w:jc w:val="left"/>
        <w:rPr>
          <w:rFonts w:ascii="宋体" w:hAnsi="宋体" w:cs="宋体" w:eastAsia="宋体" w:hint="default"/>
          <w:sz w:val="18"/>
          <w:szCs w:val="18"/>
        </w:rPr>
      </w:pPr>
      <w:r>
        <w:rPr>
          <w:rFonts w:ascii="宋体" w:hAnsi="宋体" w:cs="宋体" w:eastAsia="宋体" w:hint="default"/>
          <w:spacing w:val="-5"/>
          <w:sz w:val="18"/>
          <w:szCs w:val="18"/>
        </w:rPr>
        <w:t>公司主要股东陈友、陈兵、陈鲁康、谢晓宾、李谦益、杨文庆，持股比例分散，且不存在一致行动，公司不存在实际控制人。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公司最终控制层面是否存在持股比例在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以上的股东情况</w:t>
      </w:r>
    </w:p>
    <w:p>
      <w:pPr>
        <w:spacing w:line="338" w:lineRule="auto" w:before="104"/>
        <w:ind w:left="154" w:right="94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自然人</w:t>
      </w:r>
    </w:p>
    <w:p>
      <w:pPr>
        <w:spacing w:before="42"/>
        <w:ind w:left="154" w:right="1972" w:firstLine="0"/>
        <w:jc w:val="left"/>
        <w:rPr>
          <w:rFonts w:ascii="宋体" w:hAnsi="宋体" w:cs="宋体" w:eastAsia="宋体" w:hint="default"/>
          <w:sz w:val="18"/>
          <w:szCs w:val="18"/>
        </w:rPr>
      </w:pPr>
      <w:r>
        <w:rPr>
          <w:rFonts w:ascii="宋体" w:hAnsi="宋体" w:cs="宋体" w:eastAsia="宋体" w:hint="default"/>
          <w:sz w:val="18"/>
          <w:szCs w:val="18"/>
        </w:rPr>
        <w:t>最终控制层面持股情况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40" w:lineRule="auto" w:before="51"/>
              <w:ind w:left="762"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057" w:type="dxa"/>
            <w:tcBorders>
              <w:top w:val="single" w:sz="4" w:space="0" w:color="000000"/>
              <w:left w:val="single" w:sz="9" w:space="0" w:color="D6D6D6"/>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0" w:right="1140" w:firstLine="0"/>
        <w:jc w:val="right"/>
        <w:rPr>
          <w:rFonts w:ascii="宋体" w:hAnsi="宋体" w:cs="宋体" w:eastAsia="宋体" w:hint="default"/>
          <w:sz w:val="18"/>
          <w:szCs w:val="18"/>
        </w:rPr>
      </w:pPr>
      <w:r>
        <w:rPr/>
        <w:pict>
          <v:shape style="position:absolute;margin-left:56.459999pt;margin-top:-20.948271pt;width:479.2pt;height:60.8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2069"/>
                    <w:gridCol w:w="417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2069" w:type="dxa"/>
                        <w:tcBorders>
                          <w:top w:val="single" w:sz="4" w:space="0" w:color="000000"/>
                          <w:left w:val="single" w:sz="9" w:space="0" w:color="D6D6D6"/>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5" w:type="dxa"/>
                        <w:gridSpan w:val="2"/>
                        <w:tcBorders>
                          <w:top w:val="single" w:sz="4" w:space="0" w:color="000000"/>
                          <w:left w:val="single" w:sz="9" w:space="0" w:color="D6D6D6"/>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月至今担任公司董事长，</w:t>
                        </w:r>
                        <w:r>
                          <w:rPr>
                            <w:rFonts w:ascii="Times New Roman" w:hAnsi="Times New Roman" w:cs="Times New Roman" w:eastAsia="Times New Roman" w:hint="default"/>
                            <w:spacing w:val="-3"/>
                            <w:sz w:val="18"/>
                            <w:szCs w:val="18"/>
                          </w:rPr>
                          <w:t>1998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月担任公司总经理</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7"/>
          <w:szCs w:val="17"/>
        </w:rPr>
      </w:pPr>
    </w:p>
    <w:p>
      <w:pPr>
        <w:spacing w:line="4880" w:lineRule="exact"/>
        <w:ind w:left="1223"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4751120" cy="309905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0" cstate="print"/>
                    <a:stretch>
                      <a:fillRect/>
                    </a:stretch>
                  </pic:blipFill>
                  <pic:spPr>
                    <a:xfrm>
                      <a:off x="0" y="0"/>
                      <a:ext cx="4751120" cy="3099054"/>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0"/>
        <w:rPr>
          <w:rFonts w:ascii="宋体" w:hAnsi="宋体" w:cs="宋体" w:eastAsia="宋体" w:hint="default"/>
          <w:sz w:val="17"/>
          <w:szCs w:val="17"/>
        </w:rPr>
      </w:pPr>
    </w:p>
    <w:p>
      <w:pPr>
        <w:spacing w:before="0"/>
        <w:ind w:left="154" w:right="1972"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972"/>
        <w:jc w:val="left"/>
        <w:rPr>
          <w:b w:val="0"/>
          <w:bCs w:val="0"/>
        </w:rPr>
      </w:pPr>
      <w:bookmarkStart w:name="第七节 优先股相关情况" w:id="117"/>
      <w:bookmarkEnd w:id="117"/>
      <w:r>
        <w:rPr>
          <w:b w:val="0"/>
          <w:bCs w:val="0"/>
        </w:rPr>
      </w:r>
      <w:bookmarkStart w:name="_bookmark5"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972"/>
        <w:jc w:val="left"/>
        <w:rPr>
          <w:b w:val="0"/>
          <w:bCs w:val="0"/>
        </w:rPr>
      </w:pPr>
      <w:bookmarkStart w:name="第八节 董事、监事、高级管理人员和员工情况" w:id="119"/>
      <w:bookmarkEnd w:id="119"/>
      <w:r>
        <w:rPr>
          <w:b w:val="0"/>
          <w:bCs w:val="0"/>
        </w:rPr>
      </w:r>
      <w:bookmarkStart w:name="_bookmark6"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1972"/>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72"/>
        <w:gridCol w:w="706"/>
        <w:gridCol w:w="854"/>
        <w:gridCol w:w="540"/>
        <w:gridCol w:w="646"/>
        <w:gridCol w:w="1050"/>
        <w:gridCol w:w="1115"/>
        <w:gridCol w:w="880"/>
        <w:gridCol w:w="717"/>
        <w:gridCol w:w="798"/>
        <w:gridCol w:w="646"/>
        <w:gridCol w:w="950"/>
      </w:tblGrid>
      <w:tr>
        <w:trPr>
          <w:trHeight w:val="1337" w:hRule="exact"/>
        </w:trPr>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29" w:right="69"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62" w:right="10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74" w:right="73"/>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2"/>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8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4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09" w:right="109"/>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40,555,964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40,555,964</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苗逢源</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8"/>
                <w:sz w:val="18"/>
                <w:szCs w:val="18"/>
              </w:rPr>
              <w:t>董事、副</w:t>
            </w:r>
            <w:r>
              <w:rPr>
                <w:rFonts w:ascii="宋体" w:hAnsi="宋体" w:cs="宋体" w:eastAsia="宋体" w:hint="default"/>
                <w:sz w:val="18"/>
                <w:szCs w:val="18"/>
              </w:rPr>
              <w:t> 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17,534,000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13,554,000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21,574,957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21,574,957</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8"/>
                <w:sz w:val="18"/>
                <w:szCs w:val="18"/>
              </w:rPr>
              <w:t>董事、副</w:t>
            </w:r>
            <w:r>
              <w:rPr>
                <w:rFonts w:ascii="宋体" w:hAnsi="宋体" w:cs="宋体" w:eastAsia="宋体" w:hint="default"/>
                <w:sz w:val="18"/>
                <w:szCs w:val="18"/>
              </w:rPr>
              <w:t> 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9,039,163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9,039,163</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13,236,000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13,236,000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8,940,000</w:t>
            </w:r>
          </w:p>
        </w:tc>
      </w:tr>
      <w:tr>
        <w:trPr>
          <w:trHeight w:val="1026"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8"/>
                <w:sz w:val="18"/>
                <w:szCs w:val="18"/>
              </w:rPr>
              <w:t>董事、常</w:t>
            </w:r>
            <w:r>
              <w:rPr>
                <w:rFonts w:ascii="宋体" w:hAnsi="宋体" w:cs="宋体" w:eastAsia="宋体" w:hint="default"/>
                <w:sz w:val="18"/>
                <w:szCs w:val="18"/>
              </w:rPr>
              <w:t> 务副总 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1,620,338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405,085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1,215,253</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207,458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207,458</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代静</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72"/>
        <w:gridCol w:w="706"/>
        <w:gridCol w:w="854"/>
        <w:gridCol w:w="540"/>
        <w:gridCol w:w="646"/>
        <w:gridCol w:w="1050"/>
        <w:gridCol w:w="1115"/>
        <w:gridCol w:w="880"/>
        <w:gridCol w:w="717"/>
        <w:gridCol w:w="798"/>
        <w:gridCol w:w="646"/>
        <w:gridCol w:w="950"/>
      </w:tblGrid>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11"/>
              <w:jc w:val="right"/>
              <w:rPr>
                <w:rFonts w:ascii="宋体" w:hAnsi="宋体" w:cs="宋体" w:eastAsia="宋体" w:hint="default"/>
                <w:sz w:val="18"/>
                <w:szCs w:val="18"/>
              </w:rPr>
            </w:pPr>
            <w:r>
              <w:rPr>
                <w:rFonts w:ascii="宋体" w:hAnsi="宋体" w:cs="宋体" w:eastAsia="宋体" w:hint="default"/>
                <w:sz w:val="18"/>
                <w:szCs w:val="18"/>
              </w:rPr>
              <w:t>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348,375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261,375</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112,500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84,500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78,800</w:t>
            </w:r>
          </w:p>
        </w:tc>
      </w:tr>
      <w:tr>
        <w:trPr>
          <w:trHeight w:val="1026"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18"/>
                <w:sz w:val="18"/>
                <w:szCs w:val="18"/>
              </w:rPr>
              <w:t>理、董事</w:t>
            </w:r>
            <w:r>
              <w:rPr>
                <w:rFonts w:ascii="宋体" w:hAnsi="宋体" w:cs="宋体" w:eastAsia="宋体" w:hint="default"/>
                <w:sz w:val="18"/>
                <w:szCs w:val="18"/>
              </w:rPr>
              <w:t> 会秘书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640,624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160,156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480,468</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r>
      <w:tr>
        <w:trPr>
          <w:trHeight w:val="714" w:hRule="exact"/>
        </w:trPr>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114,194,37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4,686,441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109,507,93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b/>
          <w:bCs/>
          <w:sz w:val="18"/>
          <w:szCs w:val="18"/>
        </w:rPr>
      </w:pPr>
    </w:p>
    <w:p>
      <w:pPr>
        <w:pStyle w:val="Heading3"/>
        <w:spacing w:line="240" w:lineRule="auto" w:before="26"/>
        <w:ind w:right="1972"/>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因公司管理需要，公司董事长兼总经理陈友先生离任 总经理职务。</w:t>
            </w:r>
          </w:p>
        </w:tc>
      </w:tr>
    </w:tbl>
    <w:p>
      <w:pPr>
        <w:spacing w:line="240" w:lineRule="auto" w:before="2"/>
        <w:rPr>
          <w:rFonts w:ascii="宋体" w:hAnsi="宋体" w:cs="宋体" w:eastAsia="宋体" w:hint="default"/>
          <w:sz w:val="18"/>
          <w:szCs w:val="18"/>
        </w:rPr>
      </w:pPr>
    </w:p>
    <w:p>
      <w:pPr>
        <w:pStyle w:val="Heading3"/>
        <w:spacing w:line="240" w:lineRule="auto" w:before="26"/>
        <w:ind w:right="1972"/>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56" w:lineRule="auto" w:before="89"/>
        <w:ind w:left="515" w:right="1196" w:hanging="362"/>
        <w:jc w:val="left"/>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w w:val="99"/>
        </w:rPr>
        <w:t> </w:t>
      </w:r>
      <w:r>
        <w:rPr>
          <w:rFonts w:ascii="宋体" w:hAnsi="宋体" w:cs="宋体" w:eastAsia="宋体" w:hint="default"/>
          <w:b/>
          <w:bCs/>
        </w:rPr>
        <w:t>陈友</w:t>
      </w:r>
      <w:r>
        <w:rPr/>
        <w:t>，中国国籍，无境外居留权，男，生于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w:t>
      </w:r>
      <w:r>
        <w:rPr/>
        <w:t>月，工学硕士、</w:t>
      </w:r>
      <w:r>
        <w:rPr>
          <w:rFonts w:ascii="Times New Roman" w:hAnsi="Times New Roman" w:cs="Times New Roman" w:eastAsia="Times New Roman" w:hint="default"/>
        </w:rPr>
        <w:t>MBA</w:t>
      </w:r>
      <w:r>
        <w:rPr/>
        <w:t>。现任本公司董事长，任期</w:t>
      </w:r>
    </w:p>
    <w:p>
      <w:pPr>
        <w:pStyle w:val="BodyText"/>
        <w:spacing w:line="240" w:lineRule="auto" w:before="5"/>
        <w:ind w:right="1972"/>
        <w:jc w:val="left"/>
      </w:pPr>
      <w:r>
        <w:rPr/>
        <w:t>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21"/>
        <w:ind w:right="1135" w:firstLine="360"/>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月担任天源迪科有限公司副总经理；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月担任天源迪科有限公司 董事、总经理；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月至今担任公司董事长；</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月担任公司总经理。</w:t>
      </w:r>
    </w:p>
    <w:p>
      <w:pPr>
        <w:pStyle w:val="BodyText"/>
        <w:spacing w:line="240" w:lineRule="auto" w:before="5"/>
        <w:ind w:left="490" w:right="0"/>
        <w:jc w:val="left"/>
      </w:pPr>
      <w:r>
        <w:rPr>
          <w:rFonts w:ascii="宋体" w:hAnsi="宋体" w:cs="宋体" w:eastAsia="宋体" w:hint="default"/>
          <w:b/>
          <w:bCs/>
        </w:rPr>
        <w:t>陈鲁康</w:t>
      </w:r>
      <w:r>
        <w:rPr/>
        <w:t>，中国国籍，无境外居留权，男，生于</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8</w:t>
      </w:r>
      <w:r>
        <w:rPr/>
        <w:t>月，本科。现任本公司董事、副总经理，任期为</w:t>
      </w:r>
    </w:p>
    <w:p>
      <w:pPr>
        <w:pStyle w:val="BodyText"/>
        <w:spacing w:line="240" w:lineRule="auto" w:before="21"/>
        <w:ind w:right="197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21"/>
        <w:ind w:right="0" w:firstLine="360"/>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2</w:t>
      </w:r>
      <w:r>
        <w:rPr/>
        <w:t>月加入天源迪科，先后担任公司工程师、上海办事处副经理、上海办事处经理、公司总经理、 副总经理兼上海子公司总经理；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月至今担任公司董事。</w:t>
      </w:r>
    </w:p>
    <w:p>
      <w:pPr>
        <w:pStyle w:val="BodyText"/>
        <w:spacing w:line="256" w:lineRule="auto" w:before="5"/>
        <w:ind w:right="1029" w:firstLine="358"/>
        <w:jc w:val="left"/>
      </w:pPr>
      <w:r>
        <w:rPr>
          <w:rFonts w:ascii="宋体" w:hAnsi="宋体" w:cs="宋体" w:eastAsia="宋体" w:hint="default"/>
          <w:b/>
          <w:bCs/>
        </w:rPr>
        <w:t>陈兵</w:t>
      </w:r>
      <w:r>
        <w:rPr/>
        <w:t>，中国国籍，澳门永久居留权，男，生于</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8</w:t>
      </w:r>
      <w:r>
        <w:rPr/>
        <w:t>月，本科，高级工程师职称。现任本公司董事， 任期为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5"/>
        <w:ind w:right="0" w:firstLine="340"/>
        <w:jc w:val="left"/>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-2009</w:t>
      </w:r>
      <w:r>
        <w:rPr/>
        <w:t>年，在北京高阳金信信息技术有限公司历任核心系统架构师、项目总监、分公司总经理、 公司副总裁；</w:t>
      </w:r>
      <w:r>
        <w:rPr>
          <w:rFonts w:ascii="Times New Roman" w:hAnsi="Times New Roman" w:cs="Times New Roman" w:eastAsia="Times New Roman" w:hint="default"/>
        </w:rPr>
        <w:t>2009</w:t>
      </w:r>
      <w:r>
        <w:rPr/>
        <w:t>年进入深圳维恩贝特科技股份有限公司，曾任公司董事、总经理、董事长。现任维恩贝</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15" w:right="1148" w:hanging="362"/>
        <w:jc w:val="left"/>
      </w:pPr>
      <w:r>
        <w:rPr/>
        <w:t>特科技有限公司董事长兼总经理。 </w:t>
      </w:r>
      <w:r>
        <w:rPr>
          <w:rFonts w:ascii="宋体" w:hAnsi="宋体" w:cs="宋体" w:eastAsia="宋体" w:hint="default"/>
          <w:b/>
          <w:bCs/>
        </w:rPr>
        <w:t>李谦益</w:t>
      </w:r>
      <w:r>
        <w:rPr/>
        <w:t>，中国国籍，无境外居留权，男，生于</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12</w:t>
      </w:r>
      <w:r>
        <w:rPr/>
        <w:t>月，本科。现任本公司董事、副总经理，任期</w:t>
      </w:r>
    </w:p>
    <w:p>
      <w:pPr>
        <w:pStyle w:val="BodyText"/>
        <w:spacing w:line="279" w:lineRule="exact" w:before="0"/>
        <w:ind w:right="1972"/>
        <w:jc w:val="left"/>
      </w:pPr>
      <w:r>
        <w:rPr/>
        <w:t>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21"/>
        <w:ind w:left="514" w:right="0"/>
        <w:jc w:val="left"/>
      </w:pPr>
      <w:r>
        <w:rPr>
          <w:rFonts w:ascii="Times New Roman" w:hAnsi="Times New Roman" w:cs="Times New Roman" w:eastAsia="Times New Roman" w:hint="default"/>
          <w:spacing w:val="-6"/>
        </w:rPr>
        <w:t>1993</w:t>
      </w:r>
      <w:r>
        <w:rPr>
          <w:spacing w:val="-6"/>
        </w:rPr>
        <w:t>年</w:t>
      </w:r>
      <w:r>
        <w:rPr>
          <w:rFonts w:ascii="Times New Roman" w:hAnsi="Times New Roman" w:cs="Times New Roman" w:eastAsia="Times New Roman" w:hint="default"/>
          <w:spacing w:val="-6"/>
        </w:rPr>
        <w:t>1</w:t>
      </w:r>
      <w:r>
        <w:rPr>
          <w:spacing w:val="-6"/>
        </w:rPr>
        <w:t>月加入天源迪科，先后担任公司工程师、支持服务部副经理、支持服务部经理、公司副总经理；</w:t>
      </w:r>
    </w:p>
    <w:p>
      <w:pPr>
        <w:pStyle w:val="BodyText"/>
        <w:spacing w:line="256" w:lineRule="auto" w:before="21"/>
        <w:ind w:left="515" w:right="1195" w:hanging="362"/>
        <w:jc w:val="left"/>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月至今担任公司董事。 </w:t>
      </w:r>
      <w:r>
        <w:rPr>
          <w:rFonts w:ascii="宋体" w:hAnsi="宋体" w:cs="宋体" w:eastAsia="宋体" w:hint="default"/>
          <w:b/>
          <w:bCs/>
        </w:rPr>
        <w:t>谢晓宾</w:t>
      </w:r>
      <w:r>
        <w:rPr/>
        <w:t>，中国国籍，加拿大居留权，男，生于</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7</w:t>
      </w:r>
      <w:r>
        <w:rPr/>
        <w:t>月，工学硕士、</w:t>
      </w:r>
      <w:r>
        <w:rPr>
          <w:rFonts w:ascii="Times New Roman" w:hAnsi="Times New Roman" w:cs="Times New Roman" w:eastAsia="Times New Roman" w:hint="default"/>
        </w:rPr>
        <w:t>MBA</w:t>
      </w:r>
      <w:r>
        <w:rPr/>
        <w:t>。现任本公司董事，任期</w:t>
      </w:r>
    </w:p>
    <w:p>
      <w:pPr>
        <w:pStyle w:val="BodyText"/>
        <w:spacing w:line="240" w:lineRule="auto" w:before="5"/>
        <w:ind w:right="1972"/>
        <w:jc w:val="left"/>
      </w:pPr>
      <w:r>
        <w:rPr/>
        <w:t>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21"/>
        <w:ind w:right="0" w:firstLine="360"/>
        <w:jc w:val="left"/>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月加入天源迪科，先后担任公司工程师、销售代表、销售部副经理、销售部经理、公司副总经</w:t>
      </w:r>
      <w:r>
        <w:rPr/>
        <w:t> 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月至今担任公司董事。</w:t>
      </w:r>
    </w:p>
    <w:p>
      <w:pPr>
        <w:pStyle w:val="BodyText"/>
        <w:spacing w:line="256" w:lineRule="auto" w:before="5"/>
        <w:ind w:right="1271" w:firstLine="361"/>
        <w:jc w:val="left"/>
      </w:pPr>
      <w:r>
        <w:rPr>
          <w:rFonts w:ascii="宋体" w:hAnsi="宋体" w:cs="宋体" w:eastAsia="宋体" w:hint="default"/>
          <w:b/>
          <w:bCs/>
        </w:rPr>
        <w:t>杨文庆</w:t>
      </w:r>
      <w:r>
        <w:rPr/>
        <w:t>，中国国籍，无境外居留权，男，生于</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10</w:t>
      </w:r>
      <w:r>
        <w:rPr/>
        <w:t>月，本科。现任本公司董事，任期为</w:t>
      </w:r>
      <w:r>
        <w:rPr>
          <w:rFonts w:ascii="Times New Roman" w:hAnsi="Times New Roman" w:cs="Times New Roman" w:eastAsia="Times New Roman" w:hint="default"/>
          <w:b/>
          <w:bCs/>
        </w:rPr>
        <w:t>2</w:t>
      </w:r>
      <w:r>
        <w:rPr>
          <w:rFonts w:ascii="Times New Roman" w:hAnsi="Times New Roman" w:cs="Times New Roman" w:eastAsia="Times New Roman" w:hint="default"/>
        </w:rPr>
        <w:t>016</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5"/>
        <w:ind w:right="0" w:firstLine="360"/>
        <w:jc w:val="left"/>
      </w:pPr>
      <w:r>
        <w:rPr>
          <w:spacing w:val="-2"/>
        </w:rPr>
        <w:t>曾先后担任天源迪科有限公司社保事业部销售经理、上海雷米贸易有限公司副经理；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月至今就</w:t>
      </w:r>
      <w:r>
        <w:rPr/>
        <w:t> 职于中联资本置业基金；</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月至今担任公司董事。</w:t>
      </w:r>
    </w:p>
    <w:p>
      <w:pPr>
        <w:pStyle w:val="BodyText"/>
        <w:spacing w:line="256" w:lineRule="auto" w:before="5"/>
        <w:ind w:right="1167" w:firstLine="361"/>
        <w:jc w:val="left"/>
      </w:pPr>
      <w:r>
        <w:rPr>
          <w:rFonts w:ascii="宋体" w:hAnsi="宋体" w:cs="宋体" w:eastAsia="宋体" w:hint="default"/>
          <w:b/>
          <w:bCs/>
        </w:rPr>
        <w:t>汪东升</w:t>
      </w:r>
      <w:r>
        <w:rPr/>
        <w:t>，中国国籍，无境外居留权，男，生于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11</w:t>
      </w:r>
      <w:r>
        <w:rPr/>
        <w:t>月，工学硕士。现任本公司董事、常务副总经 理，任期为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5"/>
        <w:ind w:right="0" w:firstLine="360"/>
        <w:jc w:val="left"/>
      </w:pP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月加入天源迪科，先后担任公司工程师、软件二部副经理、电信软件部经理、电信行业技术总</w:t>
      </w:r>
      <w:r>
        <w:rPr/>
        <w:t> 监、软件设计部经理、公司副总经理；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月至今担任公司董事。</w:t>
      </w:r>
    </w:p>
    <w:p>
      <w:pPr>
        <w:pStyle w:val="BodyText"/>
        <w:spacing w:line="256" w:lineRule="auto" w:before="5"/>
        <w:ind w:right="1130" w:firstLine="361"/>
        <w:jc w:val="left"/>
      </w:pPr>
      <w:r>
        <w:rPr>
          <w:rFonts w:ascii="宋体" w:hAnsi="宋体" w:cs="宋体" w:eastAsia="宋体" w:hint="default"/>
          <w:b/>
          <w:bCs/>
          <w:spacing w:val="-2"/>
        </w:rPr>
        <w:t>梁金华</w:t>
      </w:r>
      <w:r>
        <w:rPr>
          <w:spacing w:val="-2"/>
        </w:rPr>
        <w:t>，中国国籍，无境外居留权，男，生于</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2</w:t>
      </w:r>
      <w:r>
        <w:rPr>
          <w:spacing w:val="-2"/>
        </w:rPr>
        <w:t>月，中国注册会计师、注册资产评估师。现任本</w:t>
      </w:r>
      <w:r>
        <w:rPr/>
        <w:t> 公司独立董事，任期为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5"/>
        <w:ind w:right="0" w:firstLine="360"/>
        <w:jc w:val="left"/>
      </w:pP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月担任深圳市港泰源集团有限公司常务副总裁；</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月至今担任深圳联杰会</w:t>
      </w:r>
      <w:r>
        <w:rPr/>
        <w:t> 计师事务所主任会计师。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月起任公司独立董事。</w:t>
      </w:r>
    </w:p>
    <w:p>
      <w:pPr>
        <w:pStyle w:val="BodyText"/>
        <w:spacing w:line="256" w:lineRule="auto" w:before="5"/>
        <w:ind w:left="515" w:right="1195" w:hanging="2"/>
        <w:jc w:val="left"/>
      </w:pPr>
      <w:r>
        <w:rPr/>
        <w:t>包括本公司在内，梁金华兼任独立董事的上市公司不超过</w:t>
      </w:r>
      <w:r>
        <w:rPr>
          <w:rFonts w:ascii="Times New Roman" w:hAnsi="Times New Roman" w:cs="Times New Roman" w:eastAsia="Times New Roman" w:hint="default"/>
        </w:rPr>
        <w:t>5</w:t>
      </w:r>
      <w:r>
        <w:rPr/>
        <w:t>家。 </w:t>
      </w:r>
      <w:r>
        <w:rPr>
          <w:rFonts w:ascii="宋体" w:hAnsi="宋体" w:cs="宋体" w:eastAsia="宋体" w:hint="default"/>
          <w:b/>
          <w:bCs/>
        </w:rPr>
        <w:t>盛宝军</w:t>
      </w:r>
      <w:r>
        <w:rPr/>
        <w:t>，中国国籍，无境外居留权，男，生于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月，复旦大学</w:t>
      </w:r>
      <w:r>
        <w:rPr>
          <w:rFonts w:ascii="Times New Roman" w:hAnsi="Times New Roman" w:cs="Times New Roman" w:eastAsia="Times New Roman" w:hint="default"/>
        </w:rPr>
        <w:t>MBA</w:t>
      </w:r>
      <w:r>
        <w:rPr/>
        <w:t>，武汉大学、美国芝加哥肯</w:t>
      </w:r>
    </w:p>
    <w:p>
      <w:pPr>
        <w:pStyle w:val="BodyText"/>
        <w:spacing w:line="240" w:lineRule="auto" w:before="5"/>
        <w:ind w:right="1972"/>
        <w:jc w:val="left"/>
      </w:pPr>
      <w:r>
        <w:rPr/>
        <w:t>特法学院法学硕士。现任本公司独立董事，任期为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21"/>
        <w:ind w:right="1187" w:firstLine="360"/>
        <w:jc w:val="lef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月担任广东深天成律师事务所执业律师；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月至今任北京市中伦律师事务所 合伙人律师。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月起任公司独立董事。</w:t>
      </w:r>
    </w:p>
    <w:p>
      <w:pPr>
        <w:pStyle w:val="BodyText"/>
        <w:spacing w:line="256" w:lineRule="auto" w:before="5"/>
        <w:ind w:left="515" w:right="1149" w:hanging="2"/>
        <w:jc w:val="left"/>
      </w:pPr>
      <w:r>
        <w:rPr/>
        <w:t>包括本公司在内，盛宝军兼任独立董事的上市公司不超过</w:t>
      </w:r>
      <w:r>
        <w:rPr>
          <w:rFonts w:ascii="Times New Roman" w:hAnsi="Times New Roman" w:cs="Times New Roman" w:eastAsia="Times New Roman" w:hint="default"/>
        </w:rPr>
        <w:t>5</w:t>
      </w:r>
      <w:r>
        <w:rPr/>
        <w:t>家。 </w:t>
      </w:r>
      <w:r>
        <w:rPr>
          <w:rFonts w:ascii="宋体" w:hAnsi="宋体" w:cs="宋体" w:eastAsia="宋体" w:hint="default"/>
          <w:b/>
          <w:bCs/>
        </w:rPr>
        <w:t>郑飞</w:t>
      </w:r>
      <w:r>
        <w:rPr/>
        <w:t>，中国国籍，无境外居留权，男，生于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月，武汉大学工学硕士。现任本公司独立董事，</w:t>
      </w:r>
    </w:p>
    <w:p>
      <w:pPr>
        <w:pStyle w:val="BodyText"/>
        <w:spacing w:line="240" w:lineRule="auto" w:before="5"/>
        <w:ind w:right="1972"/>
        <w:jc w:val="left"/>
      </w:pPr>
      <w:r>
        <w:rPr/>
        <w:t>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64" w:lineRule="auto" w:before="21"/>
        <w:ind w:right="0" w:firstLine="360"/>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月担任深圳市吉大远望软件有限公司软件部经理；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月至今先后担任深圳市 </w:t>
      </w:r>
      <w:r>
        <w:rPr>
          <w:spacing w:val="-1"/>
        </w:rPr>
        <w:t>软件行业协会综合部主任、副秘书长，现任深圳市软件行业协会执行副会长、秘书长，中国软件行业协会</w:t>
      </w:r>
      <w:r>
        <w:rPr>
          <w:spacing w:val="-86"/>
        </w:rPr>
        <w:t> </w:t>
      </w:r>
      <w:r>
        <w:rPr>
          <w:spacing w:val="-86"/>
        </w:rPr>
      </w:r>
      <w:r>
        <w:rPr/>
        <w:t>常务理事秘书长。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月起任公司独立董事。</w:t>
      </w:r>
    </w:p>
    <w:p>
      <w:pPr>
        <w:pStyle w:val="BodyText"/>
        <w:spacing w:line="256" w:lineRule="auto" w:before="0"/>
        <w:ind w:left="512" w:right="0" w:firstLine="1"/>
        <w:jc w:val="left"/>
      </w:pPr>
      <w:r>
        <w:rPr/>
        <w:t>包括本公司在内，郑飞兼任独立董事的上市公司不超过</w:t>
      </w:r>
      <w:r>
        <w:rPr>
          <w:rFonts w:ascii="Times New Roman" w:hAnsi="Times New Roman" w:cs="Times New Roman" w:eastAsia="Times New Roman" w:hint="default"/>
        </w:rPr>
        <w:t>5</w:t>
      </w:r>
      <w:r>
        <w:rPr/>
        <w:t>家。</w:t>
      </w:r>
      <w:r>
        <w:rPr>
          <w:spacing w:val="-2"/>
        </w:rPr>
        <w:t> </w:t>
      </w:r>
      <w:r>
        <w:rPr>
          <w:rFonts w:ascii="宋体" w:hAnsi="宋体" w:cs="宋体" w:eastAsia="宋体" w:hint="default"/>
          <w:b/>
          <w:bCs/>
        </w:rPr>
        <w:t>张卫华，</w:t>
      </w:r>
      <w:r>
        <w:rPr/>
        <w:t>中国国籍，无境外居留权，男，生于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10</w:t>
      </w:r>
      <w:r>
        <w:rPr/>
        <w:t>月，四川大学硕士，北京大学博士，现任本公</w:t>
      </w:r>
    </w:p>
    <w:p>
      <w:pPr>
        <w:pStyle w:val="BodyText"/>
        <w:spacing w:line="240" w:lineRule="auto" w:before="5"/>
        <w:ind w:right="1972"/>
        <w:jc w:val="left"/>
      </w:pPr>
      <w:r>
        <w:rPr/>
        <w:t>司独立董事，任期为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21"/>
        <w:ind w:right="1132" w:firstLine="336"/>
        <w:jc w:val="both"/>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-2010</w:t>
      </w:r>
      <w:r>
        <w:rPr>
          <w:spacing w:val="-2"/>
        </w:rPr>
        <w:t>年，担任深圳市高正软件有限公司副董事长；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-2013</w:t>
      </w:r>
      <w:r>
        <w:rPr>
          <w:spacing w:val="-2"/>
        </w:rPr>
        <w:t>年担任深圳市海普瑞药业股份有</w:t>
      </w:r>
      <w:r>
        <w:rPr/>
        <w:t> </w:t>
      </w:r>
      <w:r>
        <w:rPr>
          <w:spacing w:val="-2"/>
        </w:rPr>
        <w:t>限公司副总经理；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-2015</w:t>
      </w:r>
      <w:r>
        <w:rPr>
          <w:spacing w:val="-2"/>
        </w:rPr>
        <w:t>年担任深圳市铁汉生态环境股份有限公司副总裁；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月至今，担任深</w:t>
      </w:r>
      <w:r>
        <w:rPr>
          <w:spacing w:val="-95"/>
        </w:rPr>
        <w:t> </w:t>
      </w:r>
      <w:r>
        <w:rPr>
          <w:spacing w:val="-95"/>
        </w:rPr>
      </w:r>
      <w:r>
        <w:rPr/>
        <w:t>圳爱淘苗电子商务科技有限公司董事长。</w:t>
      </w:r>
    </w:p>
    <w:p>
      <w:pPr>
        <w:pStyle w:val="BodyText"/>
        <w:spacing w:line="240" w:lineRule="auto" w:before="22"/>
        <w:ind w:left="490" w:right="1972"/>
        <w:jc w:val="left"/>
      </w:pPr>
      <w:r>
        <w:rPr/>
        <w:t>包括本公司在内，张卫华兼任独立董事的上市公司不超过</w:t>
      </w:r>
      <w:r>
        <w:rPr>
          <w:rFonts w:ascii="Times New Roman" w:hAnsi="Times New Roman" w:cs="Times New Roman" w:eastAsia="Times New Roman" w:hint="default"/>
        </w:rPr>
        <w:t>5</w:t>
      </w:r>
      <w:r>
        <w:rPr/>
        <w:t>家。</w:t>
      </w:r>
    </w:p>
    <w:p>
      <w:pPr>
        <w:spacing w:line="240" w:lineRule="auto" w:before="7"/>
        <w:rPr>
          <w:rFonts w:ascii="宋体" w:hAnsi="宋体" w:cs="宋体" w:eastAsia="宋体" w:hint="default"/>
          <w:sz w:val="25"/>
          <w:szCs w:val="25"/>
        </w:rPr>
      </w:pPr>
    </w:p>
    <w:p>
      <w:pPr>
        <w:pStyle w:val="BodyText"/>
        <w:spacing w:line="256" w:lineRule="auto" w:before="0"/>
        <w:ind w:left="515" w:right="1118" w:hanging="362"/>
        <w:jc w:val="left"/>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w w:val="99"/>
        </w:rPr>
        <w:t> </w:t>
      </w:r>
      <w:r>
        <w:rPr>
          <w:rFonts w:ascii="宋体" w:hAnsi="宋体" w:cs="宋体" w:eastAsia="宋体" w:hint="default"/>
          <w:b/>
          <w:bCs/>
          <w:spacing w:val="-2"/>
        </w:rPr>
        <w:t>张媛，</w:t>
      </w:r>
      <w:r>
        <w:rPr>
          <w:spacing w:val="-2"/>
        </w:rPr>
        <w:t>中国国籍，无境外居留权，女，生于</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6</w:t>
      </w:r>
      <w:r>
        <w:rPr>
          <w:spacing w:val="-2"/>
        </w:rPr>
        <w:t>月，软件工程学士。现任本公司监事会主席，监事</w:t>
      </w:r>
    </w:p>
    <w:p>
      <w:pPr>
        <w:pStyle w:val="BodyText"/>
        <w:spacing w:line="240" w:lineRule="auto" w:before="5"/>
        <w:ind w:right="1972"/>
        <w:jc w:val="left"/>
      </w:pPr>
      <w:r>
        <w:rPr/>
        <w:t>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21"/>
        <w:ind w:left="514" w:right="0"/>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月加入天源迪科，历任销售经理、成都办经理、行政部经理、行政总监，现担任天源迪科总裁</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15" w:right="1148" w:hanging="362"/>
        <w:jc w:val="left"/>
      </w:pPr>
      <w:r>
        <w:rPr/>
        <w:t>助理兼行政总监。 </w:t>
      </w:r>
      <w:r>
        <w:rPr>
          <w:rFonts w:ascii="宋体" w:hAnsi="宋体" w:cs="宋体" w:eastAsia="宋体" w:hint="default"/>
          <w:b/>
          <w:bCs/>
        </w:rPr>
        <w:t>梁凌琳</w:t>
      </w:r>
      <w:r>
        <w:rPr/>
        <w:t>，中国国籍，无境外居留权，女，生于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日，经济学学士。现任本公司监事，监事</w:t>
      </w:r>
    </w:p>
    <w:p>
      <w:pPr>
        <w:pStyle w:val="BodyText"/>
        <w:spacing w:line="279" w:lineRule="exact" w:before="0"/>
        <w:ind w:right="1972"/>
        <w:jc w:val="left"/>
      </w:pPr>
      <w:r>
        <w:rPr/>
        <w:t>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21"/>
        <w:ind w:right="1126" w:firstLine="360"/>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月担任天源迪科有限公司人力资源部培训专员；</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月担任天源迪</w:t>
      </w:r>
      <w:r>
        <w:rPr/>
        <w:t> 科有限公司人力资源部招聘专员；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月至今担任天源迪科人力资源部副经理。</w:t>
      </w:r>
    </w:p>
    <w:p>
      <w:pPr>
        <w:pStyle w:val="BodyText"/>
        <w:spacing w:line="256" w:lineRule="auto" w:before="5"/>
        <w:ind w:right="1132" w:firstLine="361"/>
        <w:jc w:val="left"/>
      </w:pPr>
      <w:r>
        <w:rPr>
          <w:rFonts w:ascii="宋体" w:hAnsi="宋体" w:cs="宋体" w:eastAsia="宋体" w:hint="default"/>
          <w:b/>
          <w:bCs/>
          <w:spacing w:val="-2"/>
        </w:rPr>
        <w:t>代静，</w:t>
      </w:r>
      <w:r>
        <w:rPr>
          <w:spacing w:val="-2"/>
        </w:rPr>
        <w:t>中国国籍，无境外居留权，女，生于</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11</w:t>
      </w:r>
      <w:r>
        <w:rPr>
          <w:spacing w:val="-2"/>
        </w:rPr>
        <w:t>月，本科。于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日经公司职工代表大会</w:t>
      </w:r>
      <w:r>
        <w:rPr/>
        <w:t> 选举为公司职工代表监事，现任本公司监事，监事任期为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5"/>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月担任天源迪科商务部商务专员；</w:t>
      </w:r>
      <w:r>
        <w:rPr>
          <w:spacing w:val="-69"/>
        </w:rPr>
        <w:t> </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月起担任天源迪科商务部副经理；</w:t>
      </w:r>
      <w:r>
        <w:rPr>
          <w:rFonts w:ascii="Times New Roman" w:hAnsi="Times New Roman" w:cs="Times New Roman" w:eastAsia="Times New Roman" w:hint="default"/>
          <w:spacing w:val="-3"/>
        </w:rPr>
        <w:t>2019</w:t>
      </w:r>
    </w:p>
    <w:p>
      <w:pPr>
        <w:pStyle w:val="BodyText"/>
        <w:spacing w:line="240" w:lineRule="auto" w:before="21"/>
        <w:ind w:right="1972"/>
        <w:jc w:val="left"/>
      </w:pPr>
      <w:r>
        <w:rPr/>
        <w:t>年</w:t>
      </w:r>
      <w:r>
        <w:rPr>
          <w:rFonts w:ascii="Times New Roman" w:hAnsi="Times New Roman" w:cs="Times New Roman" w:eastAsia="Times New Roman" w:hint="default"/>
        </w:rPr>
        <w:t>1</w:t>
      </w:r>
      <w:r>
        <w:rPr/>
        <w:t>月起担任公司商务部部门总监。</w:t>
      </w:r>
    </w:p>
    <w:p>
      <w:pPr>
        <w:spacing w:line="240" w:lineRule="auto" w:before="6"/>
        <w:rPr>
          <w:rFonts w:ascii="宋体" w:hAnsi="宋体" w:cs="宋体" w:eastAsia="宋体" w:hint="default"/>
          <w:sz w:val="25"/>
          <w:szCs w:val="25"/>
        </w:rPr>
      </w:pPr>
    </w:p>
    <w:p>
      <w:pPr>
        <w:pStyle w:val="BodyText"/>
        <w:spacing w:line="256" w:lineRule="auto" w:before="0"/>
        <w:ind w:left="514" w:right="5796" w:hanging="360"/>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陈鲁康，副总经理，参见本节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李谦益，副总经理，参见本节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汪东升，常务副总经理，参见本节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pStyle w:val="BodyText"/>
        <w:spacing w:line="256" w:lineRule="auto" w:before="5"/>
        <w:ind w:right="1130" w:firstLine="361"/>
        <w:jc w:val="left"/>
      </w:pPr>
      <w:r>
        <w:rPr>
          <w:rFonts w:ascii="宋体" w:hAnsi="宋体" w:cs="宋体" w:eastAsia="宋体" w:hint="default"/>
          <w:b/>
          <w:bCs/>
          <w:spacing w:val="-5"/>
        </w:rPr>
        <w:t>苗逢源，</w:t>
      </w:r>
      <w:r>
        <w:rPr>
          <w:spacing w:val="-5"/>
        </w:rPr>
        <w:t>中国国籍，无境外居留权，男，汉族，生于</w:t>
      </w:r>
      <w:r>
        <w:rPr>
          <w:rFonts w:ascii="Times New Roman" w:hAnsi="Times New Roman" w:cs="Times New Roman" w:eastAsia="Times New Roman" w:hint="default"/>
          <w:spacing w:val="-5"/>
        </w:rPr>
        <w:t>1963</w:t>
      </w:r>
      <w:r>
        <w:rPr>
          <w:spacing w:val="-5"/>
        </w:rPr>
        <w:t>年</w:t>
      </w:r>
      <w:r>
        <w:rPr>
          <w:rFonts w:ascii="Times New Roman" w:hAnsi="Times New Roman" w:cs="Times New Roman" w:eastAsia="Times New Roman" w:hint="default"/>
          <w:spacing w:val="-5"/>
        </w:rPr>
        <w:t>12</w:t>
      </w:r>
      <w:r>
        <w:rPr>
          <w:spacing w:val="-5"/>
        </w:rPr>
        <w:t>月，工商管理硕士。现任公司总经理，</w:t>
      </w:r>
      <w:r>
        <w:rPr>
          <w:spacing w:val="-54"/>
        </w:rPr>
        <w:t> </w:t>
      </w:r>
      <w:r>
        <w:rPr/>
        <w:t>任</w:t>
      </w:r>
      <w:r>
        <w:rPr/>
        <w:t> 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5"/>
        <w:ind w:right="1130"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月曾任中国电信集团云南省电信公司总经理、党组书记，负责相应省份的市场经 </w:t>
      </w:r>
      <w:r>
        <w:rPr>
          <w:spacing w:val="-3"/>
        </w:rPr>
        <w:t>营及管理工作。截至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月，曾任深圳市国微电子有限公司副董事长，负责企业经营管理工作。自</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1"/>
        </w:rPr>
        <w:t> </w:t>
      </w:r>
      <w:r>
        <w:rPr/>
        <w:t>年</w:t>
      </w:r>
      <w:r>
        <w:rPr>
          <w:rFonts w:ascii="Times New Roman" w:hAnsi="Times New Roman" w:cs="Times New Roman" w:eastAsia="Times New Roman" w:hint="default"/>
        </w:rPr>
        <w:t>8</w:t>
      </w:r>
      <w:r>
        <w:rPr/>
        <w:t>月开始担任公司总经理。</w:t>
      </w:r>
    </w:p>
    <w:p>
      <w:pPr>
        <w:pStyle w:val="BodyText"/>
        <w:spacing w:line="240" w:lineRule="auto" w:before="5"/>
        <w:ind w:left="515" w:right="0"/>
        <w:jc w:val="left"/>
      </w:pPr>
      <w:r>
        <w:rPr>
          <w:rFonts w:ascii="宋体" w:hAnsi="宋体" w:cs="宋体" w:eastAsia="宋体" w:hint="default"/>
          <w:b/>
          <w:bCs/>
        </w:rPr>
        <w:t>林容，</w:t>
      </w:r>
      <w:r>
        <w:rPr/>
        <w:t>中国国籍，无境外居留权，女，生于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6</w:t>
      </w:r>
      <w:r>
        <w:rPr/>
        <w:t>月，本科。现任公司副总经理，</w:t>
      </w:r>
      <w:r>
        <w:rPr>
          <w:spacing w:val="-79"/>
        </w:rPr>
        <w:t> </w:t>
      </w:r>
      <w:r>
        <w:rPr/>
        <w:t>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p>
    <w:p>
      <w:pPr>
        <w:pStyle w:val="BodyText"/>
        <w:spacing w:line="256" w:lineRule="auto" w:before="21"/>
        <w:ind w:left="515" w:right="1118" w:hanging="36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w w:val="99"/>
        </w:rPr>
        <w:t> </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月加入天源迪科，曾任联通事业部总经理，全面负责公司面向中国联通的业务；</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月至</w:t>
      </w:r>
    </w:p>
    <w:p>
      <w:pPr>
        <w:pStyle w:val="BodyText"/>
        <w:spacing w:line="273" w:lineRule="auto" w:before="5"/>
        <w:ind w:left="514" w:right="1149" w:hanging="360"/>
        <w:jc w:val="left"/>
        <w:rPr>
          <w:rFonts w:ascii="Times New Roman" w:hAnsi="Times New Roman" w:cs="Times New Roman" w:eastAsia="Times New Roman" w:hint="default"/>
        </w:rPr>
      </w:pPr>
      <w:r>
        <w:rPr/>
        <w:t>今担任公司副总经理。 </w:t>
      </w:r>
      <w:r>
        <w:rPr>
          <w:rFonts w:ascii="宋体" w:hAnsi="宋体" w:cs="宋体" w:eastAsia="宋体" w:hint="default"/>
          <w:b/>
          <w:bCs/>
        </w:rPr>
        <w:t>管四新，</w:t>
      </w:r>
      <w:r>
        <w:rPr/>
        <w:t>中国国籍，无境外居留权，男，生于</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w:t>
      </w:r>
      <w:r>
        <w:rPr/>
        <w:t>月，本科。现任公司副总经理，任期为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p>
    <w:p>
      <w:pPr>
        <w:pStyle w:val="BodyText"/>
        <w:spacing w:line="279" w:lineRule="exact" w:before="0"/>
        <w:ind w:right="1972"/>
        <w:jc w:val="left"/>
      </w:pP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21"/>
        <w:ind w:left="514" w:right="0"/>
        <w:jc w:val="left"/>
      </w:pPr>
      <w:r>
        <w:rPr>
          <w:rFonts w:ascii="Times New Roman" w:hAnsi="Times New Roman" w:cs="Times New Roman" w:eastAsia="Times New Roman" w:hint="default"/>
        </w:rPr>
        <w:t>2009</w:t>
      </w:r>
      <w:r>
        <w:rPr/>
        <w:t>年加入天源迪科，现任联通事业部总经理。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月起任公司副总经理。 </w:t>
      </w:r>
      <w:r>
        <w:rPr>
          <w:rFonts w:ascii="宋体" w:hAnsi="宋体" w:cs="宋体" w:eastAsia="宋体" w:hint="default"/>
          <w:b/>
          <w:bCs/>
          <w:spacing w:val="-2"/>
        </w:rPr>
        <w:t>罗赞，</w:t>
      </w:r>
      <w:r>
        <w:rPr>
          <w:spacing w:val="-2"/>
        </w:rPr>
        <w:t>中国国籍，无境外居留权，男，生于</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8</w:t>
      </w:r>
      <w:r>
        <w:rPr>
          <w:spacing w:val="-2"/>
        </w:rPr>
        <w:t>月，计算机专业学士。现任公司副总经理，任期为</w:t>
      </w:r>
    </w:p>
    <w:p>
      <w:pPr>
        <w:pStyle w:val="BodyText"/>
        <w:spacing w:line="240" w:lineRule="auto" w:before="5"/>
        <w:ind w:right="197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21"/>
        <w:ind w:right="1117" w:firstLine="36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月加入天源迪科，先后担任高级技术咨询专家、大数据</w:t>
      </w:r>
      <w:r>
        <w:rPr>
          <w:rFonts w:ascii="Times New Roman" w:hAnsi="Times New Roman" w:cs="Times New Roman" w:eastAsia="Times New Roman" w:hint="default"/>
        </w:rPr>
        <w:t>(BI)</w:t>
      </w:r>
      <w:r>
        <w:rPr/>
        <w:t>产品总监、电信事业部研发中心总 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月起任公司副总经理。</w:t>
      </w:r>
    </w:p>
    <w:p>
      <w:pPr>
        <w:pStyle w:val="BodyText"/>
        <w:spacing w:line="256" w:lineRule="auto" w:before="5"/>
        <w:ind w:right="1273" w:firstLine="360"/>
        <w:jc w:val="left"/>
      </w:pPr>
      <w:r>
        <w:rPr>
          <w:rFonts w:ascii="宋体" w:hAnsi="宋体" w:cs="宋体" w:eastAsia="宋体" w:hint="default"/>
          <w:b/>
          <w:bCs/>
        </w:rPr>
        <w:t>代峰，</w:t>
      </w:r>
      <w:r>
        <w:rPr/>
        <w:t>中国国籍，无境外居留权，男，生于</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12</w:t>
      </w:r>
      <w:r>
        <w:rPr/>
        <w:t>月，本科。现任公司副总经理，任期为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5"/>
        <w:ind w:right="1152" w:firstLine="360"/>
        <w:jc w:val="left"/>
      </w:pPr>
      <w:r>
        <w:rPr>
          <w:rFonts w:ascii="Times New Roman" w:hAnsi="Times New Roman" w:cs="Times New Roman" w:eastAsia="Times New Roman" w:hint="default"/>
        </w:rPr>
        <w:t>2007</w:t>
      </w:r>
      <w:r>
        <w:rPr/>
        <w:t>年加入天源迪科，曾任业务发展部高级经理兼软件一部经理。</w:t>
      </w:r>
      <w:r>
        <w:rPr>
          <w:rFonts w:ascii="Times New Roman" w:hAnsi="Times New Roman" w:cs="Times New Roman" w:eastAsia="Times New Roman" w:hint="default"/>
        </w:rPr>
        <w:t>2010</w:t>
      </w:r>
      <w:r>
        <w:rPr/>
        <w:t>年至今任天源迪科公共事业部 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月起任公司副总经理。</w:t>
      </w:r>
    </w:p>
    <w:p>
      <w:pPr>
        <w:pStyle w:val="BodyText"/>
        <w:spacing w:line="256" w:lineRule="auto" w:before="5"/>
        <w:ind w:right="1130" w:firstLine="361"/>
        <w:jc w:val="left"/>
      </w:pPr>
      <w:r>
        <w:rPr>
          <w:rFonts w:ascii="宋体" w:hAnsi="宋体" w:cs="宋体" w:eastAsia="宋体" w:hint="default"/>
          <w:b/>
          <w:bCs/>
          <w:spacing w:val="-1"/>
        </w:rPr>
        <w:t>陈秀琴</w:t>
      </w:r>
      <w:r>
        <w:rPr>
          <w:spacing w:val="-1"/>
        </w:rPr>
        <w:t>，中国国籍，无境外居留权，女，生于</w:t>
      </w:r>
      <w:r>
        <w:rPr>
          <w:rFonts w:ascii="Times New Roman" w:hAnsi="Times New Roman" w:cs="Times New Roman" w:eastAsia="Times New Roman" w:hint="default"/>
          <w:spacing w:val="-1"/>
        </w:rPr>
        <w:t>1970</w:t>
      </w:r>
      <w:r>
        <w:rPr>
          <w:spacing w:val="-1"/>
        </w:rPr>
        <w:t>年</w:t>
      </w:r>
      <w:r>
        <w:rPr>
          <w:rFonts w:ascii="Times New Roman" w:hAnsi="Times New Roman" w:cs="Times New Roman" w:eastAsia="Times New Roman" w:hint="default"/>
          <w:spacing w:val="-1"/>
        </w:rPr>
        <w:t>10</w:t>
      </w:r>
      <w:r>
        <w:rPr>
          <w:spacing w:val="-1"/>
        </w:rPr>
        <w:t>月，中级会计师，英国威尔士大学</w:t>
      </w:r>
      <w:r>
        <w:rPr>
          <w:rFonts w:ascii="Times New Roman" w:hAnsi="Times New Roman" w:cs="Times New Roman" w:eastAsia="Times New Roman" w:hint="default"/>
          <w:spacing w:val="-1"/>
        </w:rPr>
        <w:t>MBA</w:t>
      </w:r>
      <w:r>
        <w:rPr>
          <w:spacing w:val="-1"/>
        </w:rPr>
        <w:t>。现任</w:t>
      </w:r>
      <w:r>
        <w:rPr/>
        <w:t> 公司副总经理、董事会秘书，任期为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5"/>
        <w:ind w:right="0" w:firstLine="360"/>
        <w:jc w:val="left"/>
      </w:pP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5</w:t>
      </w:r>
      <w:r>
        <w:rPr>
          <w:spacing w:val="-2"/>
        </w:rPr>
        <w:t>月加入天源迪科，先后任公司总帐会计、税务会计、成本会计、往来款会计、财务经理、审计</w:t>
      </w:r>
      <w:r>
        <w:rPr/>
        <w:t> 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月起任公司董事会秘书，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月起任公司副总经理。</w:t>
      </w:r>
    </w:p>
    <w:p>
      <w:pPr>
        <w:pStyle w:val="BodyText"/>
        <w:spacing w:line="256" w:lineRule="auto" w:before="5"/>
        <w:ind w:right="1130" w:firstLine="360"/>
        <w:jc w:val="left"/>
      </w:pPr>
      <w:r>
        <w:rPr>
          <w:rFonts w:ascii="宋体" w:hAnsi="宋体" w:cs="宋体" w:eastAsia="宋体" w:hint="default"/>
          <w:b/>
          <w:bCs/>
          <w:spacing w:val="-2"/>
        </w:rPr>
        <w:t>钱文胜，</w:t>
      </w:r>
      <w:r>
        <w:rPr>
          <w:spacing w:val="-2"/>
        </w:rPr>
        <w:t>中国国籍，无境外居留权，男，生于</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3</w:t>
      </w:r>
      <w:r>
        <w:rPr>
          <w:spacing w:val="-2"/>
        </w:rPr>
        <w:t>月，工商管理硕士。现任本公司财务总监，任期</w:t>
      </w:r>
      <w:r>
        <w:rPr/>
        <w:t> 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5"/>
        <w:ind w:right="1152" w:firstLine="360"/>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月加入天源迪科，先后任公司财务主管、财务部副经理、财务部经理。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月起任公司财 务总监。</w:t>
      </w:r>
      <w:r>
        <w:rPr>
          <w:rFonts w:ascii="Times New Roman" w:hAnsi="Times New Roman" w:cs="Times New Roman" w:eastAsia="Times New Roman" w:hint="default"/>
        </w:rPr>
        <w:t>s</w:t>
      </w:r>
    </w:p>
    <w:p>
      <w:pPr>
        <w:spacing w:before="71"/>
        <w:ind w:left="154" w:right="1972"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深圳市同洲电子股份有限公司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北京信邦安达信息科技股份有限公司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深圳市宝贝团信息技术有限公司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广州市易杰数码科技有限公司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中联资本置业基金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广州天源迪科信息技术有限公司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深圳市前海吉源供应链有限公司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深圳联杰会计师事务所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北京市中伦律师事务所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深圳市软件行业协会、中国软件行业协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执行副会长、 </w:t>
            </w:r>
            <w:r>
              <w:rPr>
                <w:rFonts w:ascii="宋体" w:hAnsi="宋体" w:cs="宋体" w:eastAsia="宋体" w:hint="default"/>
                <w:spacing w:val="-13"/>
                <w:sz w:val="18"/>
                <w:szCs w:val="18"/>
              </w:rPr>
              <w:t>秘书长、中国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软件行业协 会常务理事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9.3pt;height:23.4pt;mso-position-horizontal-relative:char;mso-position-vertical-relative:line" coordorigin="0,0" coordsize="1186,468">
                  <v:group style="position:absolute;left:0;top:0;width:1186;height:468" coordorigin="0,0" coordsize="1186,468">
                    <v:shape style="position:absolute;left:0;top:0;width:1186;height:468" coordorigin="0,0" coordsize="1186,468" path="m0,468l1186,468,1186,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深圳爱淘苗电子商务科技有限公司董事 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1972"/>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56" w:lineRule="auto" w:before="89"/>
        <w:ind w:right="1131"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26</w:t>
      </w:r>
      <w:r>
        <w:rPr>
          <w:spacing w:val="3"/>
        </w:rPr>
        <w:t>日召开的第四届董事会第十九次会议和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日的召开</w:t>
      </w:r>
      <w:r>
        <w:rPr>
          <w:rFonts w:ascii="Times New Roman" w:hAnsi="Times New Roman" w:cs="Times New Roman" w:eastAsia="Times New Roman" w:hint="default"/>
          <w:spacing w:val="3"/>
        </w:rPr>
        <w:t>2017</w:t>
      </w:r>
      <w:r>
        <w:rPr>
          <w:spacing w:val="3"/>
        </w:rPr>
        <w:t>年度股东大会审议通</w:t>
      </w:r>
      <w:r>
        <w:rPr/>
        <w:t> </w:t>
      </w:r>
      <w:r>
        <w:rPr>
          <w:spacing w:val="-1"/>
        </w:rPr>
        <w:t>过了《关于</w:t>
      </w:r>
      <w:r>
        <w:rPr>
          <w:rFonts w:ascii="Times New Roman" w:hAnsi="Times New Roman" w:cs="Times New Roman" w:eastAsia="Times New Roman" w:hint="default"/>
          <w:spacing w:val="-1"/>
        </w:rPr>
        <w:t>2018</w:t>
      </w:r>
      <w:r>
        <w:rPr>
          <w:spacing w:val="-1"/>
        </w:rPr>
        <w:t>年度董事、监事、高级管理人员薪酬的议案》，议案中对公司</w:t>
      </w:r>
      <w:r>
        <w:rPr>
          <w:rFonts w:ascii="Times New Roman" w:hAnsi="Times New Roman" w:cs="Times New Roman" w:eastAsia="Times New Roman" w:hint="default"/>
          <w:spacing w:val="-1"/>
        </w:rPr>
        <w:t>2018</w:t>
      </w:r>
      <w:r>
        <w:rPr>
          <w:spacing w:val="-1"/>
        </w:rPr>
        <w:t>年度董事、监事、高级</w:t>
      </w:r>
      <w:r>
        <w:rPr>
          <w:spacing w:val="-81"/>
        </w:rPr>
        <w:t> </w:t>
      </w:r>
      <w:r>
        <w:rPr>
          <w:spacing w:val="-81"/>
        </w:rPr>
      </w:r>
      <w:r>
        <w:rPr/>
        <w:t>管理人员的薪酬标准及考核办法进行了明确。</w:t>
      </w:r>
    </w:p>
    <w:p>
      <w:pPr>
        <w:pStyle w:val="BodyText"/>
        <w:spacing w:line="256" w:lineRule="auto" w:before="22"/>
        <w:ind w:left="574" w:right="0"/>
        <w:jc w:val="left"/>
      </w:pPr>
      <w:r>
        <w:rPr>
          <w:rFonts w:ascii="Times New Roman" w:hAnsi="Times New Roman" w:cs="Times New Roman" w:eastAsia="Times New Roman" w:hint="default"/>
        </w:rPr>
        <w:t>1</w:t>
      </w:r>
      <w:r>
        <w:rPr/>
        <w:t>、董事、监事 董事无津贴；兼职董事、监事的人员按其在公司所任行政职务领取薪酬；独立董事津贴为税前</w:t>
      </w:r>
      <w:r>
        <w:rPr>
          <w:rFonts w:ascii="Times New Roman" w:hAnsi="Times New Roman" w:cs="Times New Roman" w:eastAsia="Times New Roman" w:hint="default"/>
        </w:rPr>
        <w:t>8.40</w:t>
      </w:r>
      <w:r>
        <w:rPr/>
        <w:t>万</w:t>
      </w:r>
    </w:p>
    <w:p>
      <w:pPr>
        <w:pStyle w:val="BodyText"/>
        <w:spacing w:line="240" w:lineRule="auto" w:before="5"/>
        <w:ind w:right="1972"/>
        <w:jc w:val="left"/>
      </w:pPr>
      <w:r>
        <w:rPr/>
        <w:t>元</w:t>
      </w:r>
      <w:r>
        <w:rPr>
          <w:rFonts w:ascii="Times New Roman" w:hAnsi="Times New Roman" w:cs="Times New Roman" w:eastAsia="Times New Roman" w:hint="default"/>
        </w:rPr>
        <w:t>/</w:t>
      </w:r>
      <w:r>
        <w:rPr/>
        <w:t>年。</w:t>
      </w:r>
    </w:p>
    <w:p>
      <w:pPr>
        <w:pStyle w:val="BodyText"/>
        <w:spacing w:line="256" w:lineRule="auto" w:before="21"/>
        <w:ind w:left="574" w:right="1125"/>
        <w:jc w:val="left"/>
      </w:pPr>
      <w:r>
        <w:rPr>
          <w:rFonts w:ascii="Times New Roman" w:hAnsi="Times New Roman" w:cs="Times New Roman" w:eastAsia="Times New Roman" w:hint="default"/>
        </w:rPr>
        <w:t>2</w:t>
      </w:r>
      <w:r>
        <w:rPr/>
        <w:t>、高级管理人员 </w:t>
      </w:r>
      <w:r>
        <w:rPr>
          <w:spacing w:val="-2"/>
        </w:rPr>
        <w:t>高管薪酬实行年薪制，年薪分为基础年薪（</w:t>
      </w:r>
      <w:r>
        <w:rPr>
          <w:rFonts w:ascii="Times New Roman" w:hAnsi="Times New Roman" w:cs="Times New Roman" w:eastAsia="Times New Roman" w:hint="default"/>
          <w:spacing w:val="-2"/>
        </w:rPr>
        <w:t>60.00%</w:t>
      </w:r>
      <w:r>
        <w:rPr>
          <w:spacing w:val="-2"/>
        </w:rPr>
        <w:t>）、绩效奖金（</w:t>
      </w:r>
      <w:r>
        <w:rPr>
          <w:rFonts w:ascii="Times New Roman" w:hAnsi="Times New Roman" w:cs="Times New Roman" w:eastAsia="Times New Roman" w:hint="default"/>
          <w:spacing w:val="-2"/>
        </w:rPr>
        <w:t>40.00%</w:t>
      </w:r>
      <w:r>
        <w:rPr>
          <w:spacing w:val="-2"/>
        </w:rPr>
        <w:t>）两部分：年薪</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基础年薪</w:t>
      </w:r>
    </w:p>
    <w:p>
      <w:pPr>
        <w:pStyle w:val="BodyText"/>
        <w:spacing w:line="256" w:lineRule="auto" w:before="5"/>
        <w:ind w:right="111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绩效奖金。其中，基础年薪按月固定发放，绩效奖金参照考核情况按年度发放。（不含社会保险、过节 费等福利，其按照相关监管部门规定及公司相应制度发放或缴纳。）</w:t>
      </w:r>
    </w:p>
    <w:p>
      <w:pPr>
        <w:pStyle w:val="BodyText"/>
        <w:spacing w:line="264" w:lineRule="auto" w:before="22"/>
        <w:ind w:right="1131" w:firstLine="420"/>
        <w:jc w:val="both"/>
      </w:pPr>
      <w:r>
        <w:rPr>
          <w:spacing w:val="-1"/>
        </w:rPr>
        <w:t>公司总经理、副总经理按公司年度考核目标，参照绩效奖金基数确定其最终年度绩效奖金，并提交公</w:t>
      </w:r>
      <w:r>
        <w:rPr/>
        <w:t> </w:t>
      </w:r>
      <w:r>
        <w:rPr>
          <w:spacing w:val="-1"/>
        </w:rPr>
        <w:t>司薪酬与考核委员会。公司其他高管按照各自职能，以其</w:t>
      </w:r>
      <w:r>
        <w:rPr>
          <w:rFonts w:ascii="Times New Roman" w:hAnsi="Times New Roman" w:cs="Times New Roman" w:eastAsia="Times New Roman" w:hint="default"/>
          <w:spacing w:val="-1"/>
        </w:rPr>
        <w:t>2018</w:t>
      </w:r>
      <w:r>
        <w:rPr>
          <w:spacing w:val="-1"/>
        </w:rPr>
        <w:t>年行政职务、考核分数确定最终年度绩效奖</w:t>
      </w:r>
      <w:r>
        <w:rPr>
          <w:spacing w:val="-84"/>
        </w:rPr>
        <w:t> </w:t>
      </w:r>
      <w:r>
        <w:rPr>
          <w:spacing w:val="-84"/>
        </w:rPr>
      </w:r>
      <w:r>
        <w:rPr/>
        <w:t>金，并提交公司薪酬与考核委员会。</w:t>
      </w:r>
    </w:p>
    <w:p>
      <w:pPr>
        <w:pStyle w:val="BodyText"/>
        <w:spacing w:line="256" w:lineRule="auto" w:before="16"/>
        <w:ind w:right="1130" w:firstLine="420"/>
        <w:jc w:val="both"/>
        <w:rPr>
          <w:rFonts w:ascii="Times New Roman" w:hAnsi="Times New Roman" w:cs="Times New Roman" w:eastAsia="Times New Roman" w:hint="default"/>
        </w:rPr>
      </w:pPr>
      <w:r>
        <w:rPr>
          <w:spacing w:val="-1"/>
        </w:rPr>
        <w:t>独立董事津贴根据规定按照季度支付；高级管理人员基础年薪已按月支付，</w:t>
      </w:r>
      <w:r>
        <w:rPr>
          <w:rFonts w:ascii="Times New Roman" w:hAnsi="Times New Roman" w:cs="Times New Roman" w:eastAsia="Times New Roman" w:hint="default"/>
          <w:spacing w:val="-1"/>
        </w:rPr>
        <w:t>2018</w:t>
      </w:r>
      <w:r>
        <w:rPr>
          <w:spacing w:val="-1"/>
        </w:rPr>
        <w:t>年度绩效奖金已根据</w:t>
      </w:r>
      <w:r>
        <w:rPr/>
        <w:t> 公司考核情况发放。</w:t>
      </w:r>
      <w:r>
        <w:rPr>
          <w:rFonts w:ascii="Times New Roman" w:hAnsi="Times New Roman" w:cs="Times New Roman" w:eastAsia="Times New Roman" w:hint="default"/>
        </w:rPr>
        <w:t>s</w:t>
      </w:r>
    </w:p>
    <w:p>
      <w:pPr>
        <w:spacing w:before="71"/>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苗逢源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1,419.08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1"/>
          <w:pgSz w:w="11910" w:h="16840"/>
          <w:pgMar w:footer="979" w:header="747"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26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4"/>
                <w:sz w:val="18"/>
              </w:rPr>
              <w:t>11.11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4"/>
                <w:sz w:val="18"/>
              </w:rPr>
              <w:t>11.11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4"/>
                <w:sz w:val="18"/>
              </w:rPr>
              <w:t>11.11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group style="position:absolute;margin-left:143.720001pt;margin-top:92.579987pt;width:43pt;height:15.6pt;mso-position-horizontal-relative:page;mso-position-vertical-relative:page;z-index:-1440400" coordorigin="2874,1852" coordsize="860,312">
            <v:shape style="position:absolute;left:2874;top:1852;width:860;height:312" coordorigin="2874,1852" coordsize="860,312" path="m2874,2164l3734,2164,3734,1852,2874,1852,2874,216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4"/>
                <w:sz w:val="18"/>
              </w:rPr>
              <w:t>11.11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4"/>
                <w:sz w:val="18"/>
              </w:rPr>
              <w:t>11.11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4"/>
                <w:sz w:val="18"/>
              </w:rPr>
              <w:t>11.11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310,800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02" w:lineRule="auto" w:before="51"/>
              <w:ind w:left="15" w:right="24"/>
              <w:jc w:val="left"/>
              <w:rPr>
                <w:rFonts w:ascii="宋体" w:hAnsi="宋体" w:cs="宋体" w:eastAsia="宋体" w:hint="default"/>
                <w:sz w:val="18"/>
                <w:szCs w:val="18"/>
              </w:rPr>
            </w:pPr>
            <w:r>
              <w:rPr>
                <w:rFonts w:ascii="宋体" w:hAnsi="宋体" w:cs="宋体" w:eastAsia="宋体" w:hint="default"/>
                <w:sz w:val="18"/>
                <w:szCs w:val="18"/>
              </w:rPr>
              <w:t>公司高级管理人员林容、管四新、代峰、罗赞、陈秀琴、钱文胜所获限制性股票，于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日解锁授 予股数的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尚未解锁。</w:t>
            </w:r>
          </w:p>
        </w:tc>
      </w:tr>
    </w:tbl>
    <w:p>
      <w:pPr>
        <w:spacing w:line="240" w:lineRule="auto" w:before="2"/>
        <w:rPr>
          <w:rFonts w:ascii="宋体" w:hAnsi="宋体" w:cs="宋体" w:eastAsia="宋体" w:hint="default"/>
          <w:sz w:val="18"/>
          <w:szCs w:val="18"/>
        </w:rPr>
      </w:pPr>
    </w:p>
    <w:p>
      <w:pPr>
        <w:pStyle w:val="Heading3"/>
        <w:spacing w:line="240" w:lineRule="auto" w:before="26"/>
        <w:ind w:right="1972"/>
        <w:jc w:val="left"/>
        <w:rPr>
          <w:b w:val="0"/>
          <w:bCs w:val="0"/>
        </w:rPr>
      </w:pPr>
      <w:bookmarkStart w:name="五、公司员工情况" w:id="125"/>
      <w:bookmarkEnd w:id="125"/>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4,925</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r>
        <w:trPr>
          <w:trHeight w:val="401"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客服人员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4,925</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4,925</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79" w:header="747" w:top="1060" w:bottom="1160" w:left="980" w:right="0"/>
          <w:pgNumType w:start="101"/>
        </w:sectPr>
      </w:pPr>
    </w:p>
    <w:p>
      <w:pPr>
        <w:spacing w:line="240" w:lineRule="auto" w:before="10"/>
        <w:rPr>
          <w:rFonts w:ascii="宋体" w:hAnsi="宋体" w:cs="宋体" w:eastAsia="宋体" w:hint="default"/>
          <w:b/>
          <w:bCs/>
          <w:sz w:val="24"/>
          <w:szCs w:val="24"/>
        </w:rPr>
      </w:pPr>
    </w:p>
    <w:p>
      <w:pPr>
        <w:pStyle w:val="Heading5"/>
        <w:spacing w:line="240" w:lineRule="auto" w:before="35"/>
        <w:ind w:right="1972"/>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为规范公司员工薪酬评定及其预算、支付等管理工作，建立公司与员工合理分享公司发展带来的利益的机制，促进公司</w:t>
      </w:r>
      <w:r>
        <w:rPr>
          <w:rFonts w:ascii="宋体" w:hAnsi="宋体" w:cs="宋体" w:eastAsia="宋体" w:hint="default"/>
          <w:sz w:val="18"/>
          <w:szCs w:val="18"/>
        </w:rPr>
        <w:t> 实现发展目标，公司制定了相关的薪酬制度。</w:t>
      </w:r>
    </w:p>
    <w:p>
      <w:pPr>
        <w:spacing w:before="19"/>
        <w:ind w:left="514" w:right="1972" w:firstLine="0"/>
        <w:jc w:val="left"/>
        <w:rPr>
          <w:rFonts w:ascii="宋体" w:hAnsi="宋体" w:cs="宋体" w:eastAsia="宋体" w:hint="default"/>
          <w:sz w:val="18"/>
          <w:szCs w:val="18"/>
        </w:rPr>
      </w:pPr>
      <w:r>
        <w:rPr>
          <w:rFonts w:ascii="宋体" w:hAnsi="宋体" w:cs="宋体" w:eastAsia="宋体" w:hint="default"/>
          <w:sz w:val="18"/>
          <w:szCs w:val="18"/>
        </w:rPr>
        <w:t>公司员工的薪酬结构主要包括工资、奖金、福利三个方面：</w:t>
      </w:r>
    </w:p>
    <w:p>
      <w:pPr>
        <w:spacing w:line="300" w:lineRule="auto" w:before="76"/>
        <w:ind w:left="514" w:right="33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 按构成内容和计发依据不同又分为正常工作时间工资、绩效工资和浮动工资等若干部分。</w:t>
      </w:r>
    </w:p>
    <w:p>
      <w:pPr>
        <w:spacing w:line="300" w:lineRule="auto" w:before="31"/>
        <w:ind w:left="516" w:right="1118" w:hanging="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）奖金 </w:t>
      </w:r>
      <w:r>
        <w:rPr>
          <w:rFonts w:ascii="宋体" w:hAnsi="宋体" w:cs="宋体" w:eastAsia="宋体" w:hint="default"/>
          <w:spacing w:val="-2"/>
          <w:sz w:val="18"/>
          <w:szCs w:val="18"/>
        </w:rPr>
        <w:t>公司会根据公司业绩、部门或团队的贡献、结合公司激励考核制度、员工当年的考核结果、实际出勤率、岗位贡献等因</w:t>
      </w:r>
    </w:p>
    <w:p>
      <w:pPr>
        <w:spacing w:line="316" w:lineRule="auto" w:before="31"/>
        <w:ind w:left="514" w:right="0" w:hanging="360"/>
        <w:jc w:val="left"/>
        <w:rPr>
          <w:rFonts w:ascii="宋体" w:hAnsi="宋体" w:cs="宋体" w:eastAsia="宋体" w:hint="default"/>
          <w:sz w:val="18"/>
          <w:szCs w:val="18"/>
        </w:rPr>
      </w:pPr>
      <w:r>
        <w:rPr>
          <w:rFonts w:ascii="宋体" w:hAnsi="宋体" w:cs="宋体" w:eastAsia="宋体" w:hint="default"/>
          <w:sz w:val="18"/>
          <w:szCs w:val="18"/>
        </w:rPr>
        <w:t>素给在岗的部分优秀员工发放一定额度的年度奖金</w:t>
      </w:r>
      <w:r>
        <w:rPr>
          <w:rFonts w:ascii="宋体" w:hAnsi="宋体" w:cs="宋体" w:eastAsia="宋体" w:hint="default"/>
          <w:spacing w:val="-16"/>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奖金不属于工资的一部分，属于奖励性质，公司有权决定向哪些人员发放奖金、不向哪些人员发放奖金，对此，所有在</w:t>
      </w:r>
    </w:p>
    <w:p>
      <w:pPr>
        <w:spacing w:line="316" w:lineRule="auto" w:before="19"/>
        <w:ind w:left="514" w:right="3012" w:hanging="360"/>
        <w:jc w:val="left"/>
        <w:rPr>
          <w:rFonts w:ascii="宋体" w:hAnsi="宋体" w:cs="宋体" w:eastAsia="宋体" w:hint="default"/>
          <w:sz w:val="18"/>
          <w:szCs w:val="18"/>
        </w:rPr>
      </w:pPr>
      <w:r>
        <w:rPr>
          <w:rFonts w:ascii="宋体" w:hAnsi="宋体" w:cs="宋体" w:eastAsia="宋体" w:hint="default"/>
          <w:sz w:val="18"/>
          <w:szCs w:val="18"/>
        </w:rPr>
        <w:t>岗人员无权提出异议； 任何奖金发放日期前提出离职或已经离职的人，以及严重违反公司制度的员工，一概不发放。</w:t>
      </w:r>
    </w:p>
    <w:p>
      <w:pPr>
        <w:spacing w:line="309" w:lineRule="auto" w:before="19"/>
        <w:ind w:left="514" w:right="64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）福利 公司设置的福利包括法定福利和其他福利两部分。 法定福利有：社会保险和住房公积金。</w:t>
      </w:r>
    </w:p>
    <w:p>
      <w:pPr>
        <w:spacing w:line="316" w:lineRule="auto" w:before="24"/>
        <w:ind w:left="514" w:right="2690" w:firstLine="0"/>
        <w:jc w:val="left"/>
        <w:rPr>
          <w:rFonts w:ascii="宋体" w:hAnsi="宋体" w:cs="宋体" w:eastAsia="宋体" w:hint="default"/>
          <w:sz w:val="18"/>
          <w:szCs w:val="18"/>
        </w:rPr>
      </w:pPr>
      <w:r>
        <w:rPr>
          <w:rFonts w:ascii="宋体" w:hAnsi="宋体" w:cs="宋体" w:eastAsia="宋体" w:hint="default"/>
          <w:sz w:val="18"/>
          <w:szCs w:val="18"/>
        </w:rPr>
        <w:t>非法定福利有： 过节费、体检</w:t>
      </w:r>
      <w:r>
        <w:rPr>
          <w:rFonts w:ascii="宋体" w:hAnsi="宋体" w:cs="宋体" w:eastAsia="宋体" w:hint="default"/>
          <w:spacing w:val="-38"/>
          <w:sz w:val="18"/>
          <w:szCs w:val="18"/>
        </w:rPr>
        <w:t> </w:t>
      </w:r>
      <w:r>
        <w:rPr>
          <w:rFonts w:ascii="宋体" w:hAnsi="宋体" w:cs="宋体" w:eastAsia="宋体" w:hint="default"/>
          <w:sz w:val="18"/>
          <w:szCs w:val="18"/>
        </w:rPr>
        <w:t>、社会保险、商业保险、团队建设费、员工关怀礼金和生日关怀。</w:t>
      </w:r>
      <w:r>
        <w:rPr>
          <w:rFonts w:ascii="宋体" w:hAnsi="宋体" w:cs="宋体" w:eastAsia="宋体" w:hint="default"/>
          <w:sz w:val="18"/>
          <w:szCs w:val="18"/>
        </w:rPr>
        <w:t> 公司的薪酬原则为：</w:t>
      </w:r>
    </w:p>
    <w:p>
      <w:pPr>
        <w:spacing w:before="19"/>
        <w:ind w:left="514" w:right="19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）按劳分配为主的原则；</w:t>
      </w:r>
    </w:p>
    <w:p>
      <w:pPr>
        <w:spacing w:before="63"/>
        <w:ind w:left="514" w:right="19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）效率优先兼顾公平的原则；</w:t>
      </w:r>
    </w:p>
    <w:p>
      <w:pPr>
        <w:spacing w:before="63"/>
        <w:ind w:left="514" w:right="19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）成本在部门预算范围内；</w:t>
      </w:r>
    </w:p>
    <w:p>
      <w:pPr>
        <w:spacing w:before="63"/>
        <w:ind w:left="514" w:right="19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）员工薪资范围与员工职级职系相匹配；</w:t>
      </w:r>
    </w:p>
    <w:p>
      <w:pPr>
        <w:spacing w:line="309" w:lineRule="auto" w:before="63"/>
        <w:ind w:left="514" w:right="35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）调薪幅度由绩效考核等级决定。 公司定期可申请调薪，薪酬调整作业时间：每季度考核完成后，即每季度首月中下旬。 调薪流程：申请</w:t>
      </w:r>
      <w:r>
        <w:rPr>
          <w:rFonts w:ascii="Times New Roman" w:hAnsi="Times New Roman" w:cs="Times New Roman" w:eastAsia="Times New Roman" w:hint="default"/>
          <w:sz w:val="18"/>
          <w:szCs w:val="18"/>
        </w:rPr>
        <w:t>----</w:t>
      </w:r>
      <w:r>
        <w:rPr>
          <w:rFonts w:ascii="宋体" w:hAnsi="宋体" w:cs="宋体" w:eastAsia="宋体" w:hint="default"/>
          <w:sz w:val="18"/>
          <w:szCs w:val="18"/>
        </w:rPr>
        <w:t>部门</w:t>
      </w:r>
      <w:r>
        <w:rPr>
          <w:rFonts w:ascii="Times New Roman" w:hAnsi="Times New Roman" w:cs="Times New Roman" w:eastAsia="Times New Roman" w:hint="default"/>
          <w:sz w:val="18"/>
          <w:szCs w:val="18"/>
        </w:rPr>
        <w:t>/</w:t>
      </w:r>
      <w:r>
        <w:rPr>
          <w:rFonts w:ascii="宋体" w:hAnsi="宋体" w:cs="宋体" w:eastAsia="宋体" w:hint="default"/>
          <w:sz w:val="18"/>
          <w:szCs w:val="18"/>
        </w:rPr>
        <w:t>区域</w:t>
      </w:r>
      <w:r>
        <w:rPr>
          <w:rFonts w:ascii="Times New Roman" w:hAnsi="Times New Roman" w:cs="Times New Roman" w:eastAsia="Times New Roman" w:hint="default"/>
          <w:sz w:val="18"/>
          <w:szCs w:val="18"/>
        </w:rPr>
        <w:t>/HR</w:t>
      </w:r>
      <w:r>
        <w:rPr>
          <w:rFonts w:ascii="宋体" w:hAnsi="宋体" w:cs="宋体" w:eastAsia="宋体" w:hint="default"/>
          <w:sz w:val="18"/>
          <w:szCs w:val="18"/>
        </w:rPr>
        <w:t>审核</w:t>
      </w:r>
      <w:r>
        <w:rPr>
          <w:rFonts w:ascii="Times New Roman" w:hAnsi="Times New Roman" w:cs="Times New Roman" w:eastAsia="Times New Roman" w:hint="default"/>
          <w:sz w:val="18"/>
          <w:szCs w:val="18"/>
        </w:rPr>
        <w:t>----</w:t>
      </w:r>
      <w:r>
        <w:rPr>
          <w:rFonts w:ascii="宋体" w:hAnsi="宋体" w:cs="宋体" w:eastAsia="宋体" w:hint="default"/>
          <w:sz w:val="18"/>
          <w:szCs w:val="18"/>
        </w:rPr>
        <w:t>事业部总经理审批</w:t>
      </w:r>
      <w:r>
        <w:rPr>
          <w:rFonts w:ascii="Times New Roman" w:hAnsi="Times New Roman" w:cs="Times New Roman" w:eastAsia="Times New Roman" w:hint="default"/>
          <w:sz w:val="18"/>
          <w:szCs w:val="18"/>
        </w:rPr>
        <w:t>----</w:t>
      </w:r>
      <w:r>
        <w:rPr>
          <w:rFonts w:ascii="宋体" w:hAnsi="宋体" w:cs="宋体" w:eastAsia="宋体" w:hint="default"/>
          <w:sz w:val="18"/>
          <w:szCs w:val="18"/>
        </w:rPr>
        <w:t>总裁批准</w:t>
      </w:r>
      <w:r>
        <w:rPr>
          <w:rFonts w:ascii="Times New Roman" w:hAnsi="Times New Roman" w:cs="Times New Roman" w:eastAsia="Times New Roman" w:hint="default"/>
          <w:sz w:val="18"/>
          <w:szCs w:val="18"/>
        </w:rPr>
        <w:t>---</w:t>
      </w:r>
      <w:r>
        <w:rPr>
          <w:rFonts w:ascii="宋体" w:hAnsi="宋体" w:cs="宋体" w:eastAsia="宋体" w:hint="default"/>
          <w:sz w:val="18"/>
          <w:szCs w:val="18"/>
        </w:rPr>
        <w:t>财务作业。</w:t>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0" w:firstLine="336"/>
        <w:jc w:val="left"/>
      </w:pPr>
      <w:r>
        <w:rPr>
          <w:rFonts w:ascii="Times New Roman" w:hAnsi="Times New Roman" w:cs="Times New Roman" w:eastAsia="Times New Roman" w:hint="default"/>
        </w:rPr>
        <w:t>2018</w:t>
      </w:r>
      <w:r>
        <w:rPr/>
        <w:t>年，稳步开展能级认证、能力专项训练、培训过程管理、讲师队伍管理、培训平台维护，为公司 员工提供良好的培训支持。</w:t>
      </w:r>
    </w:p>
    <w:p>
      <w:pPr>
        <w:pStyle w:val="BodyText"/>
        <w:spacing w:line="256" w:lineRule="auto" w:before="22"/>
        <w:ind w:right="0" w:firstLine="200"/>
        <w:jc w:val="left"/>
      </w:pPr>
      <w:r>
        <w:rPr>
          <w:rFonts w:ascii="Times New Roman" w:hAnsi="Times New Roman" w:cs="Times New Roman" w:eastAsia="Times New Roman" w:hint="default"/>
        </w:rPr>
        <w:t>1</w:t>
      </w:r>
      <w:r>
        <w:rPr/>
        <w:t>、公司级内训方面，社招新人训</w:t>
      </w:r>
      <w:r>
        <w:rPr>
          <w:rFonts w:ascii="Times New Roman" w:hAnsi="Times New Roman" w:cs="Times New Roman" w:eastAsia="Times New Roman" w:hint="default"/>
        </w:rPr>
        <w:t>8</w:t>
      </w:r>
      <w:r>
        <w:rPr/>
        <w:t>场，累计培训人数</w:t>
      </w:r>
      <w:r>
        <w:rPr>
          <w:rFonts w:ascii="Times New Roman" w:hAnsi="Times New Roman" w:cs="Times New Roman" w:eastAsia="Times New Roman" w:hint="default"/>
        </w:rPr>
        <w:t>942</w:t>
      </w:r>
      <w:r>
        <w:rPr/>
        <w:t>人。使新入职员工及时适应工作环境、提高对 公司的认同感。</w:t>
      </w:r>
    </w:p>
    <w:p>
      <w:pPr>
        <w:pStyle w:val="BodyText"/>
        <w:spacing w:line="256" w:lineRule="auto" w:before="22"/>
        <w:ind w:right="1118" w:firstLine="200"/>
        <w:jc w:val="left"/>
      </w:pPr>
      <w:r>
        <w:rPr>
          <w:rFonts w:ascii="Times New Roman" w:hAnsi="Times New Roman" w:cs="Times New Roman" w:eastAsia="Times New Roman" w:hint="default"/>
          <w:spacing w:val="-1"/>
        </w:rPr>
        <w:t>2</w:t>
      </w:r>
      <w:r>
        <w:rPr>
          <w:spacing w:val="-1"/>
        </w:rPr>
        <w:t>、公司外训方面，整理发布外训课程信息</w:t>
      </w:r>
      <w:r>
        <w:rPr>
          <w:rFonts w:ascii="Times New Roman" w:hAnsi="Times New Roman" w:cs="Times New Roman" w:eastAsia="Times New Roman" w:hint="default"/>
          <w:spacing w:val="-1"/>
        </w:rPr>
        <w:t>351</w:t>
      </w:r>
      <w:r>
        <w:rPr>
          <w:spacing w:val="-1"/>
        </w:rPr>
        <w:t>条，为各部门外派培训提供了丰富的资源，最终组织实施</w:t>
      </w:r>
      <w:r>
        <w:rPr/>
        <w:t> 外训</w:t>
      </w:r>
      <w:r>
        <w:rPr>
          <w:rFonts w:ascii="Times New Roman" w:hAnsi="Times New Roman" w:cs="Times New Roman" w:eastAsia="Times New Roman" w:hint="default"/>
        </w:rPr>
        <w:t>38</w:t>
      </w:r>
      <w:r>
        <w:rPr/>
        <w:t>次。</w:t>
      </w:r>
    </w:p>
    <w:p>
      <w:pPr>
        <w:pStyle w:val="BodyText"/>
        <w:spacing w:line="256" w:lineRule="auto" w:before="5"/>
        <w:ind w:right="0" w:firstLine="200"/>
        <w:jc w:val="left"/>
      </w:pPr>
      <w:r>
        <w:rPr>
          <w:rFonts w:ascii="Times New Roman" w:hAnsi="Times New Roman" w:cs="Times New Roman" w:eastAsia="Times New Roman" w:hint="default"/>
          <w:spacing w:val="-2"/>
        </w:rPr>
        <w:t>3</w:t>
      </w:r>
      <w:r>
        <w:rPr>
          <w:spacing w:val="-2"/>
        </w:rPr>
        <w:t>、培训宣导方面，制作发布《知识达人》总共</w:t>
      </w:r>
      <w:r>
        <w:rPr>
          <w:rFonts w:ascii="Times New Roman" w:hAnsi="Times New Roman" w:cs="Times New Roman" w:eastAsia="Times New Roman" w:hint="default"/>
          <w:spacing w:val="-2"/>
        </w:rPr>
        <w:t>35</w:t>
      </w:r>
      <w:r>
        <w:rPr>
          <w:spacing w:val="-2"/>
        </w:rPr>
        <w:t>期，涵盖系统思维、学习创新、高效执行、</w:t>
      </w:r>
      <w:r>
        <w:rPr>
          <w:rFonts w:ascii="Times New Roman" w:hAnsi="Times New Roman" w:cs="Times New Roman" w:eastAsia="Times New Roman" w:hint="default"/>
          <w:spacing w:val="-2"/>
        </w:rPr>
        <w:t>PPT</w:t>
      </w:r>
      <w:r>
        <w:rPr>
          <w:spacing w:val="-2"/>
        </w:rPr>
        <w:t>制作技</w:t>
      </w:r>
      <w:r>
        <w:rPr/>
        <w:t> 巧四大主题。</w:t>
      </w:r>
    </w:p>
    <w:p>
      <w:pPr>
        <w:pStyle w:val="BodyText"/>
        <w:spacing w:line="256" w:lineRule="auto" w:before="22"/>
        <w:ind w:right="1027" w:firstLine="200"/>
        <w:jc w:val="left"/>
      </w:pPr>
      <w:r>
        <w:rPr>
          <w:rFonts w:ascii="Times New Roman" w:hAnsi="Times New Roman" w:cs="Times New Roman" w:eastAsia="Times New Roman" w:hint="default"/>
        </w:rPr>
        <w:t>4</w:t>
      </w:r>
      <w:r>
        <w:rPr/>
        <w:t>、培训平台维护：通过日常工作记录</w:t>
      </w:r>
      <w:r>
        <w:rPr>
          <w:rFonts w:ascii="Times New Roman" w:hAnsi="Times New Roman" w:cs="Times New Roman" w:eastAsia="Times New Roman" w:hint="default"/>
        </w:rPr>
        <w:t>E-learning</w:t>
      </w:r>
      <w:r>
        <w:rPr/>
        <w:t>平台运行中的</w:t>
      </w:r>
      <w:r>
        <w:rPr>
          <w:rFonts w:ascii="Times New Roman" w:hAnsi="Times New Roman" w:cs="Times New Roman" w:eastAsia="Times New Roman" w:hint="default"/>
        </w:rPr>
        <w:t>bug</w:t>
      </w:r>
      <w:r>
        <w:rPr/>
        <w:t>问题，实时交付开发，解决使用漏洞， 以不断提升</w:t>
      </w:r>
      <w:r>
        <w:rPr>
          <w:rFonts w:ascii="Times New Roman" w:hAnsi="Times New Roman" w:cs="Times New Roman" w:eastAsia="Times New Roman" w:hint="default"/>
        </w:rPr>
        <w:t>E-learning</w:t>
      </w:r>
      <w:r>
        <w:rPr/>
        <w:t>的功能。通过</w:t>
      </w:r>
      <w:r>
        <w:rPr>
          <w:rFonts w:ascii="Times New Roman" w:hAnsi="Times New Roman" w:cs="Times New Roman" w:eastAsia="Times New Roman" w:hint="default"/>
        </w:rPr>
        <w:t>E-learning</w:t>
      </w:r>
      <w:r>
        <w:rPr/>
        <w:t>不断发布最新学习资源。</w:t>
      </w:r>
    </w:p>
    <w:p>
      <w:pPr>
        <w:pStyle w:val="BodyText"/>
        <w:spacing w:line="256" w:lineRule="auto" w:before="5"/>
        <w:ind w:right="0" w:firstLine="200"/>
        <w:jc w:val="left"/>
      </w:pPr>
      <w:r>
        <w:rPr>
          <w:rFonts w:ascii="Times New Roman" w:hAnsi="Times New Roman" w:cs="Times New Roman" w:eastAsia="Times New Roman" w:hint="default"/>
        </w:rPr>
        <w:t>5</w:t>
      </w:r>
      <w:r>
        <w:rPr/>
        <w:t>、能级认证：</w:t>
      </w:r>
      <w:r>
        <w:rPr>
          <w:rFonts w:ascii="Times New Roman" w:hAnsi="Times New Roman" w:cs="Times New Roman" w:eastAsia="Times New Roman" w:hint="default"/>
        </w:rPr>
        <w:t>2018</w:t>
      </w:r>
      <w:r>
        <w:rPr/>
        <w:t>年能级认证体系规范化、认证运营常态化。通过</w:t>
      </w:r>
      <w:r>
        <w:rPr>
          <w:rFonts w:ascii="Times New Roman" w:hAnsi="Times New Roman" w:cs="Times New Roman" w:eastAsia="Times New Roman" w:hint="default"/>
        </w:rPr>
        <w:t>IDP</w:t>
      </w:r>
      <w:r>
        <w:rPr/>
        <w:t>（个人发展计划）工具的引入， 帮助员工制定能力提升计划，实现组织高绩效。</w:t>
      </w:r>
      <w:r>
        <w:rPr>
          <w:rFonts w:ascii="Times New Roman" w:hAnsi="Times New Roman" w:cs="Times New Roman" w:eastAsia="Times New Roman" w:hint="default"/>
        </w:rPr>
        <w:t>2018</w:t>
      </w:r>
      <w:r>
        <w:rPr/>
        <w:t>年公司申请认证人数达</w:t>
      </w:r>
      <w:r>
        <w:rPr>
          <w:rFonts w:ascii="Times New Roman" w:hAnsi="Times New Roman" w:cs="Times New Roman" w:eastAsia="Times New Roman" w:hint="default"/>
        </w:rPr>
        <w:t>160</w:t>
      </w:r>
      <w:r>
        <w:rPr/>
        <w:t>人，通过人数为</w:t>
      </w:r>
      <w:r>
        <w:rPr>
          <w:rFonts w:ascii="Times New Roman" w:hAnsi="Times New Roman" w:cs="Times New Roman" w:eastAsia="Times New Roman" w:hint="default"/>
        </w:rPr>
        <w:t>153</w:t>
      </w:r>
      <w:r>
        <w:rPr/>
        <w:t>人，通 过率是</w:t>
      </w:r>
      <w:r>
        <w:rPr>
          <w:rFonts w:ascii="Times New Roman" w:hAnsi="Times New Roman" w:cs="Times New Roman" w:eastAsia="Times New Roman" w:hint="default"/>
        </w:rPr>
        <w:t>95.6%</w:t>
      </w:r>
      <w:r>
        <w:rPr/>
        <w:t>，为员工提供了挖掘能力短板，提出改进计划的良好平台。</w:t>
      </w:r>
    </w:p>
    <w:p>
      <w:pPr>
        <w:pStyle w:val="BodyText"/>
        <w:spacing w:line="256" w:lineRule="auto" w:before="5"/>
        <w:ind w:right="0" w:firstLine="200"/>
        <w:jc w:val="left"/>
      </w:pPr>
      <w:r>
        <w:rPr>
          <w:rFonts w:ascii="Times New Roman" w:hAnsi="Times New Roman" w:cs="Times New Roman" w:eastAsia="Times New Roman" w:hint="default"/>
        </w:rPr>
        <w:t>6</w:t>
      </w:r>
      <w:r>
        <w:rPr/>
        <w:t>、能力专项训练：针对组织能力短板，开展能力专项训练，提升人才专业能力。</w:t>
      </w:r>
      <w:r>
        <w:rPr>
          <w:rFonts w:ascii="Times New Roman" w:hAnsi="Times New Roman" w:cs="Times New Roman" w:eastAsia="Times New Roman" w:hint="default"/>
        </w:rPr>
        <w:t>2018</w:t>
      </w:r>
      <w:r>
        <w:rPr/>
        <w:t>年，专项训练主 </w:t>
      </w:r>
      <w:r>
        <w:rPr>
          <w:spacing w:val="-1"/>
        </w:rPr>
        <w:t>要覆盖公司关键岗位核心人员。具体课程包括：《营销实战演练》、《商务制度与流程》、《项目管理实</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972"/>
        <w:jc w:val="left"/>
      </w:pPr>
      <w:r>
        <w:rPr/>
        <w:t>战训练》、《</w:t>
      </w:r>
      <w:r>
        <w:rPr>
          <w:rFonts w:ascii="Times New Roman" w:hAnsi="Times New Roman" w:cs="Times New Roman" w:eastAsia="Times New Roman" w:hint="default"/>
        </w:rPr>
        <w:t>CMMI</w:t>
      </w:r>
      <w:r>
        <w:rPr/>
        <w:t>体系介绍》及</w:t>
      </w:r>
      <w:r>
        <w:rPr>
          <w:rFonts w:ascii="Times New Roman" w:hAnsi="Times New Roman" w:cs="Times New Roman" w:eastAsia="Times New Roman" w:hint="default"/>
        </w:rPr>
        <w:t>6</w:t>
      </w:r>
      <w:r>
        <w:rPr/>
        <w:t>期技术沙龙，此系列课程极大提升了公司专业能力。</w:t>
      </w:r>
    </w:p>
    <w:p>
      <w:pPr>
        <w:spacing w:line="240" w:lineRule="auto" w:before="8"/>
        <w:rPr>
          <w:rFonts w:ascii="宋体" w:hAnsi="宋体" w:cs="宋体" w:eastAsia="宋体" w:hint="default"/>
          <w:sz w:val="24"/>
          <w:szCs w:val="24"/>
        </w:rPr>
      </w:pPr>
    </w:p>
    <w:p>
      <w:pPr>
        <w:pStyle w:val="Heading5"/>
        <w:spacing w:line="240" w:lineRule="auto"/>
        <w:ind w:right="1972"/>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九节 公司治理" w:id="130"/>
      <w:bookmarkEnd w:id="130"/>
      <w:r>
        <w:rPr>
          <w:b w:val="0"/>
          <w:bCs w:val="0"/>
        </w:rPr>
      </w:r>
      <w:bookmarkStart w:name="_bookmark7"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972"/>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3" w:firstLine="360"/>
        <w:jc w:val="both"/>
      </w:pPr>
      <w:r>
        <w:rPr/>
        <w:t>报告期内，公司严格按照《公司法》、《证券法》、《深圳证券交易所创业板股票上市规则》、《深 </w:t>
      </w:r>
      <w:r>
        <w:rPr>
          <w:spacing w:val="-1"/>
        </w:rPr>
        <w:t>圳证券交易所创业板上市公司规范运作指引》及《上市公司治理准则》及中国证监会有关法律、法规和公</w:t>
      </w:r>
      <w:r>
        <w:rPr>
          <w:spacing w:val="-86"/>
        </w:rPr>
        <w:t> </w:t>
      </w:r>
      <w:r>
        <w:rPr>
          <w:spacing w:val="-86"/>
        </w:rPr>
      </w:r>
      <w:r>
        <w:rPr/>
        <w:t>司规章的要求，继续完善公司的法人治理结构，健全内部管理、规范公司运作。</w:t>
      </w:r>
    </w:p>
    <w:p>
      <w:pPr>
        <w:pStyle w:val="BodyText"/>
        <w:spacing w:line="266" w:lineRule="auto"/>
        <w:ind w:right="0" w:firstLine="360"/>
        <w:jc w:val="left"/>
      </w:pPr>
      <w:r>
        <w:rPr>
          <w:rFonts w:ascii="Times New Roman" w:hAnsi="Times New Roman" w:cs="Times New Roman" w:eastAsia="Times New Roman" w:hint="default"/>
        </w:rPr>
        <w:t>1</w:t>
      </w:r>
      <w:r>
        <w:rPr/>
        <w:t>、关于股东与股东大会：公司严格按照《公司章程》、《股东大会议事规则》等规定和要求，规范地 召集、召开股东大会。报告期内，股东大会行使了修订《公司章程》、审议达到标准的重大事项等权力。</w:t>
      </w:r>
      <w:r>
        <w:rPr>
          <w:spacing w:val="-38"/>
        </w:rPr>
        <w:t> </w:t>
      </w:r>
      <w:r>
        <w:rPr>
          <w:spacing w:val="-38"/>
        </w:rPr>
      </w:r>
      <w:r>
        <w:rPr>
          <w:spacing w:val="-5"/>
        </w:rPr>
        <w:t>股东大会除现场召开，提供网络投票方式，为股东参加股东大会提供便利。中小投资者表决情况单独披露，</w:t>
      </w:r>
      <w:r>
        <w:rPr>
          <w:spacing w:val="-100"/>
        </w:rPr>
        <w:t> </w:t>
      </w:r>
      <w:r>
        <w:rPr>
          <w:spacing w:val="-100"/>
        </w:rPr>
      </w:r>
      <w:r>
        <w:rPr/>
        <w:t>维护中小投资者利益。</w:t>
      </w:r>
    </w:p>
    <w:p>
      <w:pPr>
        <w:pStyle w:val="BodyText"/>
        <w:spacing w:line="266" w:lineRule="auto" w:before="14"/>
        <w:ind w:right="0" w:firstLine="360"/>
        <w:jc w:val="left"/>
      </w:pPr>
      <w:r>
        <w:rPr>
          <w:rFonts w:ascii="Times New Roman" w:hAnsi="Times New Roman" w:cs="Times New Roman" w:eastAsia="Times New Roman" w:hint="default"/>
        </w:rPr>
        <w:t>2</w:t>
      </w:r>
      <w:r>
        <w:rPr/>
        <w:t>、关于公司与控股股东：公司无大股东及实际控制人。内控制度严格施行，公司股东严于律己，不存 在超越股东大会直接或间接干预公司的决策和经营活动的行为，公司不存在向大股东、实际控制人提供未 公开信息的情况。公司拥有独立完整的业务和自主经营能力，在业务、人员、资产、机构、财务上独立，</w:t>
      </w:r>
      <w:r>
        <w:rPr>
          <w:spacing w:val="-38"/>
        </w:rPr>
        <w:t> </w:t>
      </w:r>
      <w:r>
        <w:rPr>
          <w:spacing w:val="-38"/>
        </w:rPr>
      </w:r>
      <w:r>
        <w:rPr/>
        <w:t>公司董事会、监事会和内部机构独立运作。</w:t>
      </w:r>
    </w:p>
    <w:p>
      <w:pPr>
        <w:pStyle w:val="BodyText"/>
        <w:spacing w:line="256" w:lineRule="auto" w:before="14"/>
        <w:ind w:right="0" w:firstLine="360"/>
        <w:jc w:val="left"/>
      </w:pPr>
      <w:r>
        <w:rPr>
          <w:rFonts w:ascii="Times New Roman" w:hAnsi="Times New Roman" w:cs="Times New Roman" w:eastAsia="Times New Roman" w:hint="default"/>
        </w:rPr>
        <w:t>3</w:t>
      </w:r>
      <w:r>
        <w:rPr/>
        <w:t>、关于董事和董事会：公司董事会目前设董事</w:t>
      </w:r>
      <w:r>
        <w:rPr>
          <w:rFonts w:ascii="Times New Roman" w:hAnsi="Times New Roman" w:cs="Times New Roman" w:eastAsia="Times New Roman" w:hint="default"/>
        </w:rPr>
        <w:t>11</w:t>
      </w:r>
      <w:r>
        <w:rPr/>
        <w:t>名，其中独立董事</w:t>
      </w:r>
      <w:r>
        <w:rPr>
          <w:rFonts w:ascii="Times New Roman" w:hAnsi="Times New Roman" w:cs="Times New Roman" w:eastAsia="Times New Roman" w:hint="default"/>
        </w:rPr>
        <w:t>4</w:t>
      </w:r>
      <w:r>
        <w:rPr/>
        <w:t>名，董事会的人数及人员构成符 合法律、法规和《公司章程》的要求。各位董事能够依据《董事会议事规则》、《独立董事工作制度》、</w:t>
      </w:r>
    </w:p>
    <w:p>
      <w:pPr>
        <w:pStyle w:val="BodyText"/>
        <w:spacing w:line="273" w:lineRule="auto" w:before="22"/>
        <w:ind w:right="0"/>
        <w:jc w:val="left"/>
      </w:pPr>
      <w:r>
        <w:rPr>
          <w:spacing w:val="-1"/>
        </w:rPr>
        <w:t>《深圳证券交易所创业板上市公司规范运作指引》等开展工作，出席董事会和股东大会，勤勉尽责地履行</w:t>
      </w:r>
      <w:r>
        <w:rPr>
          <w:spacing w:val="-83"/>
        </w:rPr>
        <w:t> </w:t>
      </w:r>
      <w:r>
        <w:rPr>
          <w:spacing w:val="-83"/>
        </w:rPr>
      </w:r>
      <w:r>
        <w:rPr/>
        <w:t>职责和义务，同时积极参加相关培训，熟悉相关法律法规。</w:t>
      </w:r>
    </w:p>
    <w:p>
      <w:pPr>
        <w:pStyle w:val="BodyText"/>
        <w:spacing w:line="266" w:lineRule="auto"/>
        <w:ind w:right="1131" w:firstLine="360"/>
        <w:jc w:val="both"/>
      </w:pPr>
      <w:r>
        <w:rPr>
          <w:rFonts w:ascii="Times New Roman" w:hAnsi="Times New Roman" w:cs="Times New Roman" w:eastAsia="Times New Roman" w:hint="default"/>
          <w:spacing w:val="-2"/>
        </w:rPr>
        <w:t>4</w:t>
      </w:r>
      <w:r>
        <w:rPr>
          <w:spacing w:val="-2"/>
        </w:rPr>
        <w:t>、关于监事和监事会：公司监事会设监事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w:t>
      </w:r>
      <w:r>
        <w:rPr/>
        <w:t> </w:t>
      </w:r>
      <w:r>
        <w:rPr>
          <w:spacing w:val="-1"/>
        </w:rPr>
        <w:t>规的要求。各位监事能够按照《监事会议事规则》的要求，认真履行自己的职责，对公司重大事项、关联</w:t>
      </w:r>
      <w:r>
        <w:rPr>
          <w:spacing w:val="-83"/>
        </w:rPr>
        <w:t> </w:t>
      </w:r>
      <w:r>
        <w:rPr>
          <w:spacing w:val="-83"/>
        </w:rPr>
      </w:r>
      <w:r>
        <w:rPr/>
        <w:t>交易、财务状况以及董事、高管人员履行职责的合法合规性进行监督。</w:t>
      </w:r>
    </w:p>
    <w:p>
      <w:pPr>
        <w:pStyle w:val="BodyText"/>
        <w:spacing w:line="256" w:lineRule="auto" w:before="14"/>
        <w:ind w:right="1133" w:firstLine="360"/>
        <w:jc w:val="both"/>
      </w:pPr>
      <w:r>
        <w:rPr>
          <w:rFonts w:ascii="Times New Roman" w:hAnsi="Times New Roman" w:cs="Times New Roman" w:eastAsia="Times New Roman" w:hint="default"/>
          <w:spacing w:val="-2"/>
        </w:rPr>
        <w:t>5</w:t>
      </w:r>
      <w:r>
        <w:rPr>
          <w:spacing w:val="-2"/>
        </w:rPr>
        <w:t>、关于绩效评价与激励约束机制：公司董事会下设的薪酬和考核委员会负责对公司的董事、监事、高</w:t>
      </w:r>
      <w:r>
        <w:rPr/>
        <w:t> 管进行绩效考核，公司现有的考核及激励约束机制符合公司的发展现状。</w:t>
      </w:r>
    </w:p>
    <w:p>
      <w:pPr>
        <w:pStyle w:val="BodyText"/>
        <w:spacing w:line="266" w:lineRule="auto" w:before="22"/>
        <w:ind w:right="1130" w:firstLine="360"/>
        <w:jc w:val="both"/>
      </w:pPr>
      <w:r>
        <w:rPr>
          <w:rFonts w:ascii="Times New Roman" w:hAnsi="Times New Roman" w:cs="Times New Roman" w:eastAsia="Times New Roman" w:hint="default"/>
          <w:spacing w:val="-2"/>
        </w:rPr>
        <w:t>6</w:t>
      </w:r>
      <w:r>
        <w:rPr>
          <w:spacing w:val="-2"/>
        </w:rPr>
        <w:t>、关于信息披露与透明度：公司严格按照有关法律法规以及《信息披露管理制度》、《投资者关系管</w:t>
      </w:r>
      <w:r>
        <w:rPr/>
        <w:t> </w:t>
      </w:r>
      <w:r>
        <w:rPr>
          <w:spacing w:val="-1"/>
        </w:rPr>
        <w:t>理制度》等的要求，真实、准确、及时、公平、完整地披露有关信息；《信息披露制度》中年报信息披露</w:t>
      </w:r>
      <w:r>
        <w:rPr>
          <w:spacing w:val="-85"/>
        </w:rPr>
        <w:t> </w:t>
      </w:r>
      <w:r>
        <w:rPr>
          <w:spacing w:val="-85"/>
        </w:rPr>
      </w:r>
      <w:r>
        <w:rPr>
          <w:spacing w:val="-1"/>
        </w:rPr>
        <w:t>重大差错责任追究做出明确规定；指定公司董事会秘书负责信息披露工作，协调公司与投资者的关系，接</w:t>
      </w:r>
      <w:r>
        <w:rPr>
          <w:spacing w:val="-83"/>
        </w:rPr>
        <w:t> </w:t>
      </w:r>
      <w:r>
        <w:rPr>
          <w:spacing w:val="-83"/>
        </w:rPr>
      </w:r>
      <w:r>
        <w:rPr>
          <w:spacing w:val="-5"/>
        </w:rPr>
        <w:t>待股东来访，回答投资者咨询，向投资者提供公司已披露的资料；并指定《证券时报》、《中国证券报》、</w:t>
      </w:r>
    </w:p>
    <w:p>
      <w:pPr>
        <w:pStyle w:val="BodyText"/>
        <w:spacing w:line="256" w:lineRule="auto" w:before="14"/>
        <w:ind w:right="0"/>
        <w:jc w:val="left"/>
      </w:pPr>
      <w:r>
        <w:rPr>
          <w:spacing w:val="-2"/>
        </w:rPr>
        <w:t>《证券日报》和巨潮网（</w:t>
      </w:r>
      <w:hyperlink r:id="rId12">
        <w:r>
          <w:rPr>
            <w:rFonts w:ascii="Times New Roman" w:hAnsi="Times New Roman" w:cs="Times New Roman" w:eastAsia="Times New Roman" w:hint="default"/>
            <w:spacing w:val="-2"/>
          </w:rPr>
          <w:t>www.cninfo.com.cn</w:t>
        </w:r>
      </w:hyperlink>
      <w:r>
        <w:rPr>
          <w:spacing w:val="-2"/>
        </w:rPr>
        <w:t>）为公司信息披露的指定报纸和网站，确保公司所有股东能够</w:t>
      </w:r>
      <w:r>
        <w:rPr>
          <w:spacing w:val="-55"/>
        </w:rPr>
        <w:t> </w:t>
      </w:r>
      <w:r>
        <w:rPr>
          <w:spacing w:val="-55"/>
        </w:rPr>
      </w:r>
      <w:r>
        <w:rPr/>
        <w:t>以平等的机会获得信息。</w:t>
      </w:r>
    </w:p>
    <w:p>
      <w:pPr>
        <w:pStyle w:val="BodyText"/>
        <w:spacing w:line="256" w:lineRule="auto" w:before="22"/>
        <w:ind w:right="1132" w:firstLine="360"/>
        <w:jc w:val="both"/>
      </w:pPr>
      <w:r>
        <w:rPr>
          <w:rFonts w:ascii="Times New Roman" w:hAnsi="Times New Roman" w:cs="Times New Roman" w:eastAsia="Times New Roman" w:hint="default"/>
          <w:spacing w:val="-2"/>
        </w:rPr>
        <w:t>7</w:t>
      </w:r>
      <w:r>
        <w:rPr>
          <w:spacing w:val="-2"/>
        </w:rPr>
        <w:t>、关于相关利益者：公司充分尊重和维护相关利益者的合法权益，实现股东、员工、社会等各方利益</w:t>
      </w:r>
      <w:r>
        <w:rPr/>
        <w:t> 的协调平衡，共同推动公司持续、健康的发展。</w:t>
      </w:r>
    </w:p>
    <w:p>
      <w:pPr>
        <w:spacing w:before="88"/>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3"/>
        <w:spacing w:line="240" w:lineRule="auto"/>
        <w:ind w:right="1972"/>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公司不存在控股股东。</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1972"/>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1972"/>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5"/>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2018-31</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5"/>
        <w:spacing w:line="240" w:lineRule="auto" w:before="35"/>
        <w:ind w:right="1972"/>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1972"/>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360" w:lineRule="auto" w:before="51"/>
        <w:ind w:left="154" w:right="647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不存在连续两次未出席董事会的情况。</w:t>
      </w:r>
    </w:p>
    <w:p>
      <w:pPr>
        <w:spacing w:line="240" w:lineRule="auto" w:before="11"/>
        <w:rPr>
          <w:rFonts w:ascii="宋体" w:hAnsi="宋体" w:cs="宋体" w:eastAsia="宋体" w:hint="default"/>
          <w:sz w:val="19"/>
          <w:szCs w:val="19"/>
        </w:rPr>
      </w:pPr>
    </w:p>
    <w:p>
      <w:pPr>
        <w:pStyle w:val="Heading5"/>
        <w:spacing w:line="240" w:lineRule="auto"/>
        <w:ind w:right="1972"/>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3"/>
        <w:rPr>
          <w:rFonts w:ascii="宋体" w:hAnsi="宋体" w:cs="宋体" w:eastAsia="宋体" w:hint="default"/>
          <w:sz w:val="20"/>
          <w:szCs w:val="20"/>
        </w:rPr>
      </w:pPr>
    </w:p>
    <w:p>
      <w:pPr>
        <w:pStyle w:val="Heading5"/>
        <w:spacing w:line="240" w:lineRule="auto"/>
        <w:ind w:right="1972"/>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独立董事对公司有关建议被采纳或未被采纳的说明</w:t>
      </w:r>
    </w:p>
    <w:p>
      <w:pPr>
        <w:pStyle w:val="BodyText"/>
        <w:spacing w:line="240" w:lineRule="auto" w:before="89"/>
        <w:ind w:right="1972"/>
        <w:jc w:val="left"/>
      </w:pPr>
      <w:r>
        <w:rPr/>
        <w:t>独立董事在董事会上对公司提出过以下建议：</w:t>
      </w:r>
    </w:p>
    <w:p>
      <w:pPr>
        <w:pStyle w:val="BodyText"/>
        <w:spacing w:line="240" w:lineRule="auto" w:before="37"/>
        <w:ind w:right="1972"/>
        <w:jc w:val="left"/>
      </w:pPr>
      <w:r>
        <w:rPr>
          <w:rFonts w:ascii="Times New Roman" w:hAnsi="Times New Roman" w:cs="Times New Roman" w:eastAsia="Times New Roman" w:hint="default"/>
        </w:rPr>
        <w:t>1</w:t>
      </w:r>
      <w:r>
        <w:rPr/>
        <w:t>、关注公司的贷款结构，优化利率，建议公司在融资时多和大银行进行合作。</w:t>
      </w:r>
    </w:p>
    <w:p>
      <w:pPr>
        <w:pStyle w:val="BodyText"/>
        <w:spacing w:line="264" w:lineRule="auto" w:before="21"/>
        <w:ind w:right="1128"/>
        <w:jc w:val="left"/>
      </w:pPr>
      <w:r>
        <w:rPr>
          <w:rFonts w:ascii="Times New Roman" w:hAnsi="Times New Roman" w:cs="Times New Roman" w:eastAsia="Times New Roman" w:hint="default"/>
        </w:rPr>
        <w:t>2</w:t>
      </w:r>
      <w:r>
        <w:rPr/>
        <w:t>、关于与审计机构在审计过程中关于公司研发费用费用化、资本化问题的沟通，需多关注研发资本化的 金额、相关项目的基本情况、实施进度，研发投入资本化的依据及相关内控制度的内容和执行情况。 </w:t>
      </w:r>
      <w:r>
        <w:rPr>
          <w:rFonts w:ascii="Times New Roman" w:hAnsi="Times New Roman" w:cs="Times New Roman" w:eastAsia="Times New Roman" w:hint="default"/>
        </w:rPr>
        <w:t>3</w:t>
      </w:r>
      <w:r>
        <w:rPr/>
        <w:t>、关注公司治理结构等方面，对于公司提供担保额度较大的子公司，在风险控制还需继续关注，加强对 其财务、商务的把控。 </w:t>
      </w:r>
      <w:r>
        <w:rPr>
          <w:rFonts w:ascii="Times New Roman" w:hAnsi="Times New Roman" w:cs="Times New Roman" w:eastAsia="Times New Roman" w:hint="default"/>
          <w:spacing w:val="-3"/>
        </w:rPr>
        <w:t>4</w:t>
      </w:r>
      <w:r>
        <w:rPr>
          <w:spacing w:val="-3"/>
        </w:rPr>
        <w:t>、传统</w:t>
      </w:r>
      <w:r>
        <w:rPr>
          <w:rFonts w:ascii="Times New Roman" w:hAnsi="Times New Roman" w:cs="Times New Roman" w:eastAsia="Times New Roman" w:hint="default"/>
          <w:spacing w:val="-3"/>
        </w:rPr>
        <w:t>IT</w:t>
      </w:r>
      <w:r>
        <w:rPr>
          <w:spacing w:val="-3"/>
        </w:rPr>
        <w:t>企业都处于转型的阶段，提示公司需十分关注行业的形势变化，新的技术发展，以及</w:t>
      </w:r>
      <w:r>
        <w:rPr>
          <w:rFonts w:ascii="Times New Roman" w:hAnsi="Times New Roman" w:cs="Times New Roman" w:eastAsia="Times New Roman" w:hint="default"/>
          <w:spacing w:val="-3"/>
        </w:rPr>
        <w:t>IT</w:t>
      </w:r>
      <w:r>
        <w:rPr>
          <w:spacing w:val="-3"/>
        </w:rPr>
        <w:t>企业税的</w:t>
      </w:r>
      <w:r>
        <w:rPr>
          <w:spacing w:val="-67"/>
        </w:rPr>
        <w:t> </w:t>
      </w:r>
      <w:r>
        <w:rPr>
          <w:spacing w:val="-67"/>
        </w:rPr>
      </w:r>
      <w:r>
        <w:rPr/>
        <w:t>改制问题。 </w:t>
      </w:r>
      <w:r>
        <w:rPr>
          <w:rFonts w:ascii="Times New Roman" w:hAnsi="Times New Roman" w:cs="Times New Roman" w:eastAsia="Times New Roman" w:hint="default"/>
        </w:rPr>
        <w:t>5</w:t>
      </w:r>
      <w:r>
        <w:rPr/>
        <w:t>、完善公司内部控制体系，进一步建立健全内部控制制度，关注公司担保、财务资助的流程，完善子公 司管理制度及财务管理制度，强化内部审计职能，以确保公司长期持续、稳定发展。 </w:t>
      </w:r>
      <w:r>
        <w:rPr>
          <w:rFonts w:ascii="Times New Roman" w:hAnsi="Times New Roman" w:cs="Times New Roman" w:eastAsia="Times New Roman" w:hint="default"/>
        </w:rPr>
        <w:t>6</w:t>
      </w:r>
      <w:r>
        <w:rPr/>
        <w:t>、严格防范内幕交易行为，完善内幕信息知情人管理制度。完善分红政策、决策程序等，有效保护股东 特别是中小股东的利益。 </w:t>
      </w:r>
      <w:r>
        <w:rPr>
          <w:rFonts w:ascii="Times New Roman" w:hAnsi="Times New Roman" w:cs="Times New Roman" w:eastAsia="Times New Roman" w:hint="default"/>
        </w:rPr>
        <w:t>7</w:t>
      </w:r>
      <w:r>
        <w:rPr/>
        <w:t>、做好投后管理，协助并购公司对接资源，关注公司商誉情况，定期做好商誉减值测试，避免商誉成为 隐患。 </w:t>
      </w:r>
      <w:r>
        <w:rPr>
          <w:rFonts w:ascii="Times New Roman" w:hAnsi="Times New Roman" w:cs="Times New Roman" w:eastAsia="Times New Roman" w:hint="default"/>
          <w:spacing w:val="-3"/>
        </w:rPr>
        <w:t>8</w:t>
      </w:r>
      <w:r>
        <w:rPr>
          <w:spacing w:val="-3"/>
        </w:rPr>
        <w:t>、关注宏观经济发展形势，公司要有风险意识，面对经济下行的趋势时建立积极稳健的策略以对抗风险。</w:t>
      </w:r>
      <w:r>
        <w:rPr>
          <w:spacing w:val="-92"/>
        </w:rPr>
        <w:t> </w:t>
      </w:r>
      <w:r>
        <w:rPr>
          <w:spacing w:val="-92"/>
        </w:rPr>
      </w:r>
      <w:r>
        <w:rPr/>
        <w:t>上述建议已被董事会采纳，由公司财务部、审计部、董事会办公室、投资管理部等部门积极协助落实。</w:t>
      </w:r>
    </w:p>
    <w:p>
      <w:pPr>
        <w:spacing w:line="240" w:lineRule="auto" w:before="6"/>
        <w:rPr>
          <w:rFonts w:ascii="宋体" w:hAnsi="宋体" w:cs="宋体" w:eastAsia="宋体" w:hint="default"/>
          <w:sz w:val="22"/>
          <w:szCs w:val="22"/>
        </w:rPr>
      </w:pPr>
    </w:p>
    <w:p>
      <w:pPr>
        <w:pStyle w:val="Heading3"/>
        <w:spacing w:line="240" w:lineRule="auto"/>
        <w:ind w:right="1972"/>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3" w:firstLine="360"/>
        <w:jc w:val="both"/>
      </w:pPr>
      <w:r>
        <w:rPr>
          <w:spacing w:val="-4"/>
        </w:rPr>
        <w:t>目前，公司第四届董事会下设审计委员会、提名委员会、薪酬与考核委员会三个专门委员会，根据《上</w:t>
      </w:r>
      <w:r>
        <w:rPr/>
        <w:t> 市公司治理准则》及相应的委员会议事规则的要求，切实履行相应的职责。</w:t>
      </w:r>
    </w:p>
    <w:p>
      <w:pPr>
        <w:pStyle w:val="BodyText"/>
        <w:spacing w:line="266" w:lineRule="auto" w:before="8"/>
        <w:ind w:right="1131" w:firstLine="360"/>
        <w:jc w:val="both"/>
      </w:pPr>
      <w:r>
        <w:rPr>
          <w:rFonts w:ascii="Times New Roman" w:hAnsi="Times New Roman" w:cs="Times New Roman" w:eastAsia="Times New Roman" w:hint="default"/>
        </w:rPr>
        <w:t>2018</w:t>
      </w:r>
      <w:r>
        <w:rPr/>
        <w:t>年度，公司共召开审计委员会会议六次，薪酬与考核委员会会议两次，提名委员会会议一次，独 </w:t>
      </w:r>
      <w:r>
        <w:rPr>
          <w:spacing w:val="-1"/>
        </w:rPr>
        <w:t>立董事均亲自出席了董事会各专门委员会会议，持续了解公司生产经营和运作情况，充分掌握信息，详尽</w:t>
      </w:r>
      <w:r>
        <w:rPr>
          <w:spacing w:val="-83"/>
        </w:rPr>
        <w:t> </w:t>
      </w:r>
      <w:r>
        <w:rPr>
          <w:spacing w:val="-83"/>
        </w:rPr>
      </w:r>
      <w:r>
        <w:rPr>
          <w:spacing w:val="-1"/>
        </w:rPr>
        <w:t>审阅会议相关材料，认真审议公司的各项议案，为董事会决策作充分的准备工作，并对重大事务作独立的</w:t>
      </w:r>
      <w:r>
        <w:rPr>
          <w:spacing w:val="-83"/>
        </w:rPr>
        <w:t> </w:t>
      </w:r>
      <w:r>
        <w:rPr>
          <w:spacing w:val="-83"/>
        </w:rPr>
      </w:r>
      <w:r>
        <w:rPr/>
        <w:t>判断和决策。</w:t>
      </w:r>
    </w:p>
    <w:p>
      <w:pPr>
        <w:spacing w:line="240" w:lineRule="auto" w:before="12"/>
        <w:rPr>
          <w:rFonts w:ascii="宋体" w:hAnsi="宋体" w:cs="宋体" w:eastAsia="宋体" w:hint="default"/>
          <w:sz w:val="24"/>
          <w:szCs w:val="24"/>
        </w:rPr>
      </w:pPr>
    </w:p>
    <w:p>
      <w:pPr>
        <w:pStyle w:val="BodyText"/>
        <w:spacing w:line="256" w:lineRule="auto" w:before="0"/>
        <w:ind w:left="514" w:right="1152"/>
        <w:jc w:val="left"/>
      </w:pPr>
      <w:r>
        <w:rPr>
          <w:rFonts w:ascii="Times New Roman" w:hAnsi="Times New Roman" w:cs="Times New Roman" w:eastAsia="Times New Roman" w:hint="default"/>
          <w:b/>
          <w:bCs/>
        </w:rPr>
        <w:t>1</w:t>
      </w:r>
      <w:r>
        <w:rPr>
          <w:rFonts w:ascii="宋体" w:hAnsi="宋体" w:cs="宋体" w:eastAsia="宋体" w:hint="default"/>
          <w:b/>
          <w:bCs/>
        </w:rPr>
        <w:t>、独立董事履职情况</w:t>
      </w:r>
      <w:r>
        <w:rPr>
          <w:rFonts w:ascii="宋体" w:hAnsi="宋体" w:cs="宋体" w:eastAsia="宋体" w:hint="default"/>
          <w:b/>
          <w:bCs/>
          <w:w w:val="99"/>
        </w:rPr>
        <w:t> </w:t>
      </w:r>
      <w:r>
        <w:rPr/>
        <w:t>独立董事均积极履行了其在专门委员会的职责，其中梁金华为审计委员会的召集人、薪酬与考核委员</w:t>
      </w:r>
    </w:p>
    <w:p>
      <w:pPr>
        <w:pStyle w:val="BodyText"/>
        <w:spacing w:line="273" w:lineRule="auto" w:before="22"/>
        <w:ind w:right="0"/>
        <w:jc w:val="left"/>
      </w:pPr>
      <w:r>
        <w:rPr>
          <w:spacing w:val="-1"/>
        </w:rPr>
        <w:t>会委员，盛宝军为提名委员会召集人、审计委员会委员，郑飞为薪酬与考核委员会召集人、提名委员会委</w:t>
      </w:r>
      <w:r>
        <w:rPr>
          <w:spacing w:val="-86"/>
        </w:rPr>
        <w:t> </w:t>
      </w:r>
      <w:r>
        <w:rPr>
          <w:spacing w:val="-86"/>
        </w:rPr>
      </w:r>
      <w:r>
        <w:rPr/>
        <w:t>员，张卫华为薪酬与考核委员会委员、提名委员会委员。</w:t>
      </w:r>
    </w:p>
    <w:p>
      <w:pPr>
        <w:pStyle w:val="BodyText"/>
        <w:spacing w:line="240" w:lineRule="auto"/>
        <w:ind w:left="514" w:right="1972"/>
        <w:jc w:val="left"/>
      </w:pPr>
      <w:r>
        <w:rPr/>
        <w:t>独立董事出席会议情况如下：</w:t>
      </w:r>
    </w:p>
    <w:p>
      <w:pPr>
        <w:spacing w:line="240" w:lineRule="auto" w:before="13"/>
        <w:rPr>
          <w:rFonts w:ascii="宋体" w:hAnsi="宋体" w:cs="宋体" w:eastAsia="宋体" w:hint="default"/>
          <w:sz w:val="3"/>
          <w:szCs w:val="3"/>
        </w:rPr>
      </w:pPr>
    </w:p>
    <w:tbl>
      <w:tblPr>
        <w:tblW w:w="0" w:type="auto"/>
        <w:jc w:val="left"/>
        <w:tblInd w:w="151" w:type="dxa"/>
        <w:tblLayout w:type="fixed"/>
        <w:tblCellMar>
          <w:top w:w="0" w:type="dxa"/>
          <w:left w:w="0" w:type="dxa"/>
          <w:bottom w:w="0" w:type="dxa"/>
          <w:right w:w="0" w:type="dxa"/>
        </w:tblCellMar>
        <w:tblLook w:val="01E0"/>
      </w:tblPr>
      <w:tblGrid>
        <w:gridCol w:w="2232"/>
        <w:gridCol w:w="2275"/>
        <w:gridCol w:w="1971"/>
        <w:gridCol w:w="2045"/>
      </w:tblGrid>
      <w:tr>
        <w:trPr>
          <w:trHeight w:val="330" w:hRule="exact"/>
        </w:trPr>
        <w:tc>
          <w:tcPr>
            <w:tcW w:w="22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独董姓名</w:t>
            </w:r>
          </w:p>
        </w:tc>
        <w:tc>
          <w:tcPr>
            <w:tcW w:w="2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366" w:right="0"/>
              <w:jc w:val="left"/>
              <w:rPr>
                <w:rFonts w:ascii="宋体" w:hAnsi="宋体" w:cs="宋体" w:eastAsia="宋体" w:hint="default"/>
                <w:sz w:val="21"/>
                <w:szCs w:val="21"/>
              </w:rPr>
            </w:pPr>
            <w:r>
              <w:rPr>
                <w:rFonts w:ascii="宋体" w:hAnsi="宋体" w:cs="宋体" w:eastAsia="宋体" w:hint="default"/>
                <w:sz w:val="21"/>
                <w:szCs w:val="21"/>
              </w:rPr>
              <w:t>应参会次数</w:t>
            </w:r>
          </w:p>
        </w:tc>
        <w:tc>
          <w:tcPr>
            <w:tcW w:w="19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359" w:right="0"/>
              <w:jc w:val="left"/>
              <w:rPr>
                <w:rFonts w:ascii="宋体" w:hAnsi="宋体" w:cs="宋体" w:eastAsia="宋体" w:hint="default"/>
                <w:sz w:val="21"/>
                <w:szCs w:val="21"/>
              </w:rPr>
            </w:pPr>
            <w:r>
              <w:rPr>
                <w:rFonts w:ascii="宋体" w:hAnsi="宋体" w:cs="宋体" w:eastAsia="宋体" w:hint="default"/>
                <w:sz w:val="21"/>
                <w:szCs w:val="21"/>
              </w:rPr>
              <w:t>亲自参会次数</w:t>
            </w:r>
          </w:p>
        </w:tc>
        <w:tc>
          <w:tcPr>
            <w:tcW w:w="2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371"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65" w:hRule="exact"/>
        </w:trPr>
        <w:tc>
          <w:tcPr>
            <w:tcW w:w="8524" w:type="dxa"/>
            <w:gridSpan w:val="4"/>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left="362" w:right="0"/>
              <w:jc w:val="left"/>
              <w:rPr>
                <w:rFonts w:ascii="宋体" w:hAnsi="宋体" w:cs="宋体" w:eastAsia="宋体" w:hint="default"/>
                <w:sz w:val="21"/>
                <w:szCs w:val="21"/>
              </w:rPr>
            </w:pPr>
            <w:r>
              <w:rPr>
                <w:rFonts w:ascii="宋体" w:hAnsi="宋体" w:cs="宋体" w:eastAsia="宋体" w:hint="default"/>
                <w:sz w:val="21"/>
                <w:szCs w:val="21"/>
              </w:rPr>
              <w:t>审计委员会</w:t>
            </w:r>
          </w:p>
        </w:tc>
      </w:tr>
      <w:tr>
        <w:trPr>
          <w:trHeight w:val="34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梁金华</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6" w:right="0"/>
              <w:jc w:val="left"/>
              <w:rPr>
                <w:rFonts w:ascii="Times New Roman" w:hAnsi="Times New Roman" w:cs="Times New Roman" w:eastAsia="Times New Roman" w:hint="default"/>
                <w:sz w:val="21"/>
                <w:szCs w:val="21"/>
              </w:rPr>
            </w:pPr>
            <w:r>
              <w:rPr>
                <w:rFonts w:ascii="Times New Roman"/>
                <w:sz w:val="21"/>
              </w:rPr>
              <w:t>6</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59" w:right="0"/>
              <w:jc w:val="left"/>
              <w:rPr>
                <w:rFonts w:ascii="Times New Roman" w:hAnsi="Times New Roman" w:cs="Times New Roman" w:eastAsia="Times New Roman" w:hint="default"/>
                <w:sz w:val="21"/>
                <w:szCs w:val="21"/>
              </w:rPr>
            </w:pPr>
            <w:r>
              <w:rPr>
                <w:rFonts w:ascii="Times New Roman"/>
                <w:sz w:val="21"/>
              </w:rPr>
              <w:t>6</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盛宝军</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6" w:right="0"/>
              <w:jc w:val="left"/>
              <w:rPr>
                <w:rFonts w:ascii="Times New Roman" w:hAnsi="Times New Roman" w:cs="Times New Roman" w:eastAsia="Times New Roman" w:hint="default"/>
                <w:sz w:val="21"/>
                <w:szCs w:val="21"/>
              </w:rPr>
            </w:pPr>
            <w:r>
              <w:rPr>
                <w:rFonts w:ascii="Times New Roman"/>
                <w:sz w:val="21"/>
              </w:rPr>
              <w:t>6</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59" w:right="0"/>
              <w:jc w:val="left"/>
              <w:rPr>
                <w:rFonts w:ascii="Times New Roman" w:hAnsi="Times New Roman" w:cs="Times New Roman" w:eastAsia="Times New Roman" w:hint="default"/>
                <w:sz w:val="21"/>
                <w:szCs w:val="21"/>
              </w:rPr>
            </w:pPr>
            <w:r>
              <w:rPr>
                <w:rFonts w:ascii="Times New Roman"/>
                <w:sz w:val="21"/>
              </w:rPr>
              <w:t>6</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85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薪酬与考核委员会</w:t>
            </w:r>
          </w:p>
        </w:tc>
      </w:tr>
      <w:tr>
        <w:trPr>
          <w:trHeight w:val="34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郑飞</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6" w:right="0"/>
              <w:jc w:val="left"/>
              <w:rPr>
                <w:rFonts w:ascii="Times New Roman" w:hAnsi="Times New Roman" w:cs="Times New Roman" w:eastAsia="Times New Roman" w:hint="default"/>
                <w:sz w:val="21"/>
                <w:szCs w:val="21"/>
              </w:rPr>
            </w:pPr>
            <w:r>
              <w:rPr>
                <w:rFonts w:ascii="Times New Roman"/>
                <w:sz w:val="21"/>
              </w:rPr>
              <w:t>2</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1" w:right="0"/>
              <w:jc w:val="left"/>
              <w:rPr>
                <w:rFonts w:ascii="Times New Roman" w:hAnsi="Times New Roman" w:cs="Times New Roman" w:eastAsia="Times New Roman" w:hint="default"/>
                <w:sz w:val="21"/>
                <w:szCs w:val="21"/>
              </w:rPr>
            </w:pPr>
            <w:r>
              <w:rPr>
                <w:rFonts w:ascii="Times New Roman"/>
                <w:sz w:val="21"/>
              </w:rPr>
              <w:t>2</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梁金华</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6" w:right="0"/>
              <w:jc w:val="left"/>
              <w:rPr>
                <w:rFonts w:ascii="Times New Roman" w:hAnsi="Times New Roman" w:cs="Times New Roman" w:eastAsia="Times New Roman" w:hint="default"/>
                <w:sz w:val="21"/>
                <w:szCs w:val="21"/>
              </w:rPr>
            </w:pPr>
            <w:r>
              <w:rPr>
                <w:rFonts w:ascii="Times New Roman"/>
                <w:sz w:val="21"/>
              </w:rPr>
              <w:t>2</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1" w:right="0"/>
              <w:jc w:val="left"/>
              <w:rPr>
                <w:rFonts w:ascii="Times New Roman" w:hAnsi="Times New Roman" w:cs="Times New Roman" w:eastAsia="Times New Roman" w:hint="default"/>
                <w:sz w:val="21"/>
                <w:szCs w:val="21"/>
              </w:rPr>
            </w:pPr>
            <w:r>
              <w:rPr>
                <w:rFonts w:ascii="Times New Roman"/>
                <w:sz w:val="21"/>
              </w:rPr>
              <w:t>2</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张卫华</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6" w:right="0"/>
              <w:jc w:val="left"/>
              <w:rPr>
                <w:rFonts w:ascii="Times New Roman" w:hAnsi="Times New Roman" w:cs="Times New Roman" w:eastAsia="Times New Roman" w:hint="default"/>
                <w:sz w:val="21"/>
                <w:szCs w:val="21"/>
              </w:rPr>
            </w:pPr>
            <w:r>
              <w:rPr>
                <w:rFonts w:ascii="Times New Roman"/>
                <w:sz w:val="21"/>
              </w:rPr>
              <w:t>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1" w:right="0"/>
              <w:jc w:val="left"/>
              <w:rPr>
                <w:rFonts w:ascii="Times New Roman" w:hAnsi="Times New Roman" w:cs="Times New Roman" w:eastAsia="Times New Roman" w:hint="default"/>
                <w:sz w:val="21"/>
                <w:szCs w:val="21"/>
              </w:rPr>
            </w:pPr>
            <w:r>
              <w:rPr>
                <w:rFonts w:ascii="Times New Roman"/>
                <w:sz w:val="21"/>
              </w:rPr>
              <w:t>1</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85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62" w:right="0"/>
              <w:jc w:val="left"/>
              <w:rPr>
                <w:rFonts w:ascii="宋体" w:hAnsi="宋体" w:cs="宋体" w:eastAsia="宋体" w:hint="default"/>
                <w:sz w:val="21"/>
                <w:szCs w:val="21"/>
              </w:rPr>
            </w:pPr>
            <w:r>
              <w:rPr>
                <w:rFonts w:ascii="宋体" w:hAnsi="宋体" w:cs="宋体" w:eastAsia="宋体" w:hint="default"/>
                <w:sz w:val="21"/>
                <w:szCs w:val="21"/>
              </w:rPr>
              <w:t>提名委员会</w:t>
            </w:r>
          </w:p>
        </w:tc>
      </w:tr>
      <w:tr>
        <w:trPr>
          <w:trHeight w:val="34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盛宝军</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50" w:right="0"/>
              <w:jc w:val="left"/>
              <w:rPr>
                <w:rFonts w:ascii="Times New Roman" w:hAnsi="Times New Roman" w:cs="Times New Roman" w:eastAsia="Times New Roman" w:hint="default"/>
                <w:sz w:val="21"/>
                <w:szCs w:val="21"/>
              </w:rPr>
            </w:pPr>
            <w:r>
              <w:rPr>
                <w:rFonts w:ascii="Times New Roman"/>
                <w:sz w:val="21"/>
              </w:rPr>
              <w:t>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59" w:right="0"/>
              <w:jc w:val="left"/>
              <w:rPr>
                <w:rFonts w:ascii="Times New Roman" w:hAnsi="Times New Roman" w:cs="Times New Roman" w:eastAsia="Times New Roman" w:hint="default"/>
                <w:sz w:val="21"/>
                <w:szCs w:val="21"/>
              </w:rPr>
            </w:pPr>
            <w:r>
              <w:rPr>
                <w:rFonts w:ascii="Times New Roman"/>
                <w:sz w:val="21"/>
              </w:rPr>
              <w:t>1</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郑飞</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50" w:right="0"/>
              <w:jc w:val="left"/>
              <w:rPr>
                <w:rFonts w:ascii="Times New Roman" w:hAnsi="Times New Roman" w:cs="Times New Roman" w:eastAsia="Times New Roman" w:hint="default"/>
                <w:sz w:val="21"/>
                <w:szCs w:val="21"/>
              </w:rPr>
            </w:pPr>
            <w:r>
              <w:rPr>
                <w:rFonts w:ascii="Times New Roman"/>
                <w:sz w:val="21"/>
              </w:rPr>
              <w:t>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59" w:right="0"/>
              <w:jc w:val="left"/>
              <w:rPr>
                <w:rFonts w:ascii="Times New Roman" w:hAnsi="Times New Roman" w:cs="Times New Roman" w:eastAsia="Times New Roman" w:hint="default"/>
                <w:sz w:val="21"/>
                <w:szCs w:val="21"/>
              </w:rPr>
            </w:pPr>
            <w:r>
              <w:rPr>
                <w:rFonts w:ascii="Times New Roman"/>
                <w:sz w:val="21"/>
              </w:rPr>
              <w:t>1</w:t>
            </w:r>
          </w:p>
        </w:tc>
        <w:tc>
          <w:tcPr>
            <w:tcW w:w="204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2220"/>
        <w:gridCol w:w="2284"/>
        <w:gridCol w:w="1984"/>
        <w:gridCol w:w="2036"/>
      </w:tblGrid>
      <w:tr>
        <w:trPr>
          <w:trHeight w:val="348"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2" w:right="0"/>
              <w:jc w:val="left"/>
              <w:rPr>
                <w:rFonts w:ascii="宋体" w:hAnsi="宋体" w:cs="宋体" w:eastAsia="宋体" w:hint="default"/>
                <w:sz w:val="21"/>
                <w:szCs w:val="21"/>
              </w:rPr>
            </w:pPr>
            <w:r>
              <w:rPr>
                <w:rFonts w:ascii="宋体" w:hAnsi="宋体" w:cs="宋体" w:eastAsia="宋体" w:hint="default"/>
                <w:sz w:val="21"/>
                <w:szCs w:val="21"/>
              </w:rPr>
              <w:t>张卫华</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2" w:right="0"/>
              <w:jc w:val="left"/>
              <w:rPr>
                <w:rFonts w:ascii="Times New Roman" w:hAnsi="Times New Roman" w:cs="Times New Roman" w:eastAsia="Times New Roman" w:hint="default"/>
                <w:sz w:val="21"/>
                <w:szCs w:val="21"/>
              </w:rPr>
            </w:pPr>
            <w:r>
              <w:rPr>
                <w:rFonts w:ascii="Times New Roman"/>
                <w:sz w:val="21"/>
              </w:rPr>
              <w:t>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62" w:right="0"/>
              <w:jc w:val="left"/>
              <w:rPr>
                <w:rFonts w:ascii="Times New Roman" w:hAnsi="Times New Roman" w:cs="Times New Roman" w:eastAsia="Times New Roman" w:hint="default"/>
                <w:sz w:val="21"/>
                <w:szCs w:val="21"/>
              </w:rPr>
            </w:pPr>
            <w:r>
              <w:rPr>
                <w:rFonts w:ascii="Times New Roman"/>
                <w:sz w:val="21"/>
              </w:rPr>
              <w:t>1</w:t>
            </w:r>
          </w:p>
        </w:tc>
        <w:tc>
          <w:tcPr>
            <w:tcW w:w="20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before="35"/>
        <w:ind w:left="514" w:right="1972"/>
        <w:jc w:val="left"/>
        <w:rPr>
          <w:b w:val="0"/>
          <w:bCs w:val="0"/>
        </w:rPr>
      </w:pPr>
      <w:r>
        <w:rPr>
          <w:rFonts w:ascii="Times New Roman" w:hAnsi="Times New Roman" w:cs="Times New Roman" w:eastAsia="Times New Roman" w:hint="default"/>
        </w:rPr>
        <w:t>2</w:t>
      </w:r>
      <w:r>
        <w:rPr/>
        <w:t>、专门委员会履职情况总体说明</w:t>
      </w:r>
      <w:r>
        <w:rPr>
          <w:b w:val="0"/>
          <w:bCs w:val="0"/>
        </w:rPr>
      </w:r>
    </w:p>
    <w:p>
      <w:pPr>
        <w:pStyle w:val="BodyText"/>
        <w:spacing w:line="256" w:lineRule="auto" w:before="21"/>
        <w:ind w:left="514" w:right="0"/>
        <w:jc w:val="left"/>
      </w:pPr>
      <w:r>
        <w:rPr/>
        <w:t>（</w:t>
      </w:r>
      <w:r>
        <w:rPr>
          <w:rFonts w:ascii="Times New Roman" w:hAnsi="Times New Roman" w:cs="Times New Roman" w:eastAsia="Times New Roman" w:hint="default"/>
        </w:rPr>
        <w:t>1</w:t>
      </w:r>
      <w:r>
        <w:rPr/>
        <w:t>）审计委员会履职情况 报告期内，审计委员会根据《公司章程》及《董事会审计委员会议事规则》等相关规定召开审计委员</w:t>
      </w:r>
    </w:p>
    <w:p>
      <w:pPr>
        <w:pStyle w:val="BodyText"/>
        <w:spacing w:line="264" w:lineRule="auto" w:before="22"/>
        <w:ind w:right="1130"/>
        <w:jc w:val="both"/>
      </w:pPr>
      <w:r>
        <w:rPr>
          <w:spacing w:val="-1"/>
        </w:rPr>
        <w:t>会会议，积极履行职责。报告期内，审计委员会共召开六次会议，根据公司实际情况，对公司内部控制制</w:t>
      </w:r>
      <w:r>
        <w:rPr>
          <w:spacing w:val="-83"/>
        </w:rPr>
        <w:t> </w:t>
      </w:r>
      <w:r>
        <w:rPr>
          <w:spacing w:val="-83"/>
        </w:rPr>
      </w:r>
      <w:r>
        <w:rPr>
          <w:spacing w:val="-1"/>
        </w:rPr>
        <w:t>度的建立和实施情况、季度审计工作、聘请公司年度审计机构等事项进行审查，就公司</w:t>
      </w:r>
      <w:r>
        <w:rPr>
          <w:rFonts w:ascii="Times New Roman" w:hAnsi="Times New Roman" w:cs="Times New Roman" w:eastAsia="Times New Roman" w:hint="default"/>
          <w:spacing w:val="-1"/>
        </w:rPr>
        <w:t>2018</w:t>
      </w:r>
      <w:r>
        <w:rPr>
          <w:spacing w:val="-1"/>
        </w:rPr>
        <w:t>年年度审计事</w:t>
      </w:r>
      <w:r>
        <w:rPr>
          <w:spacing w:val="-80"/>
        </w:rPr>
        <w:t> </w:t>
      </w:r>
      <w:r>
        <w:rPr>
          <w:spacing w:val="-1"/>
        </w:rPr>
        <w:t>项与财务部、审计部、公司管理层及注册会计师进行了沟通，对审计委员会的工作进行总结和规划。审计</w:t>
      </w:r>
      <w:r>
        <w:rPr>
          <w:spacing w:val="-85"/>
        </w:rPr>
        <w:t> </w:t>
      </w:r>
      <w:r>
        <w:rPr>
          <w:spacing w:val="-85"/>
        </w:rPr>
      </w:r>
      <w:r>
        <w:rPr>
          <w:spacing w:val="-1"/>
        </w:rPr>
        <w:t>委员会对公司</w:t>
      </w:r>
      <w:r>
        <w:rPr>
          <w:rFonts w:ascii="Times New Roman" w:hAnsi="Times New Roman" w:cs="Times New Roman" w:eastAsia="Times New Roman" w:hint="default"/>
          <w:spacing w:val="-1"/>
        </w:rPr>
        <w:t>2018</w:t>
      </w:r>
      <w:r>
        <w:rPr>
          <w:spacing w:val="-1"/>
        </w:rPr>
        <w:t>年内控情况进行了核查和评价，切实履行了审计委员会的工作职责，对公司完善内控体</w:t>
      </w:r>
      <w:r>
        <w:rPr>
          <w:spacing w:val="-80"/>
        </w:rPr>
        <w:t> </w:t>
      </w:r>
      <w:r>
        <w:rPr>
          <w:spacing w:val="-80"/>
        </w:rPr>
      </w:r>
      <w:r>
        <w:rPr/>
        <w:t>系发挥了重要作用。</w:t>
      </w:r>
    </w:p>
    <w:p>
      <w:pPr>
        <w:pStyle w:val="BodyText"/>
        <w:spacing w:line="256" w:lineRule="auto" w:before="16"/>
        <w:ind w:left="514" w:right="1152"/>
        <w:jc w:val="left"/>
      </w:pPr>
      <w:r>
        <w:rPr/>
        <w:t>（</w:t>
      </w:r>
      <w:r>
        <w:rPr>
          <w:rFonts w:ascii="Times New Roman" w:hAnsi="Times New Roman" w:cs="Times New Roman" w:eastAsia="Times New Roman" w:hint="default"/>
        </w:rPr>
        <w:t>2</w:t>
      </w:r>
      <w:r>
        <w:rPr/>
        <w:t>）薪酬与考核委员会履职情况 报告期内，薪酬与考核委员会按照《公司章程》、《董事会专门委员会工作细则》等相关规定，共召</w:t>
      </w:r>
    </w:p>
    <w:p>
      <w:pPr>
        <w:pStyle w:val="BodyText"/>
        <w:spacing w:line="266" w:lineRule="auto" w:before="22"/>
        <w:ind w:right="1131"/>
        <w:jc w:val="both"/>
      </w:pPr>
      <w:r>
        <w:rPr>
          <w:spacing w:val="-1"/>
        </w:rPr>
        <w:t>开两次会议，参与制定公司董事与高级管理人员薪酬与考核管理办法，对制度执行情况进行监督，审核了</w:t>
      </w:r>
      <w:r>
        <w:rPr>
          <w:spacing w:val="-83"/>
        </w:rPr>
        <w:t> </w:t>
      </w:r>
      <w:r>
        <w:rPr>
          <w:spacing w:val="-83"/>
        </w:rPr>
      </w:r>
      <w:r>
        <w:rPr>
          <w:spacing w:val="-1"/>
        </w:rPr>
        <w:t>公司董事及高级管理人的履职情况并对其进行年度绩效考核和评定。薪酬与考核委员会对公司《</w:t>
      </w:r>
      <w:r>
        <w:rPr>
          <w:rFonts w:ascii="Times New Roman" w:hAnsi="Times New Roman" w:cs="Times New Roman" w:eastAsia="Times New Roman" w:hint="default"/>
          <w:spacing w:val="-1"/>
        </w:rPr>
        <w:t>2016</w:t>
      </w:r>
      <w:r>
        <w:rPr>
          <w:spacing w:val="-1"/>
        </w:rPr>
        <w:t>年限</w:t>
      </w:r>
      <w:r>
        <w:rPr>
          <w:spacing w:val="-81"/>
        </w:rPr>
        <w:t> </w:t>
      </w:r>
      <w:r>
        <w:rPr>
          <w:spacing w:val="-1"/>
        </w:rPr>
        <w:t>制性股票激励计划（草案）》的解锁条件进行审核，认为第二个解锁期解锁条件已经成就，可申请办理限</w:t>
      </w:r>
      <w:r>
        <w:rPr>
          <w:spacing w:val="-83"/>
        </w:rPr>
        <w:t> </w:t>
      </w:r>
      <w:r>
        <w:rPr>
          <w:spacing w:val="-83"/>
        </w:rPr>
      </w:r>
      <w:r>
        <w:rPr/>
        <w:t>制性股票解除限售并上市流通。</w:t>
      </w:r>
    </w:p>
    <w:p>
      <w:pPr>
        <w:pStyle w:val="BodyText"/>
        <w:spacing w:line="256" w:lineRule="auto" w:before="14"/>
        <w:ind w:left="514" w:right="1152"/>
        <w:jc w:val="left"/>
      </w:pPr>
      <w:r>
        <w:rPr/>
        <w:t>（</w:t>
      </w:r>
      <w:r>
        <w:rPr>
          <w:rFonts w:ascii="Times New Roman" w:hAnsi="Times New Roman" w:cs="Times New Roman" w:eastAsia="Times New Roman" w:hint="default"/>
        </w:rPr>
        <w:t>3</w:t>
      </w:r>
      <w:r>
        <w:rPr/>
        <w:t>）提名委员会履职情况 报告期内，提名委员会按照《公司章程》、《董事会专门委员会工作细则》等相关规定，共召开一次</w:t>
      </w:r>
    </w:p>
    <w:p>
      <w:pPr>
        <w:pStyle w:val="BodyText"/>
        <w:spacing w:line="273" w:lineRule="auto" w:before="22"/>
        <w:ind w:right="1117"/>
        <w:jc w:val="left"/>
      </w:pPr>
      <w:r>
        <w:rPr>
          <w:spacing w:val="-1"/>
        </w:rPr>
        <w:t>会议，对公司选举高级管理人员的任职资格进行了认真审查。提名委员会审议了《关于提名苗逢源先生为</w:t>
      </w:r>
      <w:r>
        <w:rPr>
          <w:spacing w:val="-83"/>
        </w:rPr>
        <w:t> </w:t>
      </w:r>
      <w:r>
        <w:rPr>
          <w:spacing w:val="-83"/>
        </w:rPr>
      </w:r>
      <w:r>
        <w:rPr>
          <w:spacing w:val="-5"/>
        </w:rPr>
        <w:t>公司总经理的议案》，提名委员会对候选人的简历进行了审慎的核查，认为被提名人符合相关的任职要求。</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6"/>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972"/>
        <w:jc w:val="left"/>
      </w:pPr>
      <w:r>
        <w:rPr>
          <w:rFonts w:ascii="Times New Roman" w:hAnsi="Times New Roman" w:cs="Times New Roman" w:eastAsia="Times New Roman" w:hint="default"/>
        </w:rPr>
        <w:t>1</w:t>
      </w:r>
      <w:r>
        <w:rPr/>
        <w:t>、薪酬制定及考核</w:t>
      </w:r>
    </w:p>
    <w:p>
      <w:pPr>
        <w:pStyle w:val="BodyText"/>
        <w:spacing w:line="256" w:lineRule="auto" w:before="21"/>
        <w:ind w:right="0"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26</w:t>
      </w:r>
      <w:r>
        <w:rPr>
          <w:spacing w:val="3"/>
        </w:rPr>
        <w:t>日召开的第四届董事会第十九次会议和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日的召开</w:t>
      </w:r>
      <w:r>
        <w:rPr>
          <w:rFonts w:ascii="Times New Roman" w:hAnsi="Times New Roman" w:cs="Times New Roman" w:eastAsia="Times New Roman" w:hint="default"/>
          <w:spacing w:val="3"/>
        </w:rPr>
        <w:t>2017</w:t>
      </w:r>
      <w:r>
        <w:rPr>
          <w:spacing w:val="3"/>
        </w:rPr>
        <w:t>年度股东大会审议通</w:t>
      </w:r>
      <w:r>
        <w:rPr/>
        <w:t> 过了《关于</w:t>
      </w:r>
      <w:r>
        <w:rPr>
          <w:rFonts w:ascii="Times New Roman" w:hAnsi="Times New Roman" w:cs="Times New Roman" w:eastAsia="Times New Roman" w:hint="default"/>
        </w:rPr>
        <w:t>2018</w:t>
      </w:r>
      <w:r>
        <w:rPr/>
        <w:t>年度董事、监事、高级管理人员薪酬的议案》，</w:t>
      </w:r>
    </w:p>
    <w:p>
      <w:pPr>
        <w:pStyle w:val="BodyText"/>
        <w:spacing w:line="256" w:lineRule="auto" w:before="5"/>
        <w:ind w:right="1130" w:firstLine="420"/>
        <w:jc w:val="both"/>
      </w:pPr>
      <w:r>
        <w:rPr>
          <w:spacing w:val="-1"/>
        </w:rPr>
        <w:t>在该议案中，从业绩完成情况、管理效能、内部团队协作等多方面对高级管理人员</w:t>
      </w:r>
      <w:r>
        <w:rPr>
          <w:rFonts w:ascii="Times New Roman" w:hAnsi="Times New Roman" w:cs="Times New Roman" w:eastAsia="Times New Roman" w:hint="default"/>
          <w:spacing w:val="-1"/>
        </w:rPr>
        <w:t>2017</w:t>
      </w:r>
      <w:r>
        <w:rPr>
          <w:spacing w:val="-1"/>
        </w:rPr>
        <w:t>年的薪酬进行</w:t>
      </w:r>
      <w:r>
        <w:rPr/>
        <w:t> </w:t>
      </w:r>
      <w:r>
        <w:rPr>
          <w:spacing w:val="-1"/>
        </w:rPr>
        <w:t>了考核，认为公司</w:t>
      </w:r>
      <w:r>
        <w:rPr>
          <w:rFonts w:ascii="Times New Roman" w:hAnsi="Times New Roman" w:cs="Times New Roman" w:eastAsia="Times New Roman" w:hint="default"/>
          <w:spacing w:val="-1"/>
        </w:rPr>
        <w:t>2017</w:t>
      </w:r>
      <w:r>
        <w:rPr>
          <w:spacing w:val="-1"/>
        </w:rPr>
        <w:t>年度董监高薪酬发放情况符合公司所处的行业及地区的薪酬水平，符合公司的实际</w:t>
      </w:r>
      <w:r>
        <w:rPr>
          <w:spacing w:val="-79"/>
        </w:rPr>
        <w:t> </w:t>
      </w:r>
      <w:r>
        <w:rPr>
          <w:spacing w:val="-79"/>
        </w:rPr>
      </w:r>
      <w:r>
        <w:rPr/>
        <w:t>经营情况。</w:t>
      </w:r>
    </w:p>
    <w:p>
      <w:pPr>
        <w:pStyle w:val="BodyText"/>
        <w:spacing w:line="240" w:lineRule="auto" w:before="22"/>
        <w:ind w:left="574" w:right="1972"/>
        <w:jc w:val="left"/>
      </w:pPr>
      <w:r>
        <w:rPr/>
        <w:t>议案中对公司</w:t>
      </w:r>
      <w:r>
        <w:rPr>
          <w:rFonts w:ascii="Times New Roman" w:hAnsi="Times New Roman" w:cs="Times New Roman" w:eastAsia="Times New Roman" w:hint="default"/>
        </w:rPr>
        <w:t>2018</w:t>
      </w:r>
      <w:r>
        <w:rPr/>
        <w:t>年度董事、监事、高级管理人员的薪酬标准及考核办法进行了明确。</w:t>
      </w:r>
    </w:p>
    <w:p>
      <w:pPr>
        <w:pStyle w:val="BodyText"/>
        <w:spacing w:line="256" w:lineRule="auto" w:before="21"/>
        <w:ind w:right="0" w:firstLine="420"/>
        <w:jc w:val="left"/>
      </w:pPr>
      <w:r>
        <w:rPr/>
        <w:t>（</w:t>
      </w:r>
      <w:r>
        <w:rPr>
          <w:rFonts w:ascii="Times New Roman" w:hAnsi="Times New Roman" w:cs="Times New Roman" w:eastAsia="Times New Roman" w:hint="default"/>
        </w:rPr>
        <w:t>1</w:t>
      </w:r>
      <w:r>
        <w:rPr/>
        <w:t>）董事、监事：董事无津贴；兼职董事、监事的人员按其在公司所任行政职务领取薪酬；独立董 事津贴为税前</w:t>
      </w:r>
      <w:r>
        <w:rPr>
          <w:rFonts w:ascii="Times New Roman" w:hAnsi="Times New Roman" w:cs="Times New Roman" w:eastAsia="Times New Roman" w:hint="default"/>
        </w:rPr>
        <w:t>8.40</w:t>
      </w:r>
      <w:r>
        <w:rPr/>
        <w:t>万元</w:t>
      </w:r>
      <w:r>
        <w:rPr>
          <w:rFonts w:ascii="Times New Roman" w:hAnsi="Times New Roman" w:cs="Times New Roman" w:eastAsia="Times New Roman" w:hint="default"/>
        </w:rPr>
        <w:t>/</w:t>
      </w:r>
      <w:r>
        <w:rPr/>
        <w:t>年。</w:t>
      </w:r>
    </w:p>
    <w:p>
      <w:pPr>
        <w:pStyle w:val="BodyText"/>
        <w:spacing w:line="256" w:lineRule="auto" w:before="5"/>
        <w:ind w:right="1014" w:firstLine="420"/>
        <w:jc w:val="left"/>
      </w:pPr>
      <w:r>
        <w:rPr/>
        <w:t>（</w:t>
      </w:r>
      <w:r>
        <w:rPr>
          <w:rFonts w:ascii="Times New Roman" w:hAnsi="Times New Roman" w:cs="Times New Roman" w:eastAsia="Times New Roman" w:hint="default"/>
        </w:rPr>
        <w:t>2</w:t>
      </w:r>
      <w:r>
        <w:rPr/>
        <w:t>）高级管理人员：高管薪酬实行年薪制，年薪分为基础年薪（</w:t>
      </w:r>
      <w:r>
        <w:rPr>
          <w:rFonts w:ascii="Times New Roman" w:hAnsi="Times New Roman" w:cs="Times New Roman" w:eastAsia="Times New Roman" w:hint="default"/>
        </w:rPr>
        <w:t>60.00%</w:t>
      </w:r>
      <w:r>
        <w:rPr/>
        <w:t>）、绩效奖金（</w:t>
      </w:r>
      <w:r>
        <w:rPr>
          <w:rFonts w:ascii="Times New Roman" w:hAnsi="Times New Roman" w:cs="Times New Roman" w:eastAsia="Times New Roman" w:hint="default"/>
        </w:rPr>
        <w:t>40.00%</w:t>
      </w:r>
      <w:r>
        <w:rPr/>
        <w:t>）两</w:t>
      </w:r>
      <w:r>
        <w:rPr>
          <w:spacing w:val="1"/>
        </w:rPr>
        <w:t> </w:t>
      </w:r>
      <w:r>
        <w:rPr/>
        <w:t>部分：年薪</w:t>
      </w:r>
      <w:r>
        <w:rPr>
          <w:rFonts w:ascii="Times New Roman" w:hAnsi="Times New Roman" w:cs="Times New Roman" w:eastAsia="Times New Roman" w:hint="default"/>
        </w:rPr>
        <w:t>=  </w:t>
      </w:r>
      <w:r>
        <w:rPr/>
        <w:t>基础年薪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绩效奖金。其中，基础年薪按月固定发放，绩效奖金参照考核情况按年度发放。</w:t>
      </w:r>
    </w:p>
    <w:p>
      <w:pPr>
        <w:pStyle w:val="BodyText"/>
        <w:spacing w:line="266" w:lineRule="auto" w:before="5"/>
        <w:ind w:right="0"/>
        <w:jc w:val="left"/>
      </w:pPr>
      <w:r>
        <w:rPr/>
        <w:t>（不含社会保险、过节费等福利，其按照相关监管部门规定及公司相应制度发放或缴纳。）公司总经理、</w:t>
      </w:r>
      <w:r>
        <w:rPr>
          <w:spacing w:val="-35"/>
        </w:rPr>
        <w:t> </w:t>
      </w:r>
      <w:r>
        <w:rPr>
          <w:spacing w:val="-35"/>
        </w:rPr>
      </w:r>
      <w:r>
        <w:rPr/>
        <w:t>副总经理按公司年度考核目标，参照绩效奖金基数确定其最终年度绩效奖金，并提交公司薪酬与考核委员</w:t>
      </w:r>
      <w:r>
        <w:rPr/>
        <w:t> 会。公司其他高管按照各自职能，以其</w:t>
      </w:r>
      <w:r>
        <w:rPr>
          <w:rFonts w:ascii="Times New Roman" w:hAnsi="Times New Roman" w:cs="Times New Roman" w:eastAsia="Times New Roman" w:hint="default"/>
        </w:rPr>
        <w:t>2018</w:t>
      </w:r>
      <w:r>
        <w:rPr/>
        <w:t>年行政职务、考核分数确定最终年度绩效奖金，并提交公司薪 酬与考核委员会。</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0"/>
        <w:jc w:val="left"/>
      </w:pPr>
      <w:r>
        <w:rPr>
          <w:rFonts w:ascii="Times New Roman" w:hAnsi="Times New Roman" w:cs="Times New Roman" w:eastAsia="Times New Roman" w:hint="default"/>
        </w:rPr>
        <w:t>2</w:t>
      </w:r>
      <w:r>
        <w:rPr/>
        <w:t>、限制性股票激励 公司根据实际经营发展的需要，适时推行了限制性股票激励计划，公司于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日向公司高级</w:t>
      </w:r>
    </w:p>
    <w:p>
      <w:pPr>
        <w:pStyle w:val="BodyText"/>
        <w:spacing w:line="261" w:lineRule="auto" w:before="5"/>
        <w:ind w:right="1130"/>
        <w:jc w:val="both"/>
      </w:pPr>
      <w:r>
        <w:rPr>
          <w:spacing w:val="-1"/>
        </w:rPr>
        <w:t>管理人员、中层以及核心骨干等</w:t>
      </w:r>
      <w:r>
        <w:rPr>
          <w:rFonts w:ascii="Times New Roman" w:hAnsi="Times New Roman" w:cs="Times New Roman" w:eastAsia="Times New Roman" w:hint="default"/>
          <w:spacing w:val="-1"/>
        </w:rPr>
        <w:t>421</w:t>
      </w:r>
      <w:r>
        <w:rPr>
          <w:spacing w:val="-1"/>
        </w:rPr>
        <w:t>名激励对象授予</w:t>
      </w:r>
      <w:r>
        <w:rPr>
          <w:rFonts w:ascii="Times New Roman" w:hAnsi="Times New Roman" w:cs="Times New Roman" w:eastAsia="Times New Roman" w:hint="default"/>
          <w:spacing w:val="-1"/>
        </w:rPr>
        <w:t>1,258.9</w:t>
      </w:r>
      <w:r>
        <w:rPr>
          <w:spacing w:val="-1"/>
        </w:rPr>
        <w:t>万股限制性股票。</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日，第四届董事</w:t>
      </w:r>
      <w:r>
        <w:rPr>
          <w:spacing w:val="-77"/>
        </w:rPr>
        <w:t> </w:t>
      </w:r>
      <w:r>
        <w:rPr>
          <w:spacing w:val="-77"/>
        </w:rPr>
      </w:r>
      <w:r>
        <w:rPr>
          <w:spacing w:val="-1"/>
        </w:rPr>
        <w:t>会第二十一次会议和第四届监事会第十八次会议审议通过了《关于限制性股票激励计划第二个解锁期解锁</w:t>
      </w:r>
      <w:r>
        <w:rPr>
          <w:spacing w:val="-81"/>
        </w:rPr>
        <w:t> </w:t>
      </w:r>
      <w:r>
        <w:rPr>
          <w:spacing w:val="-81"/>
        </w:rPr>
      </w:r>
      <w:r>
        <w:rPr>
          <w:spacing w:val="-3"/>
        </w:rPr>
        <w:t>条件成就的议案》，同意</w:t>
      </w:r>
      <w:r>
        <w:rPr>
          <w:rFonts w:ascii="Times New Roman" w:hAnsi="Times New Roman" w:cs="Times New Roman" w:eastAsia="Times New Roman" w:hint="default"/>
          <w:spacing w:val="-3"/>
        </w:rPr>
        <w:t>365</w:t>
      </w:r>
      <w:r>
        <w:rPr>
          <w:spacing w:val="-3"/>
        </w:rPr>
        <w:t>名激励对象在限制性股票激励计划第二个解锁期解锁限制性股票</w:t>
      </w:r>
      <w:r>
        <w:rPr>
          <w:rFonts w:ascii="Times New Roman" w:hAnsi="Times New Roman" w:cs="Times New Roman" w:eastAsia="Times New Roman" w:hint="default"/>
          <w:spacing w:val="-3"/>
        </w:rPr>
        <w:t>3,391,800</w:t>
      </w:r>
      <w:r>
        <w:rPr>
          <w:spacing w:val="-3"/>
        </w:rPr>
        <w:t>股。</w:t>
      </w:r>
      <w:r>
        <w:rPr>
          <w:spacing w:val="-77"/>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2016</w:t>
      </w:r>
      <w:r>
        <w:rPr/>
        <w:t>年股权激励限制性股票第二个解锁期共计</w:t>
      </w:r>
      <w:r>
        <w:rPr>
          <w:rFonts w:ascii="Times New Roman" w:hAnsi="Times New Roman" w:cs="Times New Roman" w:eastAsia="Times New Roman" w:hint="default"/>
        </w:rPr>
        <w:t>3,391,800</w:t>
      </w:r>
      <w:r>
        <w:rPr/>
        <w:t>股已解除限售。</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277.468292pt;width:479.2pt;height:451.2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79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7" w:lineRule="auto"/>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、财务报告内控重大缺陷是指：</w:t>
                        </w:r>
                        <w:r>
                          <w:rPr>
                            <w:rFonts w:ascii="Times New Roman" w:hAnsi="Times New Roman" w:cs="Times New Roman" w:eastAsia="Times New Roman" w:hint="default"/>
                            <w:sz w:val="18"/>
                            <w:szCs w:val="18"/>
                          </w:rPr>
                          <w:t>1</w:t>
                        </w:r>
                        <w:r>
                          <w:rPr>
                            <w:rFonts w:ascii="宋体" w:hAnsi="宋体" w:cs="宋体" w:eastAsia="宋体" w:hint="default"/>
                            <w:sz w:val="18"/>
                            <w:szCs w:val="18"/>
                          </w:rPr>
                          <w:t>）控制 </w:t>
                        </w:r>
                        <w:r>
                          <w:rPr>
                            <w:rFonts w:ascii="宋体" w:hAnsi="宋体" w:cs="宋体" w:eastAsia="宋体" w:hint="default"/>
                            <w:spacing w:val="-4"/>
                            <w:sz w:val="18"/>
                            <w:szCs w:val="18"/>
                          </w:rPr>
                          <w:t>环境无效；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）公司董事、监事和高级管理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人员舞弊并给企业造成重大损失和不利影 </w:t>
                        </w:r>
                        <w:r>
                          <w:rPr>
                            <w:rFonts w:ascii="宋体" w:hAnsi="宋体" w:cs="宋体" w:eastAsia="宋体" w:hint="default"/>
                            <w:spacing w:val="-4"/>
                            <w:sz w:val="18"/>
                            <w:szCs w:val="18"/>
                          </w:rPr>
                          <w:t>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）注册会计师发现当期财务报告存在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重大错报，而内部控制在运行过程中未能 </w:t>
                        </w:r>
                        <w:r>
                          <w:rPr>
                            <w:rFonts w:ascii="宋体" w:hAnsi="宋体" w:cs="宋体" w:eastAsia="宋体" w:hint="default"/>
                            <w:spacing w:val="-4"/>
                            <w:sz w:val="18"/>
                            <w:szCs w:val="18"/>
                          </w:rPr>
                          <w:t>发现该错报；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）已经发现并报告给管理层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的重大缺陷在合理的时间内未加以改正；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）审计委员会和内部审计部对公司的内部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控制监督无效。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、财务报告内控重要缺陷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是指：</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）财务报告过程中出现单独或多项缺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陷，虽然未达到重大缺陷认定标准，但影 响到财务报告达到真实、准确的目标。</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一般缺陷是指除上述重大缺陷、重要缺陷 之外的其他控制缺陷。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04" w:lineRule="auto" w:before="52"/>
                          <w:ind w:left="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、非财务报告内控重大缺陷是指：</w:t>
                        </w:r>
                        <w:r>
                          <w:rPr>
                            <w:rFonts w:ascii="Times New Roman" w:hAnsi="Times New Roman" w:cs="Times New Roman" w:eastAsia="Times New Roman" w:hint="default"/>
                            <w:sz w:val="18"/>
                            <w:szCs w:val="18"/>
                          </w:rPr>
                          <w:t>1</w:t>
                        </w:r>
                        <w:r>
                          <w:rPr>
                            <w:rFonts w:ascii="宋体" w:hAnsi="宋体" w:cs="宋体" w:eastAsia="宋体" w:hint="default"/>
                            <w:sz w:val="18"/>
                            <w:szCs w:val="18"/>
                          </w:rPr>
                          <w:t>） 公司存在重大资产被私人占用的行为；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）公司存在严重违反国家税收、法律 法规受到处罚的情况；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）公司存在中 高级管理人员或高级技术人员普遍流 失的情况；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）公司存在内部控制重大 缺陷未得到整改的情况；</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）公司存在 遭受证监会重大处罚事件或证券交易 </w:t>
                        </w:r>
                        <w:r>
                          <w:rPr>
                            <w:rFonts w:ascii="宋体" w:hAnsi="宋体" w:cs="宋体" w:eastAsia="宋体" w:hint="default"/>
                            <w:spacing w:val="-4"/>
                            <w:sz w:val="18"/>
                            <w:szCs w:val="18"/>
                          </w:rPr>
                          <w:t>所警告的情况；</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）公司出现严重质量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环境与职业健康安全事件。</w:t>
                        </w:r>
                        <w:r>
                          <w:rPr>
                            <w:rFonts w:ascii="Times New Roman" w:hAnsi="Times New Roman" w:cs="Times New Roman" w:eastAsia="Times New Roman" w:hint="default"/>
                            <w:sz w:val="18"/>
                            <w:szCs w:val="18"/>
                          </w:rPr>
                          <w:t>2</w:t>
                        </w:r>
                        <w:r>
                          <w:rPr>
                            <w:rFonts w:ascii="宋体" w:hAnsi="宋体" w:cs="宋体" w:eastAsia="宋体" w:hint="default"/>
                            <w:sz w:val="18"/>
                            <w:szCs w:val="18"/>
                          </w:rPr>
                          <w:t>、非财务 报告内控重要缺陷是指：</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）公司存在 大额资产运用失效的行为；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）公司关 键经营业务存在缺乏控制标准或标准 失效的情况；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）公司存在内部控制重 要的缺陷未得到整改的情况；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）公司 </w:t>
                        </w:r>
                        <w:r>
                          <w:rPr>
                            <w:rFonts w:ascii="宋体" w:hAnsi="宋体" w:cs="宋体" w:eastAsia="宋体" w:hint="default"/>
                            <w:spacing w:val="-4"/>
                            <w:sz w:val="18"/>
                            <w:szCs w:val="18"/>
                          </w:rPr>
                          <w:t>出现重要的质量、环境与职业健康安全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事件；</w:t>
                        </w:r>
                        <w:r>
                          <w:rPr>
                            <w:rFonts w:ascii="Times New Roman" w:hAnsi="Times New Roman" w:cs="Times New Roman" w:eastAsia="Times New Roman" w:hint="default"/>
                            <w:sz w:val="18"/>
                            <w:szCs w:val="18"/>
                          </w:rPr>
                          <w:t>5</w:t>
                        </w:r>
                        <w:r>
                          <w:rPr>
                            <w:rFonts w:ascii="宋体" w:hAnsi="宋体" w:cs="宋体" w:eastAsia="宋体" w:hint="default"/>
                            <w:sz w:val="18"/>
                            <w:szCs w:val="18"/>
                          </w:rPr>
                          <w:t>）公司管理层存在重要越权行 为。</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、一般缺陷的判断标准是指：除 上述重大、重要缺陷外的其他控制缺</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79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陷。</w:t>
            </w:r>
          </w:p>
        </w:tc>
      </w:tr>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、满足条件之一可评估为财务报告内控重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大缺陷：资产总额形成的潜在错报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资产总</w:t>
            </w:r>
            <w:r>
              <w:rPr>
                <w:rFonts w:ascii="宋体" w:hAnsi="宋体" w:cs="宋体" w:eastAsia="宋体" w:hint="default"/>
                <w:spacing w:val="-87"/>
                <w:sz w:val="18"/>
                <w:szCs w:val="18"/>
              </w:rPr>
              <w:t> </w:t>
            </w: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收入或成本形成的潜在错报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营收总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、上述标准以下分属内控重要缺陷 及一般缺陷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、满足条件之一可评估为非财务报告 </w:t>
            </w:r>
            <w:r>
              <w:rPr>
                <w:rFonts w:ascii="宋体" w:hAnsi="宋体" w:cs="宋体" w:eastAsia="宋体" w:hint="default"/>
                <w:spacing w:val="-4"/>
                <w:sz w:val="18"/>
                <w:szCs w:val="18"/>
              </w:rPr>
              <w:t>内控重大缺陷：资产总体形成的潜在损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收入或成本总体形成 的潜在损失</w:t>
            </w:r>
            <w:r>
              <w:rPr>
                <w:rFonts w:ascii="Times New Roman" w:hAnsi="Times New Roman" w:cs="Times New Roman" w:eastAsia="Times New Roman" w:hint="default"/>
                <w:sz w:val="18"/>
                <w:szCs w:val="18"/>
              </w:rPr>
              <w:t>≥</w:t>
            </w:r>
            <w:r>
              <w:rPr>
                <w:rFonts w:ascii="宋体" w:hAnsi="宋体" w:cs="宋体" w:eastAsia="宋体" w:hint="default"/>
                <w:sz w:val="18"/>
                <w:szCs w:val="18"/>
              </w:rPr>
              <w:t>营收总额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、上述标准 以下分属内控重要缺陷及一般缺陷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3"/>
        <w:spacing w:line="240" w:lineRule="auto" w:before="26"/>
        <w:ind w:right="1972"/>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16.679993pt;margin-top:739.109985pt;width:318.5pt;height:27pt;mso-position-horizontal-relative:page;mso-position-vertical-relative:page;z-index:-1440352" coordorigin="4334,14782" coordsize="6370,540">
            <v:group style="position:absolute;left:4345;top:14794;width:2;height:392" coordorigin="4345,14794" coordsize="2,392">
              <v:shape style="position:absolute;left:4345;top:14794;width:2;height:392" coordorigin="4345,14794" coordsize="0,392" path="m4345,14794l4345,15185e" filled="false" stroked="true" strokeweight="1.140pt" strokecolor="#ffffff">
                <v:path arrowok="t"/>
              </v:shape>
            </v:group>
            <v:group style="position:absolute;left:4334;top:15185;width:6370;height:137" coordorigin="4334,15185" coordsize="6370,137">
              <v:shape style="position:absolute;left:4334;top:15185;width:6370;height:137" coordorigin="4334,15185" coordsize="6370,137" path="m4334,15322l10703,15322,10703,15185,4334,15185,4334,15322xe" filled="true" fillcolor="#ffffff" stroked="false">
                <v:path arrowok="t"/>
                <v:fill type="solid"/>
              </v:shape>
            </v:group>
            <v:group style="position:absolute;left:4356;top:14794;width:6324;height:392" coordorigin="4356,14794" coordsize="6324,392">
              <v:shape style="position:absolute;left:4356;top:14794;width:6324;height:392" coordorigin="4356,14794" coordsize="6324,392" path="m4356,15185l10680,15185,10680,14794,4356,14794,4356,1518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972"/>
        <w:jc w:val="left"/>
        <w:rPr>
          <w:b w:val="0"/>
          <w:bCs w:val="0"/>
        </w:rPr>
      </w:pPr>
      <w:bookmarkStart w:name="第十节 公司债券相关情况" w:id="149"/>
      <w:bookmarkEnd w:id="149"/>
      <w:r>
        <w:rPr>
          <w:b w:val="0"/>
          <w:bCs w:val="0"/>
        </w:rPr>
      </w:r>
      <w:bookmarkStart w:name="_bookmark8"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3"/>
        <w:spacing w:line="240" w:lineRule="auto"/>
        <w:ind w:right="1972"/>
        <w:jc w:val="left"/>
        <w:rPr>
          <w:b w:val="0"/>
          <w:bCs w:val="0"/>
        </w:rPr>
      </w:pPr>
      <w:bookmarkStart w:name="一、公司债券基本信息" w:id="151"/>
      <w:bookmarkEnd w:id="151"/>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深圳天源迪科 信息技术股份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年面向合格投 资者公开发行 公司债券（第 一期）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迪科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112338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每年付息一 次，到期一次 还本，最后一 期利息随本金 的兑付一起支 付</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仅面向合格投资者发行</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年每年的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日为上一个计息年度的付息日，本期债券的兑付日为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309" w:lineRule="auto" w:before="61"/>
              <w:ind w:left="23" w:right="1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日（如遇法定及政府指定节假日或休息日，则顺延至其后的第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个交易日；顺延期</w:t>
            </w:r>
            <w:r>
              <w:rPr>
                <w:rFonts w:ascii="宋体" w:hAnsi="宋体" w:cs="宋体" w:eastAsia="宋体" w:hint="default"/>
                <w:sz w:val="18"/>
                <w:szCs w:val="18"/>
              </w:rPr>
              <w:t> </w:t>
            </w:r>
            <w:r>
              <w:rPr>
                <w:rFonts w:ascii="宋体" w:hAnsi="宋体" w:cs="宋体" w:eastAsia="宋体" w:hint="default"/>
                <w:spacing w:val="-3"/>
                <w:sz w:val="18"/>
                <w:szCs w:val="18"/>
              </w:rPr>
              <w:t>间兑付款项不另计利息）。截至本年度报告批准报出日已经兑付，兑付详情参见巨潮资讯网</w:t>
            </w:r>
            <w:r>
              <w:rPr>
                <w:rFonts w:ascii="宋体" w:hAnsi="宋体" w:cs="宋体" w:eastAsia="宋体" w:hint="default"/>
                <w:spacing w:val="-60"/>
                <w:sz w:val="18"/>
                <w:szCs w:val="18"/>
              </w:rPr>
              <w:t> </w:t>
            </w:r>
            <w:r>
              <w:rPr>
                <w:rFonts w:ascii="宋体" w:hAnsi="宋体" w:cs="宋体" w:eastAsia="宋体" w:hint="default"/>
                <w:spacing w:val="-60"/>
                <w:sz w:val="18"/>
                <w:szCs w:val="18"/>
              </w:rPr>
            </w:r>
            <w:hyperlink r:id="rId12">
              <w:r>
                <w:rPr>
                  <w:rFonts w:ascii="Times New Roman" w:hAnsi="Times New Roman" w:cs="Times New Roman" w:eastAsia="Times New Roman" w:hint="default"/>
                  <w:spacing w:val="-1"/>
                  <w:w w:val="99"/>
                  <w:sz w:val="18"/>
                  <w:szCs w:val="18"/>
                </w:rPr>
                <w:t>www.cninfo.com.cn</w:t>
              </w:r>
            </w:hyperlink>
            <w:r>
              <w:rPr>
                <w:rFonts w:ascii="宋体" w:hAnsi="宋体" w:cs="宋体" w:eastAsia="宋体" w:hint="default"/>
                <w:spacing w:val="-1"/>
                <w:w w:val="99"/>
                <w:sz w:val="18"/>
                <w:szCs w:val="18"/>
              </w:rPr>
              <w:t>（公告</w:t>
            </w:r>
            <w:r>
              <w:rPr>
                <w:rFonts w:ascii="宋体" w:hAnsi="宋体" w:cs="宋体" w:eastAsia="宋体" w:hint="default"/>
                <w:spacing w:val="-41"/>
                <w:w w:val="99"/>
                <w:sz w:val="18"/>
                <w:szCs w:val="18"/>
              </w:rPr>
              <w:t> </w:t>
            </w:r>
            <w:r>
              <w:rPr>
                <w:rFonts w:ascii="Times New Roman" w:hAnsi="Times New Roman" w:cs="Times New Roman" w:eastAsia="Times New Roman" w:hint="default"/>
                <w:spacing w:val="-20"/>
                <w:sz w:val="18"/>
                <w:szCs w:val="18"/>
              </w:rPr>
              <w:t>2019-02</w:t>
            </w:r>
            <w:r>
              <w:rPr>
                <w:rFonts w:ascii="宋体" w:hAnsi="宋体" w:cs="宋体" w:eastAsia="宋体" w:hint="default"/>
                <w:spacing w:val="-20"/>
                <w:sz w:val="18"/>
                <w:szCs w:val="18"/>
              </w:rPr>
              <w:t>）。</w:t>
            </w:r>
            <w:r>
              <w:rPr>
                <w:rFonts w:ascii="宋体" w:hAnsi="宋体" w:cs="宋体" w:eastAsia="宋体" w:hint="default"/>
                <w:sz w:val="18"/>
                <w:szCs w:val="18"/>
              </w:rPr>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3"/>
        <w:spacing w:line="240" w:lineRule="auto" w:before="26"/>
        <w:ind w:right="1972"/>
        <w:jc w:val="left"/>
        <w:rPr>
          <w:b w:val="0"/>
          <w:bCs w:val="0"/>
        </w:rPr>
      </w:pPr>
      <w:bookmarkStart w:name="二、债券受托管理人和资信评级机构信息" w:id="152"/>
      <w:bookmarkEnd w:id="152"/>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7"/>
        <w:gridCol w:w="1201"/>
        <w:gridCol w:w="785"/>
        <w:gridCol w:w="412"/>
        <w:gridCol w:w="1203"/>
        <w:gridCol w:w="1188"/>
        <w:gridCol w:w="1197"/>
        <w:gridCol w:w="1196"/>
        <w:gridCol w:w="1196"/>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78"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2"/>
              <w:ind w:left="21" w:right="73"/>
              <w:jc w:val="left"/>
              <w:rPr>
                <w:rFonts w:ascii="宋体" w:hAnsi="宋体" w:cs="宋体" w:eastAsia="宋体" w:hint="default"/>
                <w:sz w:val="18"/>
                <w:szCs w:val="18"/>
              </w:rPr>
            </w:pPr>
            <w:r>
              <w:rPr>
                <w:rFonts w:ascii="宋体" w:hAnsi="宋体" w:cs="宋体" w:eastAsia="宋体" w:hint="default"/>
                <w:sz w:val="18"/>
                <w:szCs w:val="18"/>
              </w:rPr>
              <w:t>招商证券股份 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9" w:space="0" w:color="D2D2D2"/>
              <w:right w:val="single" w:sz="9" w:space="0" w:color="D2D2D2"/>
            </w:tcBorders>
          </w:tcPr>
          <w:p>
            <w:pPr>
              <w:pStyle w:val="TableParagraph"/>
              <w:spacing w:line="316" w:lineRule="auto" w:before="56"/>
              <w:ind w:left="16"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 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w:t>
            </w:r>
          </w:p>
          <w:p>
            <w:pPr>
              <w:pStyle w:val="TableParagraph"/>
              <w:spacing w:line="240" w:lineRule="auto"/>
              <w:ind w:left="16" w:right="0"/>
              <w:jc w:val="both"/>
              <w:rPr>
                <w:rFonts w:ascii="宋体" w:hAnsi="宋体" w:cs="宋体" w:eastAsia="宋体" w:hint="default"/>
                <w:sz w:val="18"/>
                <w:szCs w:val="18"/>
              </w:rPr>
            </w:pPr>
            <w:r>
              <w:rPr>
                <w:rFonts w:ascii="宋体" w:hAnsi="宋体" w:cs="宋体" w:eastAsia="宋体" w:hint="default"/>
                <w:sz w:val="18"/>
                <w:szCs w:val="18"/>
              </w:rPr>
              <w:t>层</w:t>
            </w: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2"/>
              <w:ind w:left="22" w:right="69"/>
              <w:jc w:val="left"/>
              <w:rPr>
                <w:rFonts w:ascii="宋体" w:hAnsi="宋体" w:cs="宋体" w:eastAsia="宋体" w:hint="default"/>
                <w:sz w:val="18"/>
                <w:szCs w:val="18"/>
              </w:rPr>
            </w:pPr>
            <w:r>
              <w:rPr>
                <w:rFonts w:ascii="宋体" w:hAnsi="宋体" w:cs="宋体" w:eastAsia="宋体" w:hint="default"/>
                <w:sz w:val="18"/>
                <w:szCs w:val="18"/>
              </w:rPr>
              <w:t>文小俊、曹晓 旭</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0755-82943666</w:t>
            </w:r>
          </w:p>
        </w:tc>
      </w:tr>
      <w:tr>
        <w:trPr>
          <w:trHeight w:val="39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3" w:type="dxa"/>
            <w:vMerge/>
            <w:tcBorders>
              <w:left w:val="single" w:sz="9" w:space="0" w:color="D2D2D2"/>
              <w:right w:val="single" w:sz="9" w:space="0" w:color="D2D2D2"/>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7"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478"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9" w:space="0" w:color="D2D2D2"/>
              <w:bottom w:val="single" w:sz="4" w:space="0" w:color="000000"/>
              <w:right w:val="single" w:sz="9" w:space="0" w:color="D2D2D2"/>
            </w:tcBorders>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北京市朝阳区建外大街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674" w:hRule="exact"/>
        </w:trPr>
        <w:tc>
          <w:tcPr>
            <w:tcW w:w="31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w:t>
            </w:r>
          </w:p>
        </w:tc>
        <w:tc>
          <w:tcPr>
            <w:tcW w:w="639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期内，公司聘请的债券受托管理人、资信评级机构未发生变更。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25pt;height:34.7pt;mso-position-horizontal-relative:char;mso-position-vertical-relative:line" coordorigin="0,0" coordsize="9585,694">
            <v:group style="position:absolute;left:21;top:14;width:2;height:665" coordorigin="21,14" coordsize="2,665">
              <v:shape style="position:absolute;left:21;top:14;width:2;height:665" coordorigin="21,14" coordsize="0,665" path="m21,14l21,679e" filled="false" stroked="true" strokeweight="1.140pt" strokecolor="#d2d2d2">
                <v:path arrowok="t"/>
              </v:shape>
            </v:group>
            <v:group style="position:absolute;left:3182;top:14;width:2;height:665" coordorigin="3182,14" coordsize="2,665">
              <v:shape style="position:absolute;left:3182;top:14;width:2;height:665" coordorigin="3182,14" coordsize="0,665" path="m3182,14l3182,679e" filled="false" stroked="true" strokeweight="1.140pt" strokecolor="#d2d2d2">
                <v:path arrowok="t"/>
              </v:shape>
            </v:group>
            <v:group style="position:absolute;left:32;top:14;width:3139;height:312" coordorigin="32,14" coordsize="3139,312">
              <v:shape style="position:absolute;left:32;top:14;width:3139;height:312" coordorigin="32,14" coordsize="3139,312" path="m32,326l3171,326,3171,14,32,14,32,326xe" filled="true" fillcolor="#d2d2d2" stroked="false">
                <v:path arrowok="t"/>
                <v:fill type="solid"/>
              </v:shape>
            </v:group>
            <v:group style="position:absolute;left:32;top:326;width:3139;height:353" coordorigin="32,326" coordsize="3139,353">
              <v:shape style="position:absolute;left:32;top:326;width:3139;height:353" coordorigin="32,326" coordsize="3139,353" path="m32,679l3171,679,3171,326,32,326,32,679xe" filled="true" fillcolor="#d2d2d2" stroked="false">
                <v:path arrowok="t"/>
                <v:fill type="solid"/>
              </v:shape>
            </v:group>
            <v:group style="position:absolute;left:10;top:10;width:3186;height:2" coordorigin="10,10" coordsize="3186,2">
              <v:shape style="position:absolute;left:10;top:10;width:3186;height:2" coordorigin="10,10" coordsize="3186,0" path="m10,10l3195,10e" filled="false" stroked="true" strokeweight=".48pt" strokecolor="#000000">
                <v:path arrowok="t"/>
              </v:shape>
            </v:group>
            <v:group style="position:absolute;left:3204;top:10;width:6371;height:2" coordorigin="3204,10" coordsize="6371,2">
              <v:shape style="position:absolute;left:3204;top:10;width:6371;height:2" coordorigin="3204,10" coordsize="6371,0" path="m3204,10l9575,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3186;height:2" coordorigin="10,684" coordsize="3186,2">
              <v:shape style="position:absolute;left:10;top:684;width:3186;height:2" coordorigin="10,684" coordsize="3186,0" path="m10,684l3195,684e" filled="false" stroked="true" strokeweight=".48pt" strokecolor="#000000">
                <v:path arrowok="t"/>
              </v:shape>
            </v:group>
            <v:group style="position:absolute;left:3200;top:5;width:2;height:684" coordorigin="3200,5" coordsize="2,684">
              <v:shape style="position:absolute;left:3200;top:5;width:2;height:684" coordorigin="3200,5" coordsize="0,684" path="m3200,5l3200,689e" filled="false" stroked="true" strokeweight=".48pt" strokecolor="#000000">
                <v:path arrowok="t"/>
              </v:shape>
            </v:group>
            <v:group style="position:absolute;left:3204;top:684;width:6371;height:2" coordorigin="3204,684" coordsize="6371,2">
              <v:shape style="position:absolute;left:3204;top:684;width:6371;height:2" coordorigin="3204,684" coordsize="6371,0" path="m3204,684l9575,684e" filled="false" stroked="true" strokeweight=".48pt" strokecolor="#000000">
                <v:path arrowok="t"/>
              </v:shape>
            </v:group>
            <v:group style="position:absolute;left:9580;top:5;width:2;height:684" coordorigin="9580,5" coordsize="2,684">
              <v:shape style="position:absolute;left:9580;top:5;width:2;height:684" coordorigin="9580,5" coordsize="0,684" path="m9580,5l9580,689e" filled="false" stroked="true" strokeweight=".47998pt" strokecolor="#000000">
                <v:path arrowok="t"/>
              </v:shape>
              <v:shape style="position:absolute;left:5;top:10;width:3195;height:675" type="#_x0000_t202" filled="false" stroked="false">
                <v:textbox inset="0,0,0,0">
                  <w:txbxContent>
                    <w:p>
                      <w:pPr>
                        <w:spacing w:line="319" w:lineRule="auto" w:before="15"/>
                        <w:ind w:left="27" w:right="26" w:firstLine="0"/>
                        <w:jc w:val="left"/>
                        <w:rPr>
                          <w:rFonts w:ascii="宋体" w:hAnsi="宋体" w:cs="宋体" w:eastAsia="宋体" w:hint="default"/>
                          <w:sz w:val="18"/>
                          <w:szCs w:val="18"/>
                        </w:rPr>
                      </w:pP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b/>
          <w:bCs/>
          <w:sz w:val="17"/>
          <w:szCs w:val="17"/>
        </w:rPr>
      </w:pPr>
    </w:p>
    <w:p>
      <w:pPr>
        <w:pStyle w:val="Heading3"/>
        <w:spacing w:line="240" w:lineRule="auto" w:before="26"/>
        <w:ind w:right="1972"/>
        <w:jc w:val="left"/>
        <w:rPr>
          <w:b w:val="0"/>
          <w:bCs w:val="0"/>
        </w:rPr>
      </w:pPr>
      <w:bookmarkStart w:name="三、公司债券募集资金使用情况" w:id="153"/>
      <w:bookmarkEnd w:id="153"/>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32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1"/>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日，公司召开了第三届董事会第十八次董事会会议，审议通过</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3"/>
                <w:sz w:val="18"/>
                <w:szCs w:val="18"/>
              </w:rPr>
              <w:t>了有关本次发行的议案，并作出了将该议案提交发行人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w:t>
            </w:r>
          </w:p>
          <w:p>
            <w:pPr>
              <w:pStyle w:val="TableParagraph"/>
              <w:spacing w:line="307"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会会议审议的决议。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w:t>
            </w:r>
            <w:r>
              <w:rPr>
                <w:rFonts w:ascii="宋体" w:hAnsi="宋体" w:cs="宋体" w:eastAsia="宋体" w:hint="default"/>
                <w:spacing w:val="-5"/>
                <w:sz w:val="18"/>
                <w:szCs w:val="18"/>
              </w:rPr>
              <w:t>大会会议，审议通过了《关于公司符合公开发行公司债券条件的议案》、《关于发</w:t>
            </w:r>
            <w:r>
              <w:rPr>
                <w:rFonts w:ascii="宋体" w:hAnsi="宋体" w:cs="宋体" w:eastAsia="宋体" w:hint="default"/>
                <w:sz w:val="18"/>
                <w:szCs w:val="18"/>
              </w:rPr>
              <w:t> 行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年度深圳天源迪科信息技术股份有限公司公司债券方案的议案》（逐项审</w:t>
            </w:r>
            <w:r>
              <w:rPr>
                <w:rFonts w:ascii="宋体" w:hAnsi="宋体" w:cs="宋体" w:eastAsia="宋体" w:hint="default"/>
                <w:sz w:val="18"/>
                <w:szCs w:val="18"/>
              </w:rPr>
              <w:t> </w:t>
            </w:r>
            <w:r>
              <w:rPr>
                <w:rFonts w:ascii="宋体" w:hAnsi="宋体" w:cs="宋体" w:eastAsia="宋体" w:hint="default"/>
                <w:spacing w:val="-5"/>
                <w:sz w:val="18"/>
                <w:szCs w:val="18"/>
              </w:rPr>
              <w:t>议）、《关于提请股东大会授权董事会或董事会授权人士办理本次公开发行公司债</w:t>
            </w:r>
            <w:r>
              <w:rPr>
                <w:rFonts w:ascii="宋体" w:hAnsi="宋体" w:cs="宋体" w:eastAsia="宋体" w:hint="default"/>
                <w:sz w:val="18"/>
                <w:szCs w:val="18"/>
              </w:rPr>
              <w:t> </w:t>
            </w:r>
            <w:r>
              <w:rPr>
                <w:rFonts w:ascii="宋体" w:hAnsi="宋体" w:cs="宋体" w:eastAsia="宋体" w:hint="default"/>
                <w:spacing w:val="-2"/>
                <w:sz w:val="18"/>
                <w:szCs w:val="18"/>
              </w:rPr>
              <w:t>券相关事项的议案》等议案。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、本次债券经中国证券监督管理委员会（证监许可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[2015]3061 </w:t>
            </w:r>
            <w:r>
              <w:rPr>
                <w:rFonts w:ascii="宋体" w:hAnsi="宋体" w:cs="宋体" w:eastAsia="宋体" w:hint="default"/>
                <w:spacing w:val="-5"/>
                <w:sz w:val="18"/>
                <w:szCs w:val="18"/>
              </w:rPr>
              <w:t>号）文核准公开发行，公司于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日公开发行了深圳天源迪</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科信息技术股份有限公司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年面向合格投资者公开发行公司债券（第一期</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发行规模为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亿元，本次募集款项扣除发行费用共计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公司建立了募集资金专项存储账户。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日，立信会计师事务所（特殊 普通合伙）出具《深圳天源迪科信息技术股份有限公司公开发行公司债券认购资 </w:t>
            </w:r>
            <w:r>
              <w:rPr>
                <w:rFonts w:ascii="宋体" w:hAnsi="宋体" w:cs="宋体" w:eastAsia="宋体" w:hint="default"/>
                <w:spacing w:val="-5"/>
                <w:sz w:val="18"/>
                <w:szCs w:val="18"/>
              </w:rPr>
              <w:t>金到位的验证报告》（信会师报字</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310162 </w:t>
            </w:r>
            <w:r>
              <w:rPr>
                <w:rFonts w:ascii="宋体" w:hAnsi="宋体" w:cs="宋体" w:eastAsia="宋体" w:hint="default"/>
                <w:spacing w:val="-13"/>
                <w:sz w:val="18"/>
                <w:szCs w:val="18"/>
              </w:rPr>
              <w:t>号），确认截至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日止，发行人共计募集货币资金人民币贰亿元整，扣除各项发行费用人民币壹佰 柒拾万元整，实际募集资金净额为人民币壹亿玖仟捌佰叁拾万元整；实际募集资 金净额已全部划入发行人指定的银行账户。</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spacing w:line="240" w:lineRule="auto" w:before="2"/>
        <w:rPr>
          <w:rFonts w:ascii="宋体" w:hAnsi="宋体" w:cs="宋体" w:eastAsia="宋体" w:hint="default"/>
          <w:b/>
          <w:bCs/>
          <w:sz w:val="18"/>
          <w:szCs w:val="18"/>
        </w:rPr>
      </w:pPr>
    </w:p>
    <w:p>
      <w:pPr>
        <w:pStyle w:val="Heading3"/>
        <w:spacing w:line="240" w:lineRule="auto" w:before="26"/>
        <w:ind w:right="1972"/>
        <w:jc w:val="left"/>
        <w:rPr>
          <w:b w:val="0"/>
          <w:bCs w:val="0"/>
        </w:rPr>
      </w:pPr>
      <w:bookmarkStart w:name="四、公司债券信息评级情况" w:id="154"/>
      <w:bookmarkEnd w:id="154"/>
      <w:r>
        <w:rPr>
          <w:b w:val="0"/>
          <w:bCs w:val="0"/>
        </w:rPr>
      </w:r>
      <w:r>
        <w:rPr/>
        <w:t>四、公司债券信息评级情况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31" w:firstLine="420"/>
        <w:jc w:val="both"/>
      </w:pPr>
      <w:r>
        <w:rPr>
          <w:spacing w:val="-1"/>
        </w:rPr>
        <w:t>联合信用评级出具的《深圳天源迪科信息技术股份有限公司</w:t>
      </w:r>
      <w:r>
        <w:rPr>
          <w:rFonts w:ascii="Times New Roman" w:hAnsi="Times New Roman" w:cs="Times New Roman" w:eastAsia="Times New Roman" w:hint="default"/>
          <w:spacing w:val="-1"/>
        </w:rPr>
        <w:t>2015</w:t>
      </w:r>
      <w:r>
        <w:rPr>
          <w:spacing w:val="-1"/>
        </w:rPr>
        <w:t>年公司债券信用评级分析报告》，公</w:t>
      </w:r>
      <w:r>
        <w:rPr/>
        <w:t> 司的主体信用等级为</w:t>
      </w:r>
      <w:r>
        <w:rPr>
          <w:rFonts w:ascii="Times New Roman" w:hAnsi="Times New Roman" w:cs="Times New Roman" w:eastAsia="Times New Roman" w:hint="default"/>
        </w:rPr>
        <w:t>AA-</w:t>
      </w:r>
      <w:r>
        <w:rPr/>
        <w:t>，本期债券信用等级为</w:t>
      </w:r>
      <w:r>
        <w:rPr>
          <w:rFonts w:ascii="Times New Roman" w:hAnsi="Times New Roman" w:cs="Times New Roman" w:eastAsia="Times New Roman" w:hint="default"/>
        </w:rPr>
        <w:t>AA+</w:t>
      </w:r>
      <w:r>
        <w:rPr/>
        <w:t>。在本期债券的存续期内，资信评级机构每年将对公</w:t>
      </w:r>
      <w:r>
        <w:rPr>
          <w:spacing w:val="-90"/>
        </w:rPr>
        <w:t> </w:t>
      </w:r>
      <w:r>
        <w:rPr>
          <w:spacing w:val="-90"/>
        </w:rPr>
      </w:r>
      <w:r>
        <w:rPr/>
        <w:t>司主体信用等级和本期债券信用等级进行一次跟踪评级。</w:t>
      </w:r>
    </w:p>
    <w:p>
      <w:pPr>
        <w:pStyle w:val="BodyText"/>
        <w:spacing w:line="240" w:lineRule="auto" w:before="22"/>
        <w:ind w:left="574"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日，联合信用评级出具《天源迪科：公司债券（第一期）</w:t>
      </w:r>
      <w:r>
        <w:rPr>
          <w:rFonts w:ascii="Times New Roman" w:hAnsi="Times New Roman" w:cs="Times New Roman" w:eastAsia="Times New Roman" w:hint="default"/>
        </w:rPr>
        <w:t>2016</w:t>
      </w:r>
      <w:r>
        <w:rPr/>
        <w:t>年跟踪评级报告》，根据</w:t>
      </w:r>
    </w:p>
    <w:p>
      <w:pPr>
        <w:pStyle w:val="BodyText"/>
        <w:spacing w:line="256" w:lineRule="auto" w:before="21"/>
        <w:ind w:right="0"/>
        <w:jc w:val="left"/>
      </w:pPr>
      <w:r>
        <w:rPr/>
        <w:t>《跟踪评级报告》，公司的主体信用等级为</w:t>
      </w:r>
      <w:r>
        <w:rPr>
          <w:rFonts w:ascii="Times New Roman" w:hAnsi="Times New Roman" w:cs="Times New Roman" w:eastAsia="Times New Roman" w:hint="default"/>
        </w:rPr>
        <w:t>AA-</w:t>
      </w:r>
      <w:r>
        <w:rPr/>
        <w:t>，本期债券信用等级为</w:t>
      </w:r>
      <w:r>
        <w:rPr>
          <w:rFonts w:ascii="Times New Roman" w:hAnsi="Times New Roman" w:cs="Times New Roman" w:eastAsia="Times New Roman" w:hint="default"/>
        </w:rPr>
        <w:t>AA+</w:t>
      </w:r>
      <w:r>
        <w:rPr/>
        <w:t>。《天源迪科：公司债券（第</w:t>
      </w:r>
      <w:r>
        <w:rPr>
          <w:spacing w:val="-90"/>
        </w:rPr>
        <w:t> </w:t>
      </w:r>
      <w:r>
        <w:rPr>
          <w:spacing w:val="-90"/>
        </w:rPr>
      </w:r>
      <w:r>
        <w:rPr/>
        <w:t>一期）</w:t>
      </w:r>
      <w:r>
        <w:rPr>
          <w:rFonts w:ascii="Times New Roman" w:hAnsi="Times New Roman" w:cs="Times New Roman" w:eastAsia="Times New Roman" w:hint="default"/>
        </w:rPr>
        <w:t>2016</w:t>
      </w:r>
      <w:r>
        <w:rPr/>
        <w:t>年跟踪评级报告》详见公司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日公告。</w:t>
      </w:r>
    </w:p>
    <w:p>
      <w:pPr>
        <w:pStyle w:val="BodyText"/>
        <w:spacing w:line="240" w:lineRule="auto" w:before="5"/>
        <w:ind w:left="57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日，联合信用评级出具《天源迪科：公司债券（第一期）</w:t>
      </w:r>
      <w:r>
        <w:rPr>
          <w:rFonts w:ascii="Times New Roman" w:hAnsi="Times New Roman" w:cs="Times New Roman" w:eastAsia="Times New Roman" w:hint="default"/>
        </w:rPr>
        <w:t>2017</w:t>
      </w:r>
      <w:r>
        <w:rPr/>
        <w:t>年跟踪评级报告》，根据</w:t>
      </w:r>
    </w:p>
    <w:p>
      <w:pPr>
        <w:pStyle w:val="BodyText"/>
        <w:spacing w:line="256" w:lineRule="auto" w:before="21"/>
        <w:ind w:right="0"/>
        <w:jc w:val="left"/>
      </w:pPr>
      <w:r>
        <w:rPr/>
        <w:t>《跟踪评级报告》，公司的主体信用等级为</w:t>
      </w:r>
      <w:r>
        <w:rPr>
          <w:rFonts w:ascii="Times New Roman" w:hAnsi="Times New Roman" w:cs="Times New Roman" w:eastAsia="Times New Roman" w:hint="default"/>
        </w:rPr>
        <w:t>AA-</w:t>
      </w:r>
      <w:r>
        <w:rPr/>
        <w:t>，本期债券信用等级为</w:t>
      </w:r>
      <w:r>
        <w:rPr>
          <w:rFonts w:ascii="Times New Roman" w:hAnsi="Times New Roman" w:cs="Times New Roman" w:eastAsia="Times New Roman" w:hint="default"/>
        </w:rPr>
        <w:t>AA+</w:t>
      </w:r>
      <w:r>
        <w:rPr/>
        <w:t>。《天源迪科：公司债券（第</w:t>
      </w:r>
      <w:r>
        <w:rPr>
          <w:spacing w:val="-90"/>
        </w:rPr>
        <w:t> </w:t>
      </w:r>
      <w:r>
        <w:rPr>
          <w:spacing w:val="-90"/>
        </w:rPr>
      </w:r>
      <w:r>
        <w:rPr/>
        <w:t>一期）</w:t>
      </w:r>
      <w:r>
        <w:rPr>
          <w:rFonts w:ascii="Times New Roman" w:hAnsi="Times New Roman" w:cs="Times New Roman" w:eastAsia="Times New Roman" w:hint="default"/>
        </w:rPr>
        <w:t>2017</w:t>
      </w:r>
      <w:r>
        <w:rPr/>
        <w:t>年跟踪评级报告》详见公司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日公告。</w:t>
      </w:r>
    </w:p>
    <w:p>
      <w:pPr>
        <w:pStyle w:val="BodyText"/>
        <w:spacing w:line="261" w:lineRule="auto" w:before="5"/>
        <w:ind w:right="1129"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日，联合信用评级出具《关于上调深圳天源迪科信息技术股份有限公司</w:t>
      </w:r>
      <w:r>
        <w:rPr>
          <w:rFonts w:ascii="Times New Roman" w:hAnsi="Times New Roman" w:cs="Times New Roman" w:eastAsia="Times New Roman" w:hint="default"/>
        </w:rPr>
        <w:t>“16</w:t>
      </w:r>
      <w:r>
        <w:rPr/>
        <w:t>迪科</w:t>
      </w:r>
      <w:r>
        <w:rPr>
          <w:rFonts w:ascii="Times New Roman" w:hAnsi="Times New Roman" w:cs="Times New Roman" w:eastAsia="Times New Roman" w:hint="default"/>
        </w:rPr>
        <w:t>01”</w:t>
      </w:r>
      <w:r>
        <w:rPr/>
        <w:t>债项信</w:t>
      </w:r>
      <w:r>
        <w:rPr>
          <w:w w:val="100"/>
        </w:rPr>
        <w:t> </w:t>
      </w:r>
      <w:r>
        <w:rPr/>
        <w:t>用等级的公告》，联合信用评级将公司发行的</w:t>
      </w:r>
      <w:r>
        <w:rPr>
          <w:rFonts w:ascii="Times New Roman" w:hAnsi="Times New Roman" w:cs="Times New Roman" w:eastAsia="Times New Roman" w:hint="default"/>
        </w:rPr>
        <w:t>“16</w:t>
      </w:r>
      <w:r>
        <w:rPr/>
        <w:t>迪科</w:t>
      </w:r>
      <w:r>
        <w:rPr>
          <w:rFonts w:ascii="Times New Roman" w:hAnsi="Times New Roman" w:cs="Times New Roman" w:eastAsia="Times New Roman" w:hint="default"/>
        </w:rPr>
        <w:t>01”</w:t>
      </w:r>
      <w:r>
        <w:rPr/>
        <w:t>债项信用等级由</w:t>
      </w:r>
      <w:r>
        <w:rPr>
          <w:rFonts w:ascii="Times New Roman" w:hAnsi="Times New Roman" w:cs="Times New Roman" w:eastAsia="Times New Roman" w:hint="default"/>
        </w:rPr>
        <w:t>“AA+”</w:t>
      </w:r>
      <w:r>
        <w:rPr/>
        <w:t>上调至</w:t>
      </w:r>
      <w:r>
        <w:rPr>
          <w:rFonts w:ascii="Times New Roman" w:hAnsi="Times New Roman" w:cs="Times New Roman" w:eastAsia="Times New Roman" w:hint="default"/>
        </w:rPr>
        <w:t>“AAA”</w:t>
      </w:r>
      <w:r>
        <w:rPr>
          <w:rFonts w:ascii="Times New Roman" w:hAnsi="Times New Roman" w:cs="Times New Roman" w:eastAsia="Times New Roman" w:hint="default"/>
          <w:spacing w:val="-12"/>
        </w:rPr>
        <w:t> </w:t>
      </w:r>
      <w:r>
        <w:rPr>
          <w:spacing w:val="-5"/>
        </w:rPr>
        <w:t>，此次评级</w:t>
      </w:r>
      <w:r>
        <w:rPr/>
        <w:t> </w:t>
      </w:r>
      <w:r>
        <w:rPr>
          <w:spacing w:val="-1"/>
        </w:rPr>
        <w:t>调整不会对公司偿债能力产生实质性影响，不会对债券投资者适当性管理、债券质押式回购资格等产生影</w:t>
      </w:r>
      <w:r>
        <w:rPr>
          <w:spacing w:val="-81"/>
        </w:rPr>
        <w:t> </w:t>
      </w:r>
      <w:r>
        <w:rPr>
          <w:spacing w:val="-81"/>
        </w:rPr>
      </w:r>
      <w:r>
        <w:rPr/>
        <w:t>响。详见公司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日公告。</w:t>
      </w:r>
    </w:p>
    <w:p>
      <w:pPr>
        <w:pStyle w:val="BodyText"/>
        <w:spacing w:line="240" w:lineRule="auto" w:before="0"/>
        <w:ind w:left="57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日，联合信用评级出具《天源迪科：公司债券（第一期）</w:t>
      </w:r>
      <w:r>
        <w:rPr>
          <w:rFonts w:ascii="Times New Roman" w:hAnsi="Times New Roman" w:cs="Times New Roman" w:eastAsia="Times New Roman" w:hint="default"/>
        </w:rPr>
        <w:t>2018</w:t>
      </w:r>
      <w:r>
        <w:rPr/>
        <w:t>年跟踪评级报告》，根据</w:t>
      </w:r>
    </w:p>
    <w:p>
      <w:pPr>
        <w:pStyle w:val="BodyText"/>
        <w:spacing w:line="256" w:lineRule="auto" w:before="21"/>
        <w:ind w:right="0"/>
        <w:jc w:val="left"/>
      </w:pPr>
      <w:r>
        <w:rPr>
          <w:spacing w:val="-1"/>
        </w:rPr>
        <w:t>《跟踪评级报告》，公司的主体信用等级为</w:t>
      </w:r>
      <w:r>
        <w:rPr>
          <w:rFonts w:ascii="Times New Roman" w:hAnsi="Times New Roman" w:cs="Times New Roman" w:eastAsia="Times New Roman" w:hint="default"/>
          <w:spacing w:val="-1"/>
        </w:rPr>
        <w:t>AA-</w:t>
      </w:r>
      <w:r>
        <w:rPr>
          <w:spacing w:val="-1"/>
        </w:rPr>
        <w:t>，本期债券信用等级为</w:t>
      </w:r>
      <w:r>
        <w:rPr>
          <w:rFonts w:ascii="Times New Roman" w:hAnsi="Times New Roman" w:cs="Times New Roman" w:eastAsia="Times New Roman" w:hint="default"/>
          <w:spacing w:val="-1"/>
        </w:rPr>
        <w:t>AAA</w:t>
      </w:r>
      <w:r>
        <w:rPr>
          <w:spacing w:val="-1"/>
        </w:rPr>
        <w:t>。《天源迪科：公司债券（第</w:t>
      </w:r>
      <w:r>
        <w:rPr>
          <w:spacing w:val="-76"/>
        </w:rPr>
        <w:t> </w:t>
      </w:r>
      <w:r>
        <w:rPr>
          <w:spacing w:val="-76"/>
        </w:rPr>
      </w:r>
      <w:r>
        <w:rPr/>
        <w:t>一期）</w:t>
      </w:r>
      <w:r>
        <w:rPr>
          <w:rFonts w:ascii="Times New Roman" w:hAnsi="Times New Roman" w:cs="Times New Roman" w:eastAsia="Times New Roman" w:hint="default"/>
        </w:rPr>
        <w:t>2018</w:t>
      </w:r>
      <w:r>
        <w:rPr/>
        <w:t>年跟踪评级报告》详见公司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日公告。</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1972"/>
        <w:jc w:val="left"/>
        <w:rPr>
          <w:b w:val="0"/>
          <w:bCs w:val="0"/>
        </w:rPr>
      </w:pPr>
      <w:bookmarkStart w:name="五、公司债券增信机制、偿债计划及其他偿债保障措施" w:id="155"/>
      <w:bookmarkEnd w:id="155"/>
      <w:r>
        <w:rPr>
          <w:b w:val="0"/>
          <w:bCs w:val="0"/>
        </w:rPr>
      </w:r>
      <w:r>
        <w:rPr/>
        <w:t>五、公司债券增信机制、偿债计划及其他偿债保障措施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注：一、增信机制 </w:t>
      </w:r>
      <w:r>
        <w:rPr>
          <w:rFonts w:ascii="宋体" w:hAnsi="宋体" w:cs="宋体" w:eastAsia="宋体" w:hint="default"/>
          <w:spacing w:val="-2"/>
          <w:sz w:val="18"/>
          <w:szCs w:val="18"/>
        </w:rPr>
        <w:t>本次债券由深圳市中小企业信用融资担保集团有限公司出具《担保函》，对债券存续年度内应支付的债券本金及利息提供全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额无条件不可撤销的担保。</w:t>
      </w:r>
    </w:p>
    <w:p>
      <w:pPr>
        <w:spacing w:before="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、担保人概况</w:t>
      </w:r>
    </w:p>
    <w:p>
      <w:pPr>
        <w:spacing w:line="316" w:lineRule="auto" w:before="63"/>
        <w:ind w:left="516" w:right="6070" w:firstLine="0"/>
        <w:jc w:val="left"/>
        <w:rPr>
          <w:rFonts w:ascii="宋体" w:hAnsi="宋体" w:cs="宋体" w:eastAsia="宋体" w:hint="default"/>
          <w:sz w:val="18"/>
          <w:szCs w:val="18"/>
        </w:rPr>
      </w:pPr>
      <w:r>
        <w:rPr>
          <w:rFonts w:ascii="宋体" w:hAnsi="宋体" w:cs="宋体" w:eastAsia="宋体" w:hint="default"/>
          <w:sz w:val="18"/>
          <w:szCs w:val="18"/>
        </w:rPr>
        <w:t>公司名称：深圳市中小企业信用融资担保集团有限公司 法定代表人：胡泽恩</w:t>
      </w:r>
    </w:p>
    <w:p>
      <w:pPr>
        <w:spacing w:line="300" w:lineRule="auto" w:before="19"/>
        <w:ind w:left="516" w:right="8185" w:firstLine="0"/>
        <w:jc w:val="left"/>
        <w:rPr>
          <w:rFonts w:ascii="宋体" w:hAnsi="宋体" w:cs="宋体" w:eastAsia="宋体" w:hint="default"/>
          <w:sz w:val="18"/>
          <w:szCs w:val="18"/>
        </w:rPr>
      </w:pPr>
      <w:r>
        <w:rPr>
          <w:rFonts w:ascii="宋体" w:hAnsi="宋体" w:cs="宋体" w:eastAsia="宋体" w:hint="default"/>
          <w:sz w:val="18"/>
          <w:szCs w:val="18"/>
        </w:rPr>
        <w:t>设立日期：</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 注册资本：</w:t>
      </w:r>
      <w:r>
        <w:rPr>
          <w:rFonts w:ascii="Times New Roman" w:hAnsi="Times New Roman" w:cs="Times New Roman" w:eastAsia="Times New Roman" w:hint="default"/>
          <w:sz w:val="18"/>
          <w:szCs w:val="18"/>
        </w:rPr>
        <w:t>54.95293214</w:t>
      </w:r>
      <w:r>
        <w:rPr>
          <w:rFonts w:ascii="宋体" w:hAnsi="宋体" w:cs="宋体" w:eastAsia="宋体" w:hint="default"/>
          <w:sz w:val="18"/>
          <w:szCs w:val="18"/>
        </w:rPr>
        <w:t>亿元</w:t>
      </w:r>
    </w:p>
    <w:p>
      <w:pPr>
        <w:spacing w:line="300" w:lineRule="auto" w:before="13"/>
        <w:ind w:left="371" w:right="1175" w:firstLine="145"/>
        <w:jc w:val="left"/>
        <w:rPr>
          <w:rFonts w:ascii="宋体" w:hAnsi="宋体" w:cs="宋体" w:eastAsia="宋体" w:hint="default"/>
          <w:sz w:val="18"/>
          <w:szCs w:val="18"/>
        </w:rPr>
      </w:pPr>
      <w:r>
        <w:rPr>
          <w:rFonts w:ascii="宋体" w:hAnsi="宋体" w:cs="宋体" w:eastAsia="宋体" w:hint="default"/>
          <w:sz w:val="18"/>
          <w:szCs w:val="18"/>
        </w:rPr>
        <w:t>住所：深圳市南山区滨海大道深圳市软件产业基地</w:t>
      </w:r>
      <w:r>
        <w:rPr>
          <w:rFonts w:ascii="Times New Roman" w:hAnsi="Times New Roman" w:cs="Times New Roman" w:eastAsia="Times New Roman" w:hint="default"/>
          <w:sz w:val="18"/>
          <w:szCs w:val="18"/>
        </w:rPr>
        <w:t>2</w:t>
      </w:r>
      <w:r>
        <w:rPr>
          <w:rFonts w:ascii="宋体" w:hAnsi="宋体" w:cs="宋体" w:eastAsia="宋体" w:hint="default"/>
          <w:sz w:val="18"/>
          <w:szCs w:val="18"/>
        </w:rPr>
        <w:t>栋</w:t>
      </w:r>
      <w:r>
        <w:rPr>
          <w:rFonts w:ascii="Times New Roman" w:hAnsi="Times New Roman" w:cs="Times New Roman" w:eastAsia="Times New Roman" w:hint="default"/>
          <w:sz w:val="18"/>
          <w:szCs w:val="18"/>
        </w:rPr>
        <w:t>C</w:t>
      </w:r>
      <w:r>
        <w:rPr>
          <w:rFonts w:ascii="宋体" w:hAnsi="宋体" w:cs="宋体" w:eastAsia="宋体" w:hint="default"/>
          <w:sz w:val="18"/>
          <w:szCs w:val="18"/>
        </w:rPr>
        <w:t>座</w:t>
      </w:r>
      <w:r>
        <w:rPr>
          <w:rFonts w:ascii="Times New Roman" w:hAnsi="Times New Roman" w:cs="Times New Roman" w:eastAsia="Times New Roman" w:hint="default"/>
          <w:sz w:val="18"/>
          <w:szCs w:val="18"/>
        </w:rPr>
        <w:t>17</w:t>
      </w:r>
      <w:r>
        <w:rPr>
          <w:rFonts w:ascii="宋体" w:hAnsi="宋体" w:cs="宋体" w:eastAsia="宋体" w:hint="default"/>
          <w:sz w:val="18"/>
          <w:szCs w:val="18"/>
        </w:rPr>
        <w:t>楼 经营范围：为企业及个人提供贷款担保、信用证担保等融资性担保；开展再担保业务；办理债券发行担保业务；兼营诉</w:t>
      </w:r>
    </w:p>
    <w:p>
      <w:pPr>
        <w:spacing w:before="31"/>
        <w:ind w:left="154" w:right="1972" w:firstLine="0"/>
        <w:jc w:val="left"/>
        <w:rPr>
          <w:rFonts w:ascii="宋体" w:hAnsi="宋体" w:cs="宋体" w:eastAsia="宋体" w:hint="default"/>
          <w:sz w:val="18"/>
          <w:szCs w:val="18"/>
        </w:rPr>
      </w:pPr>
      <w:r>
        <w:rPr>
          <w:rFonts w:ascii="宋体" w:hAnsi="宋体" w:cs="宋体" w:eastAsia="宋体" w:hint="default"/>
          <w:sz w:val="18"/>
          <w:szCs w:val="18"/>
        </w:rPr>
        <w:t>讼保全担保、履约担保业务，与担保业务有关的融资咨询、财务顾问等中介服务，以自有资金进行投资。</w:t>
      </w:r>
    </w:p>
    <w:p>
      <w:pPr>
        <w:spacing w:line="304" w:lineRule="auto" w:before="76"/>
        <w:ind w:left="154" w:right="39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、担保人资信情况 经联合信用出具的信用评级报告综合评定，深圳中小担信用评级为</w:t>
      </w:r>
      <w:r>
        <w:rPr>
          <w:rFonts w:ascii="Times New Roman" w:hAnsi="Times New Roman" w:cs="Times New Roman" w:eastAsia="Times New Roman" w:hint="default"/>
          <w:sz w:val="18"/>
          <w:szCs w:val="18"/>
        </w:rPr>
        <w:t>AAA</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、担保人报告期相关履约情况 报告期内，担保人深圳中小担在偿还银行债务、与客户往来方面不存在重大违约情况。 二、公司债券的偿债计划</w:t>
      </w:r>
    </w:p>
    <w:p>
      <w:pPr>
        <w:spacing w:before="28"/>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、时间安排</w:t>
      </w:r>
    </w:p>
    <w:p>
      <w:pPr>
        <w:pStyle w:val="BodyText"/>
        <w:spacing w:line="256" w:lineRule="auto" w:before="37"/>
        <w:ind w:right="1131" w:firstLine="420"/>
        <w:jc w:val="both"/>
      </w:pPr>
      <w:r>
        <w:rPr/>
        <w:t>本期债券利息在存续期内于每年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日（如遇法定假日或休息日则顺延至其后第</w:t>
      </w:r>
      <w:r>
        <w:rPr>
          <w:rFonts w:ascii="Times New Roman" w:hAnsi="Times New Roman" w:cs="Times New Roman" w:eastAsia="Times New Roman" w:hint="default"/>
        </w:rPr>
        <w:t>1</w:t>
      </w:r>
      <w:r>
        <w:rPr/>
        <w:t>个工作日）通过债 券登记机构和其他机构支付，已于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日付款至中国证券登记结算有限责任公司深圳分公司支付</w:t>
      </w:r>
      <w:r>
        <w:rPr>
          <w:spacing w:val="-33"/>
        </w:rPr>
        <w:t> </w:t>
      </w:r>
      <w:r>
        <w:rPr>
          <w:spacing w:val="-33"/>
        </w:rPr>
      </w:r>
      <w:r>
        <w:rPr/>
        <w:t>本金和第三个年度债券利息及手续费</w:t>
      </w:r>
      <w:r>
        <w:rPr>
          <w:rFonts w:ascii="Times New Roman" w:hAnsi="Times New Roman" w:cs="Times New Roman" w:eastAsia="Times New Roman" w:hint="default"/>
        </w:rPr>
        <w:t>211,010,550.00</w:t>
      </w:r>
      <w:r>
        <w:rPr/>
        <w:t>元。</w:t>
      </w:r>
    </w:p>
    <w:p>
      <w:pPr>
        <w:spacing w:line="300" w:lineRule="auto" w:before="31"/>
        <w:ind w:left="444" w:right="0" w:hanging="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、偿债资金来源 </w:t>
      </w:r>
      <w:r>
        <w:rPr>
          <w:rFonts w:ascii="宋体" w:hAnsi="宋体" w:cs="宋体" w:eastAsia="宋体" w:hint="default"/>
          <w:spacing w:val="-1"/>
          <w:sz w:val="18"/>
          <w:szCs w:val="18"/>
        </w:rPr>
        <w:t>公司将根据本期债券本息未来到期支付安排制定年度、月度资金运用计划，合理调度分配资金，保证按期支付到期利息</w:t>
      </w:r>
    </w:p>
    <w:p>
      <w:pPr>
        <w:spacing w:before="31"/>
        <w:ind w:left="154" w:right="1972" w:firstLine="0"/>
        <w:jc w:val="left"/>
        <w:rPr>
          <w:rFonts w:ascii="宋体" w:hAnsi="宋体" w:cs="宋体" w:eastAsia="宋体" w:hint="default"/>
          <w:sz w:val="18"/>
          <w:szCs w:val="18"/>
        </w:rPr>
      </w:pPr>
      <w:r>
        <w:rPr>
          <w:rFonts w:ascii="宋体" w:hAnsi="宋体" w:cs="宋体" w:eastAsia="宋体" w:hint="default"/>
          <w:sz w:val="18"/>
          <w:szCs w:val="18"/>
        </w:rPr>
        <w:t>和本金。本期债券偿债资金来源主要为公司主营业务收入，公司资产变现以及银行借款等。</w:t>
      </w:r>
    </w:p>
    <w:p>
      <w:pPr>
        <w:spacing w:line="300" w:lineRule="auto" w:before="76"/>
        <w:ind w:left="444" w:right="0" w:hanging="29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）公司营业收入 </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年度的营业收入（合并报表口径）分别为</w:t>
      </w:r>
      <w:r>
        <w:rPr>
          <w:rFonts w:ascii="Times New Roman" w:hAnsi="Times New Roman" w:cs="Times New Roman" w:eastAsia="Times New Roman" w:hint="default"/>
          <w:spacing w:val="-2"/>
          <w:sz w:val="18"/>
          <w:szCs w:val="18"/>
        </w:rPr>
        <w:t>244.821.96</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296,305.90</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376,682.64</w:t>
      </w:r>
    </w:p>
    <w:p>
      <w:pPr>
        <w:spacing w:line="300" w:lineRule="auto" w:before="13"/>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万元，归属于母公司股东的净利润分别为</w:t>
      </w:r>
      <w:r>
        <w:rPr>
          <w:rFonts w:ascii="Times New Roman" w:hAnsi="Times New Roman" w:cs="Times New Roman" w:eastAsia="Times New Roman" w:hint="default"/>
          <w:spacing w:val="-2"/>
          <w:sz w:val="18"/>
          <w:szCs w:val="18"/>
        </w:rPr>
        <w:t>11,490.37</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15,593.29</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21,554.27</w:t>
      </w:r>
      <w:r>
        <w:rPr>
          <w:rFonts w:ascii="宋体" w:hAnsi="宋体" w:cs="宋体" w:eastAsia="宋体" w:hint="default"/>
          <w:spacing w:val="-2"/>
          <w:sz w:val="18"/>
          <w:szCs w:val="18"/>
        </w:rPr>
        <w:t>万元。公司良好的盈利能力和未来发展前</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景将保障本期债券利息和本金的及时支付。</w:t>
      </w:r>
    </w:p>
    <w:p>
      <w:pPr>
        <w:spacing w:line="300" w:lineRule="auto" w:before="31"/>
        <w:ind w:left="444" w:right="1125" w:hanging="2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）资产变现 </w:t>
      </w:r>
      <w:r>
        <w:rPr>
          <w:rFonts w:ascii="宋体" w:hAnsi="宋体" w:cs="宋体" w:eastAsia="宋体" w:hint="default"/>
          <w:spacing w:val="-1"/>
          <w:sz w:val="18"/>
          <w:szCs w:val="18"/>
        </w:rPr>
        <w:t>截至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本公司资产为</w:t>
      </w:r>
      <w:r>
        <w:rPr>
          <w:rFonts w:ascii="Times New Roman" w:hAnsi="Times New Roman" w:cs="Times New Roman" w:eastAsia="Times New Roman" w:hint="default"/>
          <w:spacing w:val="-1"/>
          <w:sz w:val="18"/>
          <w:szCs w:val="18"/>
        </w:rPr>
        <w:t>467,893.13</w:t>
      </w:r>
      <w:r>
        <w:rPr>
          <w:rFonts w:ascii="宋体" w:hAnsi="宋体" w:cs="宋体" w:eastAsia="宋体" w:hint="default"/>
          <w:spacing w:val="-1"/>
          <w:sz w:val="18"/>
          <w:szCs w:val="18"/>
        </w:rPr>
        <w:t>万元（合并报表口径），其中流动资产为</w:t>
      </w:r>
      <w:r>
        <w:rPr>
          <w:rFonts w:ascii="Times New Roman" w:hAnsi="Times New Roman" w:cs="Times New Roman" w:eastAsia="Times New Roman" w:hint="default"/>
          <w:spacing w:val="-1"/>
          <w:sz w:val="18"/>
          <w:szCs w:val="18"/>
        </w:rPr>
        <w:t>298,731.83</w:t>
      </w:r>
      <w:r>
        <w:rPr>
          <w:rFonts w:ascii="宋体" w:hAnsi="宋体" w:cs="宋体" w:eastAsia="宋体" w:hint="default"/>
          <w:spacing w:val="-1"/>
          <w:sz w:val="18"/>
          <w:szCs w:val="18"/>
        </w:rPr>
        <w:t>万元，占总资产的比重</w:t>
      </w:r>
    </w:p>
    <w:p>
      <w:pPr>
        <w:spacing w:line="300" w:lineRule="auto" w:before="13"/>
        <w:ind w:left="154" w:right="1182"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63.85%</w:t>
      </w:r>
      <w:r>
        <w:rPr>
          <w:rFonts w:ascii="宋体" w:hAnsi="宋体" w:cs="宋体" w:eastAsia="宋体" w:hint="default"/>
          <w:sz w:val="18"/>
          <w:szCs w:val="18"/>
        </w:rPr>
        <w:t>；存货账面价值为</w:t>
      </w:r>
      <w:r>
        <w:rPr>
          <w:rFonts w:ascii="Times New Roman" w:hAnsi="Times New Roman" w:cs="Times New Roman" w:eastAsia="Times New Roman" w:hint="default"/>
          <w:sz w:val="18"/>
          <w:szCs w:val="18"/>
        </w:rPr>
        <w:t>86,271.69</w:t>
      </w:r>
      <w:r>
        <w:rPr>
          <w:rFonts w:ascii="宋体" w:hAnsi="宋体" w:cs="宋体" w:eastAsia="宋体" w:hint="default"/>
          <w:sz w:val="18"/>
          <w:szCs w:val="18"/>
        </w:rPr>
        <w:t>万元，占总资产的比重为</w:t>
      </w:r>
      <w:r>
        <w:rPr>
          <w:rFonts w:ascii="Times New Roman" w:hAnsi="Times New Roman" w:cs="Times New Roman" w:eastAsia="Times New Roman" w:hint="default"/>
          <w:sz w:val="18"/>
          <w:szCs w:val="18"/>
        </w:rPr>
        <w:t>18.44%</w:t>
      </w:r>
      <w:r>
        <w:rPr>
          <w:rFonts w:ascii="宋体" w:hAnsi="宋体" w:cs="宋体" w:eastAsia="宋体" w:hint="default"/>
          <w:sz w:val="18"/>
          <w:szCs w:val="18"/>
        </w:rPr>
        <w:t>。公司资产流动性较好，在现金流量不足的情况下公 司将通过流动资产变现获得必要的偿债资金。</w:t>
      </w:r>
    </w:p>
    <w:p>
      <w:pPr>
        <w:spacing w:line="300" w:lineRule="auto" w:before="31"/>
        <w:ind w:left="444" w:right="1118" w:hanging="2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）银行借款 </w:t>
      </w:r>
      <w:r>
        <w:rPr>
          <w:rFonts w:ascii="宋体" w:hAnsi="宋体" w:cs="宋体" w:eastAsia="宋体" w:hint="default"/>
          <w:spacing w:val="-1"/>
          <w:sz w:val="18"/>
          <w:szCs w:val="18"/>
        </w:rPr>
        <w:t>公司与国内主要银行保持良好的长期合作关系，间接融资能力较强。截至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日，报告期内，公司共申请银行</w:t>
      </w:r>
    </w:p>
    <w:p>
      <w:pPr>
        <w:spacing w:line="300" w:lineRule="auto" w:before="13"/>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授信总额度为</w:t>
      </w:r>
      <w:r>
        <w:rPr>
          <w:rFonts w:ascii="Times New Roman" w:hAnsi="Times New Roman" w:cs="Times New Roman" w:eastAsia="Times New Roman" w:hint="default"/>
          <w:spacing w:val="-2"/>
          <w:sz w:val="18"/>
          <w:szCs w:val="18"/>
        </w:rPr>
        <w:t>17.9</w:t>
      </w:r>
      <w:r>
        <w:rPr>
          <w:rFonts w:ascii="宋体" w:hAnsi="宋体" w:cs="宋体" w:eastAsia="宋体" w:hint="default"/>
          <w:spacing w:val="-2"/>
          <w:sz w:val="18"/>
          <w:szCs w:val="18"/>
        </w:rPr>
        <w:t>亿元，使用授信额度</w:t>
      </w:r>
      <w:r>
        <w:rPr>
          <w:rFonts w:ascii="Times New Roman" w:hAnsi="Times New Roman" w:cs="Times New Roman" w:eastAsia="Times New Roman" w:hint="default"/>
          <w:spacing w:val="-2"/>
          <w:sz w:val="18"/>
          <w:szCs w:val="18"/>
        </w:rPr>
        <w:t>9.4</w:t>
      </w:r>
      <w:r>
        <w:rPr>
          <w:rFonts w:ascii="宋体" w:hAnsi="宋体" w:cs="宋体" w:eastAsia="宋体" w:hint="default"/>
          <w:spacing w:val="-2"/>
          <w:sz w:val="18"/>
          <w:szCs w:val="18"/>
        </w:rPr>
        <w:t>亿元，剩余授信额度</w:t>
      </w:r>
      <w:r>
        <w:rPr>
          <w:rFonts w:ascii="Times New Roman" w:hAnsi="Times New Roman" w:cs="Times New Roman" w:eastAsia="Times New Roman" w:hint="default"/>
          <w:spacing w:val="-2"/>
          <w:sz w:val="18"/>
          <w:szCs w:val="18"/>
        </w:rPr>
        <w:t>8.5</w:t>
      </w:r>
      <w:r>
        <w:rPr>
          <w:rFonts w:ascii="宋体" w:hAnsi="宋体" w:cs="宋体" w:eastAsia="宋体" w:hint="default"/>
          <w:spacing w:val="-2"/>
          <w:sz w:val="18"/>
          <w:szCs w:val="18"/>
        </w:rPr>
        <w:t>亿；报告期内共偿还银行贷款</w:t>
      </w:r>
      <w:r>
        <w:rPr>
          <w:rFonts w:ascii="Times New Roman" w:hAnsi="Times New Roman" w:cs="Times New Roman" w:eastAsia="Times New Roman" w:hint="default"/>
          <w:spacing w:val="-2"/>
          <w:sz w:val="18"/>
          <w:szCs w:val="18"/>
        </w:rPr>
        <w:t>9.11</w:t>
      </w:r>
      <w:r>
        <w:rPr>
          <w:rFonts w:ascii="宋体" w:hAnsi="宋体" w:cs="宋体" w:eastAsia="宋体" w:hint="default"/>
          <w:spacing w:val="-2"/>
          <w:sz w:val="18"/>
          <w:szCs w:val="18"/>
        </w:rPr>
        <w:t>亿元。若公司经营活动现</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金流量净额不足以偿还本期债券的到期利息或本金，公司可通过向金融机构借款筹集资金，用于偿付本期债券的本息。</w:t>
      </w:r>
    </w:p>
    <w:p>
      <w:pPr>
        <w:spacing w:line="300" w:lineRule="auto" w:before="31"/>
        <w:ind w:left="514" w:right="0" w:hanging="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、偿债应急保障方案 </w:t>
      </w:r>
      <w:r>
        <w:rPr>
          <w:rFonts w:ascii="宋体" w:hAnsi="宋体" w:cs="宋体" w:eastAsia="宋体" w:hint="default"/>
          <w:spacing w:val="-1"/>
          <w:sz w:val="18"/>
          <w:szCs w:val="18"/>
        </w:rPr>
        <w:t>公司必要时可以通过流动资产变现来补充偿债资金，截至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，公司合并报表流动资产余额为</w:t>
      </w:r>
      <w:r>
        <w:rPr>
          <w:rFonts w:ascii="Times New Roman" w:hAnsi="Times New Roman" w:cs="Times New Roman" w:eastAsia="Times New Roman" w:hint="default"/>
          <w:spacing w:val="-1"/>
          <w:sz w:val="18"/>
          <w:szCs w:val="18"/>
        </w:rPr>
        <w:t>298,731.83</w:t>
      </w:r>
      <w:r>
        <w:rPr>
          <w:rFonts w:ascii="宋体" w:hAnsi="宋体" w:cs="宋体" w:eastAsia="宋体" w:hint="default"/>
          <w:spacing w:val="-1"/>
          <w:sz w:val="18"/>
          <w:szCs w:val="18"/>
        </w:rPr>
        <w:t>万</w:t>
      </w:r>
      <w:r>
        <w:rPr>
          <w:rFonts w:ascii="宋体" w:hAnsi="宋体" w:cs="宋体" w:eastAsia="宋体" w:hint="default"/>
          <w:sz w:val="18"/>
          <w:szCs w:val="18"/>
        </w:rPr>
        <w:t> 元，流动资产具体构成如下：</w:t>
      </w:r>
    </w:p>
    <w:p>
      <w:pPr>
        <w:spacing w:line="240" w:lineRule="auto" w:before="8"/>
        <w:rPr>
          <w:rFonts w:ascii="宋体" w:hAnsi="宋体" w:cs="宋体" w:eastAsia="宋体" w:hint="default"/>
          <w:sz w:val="26"/>
          <w:szCs w:val="26"/>
        </w:rPr>
      </w:pPr>
    </w:p>
    <w:tbl>
      <w:tblPr>
        <w:tblW w:w="0" w:type="auto"/>
        <w:jc w:val="left"/>
        <w:tblInd w:w="286" w:type="dxa"/>
        <w:tblLayout w:type="fixed"/>
        <w:tblCellMar>
          <w:top w:w="0" w:type="dxa"/>
          <w:left w:w="0" w:type="dxa"/>
          <w:bottom w:w="0" w:type="dxa"/>
          <w:right w:w="0" w:type="dxa"/>
        </w:tblCellMar>
        <w:tblLook w:val="01E0"/>
      </w:tblPr>
      <w:tblGrid>
        <w:gridCol w:w="2406"/>
        <w:gridCol w:w="3240"/>
        <w:gridCol w:w="3465"/>
      </w:tblGrid>
      <w:tr>
        <w:trPr>
          <w:trHeight w:val="412"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0"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47"/>
              <w:ind w:left="1069" w:right="0"/>
              <w:jc w:val="left"/>
              <w:rPr>
                <w:rFonts w:ascii="宋体" w:hAnsi="宋体" w:cs="宋体" w:eastAsia="宋体" w:hint="default"/>
                <w:sz w:val="18"/>
                <w:szCs w:val="18"/>
              </w:rPr>
            </w:pPr>
            <w:r>
              <w:rPr>
                <w:rFonts w:ascii="宋体" w:hAnsi="宋体" w:cs="宋体" w:eastAsia="宋体" w:hint="default"/>
                <w:sz w:val="18"/>
                <w:szCs w:val="18"/>
              </w:rPr>
              <w:t>金额（万元）</w:t>
            </w:r>
          </w:p>
        </w:tc>
        <w:tc>
          <w:tcPr>
            <w:tcW w:w="3465"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9"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67"/>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4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30,358.49</w:t>
            </w:r>
          </w:p>
        </w:tc>
        <w:tc>
          <w:tcPr>
            <w:tcW w:w="346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86" w:type="dxa"/>
        <w:tblLayout w:type="fixed"/>
        <w:tblCellMar>
          <w:top w:w="0" w:type="dxa"/>
          <w:left w:w="0" w:type="dxa"/>
          <w:bottom w:w="0" w:type="dxa"/>
          <w:right w:w="0" w:type="dxa"/>
        </w:tblCellMar>
        <w:tblLook w:val="01E0"/>
      </w:tblPr>
      <w:tblGrid>
        <w:gridCol w:w="2406"/>
        <w:gridCol w:w="3240"/>
        <w:gridCol w:w="3465"/>
      </w:tblGrid>
      <w:tr>
        <w:trPr>
          <w:trHeight w:val="432"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
        </w:tc>
        <w:tc>
          <w:tcPr>
            <w:tcW w:w="3240" w:type="dxa"/>
            <w:tcBorders>
              <w:top w:val="single" w:sz="8" w:space="0" w:color="000000"/>
              <w:left w:val="single" w:sz="8" w:space="0" w:color="000000"/>
              <w:bottom w:val="single" w:sz="8" w:space="0" w:color="000000"/>
              <w:right w:val="single" w:sz="8" w:space="0" w:color="000000"/>
            </w:tcBorders>
          </w:tcPr>
          <w:p>
            <w:pPr/>
          </w:p>
        </w:tc>
        <w:tc>
          <w:tcPr>
            <w:tcW w:w="3465" w:type="dxa"/>
            <w:tcBorders>
              <w:top w:val="single" w:sz="8" w:space="0" w:color="000000"/>
              <w:left w:val="single" w:sz="8" w:space="0" w:color="000000"/>
              <w:bottom w:val="single" w:sz="8" w:space="0" w:color="000000"/>
              <w:right w:val="single" w:sz="8" w:space="0" w:color="000000"/>
            </w:tcBorders>
          </w:tcPr>
          <w:p>
            <w:pPr/>
          </w:p>
        </w:tc>
      </w:tr>
      <w:tr>
        <w:trPr>
          <w:trHeight w:val="744"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316" w:lineRule="auto" w:before="62"/>
              <w:ind w:left="1"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当期损益的金融资产</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172.24</w:t>
            </w:r>
          </w:p>
        </w:tc>
        <w:tc>
          <w:tcPr>
            <w:tcW w:w="34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0.06%</w:t>
            </w:r>
          </w:p>
        </w:tc>
      </w:tr>
      <w:tr>
        <w:trPr>
          <w:trHeight w:val="432"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11,599.65</w:t>
            </w:r>
          </w:p>
        </w:tc>
        <w:tc>
          <w:tcPr>
            <w:tcW w:w="34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3.88%</w:t>
            </w:r>
          </w:p>
        </w:tc>
      </w:tr>
      <w:tr>
        <w:trPr>
          <w:trHeight w:val="432"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153,538.86</w:t>
            </w:r>
          </w:p>
        </w:tc>
        <w:tc>
          <w:tcPr>
            <w:tcW w:w="34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51.40%</w:t>
            </w:r>
          </w:p>
        </w:tc>
      </w:tr>
      <w:tr>
        <w:trPr>
          <w:trHeight w:val="432"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9,743.90</w:t>
            </w:r>
          </w:p>
        </w:tc>
        <w:tc>
          <w:tcPr>
            <w:tcW w:w="34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3.26%</w:t>
            </w:r>
          </w:p>
        </w:tc>
      </w:tr>
      <w:tr>
        <w:trPr>
          <w:trHeight w:val="432"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5,707.38</w:t>
            </w:r>
          </w:p>
        </w:tc>
        <w:tc>
          <w:tcPr>
            <w:tcW w:w="34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1.91%</w:t>
            </w:r>
          </w:p>
        </w:tc>
      </w:tr>
      <w:tr>
        <w:trPr>
          <w:trHeight w:val="432"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86,271.69</w:t>
            </w:r>
          </w:p>
        </w:tc>
        <w:tc>
          <w:tcPr>
            <w:tcW w:w="34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28.88%</w:t>
            </w:r>
          </w:p>
        </w:tc>
      </w:tr>
      <w:tr>
        <w:trPr>
          <w:trHeight w:val="433" w:hRule="exact"/>
        </w:trPr>
        <w:tc>
          <w:tcPr>
            <w:tcW w:w="2406" w:type="dxa"/>
            <w:tcBorders>
              <w:top w:val="single" w:sz="8" w:space="0" w:color="000000"/>
              <w:left w:val="single" w:sz="8" w:space="0" w:color="000000"/>
              <w:bottom w:val="single" w:sz="8" w:space="0" w:color="000000"/>
              <w:right w:val="single" w:sz="8" w:space="0" w:color="000000"/>
            </w:tcBorders>
            <w:shd w:val="clear" w:color="auto" w:fill="D6D6D6"/>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1,339.62</w:t>
            </w:r>
          </w:p>
        </w:tc>
        <w:tc>
          <w:tcPr>
            <w:tcW w:w="34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0.45%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307" w:lineRule="auto" w:before="44"/>
        <w:ind w:left="154" w:right="1132" w:firstLine="217"/>
        <w:jc w:val="both"/>
        <w:rPr>
          <w:rFonts w:ascii="宋体" w:hAnsi="宋体" w:cs="宋体" w:eastAsia="宋体" w:hint="default"/>
          <w:sz w:val="18"/>
          <w:szCs w:val="18"/>
        </w:rPr>
      </w:pPr>
      <w:r>
        <w:rPr>
          <w:rFonts w:ascii="宋体" w:hAnsi="宋体" w:cs="宋体" w:eastAsia="宋体" w:hint="default"/>
          <w:spacing w:val="-1"/>
          <w:sz w:val="18"/>
          <w:szCs w:val="18"/>
        </w:rPr>
        <w:t>公司的货币资金为</w:t>
      </w:r>
      <w:r>
        <w:rPr>
          <w:rFonts w:ascii="Times New Roman" w:hAnsi="Times New Roman" w:cs="Times New Roman" w:eastAsia="Times New Roman" w:hint="default"/>
          <w:spacing w:val="-1"/>
          <w:sz w:val="18"/>
          <w:szCs w:val="18"/>
        </w:rPr>
        <w:t>30,358.49</w:t>
      </w:r>
      <w:r>
        <w:rPr>
          <w:rFonts w:ascii="宋体" w:hAnsi="宋体" w:cs="宋体" w:eastAsia="宋体" w:hint="default"/>
          <w:spacing w:val="-1"/>
          <w:sz w:val="18"/>
          <w:szCs w:val="18"/>
        </w:rPr>
        <w:t>万元；公司的应收账款为</w:t>
      </w:r>
      <w:r>
        <w:rPr>
          <w:rFonts w:ascii="Times New Roman" w:hAnsi="Times New Roman" w:cs="Times New Roman" w:eastAsia="Times New Roman" w:hint="default"/>
          <w:spacing w:val="-1"/>
          <w:sz w:val="18"/>
          <w:szCs w:val="18"/>
        </w:rPr>
        <w:t>153,538.86</w:t>
      </w:r>
      <w:r>
        <w:rPr>
          <w:rFonts w:ascii="宋体" w:hAnsi="宋体" w:cs="宋体" w:eastAsia="宋体" w:hint="default"/>
          <w:spacing w:val="-1"/>
          <w:sz w:val="18"/>
          <w:szCs w:val="18"/>
        </w:rPr>
        <w:t>万元，其中一年以内的应收账款比例</w:t>
      </w:r>
      <w:r>
        <w:rPr>
          <w:rFonts w:ascii="Times New Roman" w:hAnsi="Times New Roman" w:cs="Times New Roman" w:eastAsia="Times New Roman" w:hint="default"/>
          <w:spacing w:val="-1"/>
          <w:sz w:val="18"/>
          <w:szCs w:val="18"/>
        </w:rPr>
        <w:t>86.63%</w:t>
      </w:r>
      <w:r>
        <w:rPr>
          <w:rFonts w:ascii="宋体" w:hAnsi="宋体" w:cs="宋体" w:eastAsia="宋体" w:hint="default"/>
          <w:spacing w:val="-1"/>
          <w:sz w:val="18"/>
          <w:szCs w:val="18"/>
        </w:rPr>
        <w:t>；应收账款对</w:t>
      </w:r>
      <w:r>
        <w:rPr>
          <w:rFonts w:ascii="宋体" w:hAnsi="宋体" w:cs="宋体" w:eastAsia="宋体" w:hint="default"/>
          <w:sz w:val="18"/>
          <w:szCs w:val="18"/>
        </w:rPr>
        <w:t> 象主要为电信运营商，应收账款的可回收性较好；公司的存货为</w:t>
      </w:r>
      <w:r>
        <w:rPr>
          <w:rFonts w:ascii="宋体" w:hAnsi="宋体" w:cs="宋体" w:eastAsia="宋体" w:hint="default"/>
          <w:spacing w:val="69"/>
          <w:sz w:val="18"/>
          <w:szCs w:val="18"/>
        </w:rPr>
        <w:t> </w:t>
      </w:r>
      <w:r>
        <w:rPr>
          <w:rFonts w:ascii="Times New Roman" w:hAnsi="Times New Roman" w:cs="Times New Roman" w:eastAsia="Times New Roman" w:hint="default"/>
          <w:sz w:val="20"/>
          <w:szCs w:val="20"/>
        </w:rPr>
        <w:t>86,271.69</w:t>
      </w:r>
      <w:r>
        <w:rPr>
          <w:rFonts w:ascii="宋体" w:hAnsi="宋体" w:cs="宋体" w:eastAsia="宋体" w:hint="default"/>
          <w:sz w:val="18"/>
          <w:szCs w:val="18"/>
        </w:rPr>
        <w:t>万元，主要为网络产品销售业务存货。若未来 </w:t>
      </w:r>
      <w:r>
        <w:rPr>
          <w:rFonts w:ascii="宋体" w:hAnsi="宋体" w:cs="宋体" w:eastAsia="宋体" w:hint="default"/>
          <w:spacing w:val="-2"/>
          <w:sz w:val="18"/>
          <w:szCs w:val="18"/>
        </w:rPr>
        <w:t>公司出现偿债困难的情形，可以通过变现部分流动资产作为本期债券的偿付资金，但由于流动资产中存货所占比重较大，其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与货币资金、应收票据及应收账款等相比流动性较弱，若下游客户需要及国家政策发生重大不利变动，将会对存货的变现金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额及变现的及时性构成一定不利影响。</w:t>
      </w:r>
    </w:p>
    <w:p>
      <w:pPr>
        <w:spacing w:line="300" w:lineRule="auto" w:before="26"/>
        <w:ind w:left="444" w:right="0"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、公司债券的偿债保障措施 </w:t>
      </w:r>
      <w:r>
        <w:rPr>
          <w:rFonts w:ascii="宋体" w:hAnsi="宋体" w:cs="宋体" w:eastAsia="宋体" w:hint="default"/>
          <w:spacing w:val="-1"/>
          <w:sz w:val="18"/>
          <w:szCs w:val="18"/>
        </w:rPr>
        <w:t>为了充分、有效地维护债券持有人的利益，发行人为本期债券的按时、足额偿付制定了一系列工作计划，包括确定专门</w:t>
      </w:r>
    </w:p>
    <w:p>
      <w:pPr>
        <w:spacing w:line="319" w:lineRule="auto" w:before="3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部门与人员、安排偿债资金、设立专项偿债账户、制定管理措施、做好组织协调、建立发行人与债券受托管理人的长效沟通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机制、加强信息披露等，努力形成一套确保本期债券本息按约定偿付的保障措施。</w:t>
      </w:r>
    </w:p>
    <w:p>
      <w:pPr>
        <w:spacing w:line="300" w:lineRule="auto" w:before="17"/>
        <w:ind w:left="444" w:right="0" w:hanging="2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）制定《债券持有人会议规则》 </w:t>
      </w:r>
      <w:r>
        <w:rPr>
          <w:rFonts w:ascii="宋体" w:hAnsi="宋体" w:cs="宋体" w:eastAsia="宋体" w:hint="default"/>
          <w:spacing w:val="-1"/>
          <w:sz w:val="18"/>
          <w:szCs w:val="18"/>
        </w:rPr>
        <w:t>公司和债券受托管理人按照《公司债券发行与交易管理办法》制定了本期债券的《债券持有人会议规则》，约定债券持</w:t>
      </w:r>
    </w:p>
    <w:p>
      <w:pPr>
        <w:spacing w:line="316" w:lineRule="auto" w:before="31"/>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有人通过债券持有人会议行使权利的范围、程序和其他重要事项，为保障本期公司债券的本息及时足额偿付做出了合理的制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度安排。</w:t>
      </w:r>
    </w:p>
    <w:p>
      <w:pPr>
        <w:spacing w:line="300" w:lineRule="auto" w:before="19"/>
        <w:ind w:left="444" w:right="0" w:hanging="2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）聘请债券受托管理人 </w:t>
      </w:r>
      <w:r>
        <w:rPr>
          <w:rFonts w:ascii="宋体" w:hAnsi="宋体" w:cs="宋体" w:eastAsia="宋体" w:hint="default"/>
          <w:spacing w:val="-1"/>
          <w:sz w:val="18"/>
          <w:szCs w:val="18"/>
        </w:rPr>
        <w:t>公司按照《公司债发行与交易管理办法》聘请了本期债券的债券受托管理人，签订了《债券受托管理协议》。在本期债</w:t>
      </w:r>
    </w:p>
    <w:p>
      <w:pPr>
        <w:spacing w:line="316" w:lineRule="auto" w:before="3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券的存续期内，债券受托管理人依照协议的约定维护债券持有人的利益。有关债券受托管理人的权利和义务，详见本募集说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明书第十节</w:t>
      </w:r>
      <w:r>
        <w:rPr>
          <w:rFonts w:ascii="Times New Roman" w:hAnsi="Times New Roman" w:cs="Times New Roman" w:eastAsia="Times New Roman" w:hint="default"/>
          <w:sz w:val="18"/>
          <w:szCs w:val="18"/>
        </w:rPr>
        <w:t>“</w:t>
      </w:r>
      <w:r>
        <w:rPr>
          <w:rFonts w:ascii="宋体" w:hAnsi="宋体" w:cs="宋体" w:eastAsia="宋体" w:hint="default"/>
          <w:sz w:val="18"/>
          <w:szCs w:val="18"/>
        </w:rPr>
        <w:t>债券受托管理人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00" w:lineRule="auto" w:before="0"/>
        <w:ind w:left="444" w:right="2092" w:hanging="2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）设立专项偿债账户 发行人将于本期债券到期日的前</w:t>
      </w:r>
      <w:r>
        <w:rPr>
          <w:rFonts w:ascii="Times New Roman" w:hAnsi="Times New Roman" w:cs="Times New Roman" w:eastAsia="Times New Roman" w:hint="default"/>
          <w:sz w:val="18"/>
          <w:szCs w:val="18"/>
        </w:rPr>
        <w:t>3</w:t>
      </w:r>
      <w:r>
        <w:rPr>
          <w:rFonts w:ascii="宋体" w:hAnsi="宋体" w:cs="宋体" w:eastAsia="宋体" w:hint="default"/>
          <w:sz w:val="18"/>
          <w:szCs w:val="18"/>
        </w:rPr>
        <w:t>个月为支付本期债券的本金设立专项偿债账户，并通过该账户还本付息。</w:t>
      </w:r>
    </w:p>
    <w:p>
      <w:pPr>
        <w:spacing w:line="300" w:lineRule="auto" w:before="13"/>
        <w:ind w:left="444" w:right="7222" w:hanging="2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）资金来源 专项偿债账户的资金来源为偿债准备金。</w:t>
      </w:r>
    </w:p>
    <w:p>
      <w:pPr>
        <w:spacing w:line="300" w:lineRule="auto" w:before="31"/>
        <w:ind w:left="444" w:right="5242" w:hanging="2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）账户的管理方式和监督安排 发行人对该账户进行管理及运用，并接受债券受托管理人的监督。</w:t>
      </w:r>
    </w:p>
    <w:p>
      <w:pPr>
        <w:spacing w:line="300" w:lineRule="auto" w:before="31"/>
        <w:ind w:left="444" w:right="1192" w:hanging="2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）偿债资金的划入方式及提取的相关事项 在本金支付日前</w:t>
      </w:r>
      <w:r>
        <w:rPr>
          <w:rFonts w:ascii="Times New Roman" w:hAnsi="Times New Roman" w:cs="Times New Roman" w:eastAsia="Times New Roman" w:hint="default"/>
          <w:sz w:val="18"/>
          <w:szCs w:val="18"/>
        </w:rPr>
        <w:t>2</w:t>
      </w:r>
      <w:r>
        <w:rPr>
          <w:rFonts w:ascii="宋体" w:hAnsi="宋体" w:cs="宋体" w:eastAsia="宋体" w:hint="default"/>
          <w:sz w:val="18"/>
          <w:szCs w:val="18"/>
        </w:rPr>
        <w:t>个月，公司陆续将偿债资金划入专项偿债账户；至本金支付日前</w:t>
      </w:r>
      <w:r>
        <w:rPr>
          <w:rFonts w:ascii="Times New Roman" w:hAnsi="Times New Roman" w:cs="Times New Roman" w:eastAsia="Times New Roman" w:hint="default"/>
          <w:sz w:val="18"/>
          <w:szCs w:val="18"/>
        </w:rPr>
        <w:t>10</w:t>
      </w:r>
      <w:r>
        <w:rPr>
          <w:rFonts w:ascii="宋体" w:hAnsi="宋体" w:cs="宋体" w:eastAsia="宋体" w:hint="default"/>
          <w:sz w:val="18"/>
          <w:szCs w:val="18"/>
        </w:rPr>
        <w:t>个工作日，专项偿债账户中应有足</w:t>
      </w:r>
    </w:p>
    <w:p>
      <w:pPr>
        <w:spacing w:before="13"/>
        <w:ind w:left="154" w:right="1972" w:firstLine="0"/>
        <w:jc w:val="left"/>
        <w:rPr>
          <w:rFonts w:ascii="宋体" w:hAnsi="宋体" w:cs="宋体" w:eastAsia="宋体" w:hint="default"/>
          <w:sz w:val="18"/>
          <w:szCs w:val="18"/>
        </w:rPr>
      </w:pPr>
      <w:r>
        <w:rPr>
          <w:rFonts w:ascii="宋体" w:hAnsi="宋体" w:cs="宋体" w:eastAsia="宋体" w:hint="default"/>
          <w:sz w:val="18"/>
          <w:szCs w:val="18"/>
        </w:rPr>
        <w:t>以偿付本金及最后一期利息的资金。</w:t>
      </w:r>
    </w:p>
    <w:p>
      <w:pPr>
        <w:spacing w:line="300" w:lineRule="auto" w:before="77"/>
        <w:ind w:left="444" w:right="0" w:hanging="2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）设立专门的偿付工作小组 </w:t>
      </w:r>
      <w:r>
        <w:rPr>
          <w:rFonts w:ascii="宋体" w:hAnsi="宋体" w:cs="宋体" w:eastAsia="宋体" w:hint="default"/>
          <w:spacing w:val="-1"/>
          <w:sz w:val="18"/>
          <w:szCs w:val="18"/>
        </w:rPr>
        <w:t>本公司指定财务部等相关部门的人员组成专门的偿债工作小组，全面负责本期债券利息支付、本金兑付及与之相关的工</w:t>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作。偿债工作小组将在每年财务预算中落实本期债券本息兑付资金，保证本息如期偿付，确保债券持有人利益。</w:t>
      </w:r>
    </w:p>
    <w:p>
      <w:pPr>
        <w:spacing w:before="7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、严格信息披露</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0" w:firstLine="290"/>
        <w:jc w:val="left"/>
        <w:rPr>
          <w:rFonts w:ascii="宋体" w:hAnsi="宋体" w:cs="宋体" w:eastAsia="宋体" w:hint="default"/>
          <w:sz w:val="18"/>
          <w:szCs w:val="18"/>
        </w:rPr>
      </w:pPr>
      <w:r>
        <w:rPr>
          <w:rFonts w:ascii="宋体" w:hAnsi="宋体" w:cs="宋体" w:eastAsia="宋体" w:hint="default"/>
          <w:spacing w:val="-1"/>
          <w:sz w:val="18"/>
          <w:szCs w:val="18"/>
        </w:rPr>
        <w:t>发行人将遵循真实、准确、完整的信息披露原则，使公司偿债能力、募集资金使用等情况受到债券持有人、债券受托管</w:t>
      </w:r>
      <w:r>
        <w:rPr>
          <w:rFonts w:ascii="宋体" w:hAnsi="宋体" w:cs="宋体" w:eastAsia="宋体" w:hint="default"/>
          <w:sz w:val="18"/>
          <w:szCs w:val="18"/>
        </w:rPr>
        <w:t> 理人和股东的监督，防范偿债风险。 </w:t>
      </w:r>
      <w:r>
        <w:rPr>
          <w:rFonts w:ascii="宋体" w:hAnsi="宋体" w:cs="宋体" w:eastAsia="宋体" w:hint="default"/>
          <w:spacing w:val="-2"/>
          <w:sz w:val="18"/>
          <w:szCs w:val="18"/>
        </w:rPr>
        <w:t>本期债券存续期内，发行人应当根据法律、法规和规则的规定，及时、公平地履行信息披露义务，确保所披露或者报送的信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息真实、准确、完整，不得有虚假记载、误导性陈述或者重大遗漏。 发行人将按《债券受托管理协议》及中国证监会的有关规定进行重大事项信息披露，至少包括但不限于以下内容： </w:t>
      </w:r>
      <w:r>
        <w:rPr>
          <w:rFonts w:ascii="Times New Roman" w:hAnsi="Times New Roman" w:cs="Times New Roman" w:eastAsia="Times New Roman" w:hint="default"/>
          <w:sz w:val="18"/>
          <w:szCs w:val="18"/>
        </w:rPr>
        <w:t>a</w:t>
      </w:r>
      <w:r>
        <w:rPr>
          <w:rFonts w:ascii="宋体" w:hAnsi="宋体" w:cs="宋体" w:eastAsia="宋体" w:hint="default"/>
          <w:sz w:val="18"/>
          <w:szCs w:val="18"/>
        </w:rPr>
        <w:t>、发行人经营方针、经营范围或生产经营外部条件等发生重大变化；</w:t>
      </w:r>
    </w:p>
    <w:p>
      <w:pPr>
        <w:spacing w:line="300" w:lineRule="auto" w:before="0"/>
        <w:ind w:left="154" w:right="70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、债券信用评级发生变化； </w:t>
      </w:r>
      <w:r>
        <w:rPr>
          <w:rFonts w:ascii="Times New Roman" w:hAnsi="Times New Roman" w:cs="Times New Roman" w:eastAsia="Times New Roman" w:hint="default"/>
          <w:sz w:val="18"/>
          <w:szCs w:val="18"/>
        </w:rPr>
        <w:t>c</w:t>
      </w:r>
      <w:r>
        <w:rPr>
          <w:rFonts w:ascii="宋体" w:hAnsi="宋体" w:cs="宋体" w:eastAsia="宋体" w:hint="default"/>
          <w:sz w:val="18"/>
          <w:szCs w:val="18"/>
        </w:rPr>
        <w:t>、发行人主要资产被查封、扣押、冻结； </w:t>
      </w:r>
      <w:r>
        <w:rPr>
          <w:rFonts w:ascii="Times New Roman" w:hAnsi="Times New Roman" w:cs="Times New Roman" w:eastAsia="Times New Roman" w:hint="default"/>
          <w:sz w:val="18"/>
          <w:szCs w:val="18"/>
        </w:rPr>
        <w:t>d</w:t>
      </w:r>
      <w:r>
        <w:rPr>
          <w:rFonts w:ascii="宋体" w:hAnsi="宋体" w:cs="宋体" w:eastAsia="宋体" w:hint="default"/>
          <w:sz w:val="18"/>
          <w:szCs w:val="18"/>
        </w:rPr>
        <w:t>、发行人发生未能清偿到期债务的违约情况；</w:t>
      </w:r>
    </w:p>
    <w:p>
      <w:pPr>
        <w:spacing w:line="300" w:lineRule="auto" w:before="13"/>
        <w:ind w:left="154" w:right="18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、发行人当年累计新增借款或者对外提供担保（对下属控股子公司担保除外）超过上年末净资产的百分之二十； </w:t>
      </w:r>
      <w:r>
        <w:rPr>
          <w:rFonts w:ascii="Times New Roman" w:hAnsi="Times New Roman" w:cs="Times New Roman" w:eastAsia="Times New Roman" w:hint="default"/>
          <w:sz w:val="18"/>
          <w:szCs w:val="18"/>
        </w:rPr>
        <w:t>f</w:t>
      </w:r>
      <w:r>
        <w:rPr>
          <w:rFonts w:ascii="宋体" w:hAnsi="宋体" w:cs="宋体" w:eastAsia="宋体" w:hint="default"/>
          <w:sz w:val="18"/>
          <w:szCs w:val="18"/>
        </w:rPr>
        <w:t>、发行人放弃债权或财产，超过上年末净资产的百分之十； </w:t>
      </w:r>
      <w:r>
        <w:rPr>
          <w:rFonts w:ascii="Times New Roman" w:hAnsi="Times New Roman" w:cs="Times New Roman" w:eastAsia="Times New Roman" w:hint="default"/>
          <w:sz w:val="18"/>
          <w:szCs w:val="18"/>
        </w:rPr>
        <w:t>g</w:t>
      </w:r>
      <w:r>
        <w:rPr>
          <w:rFonts w:ascii="宋体" w:hAnsi="宋体" w:cs="宋体" w:eastAsia="宋体" w:hint="default"/>
          <w:sz w:val="18"/>
          <w:szCs w:val="18"/>
        </w:rPr>
        <w:t>、发行人发生超过上年末净资产百分之十的重大损失； </w:t>
      </w:r>
      <w:r>
        <w:rPr>
          <w:rFonts w:ascii="Times New Roman" w:hAnsi="Times New Roman" w:cs="Times New Roman" w:eastAsia="Times New Roman" w:hint="default"/>
          <w:sz w:val="18"/>
          <w:szCs w:val="18"/>
        </w:rPr>
        <w:t>h</w:t>
      </w:r>
      <w:r>
        <w:rPr>
          <w:rFonts w:ascii="宋体" w:hAnsi="宋体" w:cs="宋体" w:eastAsia="宋体" w:hint="default"/>
          <w:sz w:val="18"/>
          <w:szCs w:val="18"/>
        </w:rPr>
        <w:t>、发行人作出减资、合并、分立、解散及申请破产的决定； </w:t>
      </w:r>
      <w:r>
        <w:rPr>
          <w:rFonts w:ascii="Times New Roman" w:hAnsi="Times New Roman" w:cs="Times New Roman" w:eastAsia="Times New Roman" w:hint="default"/>
          <w:sz w:val="18"/>
          <w:szCs w:val="18"/>
        </w:rPr>
        <w:t>i</w:t>
      </w:r>
      <w:r>
        <w:rPr>
          <w:rFonts w:ascii="宋体" w:hAnsi="宋体" w:cs="宋体" w:eastAsia="宋体" w:hint="default"/>
          <w:sz w:val="18"/>
          <w:szCs w:val="18"/>
        </w:rPr>
        <w:t>、发行人涉及重大诉讼、仲裁事项或者受到重大行政处罚； </w:t>
      </w:r>
      <w:r>
        <w:rPr>
          <w:rFonts w:ascii="Times New Roman" w:hAnsi="Times New Roman" w:cs="Times New Roman" w:eastAsia="Times New Roman" w:hint="default"/>
          <w:sz w:val="18"/>
          <w:szCs w:val="18"/>
        </w:rPr>
        <w:t>j</w:t>
      </w:r>
      <w:r>
        <w:rPr>
          <w:rFonts w:ascii="宋体" w:hAnsi="宋体" w:cs="宋体" w:eastAsia="宋体" w:hint="default"/>
          <w:sz w:val="18"/>
          <w:szCs w:val="18"/>
        </w:rPr>
        <w:t>、保证人、担保物或者其他偿债保障措施发生重大变化； </w:t>
      </w:r>
      <w:r>
        <w:rPr>
          <w:rFonts w:ascii="Times New Roman" w:hAnsi="Times New Roman" w:cs="Times New Roman" w:eastAsia="Times New Roman" w:hint="default"/>
          <w:sz w:val="18"/>
          <w:szCs w:val="18"/>
        </w:rPr>
        <w:t>k</w:t>
      </w:r>
      <w:r>
        <w:rPr>
          <w:rFonts w:ascii="宋体" w:hAnsi="宋体" w:cs="宋体" w:eastAsia="宋体" w:hint="default"/>
          <w:sz w:val="18"/>
          <w:szCs w:val="18"/>
        </w:rPr>
        <w:t>、发行人情况发生重大变化导致可能不符合公司债券上市条件； </w:t>
      </w:r>
      <w:r>
        <w:rPr>
          <w:rFonts w:ascii="Times New Roman" w:hAnsi="Times New Roman" w:cs="Times New Roman" w:eastAsia="Times New Roman" w:hint="default"/>
          <w:sz w:val="18"/>
          <w:szCs w:val="18"/>
        </w:rPr>
        <w:t>l</w:t>
      </w:r>
      <w:r>
        <w:rPr>
          <w:rFonts w:ascii="宋体" w:hAnsi="宋体" w:cs="宋体" w:eastAsia="宋体" w:hint="default"/>
          <w:sz w:val="18"/>
          <w:szCs w:val="18"/>
        </w:rPr>
        <w:t>、发行人涉嫌犯罪被司法机关立案调查，发行人董事、监事、高级管理人员涉嫌犯罪被司法机关采取强制措施； </w:t>
      </w:r>
      <w:r>
        <w:rPr>
          <w:rFonts w:ascii="Times New Roman" w:hAnsi="Times New Roman" w:cs="Times New Roman" w:eastAsia="Times New Roman" w:hint="default"/>
          <w:sz w:val="18"/>
          <w:szCs w:val="18"/>
        </w:rPr>
        <w:t>m</w:t>
      </w:r>
      <w:r>
        <w:rPr>
          <w:rFonts w:ascii="宋体" w:hAnsi="宋体" w:cs="宋体" w:eastAsia="宋体" w:hint="default"/>
          <w:sz w:val="18"/>
          <w:szCs w:val="18"/>
        </w:rPr>
        <w:t>、发行人拟变更募集说明书的约定；</w:t>
      </w:r>
    </w:p>
    <w:p>
      <w:pPr>
        <w:spacing w:line="300" w:lineRule="auto" w:before="13"/>
        <w:ind w:left="154" w:right="23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、发行人不能按期支付本息； </w:t>
      </w:r>
      <w:r>
        <w:rPr>
          <w:rFonts w:ascii="Times New Roman" w:hAnsi="Times New Roman" w:cs="Times New Roman" w:eastAsia="Times New Roman" w:hint="default"/>
          <w:sz w:val="18"/>
          <w:szCs w:val="18"/>
        </w:rPr>
        <w:t>o</w:t>
      </w:r>
      <w:r>
        <w:rPr>
          <w:rFonts w:ascii="宋体" w:hAnsi="宋体" w:cs="宋体" w:eastAsia="宋体" w:hint="default"/>
          <w:sz w:val="18"/>
          <w:szCs w:val="18"/>
        </w:rPr>
        <w:t>、发行人管理层不能正常履行职责，导致发行人债务清偿能力面临严重不确定性，需要依法采取行动的； </w:t>
      </w:r>
      <w:r>
        <w:rPr>
          <w:rFonts w:ascii="Times New Roman" w:hAnsi="Times New Roman" w:cs="Times New Roman" w:eastAsia="Times New Roman" w:hint="default"/>
          <w:sz w:val="18"/>
          <w:szCs w:val="18"/>
        </w:rPr>
        <w:t>p</w:t>
      </w:r>
      <w:r>
        <w:rPr>
          <w:rFonts w:ascii="宋体" w:hAnsi="宋体" w:cs="宋体" w:eastAsia="宋体" w:hint="default"/>
          <w:sz w:val="18"/>
          <w:szCs w:val="18"/>
        </w:rPr>
        <w:t>、发行人提出债务重组方案的；</w:t>
      </w:r>
    </w:p>
    <w:p>
      <w:pPr>
        <w:spacing w:line="300" w:lineRule="auto" w:before="13"/>
        <w:ind w:left="154" w:right="618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q</w:t>
      </w:r>
      <w:r>
        <w:rPr>
          <w:rFonts w:ascii="宋体" w:hAnsi="宋体" w:cs="宋体" w:eastAsia="宋体" w:hint="default"/>
          <w:sz w:val="18"/>
          <w:szCs w:val="18"/>
        </w:rPr>
        <w:t>、本期债券可能被暂停或者终止提供交易或转让服务的； </w:t>
      </w:r>
      <w:r>
        <w:rPr>
          <w:rFonts w:ascii="Times New Roman" w:hAnsi="Times New Roman" w:cs="Times New Roman" w:eastAsia="Times New Roman" w:hint="default"/>
          <w:sz w:val="18"/>
          <w:szCs w:val="18"/>
        </w:rPr>
        <w:t>r</w:t>
      </w:r>
      <w:r>
        <w:rPr>
          <w:rFonts w:ascii="宋体" w:hAnsi="宋体" w:cs="宋体" w:eastAsia="宋体" w:hint="default"/>
          <w:sz w:val="18"/>
          <w:szCs w:val="18"/>
        </w:rPr>
        <w:t>、发行人募集资金使用情况和债券募集说明书不一致的； </w:t>
      </w:r>
      <w:r>
        <w:rPr>
          <w:rFonts w:ascii="Times New Roman" w:hAnsi="Times New Roman" w:cs="Times New Roman" w:eastAsia="Times New Roman" w:hint="default"/>
          <w:sz w:val="18"/>
          <w:szCs w:val="18"/>
        </w:rPr>
        <w:t>s</w:t>
      </w:r>
      <w:r>
        <w:rPr>
          <w:rFonts w:ascii="宋体" w:hAnsi="宋体" w:cs="宋体" w:eastAsia="宋体" w:hint="default"/>
          <w:sz w:val="18"/>
          <w:szCs w:val="18"/>
        </w:rPr>
        <w:t>、发生其他对债券持有人权益有重大影响的事项。</w:t>
      </w:r>
    </w:p>
    <w:p>
      <w:pPr>
        <w:spacing w:line="316" w:lineRule="auto" w:before="53"/>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就上述事件通知债券受托管理人同时，发行人就该等事项是否影响本期债券本息安全向债券受托管理人作出书面说明，并对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有影响的事件提出有效且切实可行的应对措施。</w:t>
      </w:r>
    </w:p>
    <w:p>
      <w:pPr>
        <w:spacing w:line="240" w:lineRule="auto" w:before="9"/>
        <w:rPr>
          <w:rFonts w:ascii="宋体" w:hAnsi="宋体" w:cs="宋体" w:eastAsia="宋体" w:hint="default"/>
          <w:sz w:val="20"/>
          <w:szCs w:val="20"/>
        </w:rPr>
      </w:pPr>
    </w:p>
    <w:p>
      <w:pPr>
        <w:pStyle w:val="Heading3"/>
        <w:spacing w:line="240" w:lineRule="auto"/>
        <w:ind w:right="1972"/>
        <w:jc w:val="left"/>
        <w:rPr>
          <w:b w:val="0"/>
          <w:bCs w:val="0"/>
        </w:rPr>
      </w:pPr>
      <w:bookmarkStart w:name="六、报告期内债券持有人会议的召开情况" w:id="156"/>
      <w:bookmarkEnd w:id="156"/>
      <w:r>
        <w:rPr>
          <w:b w:val="0"/>
          <w:bCs w:val="0"/>
        </w:rPr>
      </w:r>
      <w:r>
        <w:rPr/>
        <w:t>六、报告期内债券持有人会议的召开情况</w:t>
      </w:r>
      <w:r>
        <w:rPr>
          <w:b w:val="0"/>
          <w:bCs w:val="0"/>
        </w:rPr>
      </w:r>
    </w:p>
    <w:p>
      <w:pPr>
        <w:spacing w:line="240" w:lineRule="auto" w:before="6"/>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right="1972"/>
        <w:jc w:val="left"/>
        <w:rPr>
          <w:b w:val="0"/>
          <w:bCs w:val="0"/>
        </w:rPr>
      </w:pPr>
      <w:bookmarkStart w:name="七、报告期内债券受托管理人履行职责的情况" w:id="157"/>
      <w:bookmarkEnd w:id="157"/>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right="1972"/>
        <w:jc w:val="left"/>
        <w:rPr>
          <w:b w:val="0"/>
          <w:bCs w:val="0"/>
        </w:rPr>
      </w:pPr>
      <w:bookmarkStart w:name="八、截至报告期末公司近2年的主要会计数据和财务指标" w:id="158"/>
      <w:bookmarkEnd w:id="158"/>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4"/>
        <w:rPr>
          <w:rFonts w:ascii="宋体" w:hAnsi="宋体" w:cs="宋体" w:eastAsia="宋体" w:hint="default"/>
          <w:b/>
          <w:bCs/>
          <w:sz w:val="25"/>
          <w:szCs w:val="2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43,386.43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32,143.97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-70.11%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-17,765.09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-7,622.48%</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18,475.55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10,429.52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24,132.44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32,718.81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-26.24%</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3"/>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354" w:right="197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、息税折旧摊销前利润本年较上年增加</w:t>
      </w:r>
      <w:r>
        <w:rPr>
          <w:rFonts w:ascii="Times New Roman" w:hAnsi="Times New Roman" w:cs="Times New Roman" w:eastAsia="Times New Roman" w:hint="default"/>
          <w:b/>
          <w:bCs/>
          <w:sz w:val="18"/>
          <w:szCs w:val="18"/>
        </w:rPr>
        <w:t>34.98%</w:t>
      </w:r>
      <w:r>
        <w:rPr>
          <w:rFonts w:ascii="宋体" w:hAnsi="宋体" w:cs="宋体" w:eastAsia="宋体" w:hint="default"/>
          <w:b/>
          <w:bCs/>
          <w:sz w:val="18"/>
          <w:szCs w:val="18"/>
        </w:rPr>
        <w:t>，主要原因是利润总额、所得税费用和利息支出增加。</w:t>
      </w:r>
      <w:r>
        <w:rPr>
          <w:rFonts w:ascii="宋体" w:hAnsi="宋体" w:cs="宋体" w:eastAsia="宋体" w:hint="default"/>
          <w:sz w:val="18"/>
          <w:szCs w:val="18"/>
        </w:rPr>
      </w:r>
    </w:p>
    <w:p>
      <w:pPr>
        <w:spacing w:before="103"/>
        <w:ind w:left="354" w:right="197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、流动比率本年较上年减少</w:t>
      </w:r>
      <w:r>
        <w:rPr>
          <w:rFonts w:ascii="Times New Roman" w:hAnsi="Times New Roman" w:cs="Times New Roman" w:eastAsia="Times New Roman" w:hint="default"/>
          <w:b/>
          <w:bCs/>
          <w:sz w:val="18"/>
          <w:szCs w:val="18"/>
        </w:rPr>
        <w:t>71.21%</w:t>
      </w:r>
      <w:r>
        <w:rPr>
          <w:rFonts w:ascii="宋体" w:hAnsi="宋体" w:cs="宋体" w:eastAsia="宋体" w:hint="default"/>
          <w:b/>
          <w:bCs/>
          <w:sz w:val="18"/>
          <w:szCs w:val="18"/>
        </w:rPr>
        <w:t>，主要原因是短期借款和一年内到期的非流动负债增加。</w:t>
      </w:r>
      <w:r>
        <w:rPr>
          <w:rFonts w:ascii="宋体" w:hAnsi="宋体" w:cs="宋体" w:eastAsia="宋体" w:hint="default"/>
          <w:sz w:val="18"/>
          <w:szCs w:val="18"/>
        </w:rPr>
      </w:r>
    </w:p>
    <w:p>
      <w:pPr>
        <w:spacing w:before="102"/>
        <w:ind w:left="354" w:right="197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、速动比率本年较上年减少</w:t>
      </w:r>
      <w:r>
        <w:rPr>
          <w:rFonts w:ascii="Times New Roman" w:hAnsi="Times New Roman" w:cs="Times New Roman" w:eastAsia="Times New Roman" w:hint="default"/>
          <w:b/>
          <w:bCs/>
          <w:sz w:val="18"/>
          <w:szCs w:val="18"/>
        </w:rPr>
        <w:t>70.11%</w:t>
      </w:r>
      <w:r>
        <w:rPr>
          <w:rFonts w:ascii="宋体" w:hAnsi="宋体" w:cs="宋体" w:eastAsia="宋体" w:hint="default"/>
          <w:b/>
          <w:bCs/>
          <w:sz w:val="18"/>
          <w:szCs w:val="18"/>
        </w:rPr>
        <w:t>，主要原因是短期借款和一年内到期的非流动负债增加。</w:t>
      </w:r>
      <w:r>
        <w:rPr>
          <w:rFonts w:ascii="宋体" w:hAnsi="宋体" w:cs="宋体" w:eastAsia="宋体" w:hint="default"/>
          <w:sz w:val="18"/>
          <w:szCs w:val="18"/>
        </w:rPr>
      </w:r>
    </w:p>
    <w:p>
      <w:pPr>
        <w:spacing w:before="102"/>
        <w:ind w:left="3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、现金利息保障倍数本年较上年减少</w:t>
      </w:r>
      <w:r>
        <w:rPr>
          <w:rFonts w:ascii="Times New Roman" w:hAnsi="Times New Roman" w:cs="Times New Roman" w:eastAsia="Times New Roman" w:hint="default"/>
          <w:b/>
          <w:bCs/>
          <w:sz w:val="18"/>
          <w:szCs w:val="18"/>
        </w:rPr>
        <w:t>99.20%</w:t>
      </w:r>
      <w:r>
        <w:rPr>
          <w:rFonts w:ascii="宋体" w:hAnsi="宋体" w:cs="宋体" w:eastAsia="宋体" w:hint="default"/>
          <w:b/>
          <w:bCs/>
          <w:sz w:val="18"/>
          <w:szCs w:val="18"/>
        </w:rPr>
        <w:t>，主要原因是本年经营活动产生的现金流量净额较上年大幅减少。</w:t>
      </w:r>
      <w:r>
        <w:rPr>
          <w:rFonts w:ascii="宋体" w:hAnsi="宋体" w:cs="宋体" w:eastAsia="宋体" w:hint="default"/>
          <w:sz w:val="18"/>
          <w:szCs w:val="18"/>
        </w:rPr>
      </w:r>
    </w:p>
    <w:p>
      <w:pPr>
        <w:spacing w:line="302" w:lineRule="auto" w:before="102"/>
        <w:ind w:left="3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、投资活动产生的现金流量净额本年较上年减少</w:t>
      </w:r>
      <w:r>
        <w:rPr>
          <w:rFonts w:ascii="Times New Roman" w:hAnsi="Times New Roman" w:cs="Times New Roman" w:eastAsia="Times New Roman" w:hint="default"/>
          <w:b/>
          <w:bCs/>
          <w:sz w:val="18"/>
          <w:szCs w:val="18"/>
        </w:rPr>
        <w:t>7,622.48%</w:t>
      </w:r>
      <w:r>
        <w:rPr>
          <w:rFonts w:ascii="宋体" w:hAnsi="宋体" w:cs="宋体" w:eastAsia="宋体" w:hint="default"/>
          <w:b/>
          <w:bCs/>
          <w:sz w:val="18"/>
          <w:szCs w:val="18"/>
        </w:rPr>
        <w:t>，主要原因是上年有闲置募集资金购买结构性存款、理财产</w:t>
      </w:r>
      <w:r>
        <w:rPr>
          <w:rFonts w:ascii="宋体" w:hAnsi="宋体" w:cs="宋体" w:eastAsia="宋体" w:hint="default"/>
          <w:b/>
          <w:bCs/>
          <w:spacing w:val="-60"/>
          <w:sz w:val="18"/>
          <w:szCs w:val="18"/>
        </w:rPr>
        <w:t> </w:t>
      </w:r>
      <w:r>
        <w:rPr>
          <w:rFonts w:ascii="宋体" w:hAnsi="宋体" w:cs="宋体" w:eastAsia="宋体" w:hint="default"/>
          <w:b/>
          <w:bCs/>
          <w:spacing w:val="-60"/>
          <w:sz w:val="18"/>
          <w:szCs w:val="18"/>
        </w:rPr>
      </w:r>
      <w:r>
        <w:rPr>
          <w:rFonts w:ascii="宋体" w:hAnsi="宋体" w:cs="宋体" w:eastAsia="宋体" w:hint="default"/>
          <w:b/>
          <w:bCs/>
          <w:sz w:val="18"/>
          <w:szCs w:val="18"/>
        </w:rPr>
        <w:t>品到期收款增加。</w:t>
      </w:r>
      <w:r>
        <w:rPr>
          <w:rFonts w:ascii="宋体" w:hAnsi="宋体" w:cs="宋体" w:eastAsia="宋体" w:hint="default"/>
          <w:sz w:val="18"/>
          <w:szCs w:val="18"/>
        </w:rPr>
      </w:r>
    </w:p>
    <w:p>
      <w:pPr>
        <w:spacing w:before="69"/>
        <w:ind w:left="354" w:right="197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、筹资活动产生的现金流量净额本年较上年增加</w:t>
      </w:r>
      <w:r>
        <w:rPr>
          <w:rFonts w:ascii="Times New Roman" w:hAnsi="Times New Roman" w:cs="Times New Roman" w:eastAsia="Times New Roman" w:hint="default"/>
          <w:b/>
          <w:bCs/>
          <w:sz w:val="18"/>
          <w:szCs w:val="18"/>
        </w:rPr>
        <w:t>77.15%</w:t>
      </w:r>
      <w:r>
        <w:rPr>
          <w:rFonts w:ascii="宋体" w:hAnsi="宋体" w:cs="宋体" w:eastAsia="宋体" w:hint="default"/>
          <w:b/>
          <w:bCs/>
          <w:sz w:val="18"/>
          <w:szCs w:val="18"/>
        </w:rPr>
        <w:t>，主要原因是短期借款增加。</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3"/>
          <w:szCs w:val="23"/>
        </w:rPr>
      </w:pPr>
    </w:p>
    <w:p>
      <w:pPr>
        <w:pStyle w:val="Heading3"/>
        <w:spacing w:line="240" w:lineRule="auto"/>
        <w:ind w:right="1972"/>
        <w:jc w:val="left"/>
        <w:rPr>
          <w:b w:val="0"/>
          <w:bCs w:val="0"/>
        </w:rPr>
      </w:pPr>
      <w:bookmarkStart w:name="九、报告期内对其他债券和债务融资工具的付息兑付情况" w:id="159"/>
      <w:bookmarkEnd w:id="159"/>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right="1972"/>
        <w:jc w:val="left"/>
        <w:rPr>
          <w:b w:val="0"/>
          <w:bCs w:val="0"/>
        </w:rPr>
      </w:pPr>
      <w:bookmarkStart w:name="十、报告期内获得的银行授信情况、使用情况以及偿还银行贷款的情况" w:id="160"/>
      <w:bookmarkEnd w:id="160"/>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报告期内，公司共申请银行授信总额度为</w:t>
      </w:r>
      <w:r>
        <w:rPr>
          <w:rFonts w:ascii="Times New Roman" w:hAnsi="Times New Roman" w:cs="Times New Roman" w:eastAsia="Times New Roman" w:hint="default"/>
          <w:sz w:val="18"/>
          <w:szCs w:val="18"/>
        </w:rPr>
        <w:t>17.9</w:t>
      </w:r>
      <w:r>
        <w:rPr>
          <w:rFonts w:ascii="宋体" w:hAnsi="宋体" w:cs="宋体" w:eastAsia="宋体" w:hint="default"/>
          <w:sz w:val="18"/>
          <w:szCs w:val="18"/>
        </w:rPr>
        <w:t>亿元，使用授信额度</w:t>
      </w:r>
      <w:r>
        <w:rPr>
          <w:rFonts w:ascii="Times New Roman" w:hAnsi="Times New Roman" w:cs="Times New Roman" w:eastAsia="Times New Roman" w:hint="default"/>
          <w:sz w:val="18"/>
          <w:szCs w:val="18"/>
        </w:rPr>
        <w:t>9.4</w:t>
      </w:r>
      <w:r>
        <w:rPr>
          <w:rFonts w:ascii="宋体" w:hAnsi="宋体" w:cs="宋体" w:eastAsia="宋体" w:hint="default"/>
          <w:sz w:val="18"/>
          <w:szCs w:val="18"/>
        </w:rPr>
        <w:t>亿元，剩余授信额度</w:t>
      </w:r>
      <w:r>
        <w:rPr>
          <w:rFonts w:ascii="Times New Roman" w:hAnsi="Times New Roman" w:cs="Times New Roman" w:eastAsia="Times New Roman" w:hint="default"/>
          <w:sz w:val="18"/>
          <w:szCs w:val="18"/>
        </w:rPr>
        <w:t>8.5</w:t>
      </w:r>
      <w:r>
        <w:rPr>
          <w:rFonts w:ascii="宋体" w:hAnsi="宋体" w:cs="宋体" w:eastAsia="宋体" w:hint="default"/>
          <w:sz w:val="18"/>
          <w:szCs w:val="18"/>
        </w:rPr>
        <w:t>亿；报告期内共偿还银行贷款</w:t>
      </w:r>
    </w:p>
    <w:p>
      <w:pPr>
        <w:spacing w:before="63"/>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9.11</w:t>
      </w:r>
      <w:r>
        <w:rPr>
          <w:rFonts w:ascii="宋体" w:hAnsi="宋体" w:cs="宋体" w:eastAsia="宋体" w:hint="default"/>
          <w:sz w:val="18"/>
          <w:szCs w:val="18"/>
        </w:rPr>
        <w:t>亿元。</w:t>
      </w:r>
    </w:p>
    <w:p>
      <w:pPr>
        <w:spacing w:line="240" w:lineRule="auto" w:before="1"/>
        <w:rPr>
          <w:rFonts w:ascii="宋体" w:hAnsi="宋体" w:cs="宋体" w:eastAsia="宋体" w:hint="default"/>
          <w:sz w:val="24"/>
          <w:szCs w:val="24"/>
        </w:rPr>
      </w:pPr>
    </w:p>
    <w:p>
      <w:pPr>
        <w:pStyle w:val="Heading3"/>
        <w:spacing w:line="240" w:lineRule="auto"/>
        <w:ind w:right="1972"/>
        <w:jc w:val="left"/>
        <w:rPr>
          <w:b w:val="0"/>
          <w:bCs w:val="0"/>
        </w:rPr>
      </w:pPr>
      <w:bookmarkStart w:name="十一、报告期内执行公司债券募集说明书相关约定或承诺的情况" w:id="161"/>
      <w:bookmarkEnd w:id="161"/>
      <w:r>
        <w:rPr>
          <w:b w:val="0"/>
          <w:bCs w:val="0"/>
        </w:rPr>
      </w: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1124" w:firstLine="300"/>
        <w:jc w:val="left"/>
        <w:rPr>
          <w:rFonts w:ascii="宋体" w:hAnsi="宋体" w:cs="宋体" w:eastAsia="宋体" w:hint="default"/>
          <w:sz w:val="18"/>
          <w:szCs w:val="18"/>
        </w:rPr>
      </w:pPr>
      <w:r>
        <w:rPr>
          <w:rFonts w:ascii="宋体" w:hAnsi="宋体" w:cs="宋体" w:eastAsia="宋体" w:hint="default"/>
          <w:spacing w:val="-4"/>
          <w:sz w:val="18"/>
          <w:szCs w:val="18"/>
        </w:rPr>
        <w:t>报告期内，本公司在公司治理、内部控制等方面，均不存在违反《中华人民共和国公司法》、《公司章程》规定的情况。</w:t>
      </w:r>
      <w:r>
        <w:rPr>
          <w:rFonts w:ascii="宋体" w:hAnsi="宋体" w:cs="宋体" w:eastAsia="宋体" w:hint="default"/>
          <w:sz w:val="18"/>
          <w:szCs w:val="18"/>
        </w:rPr>
        <w:t> 同时，公司亦不存在违反</w:t>
      </w:r>
      <w:r>
        <w:rPr>
          <w:rFonts w:ascii="Times New Roman" w:hAnsi="Times New Roman" w:cs="Times New Roman" w:eastAsia="Times New Roman" w:hint="default"/>
          <w:sz w:val="18"/>
          <w:szCs w:val="18"/>
        </w:rPr>
        <w:t>16</w:t>
      </w:r>
      <w:r>
        <w:rPr>
          <w:rFonts w:ascii="宋体" w:hAnsi="宋体" w:cs="宋体" w:eastAsia="宋体" w:hint="default"/>
          <w:sz w:val="18"/>
          <w:szCs w:val="18"/>
        </w:rPr>
        <w:t>迪科</w:t>
      </w:r>
      <w:r>
        <w:rPr>
          <w:rFonts w:ascii="Times New Roman" w:hAnsi="Times New Roman" w:cs="Times New Roman" w:eastAsia="Times New Roman" w:hint="default"/>
          <w:sz w:val="18"/>
          <w:szCs w:val="18"/>
        </w:rPr>
        <w:t>01</w:t>
      </w:r>
      <w:r>
        <w:rPr>
          <w:rFonts w:ascii="宋体" w:hAnsi="宋体" w:cs="宋体" w:eastAsia="宋体" w:hint="default"/>
          <w:sz w:val="18"/>
          <w:szCs w:val="18"/>
        </w:rPr>
        <w:t>募集说明书中约定或承诺的情况。</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right="1972"/>
        <w:jc w:val="left"/>
        <w:rPr>
          <w:b w:val="0"/>
          <w:bCs w:val="0"/>
        </w:rPr>
      </w:pPr>
      <w:bookmarkStart w:name="十二、报告期内发生的重大事项" w:id="162"/>
      <w:bookmarkEnd w:id="162"/>
      <w:r>
        <w:rPr>
          <w:b w:val="0"/>
          <w:bCs w:val="0"/>
        </w:rPr>
      </w:r>
      <w:r>
        <w:rPr/>
        <w:t>十二、报告期内发生的重大事项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年面向合格投资者公开发行公司债券（第一期）（简称</w:t>
      </w:r>
      <w:r>
        <w:rPr>
          <w:rFonts w:ascii="Times New Roman" w:hAnsi="Times New Roman" w:cs="Times New Roman" w:eastAsia="Times New Roman" w:hint="default"/>
          <w:spacing w:val="-3"/>
        </w:rPr>
        <w:t>“16</w:t>
      </w:r>
      <w:r>
        <w:rPr>
          <w:spacing w:val="-3"/>
        </w:rPr>
        <w:t>迪科</w:t>
      </w:r>
      <w:r>
        <w:rPr>
          <w:rFonts w:ascii="Times New Roman" w:hAnsi="Times New Roman" w:cs="Times New Roman" w:eastAsia="Times New Roman" w:hint="default"/>
          <w:spacing w:val="-3"/>
        </w:rPr>
        <w:t>01”</w:t>
      </w:r>
      <w:r>
        <w:rPr>
          <w:spacing w:val="-3"/>
        </w:rPr>
        <w:t>），由深圳市中小企业信用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1"/>
        <w:jc w:val="both"/>
      </w:pPr>
      <w:r>
        <w:rPr/>
        <w:t>融资担保集团有限公司（简称</w:t>
      </w:r>
      <w:r>
        <w:rPr>
          <w:rFonts w:ascii="Times New Roman" w:hAnsi="Times New Roman" w:cs="Times New Roman" w:eastAsia="Times New Roman" w:hint="default"/>
        </w:rPr>
        <w:t>“</w:t>
      </w:r>
      <w:r>
        <w:rPr/>
        <w:t>深圳中小担</w:t>
      </w:r>
      <w:r>
        <w:rPr>
          <w:rFonts w:ascii="Times New Roman" w:hAnsi="Times New Roman" w:cs="Times New Roman" w:eastAsia="Times New Roman" w:hint="default"/>
        </w:rPr>
        <w:t>”</w:t>
      </w:r>
      <w:r>
        <w:rPr/>
        <w:t>）为本期发行债券提供全额的无条件的不可撤销的连带责任保 证担保。经联合信用评级有限公司评定，发行人的主体信用等级为</w:t>
      </w:r>
      <w:r>
        <w:rPr>
          <w:rFonts w:ascii="Times New Roman" w:hAnsi="Times New Roman" w:cs="Times New Roman" w:eastAsia="Times New Roman" w:hint="default"/>
        </w:rPr>
        <w:t>AA-</w:t>
      </w:r>
      <w:r>
        <w:rPr/>
        <w:t>，本期债券信用等级为</w:t>
      </w:r>
      <w:r>
        <w:rPr>
          <w:rFonts w:ascii="Times New Roman" w:hAnsi="Times New Roman" w:cs="Times New Roman" w:eastAsia="Times New Roman" w:hint="default"/>
        </w:rPr>
        <w:t>AA+</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日，联合评级出具跟踪评级报告，维持本期债券</w:t>
      </w:r>
      <w:r>
        <w:rPr>
          <w:rFonts w:ascii="Times New Roman" w:hAnsi="Times New Roman" w:cs="Times New Roman" w:eastAsia="Times New Roman" w:hint="default"/>
        </w:rPr>
        <w:t>“AA+”</w:t>
      </w:r>
      <w:r>
        <w:rPr/>
        <w:t>的债项级别。</w:t>
      </w:r>
    </w:p>
    <w:p>
      <w:pPr>
        <w:pStyle w:val="BodyText"/>
        <w:spacing w:line="256" w:lineRule="auto" w:before="5"/>
        <w:ind w:right="0" w:firstLine="420"/>
        <w:jc w:val="left"/>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7</w:t>
      </w:r>
      <w:r>
        <w:rPr>
          <w:spacing w:val="-5"/>
        </w:rPr>
        <w:t>日，联合评级出具《深圳市中小企业信用融资担保集团有限公司</w:t>
      </w:r>
      <w:r>
        <w:rPr>
          <w:rFonts w:ascii="Times New Roman" w:hAnsi="Times New Roman" w:cs="Times New Roman" w:eastAsia="Times New Roman" w:hint="default"/>
          <w:spacing w:val="-5"/>
        </w:rPr>
        <w:t>2018</w:t>
      </w:r>
      <w:r>
        <w:rPr>
          <w:spacing w:val="-5"/>
        </w:rPr>
        <w:t>年主体信用评级报告》，</w:t>
      </w:r>
      <w:r>
        <w:rPr/>
        <w:t> 将深圳中小担主体信用等级由</w:t>
      </w:r>
      <w:r>
        <w:rPr>
          <w:rFonts w:ascii="Times New Roman" w:hAnsi="Times New Roman" w:cs="Times New Roman" w:eastAsia="Times New Roman" w:hint="default"/>
        </w:rPr>
        <w:t>“AA+”</w:t>
      </w:r>
      <w:r>
        <w:rPr/>
        <w:t>上调至</w:t>
      </w:r>
      <w:r>
        <w:rPr>
          <w:rFonts w:ascii="Times New Roman" w:hAnsi="Times New Roman" w:cs="Times New Roman" w:eastAsia="Times New Roman" w:hint="default"/>
        </w:rPr>
        <w:t>“AAA”</w:t>
      </w:r>
      <w:r>
        <w:rPr/>
        <w:t>。经联合评级信用评级委员会决定，将</w:t>
      </w:r>
      <w:r>
        <w:rPr>
          <w:rFonts w:ascii="Times New Roman" w:hAnsi="Times New Roman" w:cs="Times New Roman" w:eastAsia="Times New Roman" w:hint="default"/>
        </w:rPr>
        <w:t>“16</w:t>
      </w:r>
      <w:r>
        <w:rPr/>
        <w:t>迪科</w:t>
      </w:r>
      <w:r>
        <w:rPr>
          <w:rFonts w:ascii="Times New Roman" w:hAnsi="Times New Roman" w:cs="Times New Roman" w:eastAsia="Times New Roman" w:hint="default"/>
        </w:rPr>
        <w:t>01”</w:t>
      </w:r>
      <w:r>
        <w:rPr/>
        <w:t>债项</w:t>
      </w:r>
      <w:r>
        <w:rPr>
          <w:spacing w:val="-97"/>
        </w:rPr>
        <w:t> </w:t>
      </w:r>
      <w:r>
        <w:rPr/>
        <w:t>由</w:t>
      </w:r>
      <w:r>
        <w:rPr>
          <w:rFonts w:ascii="Times New Roman" w:hAnsi="Times New Roman" w:cs="Times New Roman" w:eastAsia="Times New Roman" w:hint="default"/>
        </w:rPr>
        <w:t>“AA+”</w:t>
      </w:r>
      <w:r>
        <w:rPr/>
        <w:t>上调至</w:t>
      </w:r>
      <w:r>
        <w:rPr>
          <w:rFonts w:ascii="Times New Roman" w:hAnsi="Times New Roman" w:cs="Times New Roman" w:eastAsia="Times New Roman" w:hint="default"/>
        </w:rPr>
        <w:t>“AAA”</w:t>
      </w:r>
      <w:r>
        <w:rPr/>
        <w:t>。</w:t>
      </w:r>
    </w:p>
    <w:p>
      <w:pPr>
        <w:pStyle w:val="BodyText"/>
        <w:spacing w:line="261" w:lineRule="auto" w:before="5"/>
        <w:ind w:right="1131"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日，联合信用出具《关于上调深圳天源迪科信息技术股份有限公司</w:t>
      </w:r>
      <w:r>
        <w:rPr>
          <w:rFonts w:ascii="Times New Roman" w:hAnsi="Times New Roman" w:cs="Times New Roman" w:eastAsia="Times New Roman" w:hint="default"/>
        </w:rPr>
        <w:t>“16</w:t>
      </w:r>
      <w:r>
        <w:rPr/>
        <w:t>迪科</w:t>
      </w:r>
      <w:r>
        <w:rPr>
          <w:rFonts w:ascii="Times New Roman" w:hAnsi="Times New Roman" w:cs="Times New Roman" w:eastAsia="Times New Roman" w:hint="default"/>
        </w:rPr>
        <w:t>01”</w:t>
      </w:r>
      <w:r>
        <w:rPr/>
        <w:t>债项信用等</w:t>
      </w:r>
      <w:r>
        <w:rPr>
          <w:w w:val="100"/>
        </w:rPr>
        <w:t> </w:t>
      </w:r>
      <w:r>
        <w:rPr/>
        <w:t>级的公告》，联合评级将公司发行的</w:t>
      </w:r>
      <w:r>
        <w:rPr>
          <w:rFonts w:ascii="Times New Roman" w:hAnsi="Times New Roman" w:cs="Times New Roman" w:eastAsia="Times New Roman" w:hint="default"/>
        </w:rPr>
        <w:t>“16</w:t>
      </w:r>
      <w:r>
        <w:rPr/>
        <w:t>迪科</w:t>
      </w:r>
      <w:r>
        <w:rPr>
          <w:rFonts w:ascii="Times New Roman" w:hAnsi="Times New Roman" w:cs="Times New Roman" w:eastAsia="Times New Roman" w:hint="default"/>
        </w:rPr>
        <w:t>01”</w:t>
      </w:r>
      <w:r>
        <w:rPr/>
        <w:t>债项信用等级由</w:t>
      </w:r>
      <w:r>
        <w:rPr>
          <w:rFonts w:ascii="Times New Roman" w:hAnsi="Times New Roman" w:cs="Times New Roman" w:eastAsia="Times New Roman" w:hint="default"/>
        </w:rPr>
        <w:t>“AA+”</w:t>
      </w:r>
      <w:r>
        <w:rPr/>
        <w:t>上调至</w:t>
      </w:r>
      <w:r>
        <w:rPr>
          <w:rFonts w:ascii="Times New Roman" w:hAnsi="Times New Roman" w:cs="Times New Roman" w:eastAsia="Times New Roman" w:hint="default"/>
        </w:rPr>
        <w:t>“AAA”</w:t>
      </w:r>
      <w:r>
        <w:rPr/>
        <w:t>，此次评级调整不会</w:t>
      </w:r>
      <w:r>
        <w:rPr>
          <w:spacing w:val="-99"/>
        </w:rPr>
        <w:t> </w:t>
      </w:r>
      <w:r>
        <w:rPr>
          <w:spacing w:val="-99"/>
        </w:rPr>
      </w:r>
      <w:r>
        <w:rPr>
          <w:spacing w:val="-1"/>
        </w:rPr>
        <w:t>对公司偿债能力产生实质性影响，不会对债券投资者适当性管理、债券质押式回购资格等产生影响。详见</w:t>
      </w:r>
      <w:r>
        <w:rPr>
          <w:spacing w:val="-83"/>
        </w:rPr>
        <w:t> </w:t>
      </w:r>
      <w:r>
        <w:rPr>
          <w:spacing w:val="-83"/>
        </w:rPr>
      </w:r>
      <w:r>
        <w:rPr/>
        <w:t>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日公告（</w:t>
      </w:r>
      <w:hyperlink r:id="rId12">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22"/>
        </w:rPr>
        <w:t> </w:t>
      </w:r>
      <w:r>
        <w:rPr/>
        <w:t>公告</w:t>
      </w:r>
      <w:r>
        <w:rPr>
          <w:rFonts w:ascii="Times New Roman" w:hAnsi="Times New Roman" w:cs="Times New Roman" w:eastAsia="Times New Roman" w:hint="default"/>
        </w:rPr>
        <w:t>2018-06</w:t>
      </w:r>
      <w:r>
        <w:rPr/>
        <w:t>）</w:t>
      </w:r>
    </w:p>
    <w:p>
      <w:pPr>
        <w:pStyle w:val="BodyText"/>
        <w:spacing w:line="256" w:lineRule="auto" w:before="0"/>
        <w:ind w:right="1134"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日，联合信用出具《天源迪科：公司债券（第一期）</w:t>
      </w:r>
      <w:r>
        <w:rPr>
          <w:rFonts w:ascii="Times New Roman" w:hAnsi="Times New Roman" w:cs="Times New Roman" w:eastAsia="Times New Roman" w:hint="default"/>
        </w:rPr>
        <w:t>2018</w:t>
      </w:r>
      <w:r>
        <w:rPr/>
        <w:t>年跟踪评级报告》，根据《跟 踪评级报告》，公司的主体信用等级为</w:t>
      </w:r>
      <w:r>
        <w:rPr>
          <w:rFonts w:ascii="Times New Roman" w:hAnsi="Times New Roman" w:cs="Times New Roman" w:eastAsia="Times New Roman" w:hint="default"/>
        </w:rPr>
        <w:t>AA-</w:t>
      </w:r>
      <w:r>
        <w:rPr/>
        <w:t>，本期债券信用等级为</w:t>
      </w:r>
      <w:r>
        <w:rPr>
          <w:rFonts w:ascii="Times New Roman" w:hAnsi="Times New Roman" w:cs="Times New Roman" w:eastAsia="Times New Roman" w:hint="default"/>
        </w:rPr>
        <w:t>AAA</w:t>
      </w:r>
      <w:r>
        <w:rPr/>
        <w:t>。详见公司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日公告。</w:t>
      </w:r>
    </w:p>
    <w:p>
      <w:pPr>
        <w:pStyle w:val="BodyText"/>
        <w:spacing w:line="256" w:lineRule="auto" w:before="5"/>
        <w:ind w:right="1129" w:firstLine="420"/>
        <w:jc w:val="both"/>
      </w:pPr>
      <w:r>
        <w:rPr>
          <w:rFonts w:ascii="Times New Roman" w:hAnsi="Times New Roman" w:cs="Times New Roman" w:eastAsia="Times New Roman" w:hint="default"/>
          <w:spacing w:val="-3"/>
        </w:rPr>
        <w:t>2</w:t>
      </w:r>
      <w:r>
        <w:rPr>
          <w:spacing w:val="-3"/>
        </w:rPr>
        <w:t>、根据公司《限制性股票激励计划》（草案）</w:t>
      </w:r>
      <w:r>
        <w:rPr>
          <w:rFonts w:ascii="Times New Roman" w:hAnsi="Times New Roman" w:cs="Times New Roman" w:eastAsia="Times New Roman" w:hint="default"/>
          <w:spacing w:val="-3"/>
        </w:rPr>
        <w:t>“</w:t>
      </w:r>
      <w:r>
        <w:rPr>
          <w:spacing w:val="-3"/>
        </w:rPr>
        <w:t>第八章激励计划的变更与终止</w:t>
      </w:r>
      <w:r>
        <w:rPr>
          <w:rFonts w:ascii="Times New Roman" w:hAnsi="Times New Roman" w:cs="Times New Roman" w:eastAsia="Times New Roman" w:hint="default"/>
          <w:spacing w:val="-3"/>
        </w:rPr>
        <w:t>”</w:t>
      </w:r>
      <w:r>
        <w:rPr>
          <w:spacing w:val="-3"/>
        </w:rPr>
        <w:t>的相关规定，因公司限</w:t>
      </w:r>
      <w:r>
        <w:rPr/>
        <w:t> </w:t>
      </w:r>
      <w:r>
        <w:rPr>
          <w:spacing w:val="-1"/>
        </w:rPr>
        <w:t>制性股票激励计划激励对象黄育成、刘宝珍、吴亚军、熊英、孔翔天等共</w:t>
      </w:r>
      <w:r>
        <w:rPr>
          <w:rFonts w:ascii="Times New Roman" w:hAnsi="Times New Roman" w:cs="Times New Roman" w:eastAsia="Times New Roman" w:hint="default"/>
          <w:spacing w:val="-1"/>
        </w:rPr>
        <w:t>33</w:t>
      </w:r>
      <w:r>
        <w:rPr>
          <w:spacing w:val="-1"/>
        </w:rPr>
        <w:t>人因个人原因离职，已不符合</w:t>
      </w:r>
      <w:r>
        <w:rPr>
          <w:spacing w:val="-84"/>
        </w:rPr>
        <w:t> </w:t>
      </w:r>
      <w:r>
        <w:rPr>
          <w:spacing w:val="-84"/>
        </w:rPr>
      </w:r>
      <w:r>
        <w:rPr>
          <w:spacing w:val="-2"/>
        </w:rPr>
        <w:t>激励条件，其已获授但尚未解锁的限制性股票合计</w:t>
      </w:r>
      <w:r>
        <w:rPr>
          <w:rFonts w:ascii="Times New Roman" w:hAnsi="Times New Roman" w:cs="Times New Roman" w:eastAsia="Times New Roman" w:hint="default"/>
          <w:spacing w:val="-2"/>
        </w:rPr>
        <w:t>614,410</w:t>
      </w:r>
      <w:r>
        <w:rPr>
          <w:spacing w:val="-2"/>
        </w:rPr>
        <w:t>股全部注销；基于</w:t>
      </w:r>
      <w:r>
        <w:rPr>
          <w:rFonts w:ascii="Times New Roman" w:hAnsi="Times New Roman" w:cs="Times New Roman" w:eastAsia="Times New Roman" w:hint="default"/>
          <w:spacing w:val="-2"/>
        </w:rPr>
        <w:t>2017</w:t>
      </w:r>
      <w:r>
        <w:rPr>
          <w:spacing w:val="-2"/>
        </w:rPr>
        <w:t>年度考核情况，注销缪定</w:t>
      </w:r>
      <w:r>
        <w:rPr>
          <w:spacing w:val="-80"/>
        </w:rPr>
        <w:t> </w:t>
      </w:r>
      <w:r>
        <w:rPr>
          <w:spacing w:val="-80"/>
        </w:rPr>
      </w:r>
      <w:r>
        <w:rPr/>
        <w:t>文、付强、黄铭铭、赵其峰共</w:t>
      </w:r>
      <w:r>
        <w:rPr>
          <w:rFonts w:ascii="Times New Roman" w:hAnsi="Times New Roman" w:cs="Times New Roman" w:eastAsia="Times New Roman" w:hint="default"/>
        </w:rPr>
        <w:t>4</w:t>
      </w:r>
      <w:r>
        <w:rPr/>
        <w:t>人已获授但尚未解锁的第二期限制性股票合计</w:t>
      </w:r>
      <w:r>
        <w:rPr>
          <w:rFonts w:ascii="Times New Roman" w:hAnsi="Times New Roman" w:cs="Times New Roman" w:eastAsia="Times New Roman" w:hint="default"/>
        </w:rPr>
        <w:t>39,000</w:t>
      </w:r>
      <w:r>
        <w:rPr/>
        <w:t>股。</w:t>
      </w:r>
    </w:p>
    <w:p>
      <w:pPr>
        <w:pStyle w:val="BodyText"/>
        <w:spacing w:line="256" w:lineRule="auto" w:before="5"/>
        <w:ind w:right="1131" w:firstLine="420"/>
        <w:jc w:val="both"/>
      </w:pPr>
      <w:r>
        <w:rPr>
          <w:spacing w:val="2"/>
        </w:rPr>
        <w:t>上述限制性股票共</w:t>
      </w:r>
      <w:r>
        <w:rPr>
          <w:rFonts w:ascii="Times New Roman" w:hAnsi="Times New Roman" w:cs="Times New Roman" w:eastAsia="Times New Roman" w:hint="default"/>
          <w:spacing w:val="2"/>
        </w:rPr>
        <w:t>653,410</w:t>
      </w:r>
      <w:r>
        <w:rPr>
          <w:spacing w:val="2"/>
        </w:rPr>
        <w:t>股已于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日在中国证券登记结算有限责任公司深圳分公司完成回</w:t>
      </w:r>
      <w:r>
        <w:rPr/>
        <w:t> </w:t>
      </w:r>
      <w:r>
        <w:rPr>
          <w:spacing w:val="7"/>
        </w:rPr>
        <w:t>购注销。公司本次回购注销部分限制性股票导致注册资本减少，公司股份总数由</w:t>
      </w:r>
      <w:r>
        <w:rPr>
          <w:rFonts w:ascii="Times New Roman" w:hAnsi="Times New Roman" w:cs="Times New Roman" w:eastAsia="Times New Roman" w:hint="default"/>
          <w:spacing w:val="7"/>
        </w:rPr>
        <w:t>399,737,270</w:t>
      </w:r>
      <w:r>
        <w:rPr>
          <w:spacing w:val="7"/>
        </w:rPr>
        <w:t>股变更为</w:t>
      </w:r>
      <w:r>
        <w:rPr>
          <w:spacing w:val="-77"/>
        </w:rPr>
        <w:t> </w:t>
      </w:r>
      <w:r>
        <w:rPr>
          <w:spacing w:val="-77"/>
        </w:rPr>
      </w:r>
      <w:r>
        <w:rPr>
          <w:rFonts w:ascii="Times New Roman" w:hAnsi="Times New Roman" w:cs="Times New Roman" w:eastAsia="Times New Roman" w:hint="default"/>
        </w:rPr>
        <w:t>399,083,860</w:t>
      </w:r>
      <w:r>
        <w:rPr/>
        <w:t>股。详见公司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日公告（</w:t>
      </w:r>
      <w:hyperlink r:id="rId12">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23"/>
        </w:rPr>
        <w:t> </w:t>
      </w:r>
      <w:r>
        <w:rPr/>
        <w:t>公告</w:t>
      </w:r>
      <w:r>
        <w:rPr>
          <w:rFonts w:ascii="Times New Roman" w:hAnsi="Times New Roman" w:cs="Times New Roman" w:eastAsia="Times New Roman" w:hint="default"/>
        </w:rPr>
        <w:t>2018-33</w:t>
      </w:r>
      <w:r>
        <w:rPr/>
        <w:t>）</w:t>
      </w:r>
    </w:p>
    <w:p>
      <w:pPr>
        <w:pStyle w:val="BodyText"/>
        <w:spacing w:line="261" w:lineRule="auto" w:before="5"/>
        <w:ind w:right="1130" w:firstLine="42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日，公司第四届董事会第二十一次会议、第四届监事会第十八次会议审议通过了《关</w:t>
      </w:r>
      <w:r>
        <w:rPr/>
        <w:t> </w:t>
      </w:r>
      <w:r>
        <w:rPr>
          <w:spacing w:val="-1"/>
        </w:rPr>
        <w:t>于回购注销已不符合激励条件激励对象已获授但尚未解锁的限制性股票的议案》。因公司限制性股票激励</w:t>
      </w:r>
      <w:r>
        <w:rPr>
          <w:spacing w:val="-81"/>
        </w:rPr>
        <w:t> </w:t>
      </w:r>
      <w:r>
        <w:rPr>
          <w:spacing w:val="-81"/>
        </w:rPr>
      </w:r>
      <w:r>
        <w:rPr/>
        <w:t>计划激励对象（蔡大军、黄胜、廖小荣、文明海、江卫、丰伟、詹文涛、谭琛）共</w:t>
      </w:r>
      <w:r>
        <w:rPr>
          <w:rFonts w:ascii="Times New Roman" w:hAnsi="Times New Roman" w:cs="Times New Roman" w:eastAsia="Times New Roman" w:hint="default"/>
        </w:rPr>
        <w:t>8</w:t>
      </w:r>
      <w:r>
        <w:rPr/>
        <w:t>人因个人原因离职，</w:t>
      </w:r>
      <w:r>
        <w:rPr>
          <w:spacing w:val="-25"/>
        </w:rPr>
        <w:t> </w:t>
      </w:r>
      <w:r>
        <w:rPr>
          <w:spacing w:val="-25"/>
        </w:rPr>
      </w:r>
      <w:r>
        <w:rPr/>
        <w:t>已不符合激励条件，其已获授但尚未解锁的限制性股票合计</w:t>
      </w:r>
      <w:r>
        <w:rPr>
          <w:rFonts w:ascii="Times New Roman" w:hAnsi="Times New Roman" w:cs="Times New Roman" w:eastAsia="Times New Roman" w:hint="default"/>
        </w:rPr>
        <w:t>81,480</w:t>
      </w:r>
      <w:r>
        <w:rPr/>
        <w:t>股将全部注销，公司本次回购注销部分</w:t>
      </w:r>
      <w:r>
        <w:rPr>
          <w:spacing w:val="-77"/>
        </w:rPr>
        <w:t> </w:t>
      </w:r>
      <w:r>
        <w:rPr>
          <w:spacing w:val="-77"/>
        </w:rPr>
      </w:r>
      <w:r>
        <w:rPr/>
        <w:t>限制性股票将导致注册资本减少。详见公司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日公告（</w:t>
      </w:r>
      <w:hyperlink r:id="rId12">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20"/>
        </w:rPr>
        <w:t> </w:t>
      </w:r>
      <w:r>
        <w:rPr/>
        <w:t>公告</w:t>
      </w:r>
      <w:r>
        <w:rPr>
          <w:rFonts w:ascii="Times New Roman" w:hAnsi="Times New Roman" w:cs="Times New Roman" w:eastAsia="Times New Roman" w:hint="default"/>
        </w:rPr>
        <w:t>2018-42</w:t>
      </w:r>
      <w:r>
        <w:rPr/>
        <w:t>）</w:t>
      </w:r>
    </w:p>
    <w:p>
      <w:pPr>
        <w:pStyle w:val="BodyText"/>
        <w:spacing w:line="261" w:lineRule="auto" w:before="0"/>
        <w:ind w:right="1130" w:firstLine="42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日，第四届董事会第二十四次会议和第四届监事会第二十一次会议审议通过了《关 </w:t>
      </w:r>
      <w:r>
        <w:rPr>
          <w:spacing w:val="-1"/>
        </w:rPr>
        <w:t>于回购注销已不符合激励条件激励对象已获授但尚未解锁的限制性股票的议案》。因公司限制性股票激励</w:t>
      </w:r>
      <w:r>
        <w:rPr>
          <w:spacing w:val="-81"/>
        </w:rPr>
        <w:t> </w:t>
      </w:r>
      <w:r>
        <w:rPr>
          <w:spacing w:val="-81"/>
        </w:rPr>
      </w:r>
      <w:r>
        <w:rPr>
          <w:spacing w:val="-3"/>
        </w:rPr>
        <w:t>计划激励对象（孔德风、代慧、邓远杰、黄河、刘招才、李筠、陶国洪、汤东来）共</w:t>
      </w:r>
      <w:r>
        <w:rPr>
          <w:rFonts w:ascii="Times New Roman" w:hAnsi="Times New Roman" w:cs="Times New Roman" w:eastAsia="Times New Roman" w:hint="default"/>
          <w:spacing w:val="-3"/>
        </w:rPr>
        <w:t>8</w:t>
      </w:r>
      <w:r>
        <w:rPr>
          <w:spacing w:val="-3"/>
        </w:rPr>
        <w:t>人因个人原因离职，</w:t>
      </w:r>
      <w:r>
        <w:rPr>
          <w:spacing w:val="-96"/>
        </w:rPr>
        <w:t> </w:t>
      </w:r>
      <w:r>
        <w:rPr>
          <w:spacing w:val="-96"/>
        </w:rPr>
      </w:r>
      <w:r>
        <w:rPr/>
        <w:t>已不符合激励条件，其已获授但尚未解锁的限制性股票合计</w:t>
      </w:r>
      <w:r>
        <w:rPr>
          <w:rFonts w:ascii="Times New Roman" w:hAnsi="Times New Roman" w:cs="Times New Roman" w:eastAsia="Times New Roman" w:hint="default"/>
        </w:rPr>
        <w:t>69,440</w:t>
      </w:r>
      <w:r>
        <w:rPr/>
        <w:t>股将全部注销，公司本次回购注销部分</w:t>
      </w:r>
      <w:r>
        <w:rPr>
          <w:spacing w:val="-77"/>
        </w:rPr>
        <w:t> </w:t>
      </w:r>
      <w:r>
        <w:rPr>
          <w:spacing w:val="-77"/>
        </w:rPr>
      </w:r>
      <w:r>
        <w:rPr/>
        <w:t>限制性股票将导致注册资本减少。详见公司巨潮资讯网（</w:t>
      </w:r>
      <w:hyperlink r:id="rId12">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26"/>
        </w:rPr>
        <w:t> </w:t>
      </w:r>
      <w:r>
        <w:rPr/>
        <w:t>公告</w:t>
      </w:r>
      <w:r>
        <w:rPr>
          <w:rFonts w:ascii="Times New Roman" w:hAnsi="Times New Roman" w:cs="Times New Roman" w:eastAsia="Times New Roman" w:hint="default"/>
        </w:rPr>
        <w:t>2018-67</w:t>
      </w:r>
      <w:r>
        <w:rPr/>
        <w:t>）</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bookmarkStart w:name="十三、公司债券是否存在保证人" w:id="163"/>
      <w:bookmarkEnd w:id="163"/>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公司债券的保证人是否为法人或其他组织</w:t>
      </w:r>
    </w:p>
    <w:p>
      <w:pPr>
        <w:spacing w:before="4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302" w:lineRule="auto" w:before="101"/>
        <w:ind w:left="154" w:right="1121" w:firstLine="0"/>
        <w:jc w:val="left"/>
        <w:rPr>
          <w:rFonts w:ascii="宋体" w:hAnsi="宋体" w:cs="宋体" w:eastAsia="宋体" w:hint="default"/>
          <w:sz w:val="18"/>
          <w:szCs w:val="18"/>
        </w:rPr>
      </w:pPr>
      <w:r>
        <w:rPr>
          <w:rFonts w:ascii="宋体" w:hAnsi="宋体" w:cs="宋体" w:eastAsia="宋体" w:hint="default"/>
          <w:sz w:val="18"/>
          <w:szCs w:val="18"/>
        </w:rPr>
        <w:t>是否在每个会计年度结束之日起</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个月内单独披露保证人报告期财务报表，包括资产负债表、利润表、现金流量表、所有者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权益（股东权益）变动表和财务报表附注</w:t>
      </w:r>
    </w:p>
    <w:p>
      <w:pPr>
        <w:spacing w:before="69"/>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972"/>
        <w:jc w:val="left"/>
        <w:rPr>
          <w:b w:val="0"/>
          <w:bCs w:val="0"/>
        </w:rPr>
      </w:pPr>
      <w:bookmarkStart w:name="第十一节 财务报告" w:id="164"/>
      <w:bookmarkEnd w:id="164"/>
      <w:r>
        <w:rPr>
          <w:b w:val="0"/>
          <w:bCs w:val="0"/>
        </w:rPr>
      </w:r>
      <w:bookmarkStart w:name="_bookmark9" w:id="165"/>
      <w:bookmarkEnd w:id="16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972"/>
        <w:jc w:val="left"/>
        <w:rPr>
          <w:b w:val="0"/>
          <w:bCs w:val="0"/>
        </w:rPr>
      </w:pPr>
      <w:bookmarkStart w:name="一、审计报告" w:id="166"/>
      <w:bookmarkEnd w:id="16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ZI10083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陈勇、吕红涛</w:t>
            </w:r>
          </w:p>
        </w:tc>
      </w:tr>
    </w:tbl>
    <w:p>
      <w:pPr>
        <w:spacing w:before="51"/>
        <w:ind w:left="2063" w:right="303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2061" w:right="3040" w:firstLine="0"/>
        <w:jc w:val="center"/>
        <w:rPr>
          <w:rFonts w:ascii="宋体" w:hAnsi="宋体" w:cs="宋体" w:eastAsia="宋体" w:hint="default"/>
          <w:sz w:val="32"/>
          <w:szCs w:val="32"/>
        </w:rPr>
      </w:pPr>
      <w:bookmarkStart w:name="审计报告" w:id="167"/>
      <w:bookmarkEnd w:id="167"/>
      <w:r>
        <w:rPr/>
      </w: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63"/>
        <w:ind w:left="6655" w:right="0" w:firstLine="0"/>
        <w:jc w:val="left"/>
        <w:rPr>
          <w:rFonts w:ascii="宋体" w:hAnsi="宋体" w:cs="宋体" w:eastAsia="宋体" w:hint="default"/>
          <w:sz w:val="21"/>
          <w:szCs w:val="21"/>
        </w:rPr>
      </w:pPr>
      <w:bookmarkStart w:name="信会师报字[2019]第ZI10083号" w:id="168"/>
      <w:bookmarkEnd w:id="168"/>
      <w:r>
        <w:rPr/>
      </w:r>
      <w:r>
        <w:rPr>
          <w:rFonts w:ascii="宋体" w:hAnsi="宋体" w:cs="宋体" w:eastAsia="宋体" w:hint="default"/>
          <w:sz w:val="21"/>
          <w:szCs w:val="21"/>
        </w:rPr>
        <w:t>信会师报字</w:t>
      </w:r>
      <w:r>
        <w:rPr>
          <w:rFonts w:ascii="Times New Roman" w:hAnsi="Times New Roman" w:cs="Times New Roman" w:eastAsia="Times New Roman" w:hint="default"/>
          <w:sz w:val="21"/>
          <w:szCs w:val="21"/>
        </w:rPr>
        <w:t>[2019]</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b/>
          <w:bCs/>
          <w:sz w:val="28"/>
          <w:szCs w:val="28"/>
        </w:rPr>
        <w:t>ZI10083</w:t>
      </w:r>
      <w:r>
        <w:rPr>
          <w:rFonts w:ascii="Times New Roman" w:hAnsi="Times New Roman" w:cs="Times New Roman" w:eastAsia="Times New Roman" w:hint="default"/>
          <w:b/>
          <w:bCs/>
          <w:spacing w:val="-12"/>
          <w:sz w:val="28"/>
          <w:szCs w:val="28"/>
        </w:rPr>
        <w:t> </w:t>
      </w:r>
      <w:r>
        <w:rPr>
          <w:rFonts w:ascii="宋体" w:hAnsi="宋体" w:cs="宋体" w:eastAsia="宋体" w:hint="default"/>
          <w:sz w:val="21"/>
          <w:szCs w:val="21"/>
        </w:rPr>
        <w:t>号</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2"/>
        <w:spacing w:line="511" w:lineRule="auto" w:before="13"/>
        <w:ind w:right="4272" w:hanging="562"/>
        <w:jc w:val="left"/>
        <w:rPr>
          <w:b w:val="0"/>
          <w:bCs w:val="0"/>
        </w:rPr>
      </w:pPr>
      <w:r>
        <w:rPr>
          <w:w w:val="95"/>
        </w:rPr>
        <w:t>深圳天源迪科信息技术股份有限公司全体股东：</w:t>
      </w:r>
      <w:r>
        <w:rPr>
          <w:spacing w:val="5"/>
          <w:w w:val="95"/>
        </w:rPr>
        <w:t> </w:t>
      </w:r>
      <w:r>
        <w:rPr>
          <w:spacing w:val="5"/>
          <w:w w:val="95"/>
        </w:rPr>
      </w:r>
      <w:r>
        <w:rPr/>
        <w:t>一、审计意见</w:t>
      </w:r>
      <w:r>
        <w:rPr>
          <w:b w:val="0"/>
          <w:bCs w:val="0"/>
        </w:rPr>
      </w:r>
    </w:p>
    <w:p>
      <w:pPr>
        <w:pStyle w:val="BodyText"/>
        <w:spacing w:line="273" w:lineRule="auto" w:before="0"/>
        <w:ind w:right="1129" w:firstLine="420"/>
        <w:jc w:val="both"/>
      </w:pPr>
      <w:r>
        <w:rPr>
          <w:spacing w:val="-1"/>
        </w:rPr>
        <w:t>我们审计了深圳天源迪科信息技术股份有限公司（以下简称天源迪科）财务报表，包括</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rPr>
        <w:t> </w:t>
      </w:r>
      <w:r>
        <w:rPr>
          <w:spacing w:val="-1"/>
        </w:rPr>
        <w:t>日的合并及母公司资产负债表，</w:t>
      </w:r>
      <w:r>
        <w:rPr>
          <w:rFonts w:ascii="宋体" w:hAnsi="宋体" w:cs="宋体" w:eastAsia="宋体" w:hint="default"/>
          <w:spacing w:val="-1"/>
        </w:rPr>
        <w:t>2018</w:t>
      </w:r>
      <w:r>
        <w:rPr>
          <w:spacing w:val="-1"/>
        </w:rPr>
        <w:t>年度的合并及母公司利润表、合并及母公司现金流量表、合并及母公</w:t>
      </w:r>
      <w:r>
        <w:rPr>
          <w:spacing w:val="-82"/>
        </w:rPr>
        <w:t> </w:t>
      </w:r>
      <w:r>
        <w:rPr>
          <w:spacing w:val="-82"/>
        </w:rPr>
      </w:r>
      <w:r>
        <w:rPr/>
        <w:t>司股东权益变动表以及相关财务报表附注。</w:t>
      </w:r>
    </w:p>
    <w:p>
      <w:pPr>
        <w:pStyle w:val="BodyText"/>
        <w:spacing w:line="273" w:lineRule="auto"/>
        <w:ind w:right="1130" w:firstLine="420"/>
        <w:jc w:val="both"/>
      </w:pPr>
      <w:r>
        <w:rPr>
          <w:spacing w:val="-1"/>
        </w:rPr>
        <w:t>我们认为，后附的财务报表在所有重大方面按照企业会计准则的规定编制，公允反映了天源迪科</w:t>
      </w:r>
      <w:r>
        <w:rPr>
          <w:rFonts w:ascii="宋体" w:hAnsi="宋体" w:cs="宋体" w:eastAsia="宋体" w:hint="default"/>
          <w:spacing w:val="-1"/>
        </w:rPr>
        <w:t>2018</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2018</w:t>
      </w:r>
      <w:r>
        <w:rPr/>
        <w:t>年度的合并及母公司经营成果和现金流量。</w:t>
      </w:r>
    </w:p>
    <w:p>
      <w:pPr>
        <w:spacing w:line="240" w:lineRule="auto" w:before="2"/>
        <w:rPr>
          <w:rFonts w:ascii="宋体" w:hAnsi="宋体" w:cs="宋体" w:eastAsia="宋体" w:hint="default"/>
          <w:sz w:val="20"/>
          <w:szCs w:val="20"/>
        </w:rPr>
      </w:pPr>
    </w:p>
    <w:p>
      <w:pPr>
        <w:pStyle w:val="Heading2"/>
        <w:spacing w:line="240" w:lineRule="auto"/>
        <w:ind w:right="1972"/>
        <w:jc w:val="left"/>
        <w:rPr>
          <w:b w:val="0"/>
          <w:bCs w:val="0"/>
        </w:rPr>
      </w:pPr>
      <w:r>
        <w:rPr/>
        <w:t>二、形成审计意见的基础</w:t>
      </w:r>
      <w:r>
        <w:rPr>
          <w:b w:val="0"/>
          <w:bCs w:val="0"/>
        </w:rPr>
      </w:r>
    </w:p>
    <w:p>
      <w:pPr>
        <w:spacing w:line="240" w:lineRule="auto" w:before="0"/>
        <w:rPr>
          <w:rFonts w:ascii="宋体" w:hAnsi="宋体" w:cs="宋体" w:eastAsia="宋体" w:hint="default"/>
          <w:b/>
          <w:bCs/>
          <w:sz w:val="24"/>
          <w:szCs w:val="24"/>
        </w:rPr>
      </w:pPr>
    </w:p>
    <w:p>
      <w:pPr>
        <w:pStyle w:val="BodyText"/>
        <w:spacing w:line="273" w:lineRule="auto" w:before="0"/>
        <w:ind w:right="1130" w:firstLine="420"/>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的责任”部分进一步阐述了我们在这些准则下的责任。按照中国注册会计师职业道德守则，我们独立于天</w:t>
      </w:r>
      <w:r>
        <w:rPr>
          <w:spacing w:val="-83"/>
        </w:rPr>
        <w:t> </w:t>
      </w:r>
      <w:r>
        <w:rPr>
          <w:spacing w:val="-83"/>
        </w:rPr>
      </w:r>
      <w:r>
        <w:rPr>
          <w:spacing w:val="-1"/>
        </w:rPr>
        <w:t>源迪科，并履行了职业道德方面的其他责任。我们相信，我们获取的审计证据是充分、适当的，为发表审</w:t>
      </w:r>
      <w:r>
        <w:rPr>
          <w:spacing w:val="-83"/>
        </w:rPr>
        <w:t> </w:t>
      </w:r>
      <w:r>
        <w:rPr>
          <w:spacing w:val="-83"/>
        </w:rPr>
      </w:r>
      <w:r>
        <w:rPr/>
        <w:t>计意见提供了基础。</w:t>
      </w:r>
    </w:p>
    <w:p>
      <w:pPr>
        <w:spacing w:line="240" w:lineRule="auto" w:before="2"/>
        <w:rPr>
          <w:rFonts w:ascii="宋体" w:hAnsi="宋体" w:cs="宋体" w:eastAsia="宋体" w:hint="default"/>
          <w:sz w:val="20"/>
          <w:szCs w:val="20"/>
        </w:rPr>
      </w:pPr>
    </w:p>
    <w:p>
      <w:pPr>
        <w:pStyle w:val="Heading2"/>
        <w:spacing w:line="240" w:lineRule="auto"/>
        <w:ind w:right="1972"/>
        <w:jc w:val="left"/>
        <w:rPr>
          <w:b w:val="0"/>
          <w:bCs w:val="0"/>
        </w:rPr>
      </w:pPr>
      <w:r>
        <w:rPr/>
        <w:t>三、关键审计事项</w:t>
      </w:r>
      <w:r>
        <w:rPr>
          <w:b w:val="0"/>
          <w:bCs w:val="0"/>
        </w:rPr>
      </w:r>
    </w:p>
    <w:p>
      <w:pPr>
        <w:spacing w:line="240" w:lineRule="auto" w:before="0"/>
        <w:rPr>
          <w:rFonts w:ascii="宋体" w:hAnsi="宋体" w:cs="宋体" w:eastAsia="宋体" w:hint="default"/>
          <w:b/>
          <w:bCs/>
          <w:sz w:val="24"/>
          <w:szCs w:val="24"/>
        </w:rPr>
      </w:pPr>
    </w:p>
    <w:p>
      <w:pPr>
        <w:pStyle w:val="BodyText"/>
        <w:spacing w:line="273" w:lineRule="auto" w:before="0"/>
        <w:ind w:right="1131" w:firstLine="420"/>
        <w:jc w:val="both"/>
      </w:pPr>
      <w:r>
        <w:rPr>
          <w:spacing w:val="-1"/>
        </w:rPr>
        <w:t>关键审计事项是我们根据职业判断，认为对本期财务报表审计最为重要的事项。这些事项的应对以对</w:t>
      </w:r>
      <w:r>
        <w:rPr/>
        <w:t> </w:t>
      </w:r>
      <w:r>
        <w:rPr>
          <w:spacing w:val="-1"/>
        </w:rPr>
        <w:t>财务报表整体进行审计并形成审计意见为背景，我们不对这些事项单独发表意见。我们确定下列事项是需</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972"/>
        <w:jc w:val="left"/>
      </w:pPr>
      <w:r>
        <w:rPr/>
        <w:t>要在审计报告中沟通的关键审计事项。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44"/>
        <w:ind w:left="0" w:right="1138" w:firstLine="0"/>
        <w:jc w:val="right"/>
        <w:rPr>
          <w:rFonts w:ascii="宋体" w:hAnsi="宋体" w:cs="宋体" w:eastAsia="宋体" w:hint="default"/>
          <w:sz w:val="18"/>
          <w:szCs w:val="18"/>
        </w:rPr>
      </w:pPr>
      <w:r>
        <w:rPr/>
        <w:pict>
          <v:shape style="position:absolute;margin-left:56.34pt;margin-top:-143.488266pt;width:478.75pt;height:430.7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4"/>
                    <w:gridCol w:w="5399"/>
                  </w:tblGrid>
                  <w:tr>
                    <w:trPr>
                      <w:trHeight w:val="34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1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5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r>
                  <w:tr>
                    <w:trPr>
                      <w:trHeight w:val="4403"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收入确认的会计政策详情及收入的分析请参阅合并 财务报表附注“三、重要会计政策和会计估计”注释</w:t>
                        </w:r>
                      </w:p>
                      <w:p>
                        <w:pPr>
                          <w:pStyle w:val="TableParagraph"/>
                          <w:spacing w:line="316" w:lineRule="auto" w:before="19"/>
                          <w:ind w:left="2" w:right="-17"/>
                          <w:jc w:val="left"/>
                          <w:rPr>
                            <w:rFonts w:ascii="宋体" w:hAnsi="宋体" w:cs="宋体" w:eastAsia="宋体" w:hint="default"/>
                            <w:sz w:val="18"/>
                            <w:szCs w:val="18"/>
                          </w:rPr>
                        </w:pPr>
                        <w:r>
                          <w:rPr>
                            <w:rFonts w:ascii="宋体" w:hAnsi="宋体" w:cs="宋体" w:eastAsia="宋体" w:hint="default"/>
                            <w:sz w:val="18"/>
                            <w:szCs w:val="18"/>
                          </w:rPr>
                          <w:t>（二十三）所述的会计政策及“五、合并财务报表项 目附注”注释（三十四）。 于</w:t>
                        </w:r>
                        <w:r>
                          <w:rPr>
                            <w:rFonts w:ascii="宋体" w:hAnsi="宋体" w:cs="宋体" w:eastAsia="宋体" w:hint="default"/>
                            <w:sz w:val="18"/>
                            <w:szCs w:val="18"/>
                          </w:rPr>
                          <w:t>2018</w:t>
                        </w:r>
                        <w:r>
                          <w:rPr>
                            <w:rFonts w:ascii="宋体" w:hAnsi="宋体" w:cs="宋体" w:eastAsia="宋体" w:hint="default"/>
                            <w:sz w:val="18"/>
                            <w:szCs w:val="18"/>
                          </w:rPr>
                          <w:t>年度，天源迪科合并营业收入金额 </w:t>
                        </w:r>
                        <w:r>
                          <w:rPr>
                            <w:rFonts w:ascii="宋体" w:hAnsi="宋体" w:cs="宋体" w:eastAsia="宋体" w:hint="default"/>
                            <w:sz w:val="18"/>
                            <w:szCs w:val="18"/>
                          </w:rPr>
                          <w:t>3,766,826,442.85</w:t>
                        </w:r>
                        <w:r>
                          <w:rPr>
                            <w:rFonts w:ascii="宋体" w:hAnsi="宋体" w:cs="宋体" w:eastAsia="宋体" w:hint="default"/>
                            <w:sz w:val="18"/>
                            <w:szCs w:val="18"/>
                          </w:rPr>
                          <w:t>元，营业收入和营业利润增长率较 高。 由于营业收入是公司关键业绩指标之一，且存在可能 操纵收入确认时点以达到特定目标或预期的固有风 </w:t>
                        </w:r>
                        <w:r>
                          <w:rPr>
                            <w:rFonts w:ascii="宋体" w:hAnsi="宋体" w:cs="宋体" w:eastAsia="宋体" w:hint="default"/>
                            <w:spacing w:val="-8"/>
                            <w:sz w:val="18"/>
                            <w:szCs w:val="18"/>
                          </w:rPr>
                          <w:t>险，因此，我们将营业收入确认识别为关键审计事项。</w:t>
                        </w:r>
                        <w:r>
                          <w:rPr>
                            <w:rFonts w:ascii="宋体" w:hAnsi="宋体" w:cs="宋体" w:eastAsia="宋体" w:hint="default"/>
                            <w:sz w:val="18"/>
                            <w:szCs w:val="18"/>
                          </w:rPr>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31"/>
                          <w:jc w:val="left"/>
                          <w:rPr>
                            <w:rFonts w:ascii="宋体" w:hAnsi="宋体" w:cs="宋体" w:eastAsia="宋体" w:hint="default"/>
                            <w:sz w:val="18"/>
                            <w:szCs w:val="18"/>
                          </w:rPr>
                        </w:pPr>
                        <w:r>
                          <w:rPr>
                            <w:rFonts w:ascii="宋体" w:hAnsi="宋体" w:cs="宋体" w:eastAsia="宋体" w:hint="default"/>
                            <w:sz w:val="18"/>
                            <w:szCs w:val="18"/>
                          </w:rPr>
                          <w:t>与营业收入的确认相关的审计程序中包括以下程序： </w:t>
                        </w:r>
                        <w:r>
                          <w:rPr>
                            <w:rFonts w:ascii="宋体" w:hAnsi="宋体" w:cs="宋体" w:eastAsia="宋体" w:hint="default"/>
                            <w:sz w:val="18"/>
                            <w:szCs w:val="18"/>
                          </w:rPr>
                          <w:t>1</w:t>
                        </w:r>
                        <w:r>
                          <w:rPr>
                            <w:rFonts w:ascii="宋体" w:hAnsi="宋体" w:cs="宋体" w:eastAsia="宋体" w:hint="default"/>
                            <w:sz w:val="18"/>
                            <w:szCs w:val="18"/>
                          </w:rPr>
                          <w:t>、评价与收入确认相关的关键内部控制的设计和运行有效性；</w:t>
                        </w:r>
                      </w:p>
                      <w:p>
                        <w:pPr>
                          <w:pStyle w:val="TableParagraph"/>
                          <w:spacing w:line="316" w:lineRule="auto" w:before="19"/>
                          <w:ind w:left="2" w:right="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、选取样本检查销售合同，识别与商品所有权上的风险和报酬转移 </w:t>
                        </w:r>
                        <w:r>
                          <w:rPr>
                            <w:rFonts w:ascii="宋体" w:hAnsi="宋体" w:cs="宋体" w:eastAsia="宋体" w:hint="default"/>
                            <w:spacing w:val="-1"/>
                            <w:sz w:val="18"/>
                            <w:szCs w:val="18"/>
                          </w:rPr>
                          <w:t>相关的合同条款与条件，评价收入确认时点是否符合企业会计准则的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要求； </w:t>
                        </w:r>
                        <w:r>
                          <w:rPr>
                            <w:rFonts w:ascii="宋体" w:hAnsi="宋体" w:cs="宋体" w:eastAsia="宋体" w:hint="default"/>
                            <w:sz w:val="18"/>
                            <w:szCs w:val="18"/>
                          </w:rPr>
                          <w:t>3</w:t>
                        </w:r>
                        <w:r>
                          <w:rPr>
                            <w:rFonts w:ascii="宋体" w:hAnsi="宋体" w:cs="宋体" w:eastAsia="宋体" w:hint="default"/>
                            <w:sz w:val="18"/>
                            <w:szCs w:val="18"/>
                          </w:rPr>
                          <w:t>、结合产品类型对收入以及毛利情况执行分析，判断本期收入金额 是否出现异常波动的情况； </w:t>
                        </w:r>
                        <w:r>
                          <w:rPr>
                            <w:rFonts w:ascii="宋体" w:hAnsi="宋体" w:cs="宋体" w:eastAsia="宋体" w:hint="default"/>
                            <w:sz w:val="18"/>
                            <w:szCs w:val="18"/>
                          </w:rPr>
                          <w:t>4</w:t>
                        </w:r>
                        <w:r>
                          <w:rPr>
                            <w:rFonts w:ascii="宋体" w:hAnsi="宋体" w:cs="宋体" w:eastAsia="宋体" w:hint="default"/>
                            <w:sz w:val="18"/>
                            <w:szCs w:val="18"/>
                          </w:rPr>
                          <w:t>、对本年记录的收入交易选取样本，核对发票、销售合同及验收单 结算单，评价相关收入确认是否符合公司收入确认的会计政策； </w:t>
                        </w:r>
                        <w:r>
                          <w:rPr>
                            <w:rFonts w:ascii="宋体" w:hAnsi="宋体" w:cs="宋体" w:eastAsia="宋体" w:hint="default"/>
                            <w:sz w:val="18"/>
                            <w:szCs w:val="18"/>
                          </w:rPr>
                          <w:t>5</w:t>
                        </w:r>
                        <w:r>
                          <w:rPr>
                            <w:rFonts w:ascii="宋体" w:hAnsi="宋体" w:cs="宋体" w:eastAsia="宋体" w:hint="default"/>
                            <w:sz w:val="18"/>
                            <w:szCs w:val="18"/>
                          </w:rPr>
                          <w:t>、就资产负债表日前后记录的收入交易，选取样本，核对出库单及 其他支持性文档，以评价收入是否被记录于恰当的会计期间； </w:t>
                        </w:r>
                        <w:r>
                          <w:rPr>
                            <w:rFonts w:ascii="宋体" w:hAnsi="宋体" w:cs="宋体" w:eastAsia="宋体" w:hint="default"/>
                            <w:sz w:val="18"/>
                            <w:szCs w:val="18"/>
                          </w:rPr>
                          <w:t>6</w:t>
                        </w:r>
                        <w:r>
                          <w:rPr>
                            <w:rFonts w:ascii="宋体" w:hAnsi="宋体" w:cs="宋体" w:eastAsia="宋体" w:hint="default"/>
                            <w:sz w:val="18"/>
                            <w:szCs w:val="18"/>
                          </w:rPr>
                          <w:t>、对于技术服务收入，检查相关技术服务合同，测算已提供劳务收 入，并与账面核对；</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、执行函证程序和替代测试。</w:t>
                        </w:r>
                      </w:p>
                    </w:tc>
                  </w:tr>
                  <w:tr>
                    <w:trPr>
                      <w:trHeight w:val="348" w:hRule="exact"/>
                    </w:trPr>
                    <w:tc>
                      <w:tcPr>
                        <w:tcW w:w="95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（二）商誉减值</w:t>
                        </w:r>
                        <w:r>
                          <w:rPr>
                            <w:rFonts w:ascii="宋体" w:hAnsi="宋体" w:cs="宋体" w:eastAsia="宋体" w:hint="default"/>
                            <w:sz w:val="18"/>
                            <w:szCs w:val="18"/>
                          </w:rPr>
                        </w:r>
                      </w:p>
                    </w:tc>
                  </w:tr>
                  <w:tr>
                    <w:trPr>
                      <w:trHeight w:val="3155"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z w:val="18"/>
                            <w:szCs w:val="18"/>
                          </w:rPr>
                          <w:t>商誉减值的会计政策详情请参阅合并财务报表附注 “三、重要会计政策和会计估计”注释（十八）所述 </w:t>
                        </w:r>
                        <w:r>
                          <w:rPr>
                            <w:rFonts w:ascii="宋体" w:hAnsi="宋体" w:cs="宋体" w:eastAsia="宋体" w:hint="default"/>
                            <w:spacing w:val="-8"/>
                            <w:sz w:val="18"/>
                            <w:szCs w:val="18"/>
                          </w:rPr>
                          <w:t>的会计政策及“五、合并财务报表项目附注”注释（十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五）。 于</w:t>
                        </w:r>
                        <w:r>
                          <w:rPr>
                            <w:rFonts w:ascii="宋体" w:hAnsi="宋体" w:cs="宋体" w:eastAsia="宋体" w:hint="default"/>
                            <w:sz w:val="18"/>
                            <w:szCs w:val="18"/>
                          </w:rPr>
                          <w:t>2018</w:t>
                        </w:r>
                        <w:r>
                          <w:rPr>
                            <w:rFonts w:ascii="宋体" w:hAnsi="宋体" w:cs="宋体" w:eastAsia="宋体" w:hint="default"/>
                            <w:sz w:val="18"/>
                            <w:szCs w:val="18"/>
                          </w:rPr>
                          <w:t>年度，天源迪科商誉金额</w:t>
                        </w:r>
                        <w:r>
                          <w:rPr>
                            <w:rFonts w:ascii="宋体" w:hAnsi="宋体" w:cs="宋体" w:eastAsia="宋体" w:hint="default"/>
                            <w:sz w:val="18"/>
                            <w:szCs w:val="18"/>
                          </w:rPr>
                          <w:t>655,019,931.15</w:t>
                        </w:r>
                        <w:r>
                          <w:rPr>
                            <w:rFonts w:ascii="宋体" w:hAnsi="宋体" w:cs="宋体" w:eastAsia="宋体" w:hint="default"/>
                            <w:sz w:val="18"/>
                            <w:szCs w:val="18"/>
                          </w:rPr>
                          <w:t>元， 商誉减值准备金额</w:t>
                        </w:r>
                        <w:r>
                          <w:rPr>
                            <w:rFonts w:ascii="宋体" w:hAnsi="宋体" w:cs="宋体" w:eastAsia="宋体" w:hint="default"/>
                            <w:sz w:val="18"/>
                            <w:szCs w:val="18"/>
                          </w:rPr>
                          <w:t>1,020,017.91</w:t>
                        </w:r>
                        <w:r>
                          <w:rPr>
                            <w:rFonts w:ascii="宋体" w:hAnsi="宋体" w:cs="宋体" w:eastAsia="宋体" w:hint="default"/>
                            <w:sz w:val="18"/>
                            <w:szCs w:val="18"/>
                          </w:rPr>
                          <w:t>元。 由于天源迪科管理层在对包含商誉的相关资产组或 者资产组组合进行减值测试时需要运用重大会计估 计和会计判断，且影响金额重大，因此，我们将商誉 减值确认识别为关键审计事项。</w:t>
                        </w:r>
                      </w:p>
                    </w:tc>
                    <w:tc>
                      <w:tcPr>
                        <w:tcW w:w="5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80"/>
                          <w:jc w:val="left"/>
                          <w:rPr>
                            <w:rFonts w:ascii="宋体" w:hAnsi="宋体" w:cs="宋体" w:eastAsia="宋体" w:hint="default"/>
                            <w:sz w:val="18"/>
                            <w:szCs w:val="18"/>
                          </w:rPr>
                        </w:pPr>
                        <w:r>
                          <w:rPr>
                            <w:rFonts w:ascii="宋体" w:hAnsi="宋体" w:cs="宋体" w:eastAsia="宋体" w:hint="default"/>
                            <w:sz w:val="18"/>
                            <w:szCs w:val="18"/>
                          </w:rPr>
                          <w:t>与商誉减值相关的审计程序中包括以下程序： </w:t>
                        </w:r>
                        <w:r>
                          <w:rPr>
                            <w:rFonts w:ascii="宋体" w:hAnsi="宋体" w:cs="宋体" w:eastAsia="宋体" w:hint="default"/>
                            <w:sz w:val="18"/>
                            <w:szCs w:val="18"/>
                          </w:rPr>
                          <w:t>1</w:t>
                        </w:r>
                        <w:r>
                          <w:rPr>
                            <w:rFonts w:ascii="宋体" w:hAnsi="宋体" w:cs="宋体" w:eastAsia="宋体" w:hint="default"/>
                            <w:sz w:val="18"/>
                            <w:szCs w:val="18"/>
                          </w:rPr>
                          <w:t>、评估减值测试方法的适当性；</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、复核了商誉减值测试计算的准确性；</w:t>
                        </w:r>
                      </w:p>
                      <w:p>
                        <w:pPr>
                          <w:pStyle w:val="TableParagraph"/>
                          <w:spacing w:line="316" w:lineRule="auto" w:before="77"/>
                          <w:ind w:left="2" w:right="7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、测试管理层减值测试所依据的基础数据，评估管理层减值测试中 所采用关键假设及判断的合理性； </w:t>
                        </w:r>
                        <w:r>
                          <w:rPr>
                            <w:rFonts w:ascii="宋体" w:hAnsi="宋体" w:cs="宋体" w:eastAsia="宋体" w:hint="default"/>
                            <w:sz w:val="18"/>
                            <w:szCs w:val="18"/>
                          </w:rPr>
                          <w:t>4</w:t>
                        </w:r>
                        <w:r>
                          <w:rPr>
                            <w:rFonts w:ascii="宋体" w:hAnsi="宋体" w:cs="宋体" w:eastAsia="宋体" w:hint="default"/>
                            <w:sz w:val="18"/>
                            <w:szCs w:val="18"/>
                          </w:rPr>
                          <w:t>、复核商誉减值测试模型的计算准确性；</w:t>
                        </w:r>
                      </w:p>
                      <w:p>
                        <w:pPr>
                          <w:pStyle w:val="TableParagraph"/>
                          <w:spacing w:line="316" w:lineRule="auto" w:before="19"/>
                          <w:ind w:left="2" w:right="7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、利用外部评估师专家的工作，对外部评估师的资质、胜任能力、 评估方法、评估中运用的各项参数进行综合评价。</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2"/>
        <w:spacing w:line="240" w:lineRule="auto" w:before="13"/>
        <w:ind w:right="1972"/>
        <w:jc w:val="left"/>
        <w:rPr>
          <w:b w:val="0"/>
          <w:bCs w:val="0"/>
        </w:rPr>
      </w:pPr>
      <w:r>
        <w:rPr/>
        <w:t>四、其他信息</w:t>
      </w:r>
      <w:r>
        <w:rPr>
          <w:b w:val="0"/>
          <w:bCs w:val="0"/>
        </w:rPr>
      </w:r>
    </w:p>
    <w:p>
      <w:pPr>
        <w:spacing w:line="240" w:lineRule="auto" w:before="0"/>
        <w:rPr>
          <w:rFonts w:ascii="宋体" w:hAnsi="宋体" w:cs="宋体" w:eastAsia="宋体" w:hint="default"/>
          <w:b/>
          <w:bCs/>
          <w:sz w:val="24"/>
          <w:szCs w:val="24"/>
        </w:rPr>
      </w:pPr>
    </w:p>
    <w:p>
      <w:pPr>
        <w:pStyle w:val="BodyText"/>
        <w:spacing w:line="273" w:lineRule="auto" w:before="0"/>
        <w:ind w:right="0" w:firstLine="420"/>
        <w:jc w:val="left"/>
      </w:pPr>
      <w:r>
        <w:rPr>
          <w:spacing w:val="-1"/>
        </w:rPr>
        <w:t>天源迪科管理层（以下简称管理层）对其他信息负责。其他信息包括天源迪科</w:t>
      </w:r>
      <w:r>
        <w:rPr>
          <w:rFonts w:ascii="宋体" w:hAnsi="宋体" w:cs="宋体" w:eastAsia="宋体" w:hint="default"/>
          <w:spacing w:val="-1"/>
        </w:rPr>
        <w:t>2018</w:t>
      </w:r>
      <w:r>
        <w:rPr>
          <w:spacing w:val="-1"/>
        </w:rPr>
        <w:t>年年度报告中涵盖</w:t>
      </w:r>
      <w:r>
        <w:rPr/>
        <w:t> 的信息，但不包括财务报表和我们的审计报告。</w:t>
      </w:r>
    </w:p>
    <w:p>
      <w:pPr>
        <w:pStyle w:val="BodyText"/>
        <w:spacing w:line="273" w:lineRule="auto"/>
        <w:ind w:left="574"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273" w:lineRule="auto"/>
        <w:ind w:left="574" w:right="0"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BodyText"/>
        <w:spacing w:line="240" w:lineRule="auto"/>
        <w:ind w:right="1972"/>
        <w:jc w:val="left"/>
      </w:pPr>
      <w:r>
        <w:rPr/>
        <w:t>们无任何事项需要报告。</w:t>
      </w:r>
    </w:p>
    <w:p>
      <w:pPr>
        <w:spacing w:line="240" w:lineRule="auto" w:before="5"/>
        <w:rPr>
          <w:rFonts w:ascii="宋体" w:hAnsi="宋体" w:cs="宋体" w:eastAsia="宋体" w:hint="default"/>
          <w:sz w:val="22"/>
          <w:szCs w:val="22"/>
        </w:rPr>
      </w:pPr>
    </w:p>
    <w:p>
      <w:pPr>
        <w:pStyle w:val="Heading2"/>
        <w:spacing w:line="240" w:lineRule="auto"/>
        <w:ind w:right="1972"/>
        <w:jc w:val="left"/>
        <w:rPr>
          <w:b w:val="0"/>
          <w:bCs w:val="0"/>
        </w:rPr>
      </w:pPr>
      <w:r>
        <w:rPr/>
        <w:t>五、管理层和治理层对财务报表的责任</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right="1131" w:firstLine="420"/>
        <w:jc w:val="both"/>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273" w:lineRule="auto"/>
        <w:ind w:right="0" w:firstLine="420"/>
        <w:jc w:val="left"/>
      </w:pPr>
      <w:r>
        <w:rPr>
          <w:spacing w:val="-8"/>
        </w:rPr>
        <w:t>在编制财务报表时，管理层负责评估天源迪科的持续经营能力，披露与持续经营相关的事项（如适用），</w:t>
      </w:r>
      <w:r>
        <w:rPr/>
        <w:t> 并运用持续经营假设，除非计划进行清算、终止运营或别无其他现实的选择。</w:t>
      </w:r>
    </w:p>
    <w:p>
      <w:pPr>
        <w:pStyle w:val="BodyText"/>
        <w:spacing w:line="240" w:lineRule="auto" w:before="8"/>
        <w:ind w:left="574" w:right="1972"/>
        <w:jc w:val="left"/>
      </w:pPr>
      <w:r>
        <w:rPr/>
        <w:t>治理层负责监督天源迪科的财务报告过程。</w:t>
      </w:r>
    </w:p>
    <w:p>
      <w:pPr>
        <w:spacing w:line="240" w:lineRule="auto" w:before="5"/>
        <w:rPr>
          <w:rFonts w:ascii="宋体" w:hAnsi="宋体" w:cs="宋体" w:eastAsia="宋体" w:hint="default"/>
          <w:sz w:val="22"/>
          <w:szCs w:val="22"/>
        </w:rPr>
      </w:pPr>
    </w:p>
    <w:p>
      <w:pPr>
        <w:pStyle w:val="Heading2"/>
        <w:spacing w:line="240" w:lineRule="auto"/>
        <w:ind w:right="1972"/>
        <w:jc w:val="left"/>
        <w:rPr>
          <w:b w:val="0"/>
          <w:bCs w:val="0"/>
        </w:rPr>
      </w:pPr>
      <w:r>
        <w:rPr/>
        <w:t>六、注册会计师对财务报表审计的责任</w:t>
      </w:r>
      <w:r>
        <w:rPr>
          <w:b w:val="0"/>
          <w:bCs w:val="0"/>
        </w:rPr>
      </w:r>
    </w:p>
    <w:p>
      <w:pPr>
        <w:spacing w:line="240" w:lineRule="auto" w:before="0"/>
        <w:rPr>
          <w:rFonts w:ascii="宋体" w:hAnsi="宋体" w:cs="宋体" w:eastAsia="宋体" w:hint="default"/>
          <w:b/>
          <w:bCs/>
          <w:sz w:val="24"/>
          <w:szCs w:val="24"/>
        </w:rPr>
      </w:pPr>
    </w:p>
    <w:p>
      <w:pPr>
        <w:pStyle w:val="BodyText"/>
        <w:spacing w:line="273" w:lineRule="auto" w:before="0"/>
        <w:ind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273" w:lineRule="auto"/>
        <w:ind w:right="1133" w:firstLine="420"/>
        <w:jc w:val="both"/>
      </w:pPr>
      <w:r>
        <w:rPr>
          <w:spacing w:val="-1"/>
        </w:rPr>
        <w:t>在按照审计准则执行审计工作的过程中，我们运用职业判断，并保持职业怀疑。同时，我们也执行以</w:t>
      </w:r>
      <w:r>
        <w:rPr/>
        <w:t> 下工作：</w:t>
      </w:r>
    </w:p>
    <w:p>
      <w:pPr>
        <w:pStyle w:val="BodyText"/>
        <w:spacing w:line="273" w:lineRule="auto"/>
        <w:ind w:right="1130" w:firstLine="420"/>
        <w:jc w:val="both"/>
      </w:pPr>
      <w:r>
        <w:rPr/>
        <w:t>（</w:t>
      </w:r>
      <w:r>
        <w:rPr>
          <w:rFonts w:ascii="宋体" w:hAnsi="宋体" w:cs="宋体" w:eastAsia="宋体" w:hint="default"/>
        </w:rPr>
        <w:t>1</w:t>
      </w:r>
      <w:r>
        <w:rPr/>
        <w:t>）识别和评估由于舞弊或错误导致的财务报表重大错报风险，设计和实施审计程序以应对这些风 </w:t>
      </w:r>
      <w:r>
        <w:rPr>
          <w:spacing w:val="-5"/>
        </w:rPr>
        <w:t>险，并获取充分、适当的审计证据，作为发表审计意见的基础。由于舞弊可能涉及串通、伪造、故意遗漏、</w:t>
      </w:r>
      <w:r>
        <w:rPr/>
        <w:t> </w:t>
      </w:r>
      <w:r>
        <w:rPr>
          <w:spacing w:val="-1"/>
        </w:rPr>
        <w:t>虚假陈述或凌驾于内部控制之上，未能发现由于舞弊导致的重大错报的风险高于未能发现由于错误导致的</w:t>
      </w:r>
      <w:r>
        <w:rPr>
          <w:spacing w:val="-81"/>
        </w:rPr>
        <w:t> </w:t>
      </w:r>
      <w:r>
        <w:rPr>
          <w:spacing w:val="-81"/>
        </w:rPr>
      </w:r>
      <w:r>
        <w:rPr/>
        <w:t>重大错报的风险。</w:t>
      </w:r>
    </w:p>
    <w:p>
      <w:pPr>
        <w:pStyle w:val="BodyText"/>
        <w:spacing w:line="273" w:lineRule="auto"/>
        <w:ind w:right="1141" w:firstLine="420"/>
        <w:jc w:val="both"/>
      </w:pPr>
      <w:r>
        <w:rPr/>
        <w:t>（</w:t>
      </w:r>
      <w:r>
        <w:rPr>
          <w:rFonts w:ascii="宋体" w:hAnsi="宋体" w:cs="宋体" w:eastAsia="宋体" w:hint="default"/>
        </w:rPr>
        <w:t>2</w:t>
      </w:r>
      <w:r>
        <w:rPr/>
        <w:t>）了解与审计相关的内部控制，以设计恰当的审计程序，但目的并非对内部控制的有效性发表意 见。</w:t>
      </w:r>
    </w:p>
    <w:p>
      <w:pPr>
        <w:pStyle w:val="BodyText"/>
        <w:spacing w:line="240" w:lineRule="auto"/>
        <w:ind w:left="574" w:right="1972"/>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73" w:lineRule="auto" w:before="37"/>
        <w:ind w:right="1130" w:firstLine="420"/>
        <w:jc w:val="both"/>
      </w:pPr>
      <w:r>
        <w:rPr/>
        <w:t>（</w:t>
      </w:r>
      <w:r>
        <w:rPr>
          <w:rFonts w:ascii="宋体" w:hAnsi="宋体" w:cs="宋体" w:eastAsia="宋体" w:hint="default"/>
        </w:rPr>
        <w:t>4</w:t>
      </w:r>
      <w:r>
        <w:rPr/>
        <w:t>）对管理层使用持续经营假设的恰当性得出结论。同时，根据获取的审计证据，就可能导致对天 </w:t>
      </w:r>
      <w:r>
        <w:rPr>
          <w:spacing w:val="-1"/>
        </w:rPr>
        <w:t>源迪科持续经营能力产生重大疑虑的事项或情况是否存在重大不确定性得出结论。如果我们得出结论认为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0"/>
        </w:rPr>
        <w:t> </w:t>
      </w:r>
      <w:r>
        <w:rPr>
          <w:spacing w:val="-80"/>
        </w:rPr>
      </w:r>
      <w:r>
        <w:rPr>
          <w:spacing w:val="-1"/>
        </w:rPr>
        <w:t>露不充分，我们应当发表非无保留意见。我们的结论基于截至审计报告日可获得的信息。然而，未来的事</w:t>
      </w:r>
      <w:r>
        <w:rPr>
          <w:spacing w:val="-86"/>
        </w:rPr>
        <w:t> </w:t>
      </w:r>
      <w:r>
        <w:rPr>
          <w:spacing w:val="-86"/>
        </w:rPr>
      </w:r>
      <w:r>
        <w:rPr/>
        <w:t>项或情况可能导致天源迪科不能持续经营。</w:t>
      </w:r>
    </w:p>
    <w:p>
      <w:pPr>
        <w:pStyle w:val="BodyText"/>
        <w:spacing w:line="273" w:lineRule="auto"/>
        <w:ind w:right="1141" w:firstLine="420"/>
        <w:jc w:val="both"/>
      </w:pPr>
      <w:r>
        <w:rPr/>
        <w:t>（</w:t>
      </w:r>
      <w:r>
        <w:rPr>
          <w:rFonts w:ascii="宋体" w:hAnsi="宋体" w:cs="宋体" w:eastAsia="宋体" w:hint="default"/>
        </w:rPr>
        <w:t>5</w:t>
      </w:r>
      <w:r>
        <w:rPr/>
        <w:t>）评价财务报表的总体列报、结构和内容（包括披露），并评价财务报表是否公允反映相关交易 和事项。</w:t>
      </w:r>
    </w:p>
    <w:p>
      <w:pPr>
        <w:pStyle w:val="BodyText"/>
        <w:spacing w:line="273" w:lineRule="auto"/>
        <w:ind w:right="1141" w:firstLine="420"/>
        <w:jc w:val="both"/>
      </w:pPr>
      <w:r>
        <w:rPr/>
        <w:t>（</w:t>
      </w:r>
      <w:r>
        <w:rPr>
          <w:rFonts w:ascii="宋体" w:hAnsi="宋体" w:cs="宋体" w:eastAsia="宋体" w:hint="default"/>
        </w:rPr>
        <w:t>6</w:t>
      </w:r>
      <w:r>
        <w:rPr/>
        <w:t>）就天源迪科中实体或业务活动的财务信息获取充分、适当的审计证据，以对财务报表发表审计 意见。我们负责指导、监督和执行集团审计，并对审计意见承担全部责任。</w:t>
      </w:r>
    </w:p>
    <w:p>
      <w:pPr>
        <w:pStyle w:val="BodyText"/>
        <w:spacing w:line="273" w:lineRule="auto"/>
        <w:ind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273" w:lineRule="auto"/>
        <w:ind w:right="1132" w:firstLine="420"/>
        <w:jc w:val="both"/>
      </w:pPr>
      <w:r>
        <w:rPr>
          <w:spacing w:val="-1"/>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273" w:lineRule="auto"/>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tabs>
          <w:tab w:pos="1861" w:val="left" w:leader="none"/>
        </w:tabs>
        <w:spacing w:before="33"/>
        <w:ind w:left="0" w:right="1132" w:firstLine="0"/>
        <w:jc w:val="right"/>
        <w:rPr>
          <w:rFonts w:ascii="宋体" w:hAnsi="宋体" w:cs="宋体" w:eastAsia="宋体" w:hint="default"/>
          <w:sz w:val="18"/>
          <w:szCs w:val="18"/>
        </w:rPr>
      </w:pPr>
      <w:r>
        <w:rPr>
          <w:rFonts w:ascii="宋体" w:hAnsi="宋体" w:cs="宋体" w:eastAsia="宋体" w:hint="default"/>
          <w:b/>
          <w:bCs/>
          <w:w w:val="95"/>
          <w:sz w:val="18"/>
          <w:szCs w:val="18"/>
        </w:rPr>
        <w:t>立信会计师事务所</w:t>
        <w:tab/>
        <w:t>中国注册会计师：陈勇（项目合伙人）</w:t>
      </w:r>
      <w:r>
        <w:rPr>
          <w:rFonts w:ascii="宋体" w:hAnsi="宋体" w:cs="宋体" w:eastAsia="宋体" w:hint="default"/>
          <w:sz w:val="18"/>
          <w:szCs w:val="18"/>
        </w:rPr>
      </w:r>
    </w:p>
    <w:p>
      <w:pPr>
        <w:spacing w:line="319" w:lineRule="auto" w:before="76"/>
        <w:ind w:left="7807" w:right="1131" w:firstLine="541"/>
        <w:jc w:val="right"/>
        <w:rPr>
          <w:rFonts w:ascii="宋体" w:hAnsi="宋体" w:cs="宋体" w:eastAsia="宋体" w:hint="default"/>
          <w:sz w:val="18"/>
          <w:szCs w:val="18"/>
        </w:rPr>
      </w:pPr>
      <w:r>
        <w:rPr>
          <w:rFonts w:ascii="宋体" w:hAnsi="宋体" w:cs="宋体" w:eastAsia="宋体" w:hint="default"/>
          <w:b/>
          <w:bCs/>
          <w:w w:val="95"/>
          <w:sz w:val="18"/>
          <w:szCs w:val="18"/>
        </w:rPr>
        <w:t>（特殊普通合伙）</w:t>
      </w:r>
      <w:r>
        <w:rPr>
          <w:rFonts w:ascii="宋体" w:hAnsi="宋体" w:cs="宋体" w:eastAsia="宋体" w:hint="default"/>
          <w:b/>
          <w:bCs/>
          <w:w w:val="99"/>
          <w:sz w:val="18"/>
          <w:szCs w:val="18"/>
        </w:rPr>
        <w:t> </w:t>
      </w:r>
      <w:r>
        <w:rPr>
          <w:rFonts w:ascii="宋体" w:hAnsi="宋体" w:cs="宋体" w:eastAsia="宋体" w:hint="default"/>
          <w:b/>
          <w:bCs/>
          <w:w w:val="95"/>
          <w:sz w:val="18"/>
          <w:szCs w:val="18"/>
        </w:rPr>
        <w:t>中国注册会计师：吕红涛</w:t>
      </w:r>
      <w:r>
        <w:rPr>
          <w:rFonts w:ascii="宋体" w:hAnsi="宋体" w:cs="宋体" w:eastAsia="宋体" w:hint="default"/>
          <w:sz w:val="18"/>
          <w:szCs w:val="18"/>
        </w:rPr>
      </w:r>
    </w:p>
    <w:p>
      <w:pPr>
        <w:spacing w:line="240" w:lineRule="auto" w:before="2"/>
        <w:rPr>
          <w:rFonts w:ascii="宋体" w:hAnsi="宋体" w:cs="宋体" w:eastAsia="宋体" w:hint="default"/>
          <w:b/>
          <w:bCs/>
          <w:sz w:val="25"/>
          <w:szCs w:val="25"/>
        </w:rPr>
      </w:pPr>
    </w:p>
    <w:p>
      <w:pPr>
        <w:tabs>
          <w:tab w:pos="1861" w:val="left" w:leader="none"/>
        </w:tabs>
        <w:spacing w:before="0"/>
        <w:ind w:left="0" w:right="1132" w:firstLine="0"/>
        <w:jc w:val="right"/>
        <w:rPr>
          <w:rFonts w:ascii="宋体" w:hAnsi="宋体" w:cs="宋体" w:eastAsia="宋体" w:hint="default"/>
          <w:sz w:val="18"/>
          <w:szCs w:val="18"/>
        </w:rPr>
      </w:pPr>
      <w:r>
        <w:rPr>
          <w:rFonts w:ascii="宋体" w:hAnsi="宋体" w:cs="宋体" w:eastAsia="宋体" w:hint="default"/>
          <w:b/>
          <w:bCs/>
          <w:w w:val="95"/>
          <w:sz w:val="18"/>
          <w:szCs w:val="18"/>
        </w:rPr>
        <w:t>中国•上海</w:t>
        <w:tab/>
      </w:r>
      <w:r>
        <w:rPr>
          <w:rFonts w:ascii="宋体" w:hAnsi="宋体" w:cs="宋体" w:eastAsia="宋体" w:hint="default"/>
          <w:b/>
          <w:bCs/>
          <w:w w:val="95"/>
          <w:sz w:val="18"/>
          <w:szCs w:val="18"/>
        </w:rPr>
        <w:t>2019</w:t>
      </w:r>
      <w:r>
        <w:rPr>
          <w:rFonts w:ascii="宋体" w:hAnsi="宋体" w:cs="宋体" w:eastAsia="宋体" w:hint="default"/>
          <w:b/>
          <w:bCs/>
          <w:w w:val="95"/>
          <w:sz w:val="18"/>
          <w:szCs w:val="18"/>
        </w:rPr>
        <w:t>年</w:t>
      </w:r>
      <w:r>
        <w:rPr>
          <w:rFonts w:ascii="宋体" w:hAnsi="宋体" w:cs="宋体" w:eastAsia="宋体" w:hint="default"/>
          <w:b/>
          <w:bCs/>
          <w:w w:val="95"/>
          <w:sz w:val="18"/>
          <w:szCs w:val="18"/>
        </w:rPr>
        <w:t>3</w:t>
      </w:r>
      <w:r>
        <w:rPr>
          <w:rFonts w:ascii="宋体" w:hAnsi="宋体" w:cs="宋体" w:eastAsia="宋体" w:hint="default"/>
          <w:b/>
          <w:bCs/>
          <w:w w:val="95"/>
          <w:sz w:val="18"/>
          <w:szCs w:val="18"/>
        </w:rPr>
        <w:t>月</w:t>
      </w:r>
      <w:r>
        <w:rPr>
          <w:rFonts w:ascii="宋体" w:hAnsi="宋体" w:cs="宋体" w:eastAsia="宋体" w:hint="default"/>
          <w:b/>
          <w:bCs/>
          <w:w w:val="95"/>
          <w:sz w:val="18"/>
          <w:szCs w:val="18"/>
        </w:rPr>
        <w:t>27</w:t>
      </w:r>
      <w:r>
        <w:rPr>
          <w:rFonts w:ascii="宋体" w:hAnsi="宋体" w:cs="宋体" w:eastAsia="宋体" w:hint="default"/>
          <w:b/>
          <w:bCs/>
          <w:w w:val="95"/>
          <w:sz w:val="18"/>
          <w:szCs w:val="18"/>
        </w:rPr>
        <w:t>日</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right="1972"/>
        <w:jc w:val="left"/>
        <w:rPr>
          <w:b w:val="0"/>
          <w:bCs w:val="0"/>
        </w:rPr>
      </w:pPr>
      <w:bookmarkStart w:name="二、财务报表" w:id="169"/>
      <w:bookmarkEnd w:id="16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1、合并资产负债表" w:id="170"/>
      <w:bookmarkEnd w:id="17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编制单位：深圳天源迪科信息技术股份有限公司</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303,584,918.01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345,412,409.00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1,722,384.00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3,123,921.70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1,651,385,128.30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1,389,678,482.57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115,996,492.35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129,915,302.63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1,535,388,635.95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1,259,763,179.94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97,438,951.91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145,708,647.20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57,073,821.42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40,605,187.67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862,716,944.43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536,284,824.21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13,396,181.25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4,028,352.42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2,987,318,329.32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2,464,841,824.77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72,927,564.25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55,063,998.25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71,648,171.51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70,168,905.31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139,855,897.27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6,503,635.68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367,568,656.89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244,156,240.59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152,468,550.55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217,776,567.32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218,898,326.69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103,970,627.92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95,660,153.66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653,999,913.24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653,999,913.24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17,259,509.44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7,564,687.11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45,727,476.11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43,668,694.56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878,564.88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82,019,346.91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1,691,612,948.83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1,630,172,452.55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4,678,931,278.15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4,095,014,277.32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68,378,643.43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29,322,925.39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159,508,409.71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125,125,414.44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33,550,252.27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41,066,416.40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32,697,762.39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25,714,455.27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34,939,541.26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21,265,407.96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11,242,797.72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10,926,101.17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229,900,156.79</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1,524,974,765.85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923,494,619.46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199,306,602.73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18,464,548.25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28,874,622.17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18,464,548.25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258,181,224.90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1,543,439,314.10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1,181,675,844.36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399,083,860.00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399,737,270.00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1,718,968,740.11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1,724,637,961.61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1,295,635.05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2,634,017.80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79,005,526.29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69,641,144.99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827,938,103.09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637,749,133.72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3,023,700,594.44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2,829,131,492.52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111,791,369.61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84,206,940.44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3,135,491,964.05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2,913,338,432.96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4" w:right="0"/>
              <w:jc w:val="left"/>
              <w:rPr>
                <w:rFonts w:ascii="Times New Roman" w:hAnsi="Times New Roman" w:cs="Times New Roman" w:eastAsia="Times New Roman" w:hint="default"/>
                <w:sz w:val="18"/>
                <w:szCs w:val="18"/>
              </w:rPr>
            </w:pPr>
            <w:r>
              <w:rPr>
                <w:rFonts w:ascii="Times New Roman"/>
                <w:sz w:val="18"/>
              </w:rPr>
              <w:t>4,678,931,278.15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4,095,014,277.32</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法定代表人：陈友</w:t>
        <w:tab/>
        <w:t>主管会计工作负责人：钱文胜</w:t>
        <w:tab/>
        <w:t>会计机构负责人：章菁菁</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母公司资产负债表" w:id="171"/>
      <w:bookmarkEnd w:id="17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131,080,251.04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202,993,698.33</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735,310,789.26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715,519,620.03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9,362,799.79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725,947,989.47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714,490,620.03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24,825,081.40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12,378,005.81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1,072,716,931.10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796,776,720.81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5,961,839.17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6,549,495.68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6,558,019.19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2,387,565.17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1,976,452,911.16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1,736,605,105.83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47,597,564.25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35,733,998.25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1,564,218,389.46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1,529,951,973.26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56,815,451.30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58,163,738.62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203,666,723.20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203,189,345.21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103,970,627.92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95,660,153.66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5,865,167.31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1,543,960.27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40,555,724.29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40,622,754.58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2,022,689,647.73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1,964,865,923.85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3,999,142,558.89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3,701,471,029.68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419,725,894.72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116,092,879.18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16,913,880.37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24,304,067.38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10,192,468.33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15,651,668.74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987,511.35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3,233,747.66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202,285,116.57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164,780,839.54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229,900,156.79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1,208,005,028.13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751,063,202.50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199,306,602.73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245,256,602.73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1,218,345,028.13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996,319,805.23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399,083,860.00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399,737,270.00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1,798,226,136.64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1,800,919,271.76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1,295,635.05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2,634,017.80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79,005,526.29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69,641,144.99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505,777,642.88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437,487,555.50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2,780,797,530.76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2,705,151,224.45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3,999,142,558.89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3,701,471,029.68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972"/>
        <w:jc w:val="left"/>
        <w:rPr>
          <w:b w:val="0"/>
          <w:bCs w:val="0"/>
        </w:rPr>
      </w:pPr>
      <w:bookmarkStart w:name="3、合并利润表" w:id="172"/>
      <w:bookmarkEnd w:id="17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3,766,826,442.85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2,963,058,965.15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3,766,826,442.85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2,963,058,965.15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3,558,046,944.29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2,834,594,296.19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2,992,771,501.03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2,383,331,832.34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11,300,718.00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8,612,352.88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141,896,765.53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112,609,037.95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160,537,865.89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143,963,314.70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185,525,225.24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141,443,693.76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43,712,247.01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33,910,278.72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46,325,139.19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34,290,310.31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1,328,181.54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1,375,428.63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22,302,621.59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10,723,785.84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53,542,828.09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42,928,523.22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1,504,056.20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7,328,754.03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1,479,266.20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3,817,961.79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-1,387,476.00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-297,696.00</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-8,992.48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-351,607.15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262,429,914.37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178,072,643.06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3,555,984.28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3,948,420.50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394,700.37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112,270.78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265,591,198.28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181,908,792.78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21,153,010.52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2,568,703.69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244,438,187.76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179,340,089.09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244,438,187.76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179,340,089.09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215,542,694.97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155,932,941.08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28,895,492.79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23,407,148.01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244,438,187.76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179,340,089.09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215,542,694.97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155,932,941.08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28,895,492.79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23,407,148.01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bl>
    <w:p>
      <w:pPr>
        <w:tabs>
          <w:tab w:pos="3484" w:val="left" w:leader="none"/>
          <w:tab w:pos="7715" w:val="left" w:leader="none"/>
        </w:tabs>
        <w:spacing w:line="624" w:lineRule="auto" w:before="51"/>
        <w:ind w:left="154"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法定代表人：陈友</w:t>
        <w:tab/>
        <w:t>主管会计工作负责人：钱文胜</w:t>
        <w:tab/>
        <w:t>会计机构负责人：章菁菁</w:t>
      </w:r>
    </w:p>
    <w:p>
      <w:pPr>
        <w:pStyle w:val="Heading5"/>
        <w:spacing w:line="240" w:lineRule="auto" w:before="63"/>
        <w:ind w:right="1972"/>
        <w:jc w:val="left"/>
        <w:rPr>
          <w:b w:val="0"/>
          <w:bCs w:val="0"/>
        </w:rPr>
      </w:pPr>
      <w:bookmarkStart w:name="4、母公司利润表" w:id="173"/>
      <w:bookmarkEnd w:id="17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861,921,693.47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793,899,328.21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647,708,835.85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600,328,549.12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897,327.14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1,106,132.66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60,974,947.83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51,400,697.04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41,006,740.67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48,026,997.57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58,846,590.28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56,414,656.79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3,389,435.04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-475,991.52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33,497,513.29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25,404,972.03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30,404,353.82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26,012,677.20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9,329,747.35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-11,187,392.36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12,586,840.75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15,137,461.43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39,980,719.69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7,535,860.28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1,479,266.20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3,817,961.79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-354,017.05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92,337,859.75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70,604,983.57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1,067,502.80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325,912.92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373,044.71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112,186.77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93,032,317.84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70,818,709.72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-611,495.14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-4,504,507.43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93,643,812.98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75,323,217.15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93,643,812.98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75,323,217.15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93,643,812.98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75,323,217.15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972"/>
        <w:jc w:val="left"/>
        <w:rPr>
          <w:b w:val="0"/>
          <w:bCs w:val="0"/>
        </w:rPr>
      </w:pPr>
      <w:bookmarkStart w:name="5、合并现金流量表" w:id="174"/>
      <w:bookmarkEnd w:id="17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4,039,312,621.37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2,927,769,283.15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27,481,698.36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22,360,598.70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68,293,474.94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122,737,859.01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4,135,087,794.67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3,072,867,740.86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3,172,653,558.01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2,219,175,209.82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776,086,017.88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592,485,519.24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88,764,138.54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73,720,515.17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191,586,359.45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110,392,021.16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4,229,090,073.88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2,995,773,265.39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-94,002,279.21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77,094,475.47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6,574,588.39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44,967.00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24,192.02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590,778,780.41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155,596,078.49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155,957,949.12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22,113,043.08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4,800,425.63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93,131,835.09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334,527,000.00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177,709,121.57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588,417,209.84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-177,650,864.57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2,361,570.57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1,137,812,450.00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130,896,012.12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1,169,312,450.00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1,270,696,012.12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1,098,368,708.33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98,448,730.45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45,770,950.64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58,908,239.37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22,261,176.79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984,556,969.82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1,166,400,835.76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184,755,480.18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104,295,176.36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1,033,955.93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688,043.10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-85,863,707.67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184,439,265.50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327,188,130.11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142,748,864.61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241,324,422.44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327,188,130.11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972"/>
        <w:jc w:val="left"/>
        <w:rPr>
          <w:b w:val="0"/>
          <w:bCs w:val="0"/>
        </w:rPr>
      </w:pPr>
      <w:bookmarkStart w:name="6、母公司现金流量表" w:id="175"/>
      <w:bookmarkEnd w:id="17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867,282,470.71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683,288,545.89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3,983,063.78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1,345,361.65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293,439,384.04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180,750,962.77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1,164,704,918.53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865,384,870.31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473,759,330.47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483,855,135.41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233,199,916.14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227,525,756.49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3,875,900.73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5,874,026.66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111,709,142.49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56,674,676.77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822,544,289.83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773,929,595.33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342,160,628.70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91,455,274.98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6,574,588.39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20,732.00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32,578,818.05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71,081,048.05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590,775,320.39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111,516,498.21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120,868,453.82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54,613,043.08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151,120,660.63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404,527,000.00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333,929,541.29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676,516,114.45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-262,848,493.24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-85,740,794.06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158,689,516.35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615,689,516.35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51,403,560.06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37,624,564.15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58,908,239.37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8,161,176.79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577,311,799.43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476,785,740.94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-209,311,799.43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138,903,775.41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-129,999,663.97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144,618,256.33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199,619,419.44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55,001,163.11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69,619,755.47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199,619,419.44</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7、合并所有者权益变动表" w:id="176"/>
      <w:bookmarkEnd w:id="17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6810"/>
        <w:gridCol w:w="665"/>
        <w:gridCol w:w="647"/>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206"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10" w:space="0" w:color="D2D2D2"/>
              <w:right w:val="single" w:sz="4"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233" w:right="53"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6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10" w:space="0" w:color="D2D2D2"/>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399,73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7,270.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37,961.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69,641,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144.99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637,749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,133.72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84,206,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940.44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38,432.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399,73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7,270.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37,961.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69,641,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144.99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637,749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,133.72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84,206,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940.44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38,432.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-653,4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-5,669,2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-1,338,3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82.75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9,364,3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190,188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,969.37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27,584,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429.17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222,153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,531.09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215,542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,694.97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28,895,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492.79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244,438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,187.76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-653,4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-5,669,2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-1,338,3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82.75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30,188,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936.38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25,204,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687.63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-653,4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-4,982,2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25,864,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352.94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2,289,1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01.94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-1,338,3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82.75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3,627,4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84.69</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-2,976,0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86.38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-1,311,0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63.62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-4,287,1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9,364,3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81.30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-25,353,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725.60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-31,500,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-47,489,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344.30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9,364,3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81.30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-9,364,3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81.30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-15,989,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-31,500,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-47,489,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344.30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344.30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399,08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3,860.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1,718,9</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68,740.</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1,295,6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79,005,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526.29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827,938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,103.09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pacing w:val="-3"/>
                <w:sz w:val="18"/>
              </w:rPr>
              <w:t>111,791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,369.61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3,135,4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91,964.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357,95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5,482.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36,763.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62,108,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823.27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501,876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,949.04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59,881,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621.80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357,95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5,482.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36,763.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62,108,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823.27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501,876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,949.04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59,881,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621.80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669,701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,198.53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135,872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,184.68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24,325,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318.64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876,578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,793.77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-1,386,9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76.26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155,932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,941.08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25,010,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792.47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179,556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,757.29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671,088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,174.79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1,240,6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71.41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711,476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,616.40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669,632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,288.07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711,636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,076.07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-222,0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1,231,5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04.04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-1,624,5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13.76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224,382</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1,240,6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71.41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1,465,0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54.09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-20,060,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756.40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434.68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434.68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434.68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145.24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45.24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4"/>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145.24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45.24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399,73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7,270.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1,724,6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37,961.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2,634,0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69,641,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637,749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,133.72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84,206,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940.44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38,432.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972"/>
        <w:jc w:val="left"/>
        <w:rPr>
          <w:b w:val="0"/>
          <w:bCs w:val="0"/>
        </w:rPr>
      </w:pPr>
      <w:bookmarkStart w:name="8、母公司所有者权益变动表" w:id="177"/>
      <w:bookmarkEnd w:id="17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399,737,</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270.00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1,800,919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,271.76</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69,641,14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4.99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437,487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,555.50</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2,705,151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,224.45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399,737,</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270.00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1,800,919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,271.76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69,641,14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437,487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,555.50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2,705,151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,224.45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-653,41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-2,693,13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-1,338,38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9,364,381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68,290,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087.38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75,646,30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93,643,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812.98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93,643,81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2.98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-653,41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-2,693,13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-1,338,38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-2,008,16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2.37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-653,41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-4,982,23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-5,635,64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7.06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2,289,101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-1,338,38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3,627,484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9,364,381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-25,353,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725.60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-15,989,3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44.30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9,364,381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-9,364,3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81.30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-15,989,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344.30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-15,989,3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44.30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399,083,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1,798,226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,136.64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1,295,635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79,005,52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505,777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,642.88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2,780,797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,530.76</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2"/>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1"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357,955,</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482.00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1,130,055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,479.65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62,108,82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3.27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382,225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,094.75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1,932,344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,879.67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357,955,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1,130,055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,479.65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62,108,82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382,225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,094.75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1,932,344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,879.67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41,781,7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670,863,7</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92.11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7,532,321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55,262,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460.75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772,806,3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44.78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217.15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75,323,21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41,781,7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670,863,7</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92.11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710,011,5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62.31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42,003,7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669,632,2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88.07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711,636,0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76.07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-222,00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1,231,504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-1,624,51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7,532,321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-20,060,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756.40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-12,528,4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7,532,321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-7,532,3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21.72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-12,528,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434.68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-12,528,4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34.68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399,737,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1,800,919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,271.76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69,641,14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437,487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,555.50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2,705,151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,224.45</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1972"/>
        <w:jc w:val="left"/>
        <w:rPr>
          <w:b w:val="0"/>
          <w:bCs w:val="0"/>
        </w:rPr>
      </w:pPr>
      <w:bookmarkStart w:name="三、公司基本情况" w:id="178"/>
      <w:bookmarkEnd w:id="178"/>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4"/>
          <w:szCs w:val="24"/>
        </w:rPr>
      </w:pPr>
    </w:p>
    <w:p>
      <w:pPr>
        <w:pStyle w:val="Heading5"/>
        <w:spacing w:line="240" w:lineRule="auto"/>
        <w:ind w:right="1972"/>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公司概况</w:t>
      </w:r>
      <w:r>
        <w:rPr>
          <w:b w:val="0"/>
          <w:bCs w:val="0"/>
        </w:rPr>
      </w:r>
    </w:p>
    <w:p>
      <w:pPr>
        <w:pStyle w:val="BodyText"/>
        <w:spacing w:line="256" w:lineRule="auto" w:before="21"/>
        <w:ind w:left="574" w:right="3554"/>
        <w:jc w:val="left"/>
      </w:pPr>
      <w:r>
        <w:rPr/>
        <w:t>统一社会信用代码：</w:t>
      </w:r>
      <w:r>
        <w:rPr>
          <w:rFonts w:ascii="Times New Roman" w:hAnsi="Times New Roman" w:cs="Times New Roman" w:eastAsia="Times New Roman" w:hint="default"/>
        </w:rPr>
        <w:t>914403006188564330 </w:t>
      </w:r>
      <w:r>
        <w:rPr/>
        <w:t>注册地址：深圳市南山区粤海街道高新区南区市高新技术工业村</w:t>
      </w:r>
      <w:r>
        <w:rPr>
          <w:rFonts w:ascii="Times New Roman" w:hAnsi="Times New Roman" w:cs="Times New Roman" w:eastAsia="Times New Roman" w:hint="default"/>
        </w:rPr>
        <w:t>T3</w:t>
      </w:r>
      <w:r>
        <w:rPr/>
        <w:t>栋</w:t>
      </w:r>
      <w:r>
        <w:rPr>
          <w:rFonts w:ascii="Times New Roman" w:hAnsi="Times New Roman" w:cs="Times New Roman" w:eastAsia="Times New Roman" w:hint="default"/>
        </w:rPr>
        <w:t>B3</w:t>
      </w:r>
      <w:r>
        <w:rPr/>
        <w:t>楼 法定代表人：陈友</w:t>
      </w:r>
    </w:p>
    <w:p>
      <w:pPr>
        <w:pStyle w:val="BodyText"/>
        <w:spacing w:line="273" w:lineRule="auto" w:before="22"/>
        <w:ind w:left="574" w:right="0"/>
        <w:jc w:val="left"/>
      </w:pPr>
      <w:r>
        <w:rPr/>
        <w:t>公司行业性质：电子信息 </w:t>
      </w:r>
      <w:r>
        <w:rPr>
          <w:spacing w:val="-1"/>
        </w:rPr>
        <w:t>公司经营范围：计算机软、硬件产品的销售及售后服务；计算机网络设计、软件开发、系统集成；信</w:t>
      </w:r>
    </w:p>
    <w:p>
      <w:pPr>
        <w:pStyle w:val="BodyText"/>
        <w:spacing w:line="268" w:lineRule="auto"/>
        <w:ind w:right="0"/>
        <w:jc w:val="left"/>
      </w:pPr>
      <w:r>
        <w:rPr>
          <w:spacing w:val="-1"/>
        </w:rPr>
        <w:t>息系统咨询和相关技术服务（不含限制项目及专营、专控、专卖商品）；国内贸易（法律、行政法规、国</w:t>
      </w:r>
      <w:r>
        <w:rPr>
          <w:spacing w:val="-86"/>
        </w:rPr>
        <w:t> </w:t>
      </w:r>
      <w:r>
        <w:rPr>
          <w:spacing w:val="-86"/>
        </w:rPr>
      </w:r>
      <w:r>
        <w:rPr>
          <w:spacing w:val="-1"/>
        </w:rPr>
        <w:t>务院决定禁止的项目除外，限制的项目须取得许可后方可经营）；经营进出口业务（法律、行政法规、国</w:t>
      </w:r>
      <w:r>
        <w:rPr>
          <w:spacing w:val="-83"/>
        </w:rPr>
        <w:t> </w:t>
      </w:r>
      <w:r>
        <w:rPr>
          <w:spacing w:val="-83"/>
        </w:rPr>
      </w:r>
      <w:r>
        <w:rPr>
          <w:spacing w:val="-1"/>
        </w:rPr>
        <w:t>务院决定禁止的项目除外，限制的项目须取得许可后方可经营）；通信产品及其配套设备的代理销售、售</w:t>
      </w:r>
      <w:r>
        <w:rPr>
          <w:spacing w:val="-86"/>
        </w:rPr>
        <w:t> </w:t>
      </w:r>
      <w:r>
        <w:rPr>
          <w:spacing w:val="-86"/>
        </w:rPr>
      </w:r>
      <w:r>
        <w:rPr/>
        <w:t>后服务（不含专营、专控、专卖商品）；自有物业租赁。</w:t>
      </w:r>
      <w:r>
        <w:rPr>
          <w:rFonts w:ascii="Times New Roman" w:hAnsi="Times New Roman" w:cs="Times New Roman" w:eastAsia="Times New Roman" w:hint="default"/>
        </w:rPr>
        <w:t>^</w:t>
      </w:r>
      <w:r>
        <w:rPr/>
        <w:t>计算机软、硬件产品的生产；第二类增值电信 业务中的信息服务业务（不含固定网电话信息服务和互联网信息服务）。</w:t>
      </w:r>
    </w:p>
    <w:p>
      <w:pPr>
        <w:spacing w:line="240" w:lineRule="auto" w:before="10"/>
        <w:rPr>
          <w:rFonts w:ascii="宋体" w:hAnsi="宋体" w:cs="宋体" w:eastAsia="宋体" w:hint="default"/>
          <w:sz w:val="24"/>
          <w:szCs w:val="24"/>
        </w:rPr>
      </w:pPr>
    </w:p>
    <w:p>
      <w:pPr>
        <w:pStyle w:val="Heading5"/>
        <w:spacing w:line="240" w:lineRule="auto"/>
        <w:ind w:right="197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历史沿革</w:t>
      </w:r>
      <w:r>
        <w:rPr>
          <w:b w:val="0"/>
          <w:bCs w:val="0"/>
        </w:rPr>
      </w:r>
    </w:p>
    <w:p>
      <w:pPr>
        <w:pStyle w:val="BodyText"/>
        <w:spacing w:line="256" w:lineRule="auto" w:before="21"/>
        <w:ind w:right="1132" w:firstLine="420"/>
        <w:jc w:val="both"/>
      </w:pPr>
      <w:r>
        <w:rPr/>
        <w:t>深圳天源迪科信息技术股份有限公司（以下简称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），前身为深圳天源迪科计算机有 </w:t>
      </w:r>
      <w:r>
        <w:rPr>
          <w:spacing w:val="-2"/>
        </w:rPr>
        <w:t>限公司，成立于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日，经深圳市人民政府深府外复</w:t>
      </w:r>
      <w:r>
        <w:rPr>
          <w:rFonts w:ascii="Times New Roman" w:hAnsi="Times New Roman" w:cs="Times New Roman" w:eastAsia="Times New Roman" w:hint="default"/>
          <w:spacing w:val="-2"/>
        </w:rPr>
        <w:t>[1992]1904</w:t>
      </w:r>
      <w:r>
        <w:rPr>
          <w:spacing w:val="-2"/>
        </w:rPr>
        <w:t>号《关于合资经营天源迪科计算机</w:t>
      </w:r>
      <w:r>
        <w:rPr>
          <w:spacing w:val="-60"/>
        </w:rPr>
        <w:t> </w:t>
      </w:r>
      <w:r>
        <w:rPr>
          <w:spacing w:val="-60"/>
        </w:rPr>
      </w:r>
      <w:r>
        <w:rPr/>
        <w:t>有限公司的批复》批准，由深圳市天源实业股份有限公司（以下简称</w:t>
      </w:r>
      <w:r>
        <w:rPr>
          <w:rFonts w:ascii="Times New Roman" w:hAnsi="Times New Roman" w:cs="Times New Roman" w:eastAsia="Times New Roman" w:hint="default"/>
        </w:rPr>
        <w:t>“</w:t>
      </w:r>
      <w:r>
        <w:rPr/>
        <w:t>天源实业公司</w:t>
      </w:r>
      <w:r>
        <w:rPr>
          <w:rFonts w:ascii="Times New Roman" w:hAnsi="Times New Roman" w:cs="Times New Roman" w:eastAsia="Times New Roman" w:hint="default"/>
        </w:rPr>
        <w:t>”</w:t>
      </w:r>
      <w:r>
        <w:rPr/>
        <w:t>）和香港泰汇国际有 限公司（以下简称</w:t>
      </w:r>
      <w:r>
        <w:rPr>
          <w:rFonts w:ascii="Times New Roman" w:hAnsi="Times New Roman" w:cs="Times New Roman" w:eastAsia="Times New Roman" w:hint="default"/>
        </w:rPr>
        <w:t>“</w:t>
      </w:r>
      <w:r>
        <w:rPr/>
        <w:t>香港泰汇公司</w:t>
      </w:r>
      <w:r>
        <w:rPr>
          <w:rFonts w:ascii="Times New Roman" w:hAnsi="Times New Roman" w:cs="Times New Roman" w:eastAsia="Times New Roman" w:hint="default"/>
        </w:rPr>
        <w:t>”</w:t>
      </w:r>
      <w:r>
        <w:rPr/>
        <w:t>）共同发起设立，领取注册号为工商外企合粤深字第</w:t>
      </w:r>
      <w:r>
        <w:rPr>
          <w:rFonts w:ascii="Times New Roman" w:hAnsi="Times New Roman" w:cs="Times New Roman" w:eastAsia="Times New Roman" w:hint="default"/>
        </w:rPr>
        <w:t>103505</w:t>
      </w:r>
      <w:r>
        <w:rPr/>
        <w:t>号中华人民 共和国企业法人营业执照。</w:t>
      </w:r>
    </w:p>
    <w:p>
      <w:pPr>
        <w:pStyle w:val="BodyText"/>
        <w:spacing w:line="240" w:lineRule="auto" w:before="22"/>
        <w:ind w:left="574" w:right="1972"/>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日，在深圳天源迪科计算机有限公司基础上改组为股份有限公司。</w:t>
      </w:r>
    </w:p>
    <w:p>
      <w:pPr>
        <w:pStyle w:val="BodyText"/>
        <w:spacing w:line="256" w:lineRule="auto" w:before="21"/>
        <w:ind w:right="1132" w:firstLine="420"/>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日，经中国证券监督管理委员会证监发行字</w:t>
      </w:r>
      <w:r>
        <w:rPr>
          <w:rFonts w:ascii="Times New Roman" w:hAnsi="Times New Roman" w:cs="Times New Roman" w:eastAsia="Times New Roman" w:hint="default"/>
          <w:spacing w:val="-2"/>
        </w:rPr>
        <w:t>[2009]1463</w:t>
      </w:r>
      <w:r>
        <w:rPr>
          <w:spacing w:val="-2"/>
        </w:rPr>
        <w:t>号文核准，本公司向社会公众发行</w:t>
      </w:r>
      <w:r>
        <w:rPr/>
        <w:t> 人民币普通股</w:t>
      </w:r>
      <w:r>
        <w:rPr>
          <w:rFonts w:ascii="Times New Roman" w:hAnsi="Times New Roman" w:cs="Times New Roman" w:eastAsia="Times New Roman" w:hint="default"/>
        </w:rPr>
        <w:t>2,700</w:t>
      </w:r>
      <w:r>
        <w:rPr/>
        <w:t>万股，并于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日在深圳证券交易所创业板上市，股票简称</w:t>
      </w:r>
      <w:r>
        <w:rPr>
          <w:rFonts w:ascii="Times New Roman" w:hAnsi="Times New Roman" w:cs="Times New Roman" w:eastAsia="Times New Roman" w:hint="default"/>
        </w:rPr>
        <w:t>“</w:t>
      </w:r>
      <w:r>
        <w:rPr/>
        <w:t>天源迪科</w:t>
      </w:r>
      <w:r>
        <w:rPr>
          <w:rFonts w:ascii="Times New Roman" w:hAnsi="Times New Roman" w:cs="Times New Roman" w:eastAsia="Times New Roman" w:hint="default"/>
        </w:rPr>
        <w:t>”,</w:t>
      </w:r>
      <w:r>
        <w:rPr/>
        <w:t>股票代 码</w:t>
      </w:r>
      <w:r>
        <w:rPr>
          <w:rFonts w:ascii="Times New Roman" w:hAnsi="Times New Roman" w:cs="Times New Roman" w:eastAsia="Times New Roman" w:hint="default"/>
        </w:rPr>
        <w:t>“300047”</w:t>
      </w:r>
      <w:r>
        <w:rPr/>
        <w:t>，发行后本公司注册资本为人民币</w:t>
      </w:r>
      <w:r>
        <w:rPr>
          <w:rFonts w:ascii="Times New Roman" w:hAnsi="Times New Roman" w:cs="Times New Roman" w:eastAsia="Times New Roman" w:hint="default"/>
        </w:rPr>
        <w:t>10,460</w:t>
      </w:r>
      <w:r>
        <w:rPr/>
        <w:t>万元。</w:t>
      </w:r>
    </w:p>
    <w:p>
      <w:pPr>
        <w:pStyle w:val="BodyText"/>
        <w:spacing w:line="256" w:lineRule="auto" w:before="5"/>
        <w:ind w:right="1118" w:firstLine="42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日，依据</w:t>
      </w:r>
      <w:r>
        <w:rPr>
          <w:rFonts w:ascii="Times New Roman" w:hAnsi="Times New Roman" w:cs="Times New Roman" w:eastAsia="Times New Roman" w:hint="default"/>
          <w:spacing w:val="-2"/>
        </w:rPr>
        <w:t>2010</w:t>
      </w:r>
      <w:r>
        <w:rPr>
          <w:spacing w:val="-2"/>
        </w:rPr>
        <w:t>年年度股东大会决议和修改后的章程，以公司本次转增前总股本</w:t>
      </w:r>
      <w:r>
        <w:rPr>
          <w:rFonts w:ascii="Times New Roman" w:hAnsi="Times New Roman" w:cs="Times New Roman" w:eastAsia="Times New Roman" w:hint="default"/>
          <w:spacing w:val="-2"/>
        </w:rPr>
        <w:t>10,460</w:t>
      </w:r>
      <w:r>
        <w:rPr>
          <w:spacing w:val="-2"/>
        </w:rPr>
        <w:t>万股 </w:t>
      </w:r>
      <w:r>
        <w:rPr/>
        <w:t>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5,230</w:t>
      </w:r>
      <w:r>
        <w:rPr/>
        <w:t>万股，转增后公司注册资本为人民币 </w:t>
      </w:r>
      <w:r>
        <w:rPr>
          <w:rFonts w:ascii="Times New Roman" w:hAnsi="Times New Roman" w:cs="Times New Roman" w:eastAsia="Times New Roman" w:hint="default"/>
        </w:rPr>
        <w:t>15,690</w:t>
      </w:r>
      <w:r>
        <w:rPr/>
        <w:t>万元。</w:t>
      </w:r>
    </w:p>
    <w:p>
      <w:pPr>
        <w:pStyle w:val="BodyText"/>
        <w:spacing w:line="256" w:lineRule="auto" w:before="5"/>
        <w:ind w:right="1133" w:firstLine="42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日，依据</w:t>
      </w:r>
      <w:r>
        <w:rPr>
          <w:rFonts w:ascii="Times New Roman" w:hAnsi="Times New Roman" w:cs="Times New Roman" w:eastAsia="Times New Roman" w:hint="default"/>
          <w:spacing w:val="-2"/>
        </w:rPr>
        <w:t>2012</w:t>
      </w:r>
      <w:r>
        <w:rPr>
          <w:spacing w:val="-2"/>
        </w:rPr>
        <w:t>年年度股东大会决议和修改后的章程，以公司本次转增前总股本</w:t>
      </w:r>
      <w:r>
        <w:rPr>
          <w:rFonts w:ascii="Times New Roman" w:hAnsi="Times New Roman" w:cs="Times New Roman" w:eastAsia="Times New Roman" w:hint="default"/>
          <w:spacing w:val="-2"/>
        </w:rPr>
        <w:t>15,690</w:t>
      </w:r>
      <w:r>
        <w:rPr>
          <w:spacing w:val="-2"/>
        </w:rPr>
        <w:t>万股 </w:t>
      </w:r>
      <w:r>
        <w:rPr/>
        <w:t>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15,690</w:t>
      </w:r>
      <w:r>
        <w:rPr/>
        <w:t>万股，转增后公司注册资本为人民币 </w:t>
      </w:r>
      <w:r>
        <w:rPr>
          <w:rFonts w:ascii="Times New Roman" w:hAnsi="Times New Roman" w:cs="Times New Roman" w:eastAsia="Times New Roman" w:hint="default"/>
        </w:rPr>
        <w:t>31,380</w:t>
      </w:r>
      <w:r>
        <w:rPr/>
        <w:t>万元。</w:t>
      </w:r>
    </w:p>
    <w:p>
      <w:pPr>
        <w:pStyle w:val="BodyText"/>
        <w:spacing w:line="256" w:lineRule="auto" w:before="5"/>
        <w:ind w:right="1215"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日，根据本公司</w:t>
      </w:r>
      <w:r>
        <w:rPr>
          <w:rFonts w:ascii="Times New Roman" w:hAnsi="Times New Roman" w:cs="Times New Roman" w:eastAsia="Times New Roman" w:hint="default"/>
        </w:rPr>
        <w:t>2011</w:t>
      </w:r>
      <w:r>
        <w:rPr/>
        <w:t>年第三次临时股东大会审议通过的《股票期权激励计划（草案修订 案）》及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日召开的第二届董事会第二十三次会议决议，公司股票期权激励计划首期授予股票</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2"/>
        <w:jc w:val="both"/>
      </w:pPr>
      <w:r>
        <w:rPr>
          <w:spacing w:val="-1"/>
        </w:rPr>
        <w:t>期权第一个行权条件满足，首期授予</w:t>
      </w:r>
      <w:r>
        <w:rPr>
          <w:rFonts w:ascii="Times New Roman" w:hAnsi="Times New Roman" w:cs="Times New Roman" w:eastAsia="Times New Roman" w:hint="default"/>
          <w:spacing w:val="-1"/>
        </w:rPr>
        <w:t>101</w:t>
      </w:r>
      <w:r>
        <w:rPr>
          <w:spacing w:val="-1"/>
        </w:rPr>
        <w:t>名激励对象，行权模式为自主行权，截至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日止，其中</w:t>
      </w:r>
      <w:r>
        <w:rPr>
          <w:spacing w:val="-84"/>
        </w:rPr>
        <w:t> </w:t>
      </w:r>
      <w:r>
        <w:rPr>
          <w:spacing w:val="-84"/>
        </w:rPr>
      </w:r>
      <w:r>
        <w:rPr>
          <w:rFonts w:ascii="Times New Roman" w:hAnsi="Times New Roman" w:cs="Times New Roman" w:eastAsia="Times New Roman" w:hint="default"/>
          <w:spacing w:val="-2"/>
        </w:rPr>
        <w:t>94</w:t>
      </w:r>
      <w:r>
        <w:rPr>
          <w:spacing w:val="-2"/>
        </w:rPr>
        <w:t>名激励对象自主行权，由此增加股本人民币</w:t>
      </w:r>
      <w:r>
        <w:rPr>
          <w:rFonts w:ascii="Times New Roman" w:hAnsi="Times New Roman" w:cs="Times New Roman" w:eastAsia="Times New Roman" w:hint="default"/>
          <w:spacing w:val="-2"/>
        </w:rPr>
        <w:t>1,651,200.00</w:t>
      </w:r>
      <w:r>
        <w:rPr>
          <w:spacing w:val="-2"/>
        </w:rPr>
        <w:t>元。股票期权激励行权及办理工商变更登记手续</w:t>
      </w:r>
      <w:r>
        <w:rPr>
          <w:spacing w:val="-78"/>
        </w:rPr>
        <w:t> </w:t>
      </w:r>
      <w:r>
        <w:rPr>
          <w:spacing w:val="-78"/>
        </w:rPr>
      </w:r>
      <w:r>
        <w:rPr/>
        <w:t>后，公司注册资本变更后为人民币</w:t>
      </w:r>
      <w:r>
        <w:rPr>
          <w:rFonts w:ascii="Times New Roman" w:hAnsi="Times New Roman" w:cs="Times New Roman" w:eastAsia="Times New Roman" w:hint="default"/>
        </w:rPr>
        <w:t>315,451,200.00</w:t>
      </w:r>
      <w:r>
        <w:rPr/>
        <w:t>元。</w:t>
      </w:r>
    </w:p>
    <w:p>
      <w:pPr>
        <w:pStyle w:val="BodyText"/>
        <w:spacing w:line="256" w:lineRule="auto" w:before="5"/>
        <w:ind w:right="1144"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日期间，股票期权激励对象自主行权总数</w:t>
      </w:r>
      <w:r>
        <w:rPr>
          <w:rFonts w:ascii="Times New Roman" w:hAnsi="Times New Roman" w:cs="Times New Roman" w:eastAsia="Times New Roman" w:hint="default"/>
        </w:rPr>
        <w:t>2,807,007.00</w:t>
      </w:r>
      <w:r>
        <w:rPr/>
        <w:t>股，由此增加股本 人民币</w:t>
      </w:r>
      <w:r>
        <w:rPr>
          <w:rFonts w:ascii="Times New Roman" w:hAnsi="Times New Roman" w:cs="Times New Roman" w:eastAsia="Times New Roman" w:hint="default"/>
        </w:rPr>
        <w:t>2,807,007.00</w:t>
      </w:r>
      <w:r>
        <w:rPr/>
        <w:t>元。股票期权激励行权及办理工商变更登记手续后，公司注册资本变更后为人民币 </w:t>
      </w:r>
      <w:r>
        <w:rPr>
          <w:rFonts w:ascii="Times New Roman" w:hAnsi="Times New Roman" w:cs="Times New Roman" w:eastAsia="Times New Roman" w:hint="default"/>
        </w:rPr>
        <w:t>318,258,207.00</w:t>
      </w:r>
      <w:r>
        <w:rPr/>
        <w:t>元。</w:t>
      </w:r>
    </w:p>
    <w:p>
      <w:pPr>
        <w:pStyle w:val="BodyText"/>
        <w:spacing w:line="256" w:lineRule="auto" w:before="5"/>
        <w:ind w:right="1144"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日期间，股票期权激励对象自主行权总数</w:t>
      </w:r>
      <w:r>
        <w:rPr>
          <w:rFonts w:ascii="Times New Roman" w:hAnsi="Times New Roman" w:cs="Times New Roman" w:eastAsia="Times New Roman" w:hint="default"/>
        </w:rPr>
        <w:t>4,444,973.00</w:t>
      </w:r>
      <w:r>
        <w:rPr/>
        <w:t>股，由此增加股本 人民币</w:t>
      </w:r>
      <w:r>
        <w:rPr>
          <w:rFonts w:ascii="Times New Roman" w:hAnsi="Times New Roman" w:cs="Times New Roman" w:eastAsia="Times New Roman" w:hint="default"/>
        </w:rPr>
        <w:t>4,444,973.00</w:t>
      </w:r>
      <w:r>
        <w:rPr/>
        <w:t>元。股票期权激励行权及办理工商变更登记手续后，公司注册资本变更后为人民币 </w:t>
      </w:r>
      <w:r>
        <w:rPr>
          <w:rFonts w:ascii="Times New Roman" w:hAnsi="Times New Roman" w:cs="Times New Roman" w:eastAsia="Times New Roman" w:hint="default"/>
        </w:rPr>
        <w:t>322,703,180.00</w:t>
      </w:r>
      <w:r>
        <w:rPr/>
        <w:t>元。</w:t>
      </w:r>
    </w:p>
    <w:p>
      <w:pPr>
        <w:pStyle w:val="BodyText"/>
        <w:spacing w:line="240" w:lineRule="auto" w:before="5"/>
        <w:ind w:left="574" w:right="197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日期间，股票期权激励对象自主行权总数</w:t>
      </w:r>
      <w:r>
        <w:rPr>
          <w:rFonts w:ascii="Times New Roman" w:hAnsi="Times New Roman" w:cs="Times New Roman" w:eastAsia="Times New Roman" w:hint="default"/>
        </w:rPr>
        <w:t>892,620.00</w:t>
      </w:r>
      <w:r>
        <w:rPr/>
        <w:t>股。</w:t>
      </w:r>
    </w:p>
    <w:p>
      <w:pPr>
        <w:pStyle w:val="BodyText"/>
        <w:spacing w:line="256" w:lineRule="auto" w:before="21"/>
        <w:ind w:right="0" w:firstLine="420"/>
        <w:jc w:val="left"/>
      </w:pPr>
      <w:r>
        <w:rPr>
          <w:rFonts w:ascii="Times New Roman" w:hAnsi="Times New Roman" w:cs="Times New Roman" w:eastAsia="Times New Roman" w:hint="default"/>
          <w:spacing w:val="-7"/>
        </w:rPr>
        <w:t>2016</w:t>
      </w:r>
      <w:r>
        <w:rPr>
          <w:spacing w:val="-7"/>
        </w:rPr>
        <w:t>年</w:t>
      </w:r>
      <w:r>
        <w:rPr>
          <w:rFonts w:ascii="Times New Roman" w:hAnsi="Times New Roman" w:cs="Times New Roman" w:eastAsia="Times New Roman" w:hint="default"/>
          <w:spacing w:val="-7"/>
        </w:rPr>
        <w:t>6</w:t>
      </w:r>
      <w:r>
        <w:rPr>
          <w:spacing w:val="-7"/>
        </w:rPr>
        <w:t>月，根据公司</w:t>
      </w:r>
      <w:r>
        <w:rPr>
          <w:rFonts w:ascii="Times New Roman" w:hAnsi="Times New Roman" w:cs="Times New Roman" w:eastAsia="Times New Roman" w:hint="default"/>
          <w:spacing w:val="-7"/>
        </w:rPr>
        <w:t>2016</w:t>
      </w:r>
      <w:r>
        <w:rPr>
          <w:spacing w:val="-7"/>
        </w:rPr>
        <w:t>年度第二次临时股东大会审议通过的《</w:t>
      </w:r>
      <w:r>
        <w:rPr>
          <w:rFonts w:ascii="Times New Roman" w:hAnsi="Times New Roman" w:cs="Times New Roman" w:eastAsia="Times New Roman" w:hint="default"/>
          <w:spacing w:val="-7"/>
        </w:rPr>
        <w:t>2016</w:t>
      </w:r>
      <w:r>
        <w:rPr>
          <w:spacing w:val="-7"/>
        </w:rPr>
        <w:t>年限制性股票激励计划（草案）》</w:t>
      </w:r>
      <w:r>
        <w:rPr/>
        <w:t> 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日召开的第三届董事会第二十三次会议决议，公司计划向激励对象授予限制性股票计 </w:t>
      </w:r>
      <w:r>
        <w:rPr>
          <w:rFonts w:ascii="Times New Roman" w:hAnsi="Times New Roman" w:cs="Times New Roman" w:eastAsia="Times New Roman" w:hint="default"/>
        </w:rPr>
        <w:t>12,630,000.00</w:t>
      </w:r>
      <w:r>
        <w:rPr/>
        <w:t>股。其中激励对象放弃</w:t>
      </w:r>
      <w:r>
        <w:rPr>
          <w:rFonts w:ascii="Times New Roman" w:hAnsi="Times New Roman" w:cs="Times New Roman" w:eastAsia="Times New Roman" w:hint="default"/>
        </w:rPr>
        <w:t>41,000.00</w:t>
      </w:r>
      <w:r>
        <w:rPr/>
        <w:t>股。由此公司增加股本人民币</w:t>
      </w:r>
      <w:r>
        <w:rPr>
          <w:rFonts w:ascii="Times New Roman" w:hAnsi="Times New Roman" w:cs="Times New Roman" w:eastAsia="Times New Roman" w:hint="default"/>
        </w:rPr>
        <w:t>12,589,000.00</w:t>
      </w:r>
      <w:r>
        <w:rPr/>
        <w:t>元。</w:t>
      </w:r>
    </w:p>
    <w:p>
      <w:pPr>
        <w:pStyle w:val="BodyText"/>
        <w:spacing w:line="261" w:lineRule="auto" w:before="5"/>
        <w:ind w:right="0" w:firstLine="420"/>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月，根据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29</w:t>
      </w:r>
      <w:r>
        <w:rPr>
          <w:spacing w:val="-1"/>
        </w:rPr>
        <w:t>日召开的第三届董事会第十六次会议决议、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spacing w:val="-1"/>
        </w:rPr>
        <w:t>日召开的</w:t>
      </w:r>
      <w:r>
        <w:rPr>
          <w:rFonts w:ascii="Times New Roman" w:hAnsi="Times New Roman" w:cs="Times New Roman" w:eastAsia="Times New Roman" w:hint="default"/>
          <w:spacing w:val="-1"/>
        </w:rPr>
        <w:t>2015</w:t>
      </w:r>
      <w:r>
        <w:rPr>
          <w:spacing w:val="-1"/>
        </w:rPr>
        <w:t>年</w:t>
      </w:r>
      <w:r>
        <w:rPr/>
        <w:t> </w:t>
      </w:r>
      <w:r>
        <w:rPr>
          <w:spacing w:val="-1"/>
        </w:rPr>
        <w:t>第一次临时股东大会决议审议通过的《关于本次非公开发行股票方案的议案》，及中国证券监督管理委员</w:t>
      </w:r>
      <w:r>
        <w:rPr>
          <w:spacing w:val="-83"/>
        </w:rPr>
        <w:t> </w:t>
      </w:r>
      <w:r>
        <w:rPr>
          <w:spacing w:val="-83"/>
        </w:rPr>
      </w:r>
      <w:r>
        <w:rPr/>
        <w:t>会《证监许可</w:t>
      </w:r>
      <w:r>
        <w:rPr>
          <w:rFonts w:ascii="Times New Roman" w:hAnsi="Times New Roman" w:cs="Times New Roman" w:eastAsia="Times New Roman" w:hint="default"/>
        </w:rPr>
        <w:t>[2016]995</w:t>
      </w:r>
      <w:r>
        <w:rPr/>
        <w:t>号》文，核准公司非公开发行不超过</w:t>
      </w:r>
      <w:r>
        <w:rPr>
          <w:rFonts w:ascii="Times New Roman" w:hAnsi="Times New Roman" w:cs="Times New Roman" w:eastAsia="Times New Roman" w:hint="default"/>
        </w:rPr>
        <w:t>28,000,000.00</w:t>
      </w:r>
      <w:r>
        <w:rPr/>
        <w:t>股新股。公司非公开发行股票 </w:t>
      </w:r>
      <w:r>
        <w:rPr>
          <w:rFonts w:ascii="Times New Roman" w:hAnsi="Times New Roman" w:cs="Times New Roman" w:eastAsia="Times New Roman" w:hint="default"/>
        </w:rPr>
        <w:t>21,770,682.00</w:t>
      </w:r>
      <w:r>
        <w:rPr/>
        <w:t>股（每股面值</w:t>
      </w:r>
      <w:r>
        <w:rPr>
          <w:rFonts w:ascii="Times New Roman" w:hAnsi="Times New Roman" w:cs="Times New Roman" w:eastAsia="Times New Roman" w:hint="default"/>
        </w:rPr>
        <w:t>1</w:t>
      </w:r>
      <w:r>
        <w:rPr/>
        <w:t>元），由此增加股本人民币</w:t>
      </w:r>
      <w:r>
        <w:rPr>
          <w:rFonts w:ascii="Times New Roman" w:hAnsi="Times New Roman" w:cs="Times New Roman" w:eastAsia="Times New Roman" w:hint="default"/>
        </w:rPr>
        <w:t>21,770,682.00</w:t>
      </w:r>
      <w:r>
        <w:rPr/>
        <w:t>元。</w:t>
      </w:r>
    </w:p>
    <w:p>
      <w:pPr>
        <w:pStyle w:val="BodyText"/>
        <w:spacing w:line="256" w:lineRule="auto" w:before="0"/>
        <w:ind w:right="1197"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日，根据第四届董事会第十次会议及第四届监事会第七次会议决议，公司申请减少注册 资本</w:t>
      </w:r>
      <w:r>
        <w:rPr>
          <w:rFonts w:ascii="Times New Roman" w:hAnsi="Times New Roman" w:cs="Times New Roman" w:eastAsia="Times New Roman" w:hint="default"/>
        </w:rPr>
        <w:t>222,000.00</w:t>
      </w:r>
      <w:r>
        <w:rPr/>
        <w:t>股，由此减少注册资本</w:t>
      </w:r>
      <w:r>
        <w:rPr>
          <w:rFonts w:ascii="Times New Roman" w:hAnsi="Times New Roman" w:cs="Times New Roman" w:eastAsia="Times New Roman" w:hint="default"/>
        </w:rPr>
        <w:t>222,000.00</w:t>
      </w:r>
      <w:r>
        <w:rPr/>
        <w:t>元。</w:t>
      </w:r>
    </w:p>
    <w:p>
      <w:pPr>
        <w:pStyle w:val="BodyText"/>
        <w:spacing w:line="259" w:lineRule="auto" w:before="5"/>
        <w:ind w:right="0" w:firstLine="42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月，根据</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日召开的第四届董事会第九次会议决议、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w:t>
      </w:r>
      <w:r>
        <w:rPr>
          <w:spacing w:val="-1"/>
        </w:rPr>
        <w:t>日召开的第四届</w:t>
      </w:r>
      <w:r>
        <w:rPr/>
        <w:t> </w:t>
      </w:r>
      <w:r>
        <w:rPr>
          <w:spacing w:val="-1"/>
        </w:rPr>
        <w:t>董事会第十次会议决议、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6</w:t>
      </w:r>
      <w:r>
        <w:rPr>
          <w:spacing w:val="-1"/>
        </w:rPr>
        <w:t>日召开的</w:t>
      </w:r>
      <w:r>
        <w:rPr>
          <w:rFonts w:ascii="Times New Roman" w:hAnsi="Times New Roman" w:cs="Times New Roman" w:eastAsia="Times New Roman" w:hint="default"/>
          <w:spacing w:val="-1"/>
        </w:rPr>
        <w:t>2017</w:t>
      </w:r>
      <w:r>
        <w:rPr>
          <w:spacing w:val="-1"/>
        </w:rPr>
        <w:t>年第一次临时股东大会决议审议通过的《关于公司符合</w:t>
      </w:r>
      <w:r>
        <w:rPr>
          <w:spacing w:val="-82"/>
        </w:rPr>
        <w:t> </w:t>
      </w:r>
      <w:r>
        <w:rPr>
          <w:spacing w:val="-82"/>
        </w:rPr>
      </w:r>
      <w:r>
        <w:rPr/>
        <w:t>发行股份及支付现金购买资产并募集配套资金条件的议案》、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日召开的第四届董事会第十一 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日召开的第四届董事会第十二次会议决议及中国证券监督管理委员会《关于核 准深圳天源迪科信息技术股份有限公司向陈兵等发行股份购买资产的批复》（证监许可</w:t>
      </w:r>
      <w:r>
        <w:rPr>
          <w:rFonts w:ascii="Times New Roman" w:hAnsi="Times New Roman" w:cs="Times New Roman" w:eastAsia="Times New Roman" w:hint="default"/>
        </w:rPr>
        <w:t>[2017]1038</w:t>
      </w:r>
      <w:r>
        <w:rPr/>
        <w:t>号）， 核准公司向维恩贝特科技有限公司股东陈兵等发行股份及支付现金购买资产。公司非公开发行股票 </w:t>
      </w:r>
      <w:r>
        <w:rPr>
          <w:rFonts w:ascii="Times New Roman" w:hAnsi="Times New Roman" w:cs="Times New Roman" w:eastAsia="Times New Roman" w:hint="default"/>
        </w:rPr>
        <w:t>42,003,788.00</w:t>
      </w:r>
      <w:r>
        <w:rPr/>
        <w:t>股（每股面值</w:t>
      </w:r>
      <w:r>
        <w:rPr>
          <w:rFonts w:ascii="Times New Roman" w:hAnsi="Times New Roman" w:cs="Times New Roman" w:eastAsia="Times New Roman" w:hint="default"/>
        </w:rPr>
        <w:t>1</w:t>
      </w:r>
      <w:r>
        <w:rPr/>
        <w:t>元），由此增加注册资本人民币</w:t>
      </w:r>
      <w:r>
        <w:rPr>
          <w:rFonts w:ascii="Times New Roman" w:hAnsi="Times New Roman" w:cs="Times New Roman" w:eastAsia="Times New Roman" w:hint="default"/>
        </w:rPr>
        <w:t>42,003,788.00</w:t>
      </w:r>
      <w:r>
        <w:rPr/>
        <w:t>元。</w:t>
      </w:r>
    </w:p>
    <w:p>
      <w:pPr>
        <w:pStyle w:val="BodyText"/>
        <w:spacing w:line="261" w:lineRule="auto" w:before="2"/>
        <w:ind w:right="0" w:firstLine="420"/>
        <w:jc w:val="left"/>
      </w:pP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日召开的第四届董事会第十三次会议、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日召开的第四届董事会第十 六次会议、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日召开的第四届董事会第十七次会议、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日召开的第四届董事会第十 九次会议及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日召开的第四届监事会第十六次会议决议通过的《关于回购注销已不符合激励条 </w:t>
      </w:r>
      <w:r>
        <w:rPr>
          <w:spacing w:val="-1"/>
        </w:rPr>
        <w:t>件的激励对象已获授权但尚未解锁的限制性股票的议案》，公司回购已不符合激励条件的激励对象已获授</w:t>
      </w:r>
      <w:r>
        <w:rPr>
          <w:spacing w:val="-81"/>
        </w:rPr>
        <w:t> </w:t>
      </w:r>
      <w:r>
        <w:rPr>
          <w:spacing w:val="-81"/>
        </w:rPr>
      </w:r>
      <w:r>
        <w:rPr/>
        <w:t>权但尚未解锁的限制性股票</w:t>
      </w:r>
      <w:r>
        <w:rPr>
          <w:rFonts w:ascii="Times New Roman" w:hAnsi="Times New Roman" w:cs="Times New Roman" w:eastAsia="Times New Roman" w:hint="default"/>
        </w:rPr>
        <w:t>653,410</w:t>
      </w:r>
      <w:r>
        <w:rPr/>
        <w:t>股，并申请减少注册资本</w:t>
      </w:r>
      <w:r>
        <w:rPr>
          <w:rFonts w:ascii="Times New Roman" w:hAnsi="Times New Roman" w:cs="Times New Roman" w:eastAsia="Times New Roman" w:hint="default"/>
        </w:rPr>
        <w:t>653,410</w:t>
      </w:r>
      <w:r>
        <w:rPr/>
        <w:t>元，由此减少注册资本</w:t>
      </w:r>
      <w:r>
        <w:rPr>
          <w:rFonts w:ascii="Times New Roman" w:hAnsi="Times New Roman" w:cs="Times New Roman" w:eastAsia="Times New Roman" w:hint="default"/>
        </w:rPr>
        <w:t>653,410</w:t>
      </w:r>
      <w:r>
        <w:rPr/>
        <w:t>元。</w:t>
      </w:r>
    </w:p>
    <w:p>
      <w:pPr>
        <w:pStyle w:val="BodyText"/>
        <w:spacing w:line="256" w:lineRule="auto" w:before="0"/>
        <w:ind w:left="574" w:right="0"/>
        <w:jc w:val="left"/>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日，公司实收资本人民币</w:t>
      </w:r>
      <w:r>
        <w:rPr>
          <w:rFonts w:ascii="Times New Roman" w:hAnsi="Times New Roman" w:cs="Times New Roman" w:eastAsia="Times New Roman" w:hint="default"/>
          <w:spacing w:val="-1"/>
        </w:rPr>
        <w:t>399,083,860.00</w:t>
      </w:r>
      <w:r>
        <w:rPr>
          <w:spacing w:val="-1"/>
        </w:rPr>
        <w:t>元，注册资本人民币</w:t>
      </w:r>
      <w:r>
        <w:rPr>
          <w:rFonts w:ascii="Times New Roman" w:hAnsi="Times New Roman" w:cs="Times New Roman" w:eastAsia="Times New Roman" w:hint="default"/>
          <w:spacing w:val="-1"/>
        </w:rPr>
        <w:t>399,083,860.00</w:t>
      </w:r>
      <w:r>
        <w:rPr>
          <w:spacing w:val="-1"/>
        </w:rPr>
        <w:t>元。</w:t>
      </w:r>
      <w:r>
        <w:rPr>
          <w:spacing w:val="-54"/>
        </w:rPr>
        <w:t> </w:t>
      </w: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日批准报出。</w:t>
      </w:r>
    </w:p>
    <w:p>
      <w:pPr>
        <w:spacing w:line="240" w:lineRule="auto" w:before="3"/>
        <w:rPr>
          <w:rFonts w:ascii="宋体" w:hAnsi="宋体" w:cs="宋体" w:eastAsia="宋体" w:hint="default"/>
          <w:sz w:val="24"/>
          <w:szCs w:val="24"/>
        </w:rPr>
      </w:pPr>
    </w:p>
    <w:p>
      <w:pPr>
        <w:pStyle w:val="BodyText"/>
        <w:spacing w:line="240" w:lineRule="auto" w:before="0"/>
        <w:ind w:left="868" w:right="197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10"/>
        <w:rPr>
          <w:rFonts w:ascii="宋体" w:hAnsi="宋体" w:cs="宋体" w:eastAsia="宋体" w:hint="default"/>
          <w:sz w:val="2"/>
          <w:szCs w:val="2"/>
        </w:rPr>
      </w:pPr>
    </w:p>
    <w:tbl>
      <w:tblPr>
        <w:tblW w:w="0" w:type="auto"/>
        <w:jc w:val="left"/>
        <w:tblInd w:w="271" w:type="dxa"/>
        <w:tblLayout w:type="fixed"/>
        <w:tblCellMar>
          <w:top w:w="0" w:type="dxa"/>
          <w:left w:w="0" w:type="dxa"/>
          <w:bottom w:w="0" w:type="dxa"/>
          <w:right w:w="0" w:type="dxa"/>
        </w:tblCellMar>
        <w:tblLook w:val="01E0"/>
      </w:tblPr>
      <w:tblGrid>
        <w:gridCol w:w="9421"/>
      </w:tblGrid>
      <w:tr>
        <w:trPr>
          <w:trHeight w:val="355" w:hRule="exact"/>
        </w:trPr>
        <w:tc>
          <w:tcPr>
            <w:tcW w:w="9421" w:type="dxa"/>
            <w:tcBorders>
              <w:top w:val="single" w:sz="6" w:space="0" w:color="000000"/>
              <w:left w:val="nil" w:sz="6" w:space="0" w:color="auto"/>
              <w:bottom w:val="single" w:sz="12" w:space="0" w:color="000000"/>
              <w:right w:val="nil" w:sz="6" w:space="0" w:color="auto"/>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上海天源迪科信息技术有限公司（以下简称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上海天源迪科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合肥天源迪科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北京天源迪科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合肥英泽信息科技有限公司（以下简称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合肥英泽</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武汉天源迪科信息技术有限公司（以下简称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武汉天源迪科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广州天源迪科信息技术有限公司（以下简称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广州天源迪科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广州市易杰数码科技有限公司（以下简称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广州易杰</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after="0" w:line="276"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44025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271" w:type="dxa"/>
        <w:tblLayout w:type="fixed"/>
        <w:tblCellMar>
          <w:top w:w="0" w:type="dxa"/>
          <w:left w:w="0" w:type="dxa"/>
          <w:bottom w:w="0" w:type="dxa"/>
          <w:right w:w="0" w:type="dxa"/>
        </w:tblCellMar>
        <w:tblLook w:val="01E0"/>
      </w:tblPr>
      <w:tblGrid>
        <w:gridCol w:w="9421"/>
      </w:tblGrid>
      <w:tr>
        <w:trPr>
          <w:trHeight w:val="689" w:hRule="exact"/>
        </w:trPr>
        <w:tc>
          <w:tcPr>
            <w:tcW w:w="9421" w:type="dxa"/>
            <w:tcBorders>
              <w:top w:val="single" w:sz="6" w:space="0" w:color="000000"/>
              <w:left w:val="nil" w:sz="6" w:space="0" w:color="auto"/>
              <w:bottom w:val="single" w:sz="12" w:space="0" w:color="000000"/>
              <w:right w:val="nil" w:sz="6" w:space="0" w:color="auto"/>
            </w:tcBorders>
          </w:tcPr>
          <w:p>
            <w:pPr>
              <w:pStyle w:val="TableParagraph"/>
              <w:spacing w:line="287" w:lineRule="exact"/>
              <w:ind w:left="9" w:right="0"/>
              <w:jc w:val="left"/>
              <w:rPr>
                <w:rFonts w:ascii="宋体" w:hAnsi="宋体" w:cs="宋体" w:eastAsia="宋体" w:hint="default"/>
                <w:sz w:val="21"/>
                <w:szCs w:val="21"/>
              </w:rPr>
            </w:pPr>
            <w:r>
              <w:rPr>
                <w:rFonts w:ascii="宋体" w:hAnsi="宋体" w:cs="宋体" w:eastAsia="宋体" w:hint="default"/>
                <w:sz w:val="21"/>
                <w:szCs w:val="21"/>
              </w:rPr>
              <w:t>广州易星信息科技有限公司（以下简称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广州易星</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深圳市金华威数码科技有限公司（以下简称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深圳金华威</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广西驿途信息科技有限公司（以下简称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广西驿途</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深圳市宝贝团信息技术有限公司（以下简称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深圳宝贝团</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合肥天源迪科科技产业发展有限公司（以下简称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合肥科技</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安徽迪科数金科技有限公司（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安徽迪科数金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亳州迪科数金科技有限公司（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亳州迪科数金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合肥迪科数金人才服务有限公司（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合肥迪科数金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维恩贝特科技有限公司（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维恩贝特</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上海维恩孛特信息技术有限公司（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上海维恩孛特</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北京维恩贝特信息技术有限公司（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北京维恩贝特</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深圳前海维恩贝特互联网金融服务有限公司（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前海维恩贝特</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9421" w:type="dxa"/>
            <w:tcBorders>
              <w:top w:val="single" w:sz="12" w:space="0" w:color="000000"/>
              <w:left w:val="nil" w:sz="6" w:space="0" w:color="auto"/>
              <w:bottom w:val="single" w:sz="12" w:space="0" w:color="000000"/>
              <w:right w:val="nil" w:sz="6" w:space="0" w:color="auto"/>
            </w:tcBorders>
          </w:tcPr>
          <w:p>
            <w:pPr>
              <w:pStyle w:val="TableParagraph"/>
              <w:spacing w:line="276" w:lineRule="exact"/>
              <w:ind w:left="9" w:right="0"/>
              <w:jc w:val="left"/>
              <w:rPr>
                <w:rFonts w:ascii="宋体" w:hAnsi="宋体" w:cs="宋体" w:eastAsia="宋体" w:hint="default"/>
                <w:sz w:val="21"/>
                <w:szCs w:val="21"/>
              </w:rPr>
            </w:pPr>
            <w:r>
              <w:rPr>
                <w:rFonts w:ascii="宋体" w:hAnsi="宋体" w:cs="宋体" w:eastAsia="宋体" w:hint="default"/>
                <w:sz w:val="21"/>
                <w:szCs w:val="21"/>
              </w:rPr>
              <w:t>澳门维恩贝特信息技术有限公司（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澳门维恩贝特</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line="240" w:lineRule="auto" w:before="2"/>
        <w:rPr>
          <w:rFonts w:ascii="宋体" w:hAnsi="宋体" w:cs="宋体" w:eastAsia="宋体" w:hint="default"/>
          <w:sz w:val="18"/>
          <w:szCs w:val="18"/>
        </w:rPr>
      </w:pPr>
    </w:p>
    <w:p>
      <w:pPr>
        <w:pStyle w:val="Heading3"/>
        <w:spacing w:line="240" w:lineRule="auto" w:before="26"/>
        <w:ind w:right="1972"/>
        <w:jc w:val="left"/>
        <w:rPr>
          <w:b w:val="0"/>
          <w:bCs w:val="0"/>
        </w:rPr>
      </w:pPr>
      <w:bookmarkStart w:name="四、财务报表的编制基础" w:id="179"/>
      <w:bookmarkEnd w:id="17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编制基础" w:id="180"/>
      <w:bookmarkEnd w:id="18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7" w:firstLine="420"/>
        <w:jc w:val="left"/>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w:t>
      </w:r>
      <w:r>
        <w:rPr/>
        <w:t> 则》和各项具体会计准则、企业会计准则应用指南、企业会计准则解释及其他相关规定（以下合称</w:t>
      </w:r>
      <w:r>
        <w:rPr>
          <w:rFonts w:ascii="Times New Roman" w:hAnsi="Times New Roman" w:cs="Times New Roman" w:eastAsia="Times New Roman" w:hint="default"/>
        </w:rPr>
        <w:t>“</w:t>
      </w:r>
      <w:r>
        <w:rPr/>
        <w:t>企业 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财务报 告的一般规定》的披露规定编制财务报表。</w:t>
      </w:r>
    </w:p>
    <w:p>
      <w:pPr>
        <w:spacing w:line="240" w:lineRule="auto" w:before="10"/>
        <w:rPr>
          <w:rFonts w:ascii="宋体" w:hAnsi="宋体" w:cs="宋体" w:eastAsia="宋体" w:hint="default"/>
          <w:sz w:val="24"/>
          <w:szCs w:val="24"/>
        </w:rPr>
      </w:pPr>
    </w:p>
    <w:p>
      <w:pPr>
        <w:pStyle w:val="Heading5"/>
        <w:spacing w:line="240" w:lineRule="auto"/>
        <w:ind w:right="1972"/>
        <w:jc w:val="left"/>
        <w:rPr>
          <w:b w:val="0"/>
          <w:bCs w:val="0"/>
        </w:rPr>
      </w:pPr>
      <w:bookmarkStart w:name="2、持续经营" w:id="181"/>
      <w:bookmarkEnd w:id="18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972"/>
        <w:jc w:val="left"/>
      </w:pPr>
      <w:r>
        <w:rPr/>
        <w:t>公司自报告期末起</w:t>
      </w:r>
      <w:r>
        <w:rPr>
          <w:rFonts w:ascii="Times New Roman" w:hAnsi="Times New Roman" w:cs="Times New Roman" w:eastAsia="Times New Roman" w:hint="default"/>
        </w:rPr>
        <w:t>12</w:t>
      </w:r>
      <w:r>
        <w:rPr/>
        <w:t>个月具备持续经营的能力。</w:t>
      </w:r>
    </w:p>
    <w:p>
      <w:pPr>
        <w:spacing w:line="240" w:lineRule="auto" w:before="12"/>
        <w:rPr>
          <w:rFonts w:ascii="宋体" w:hAnsi="宋体" w:cs="宋体" w:eastAsia="宋体" w:hint="default"/>
          <w:sz w:val="22"/>
          <w:szCs w:val="22"/>
        </w:rPr>
      </w:pPr>
    </w:p>
    <w:p>
      <w:pPr>
        <w:pStyle w:val="Heading3"/>
        <w:spacing w:line="240" w:lineRule="auto"/>
        <w:ind w:right="1972"/>
        <w:jc w:val="left"/>
        <w:rPr>
          <w:b w:val="0"/>
          <w:bCs w:val="0"/>
        </w:rPr>
      </w:pPr>
      <w:bookmarkStart w:name="五、重要会计政策及会计估计" w:id="182"/>
      <w:bookmarkEnd w:id="18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57" w:lineRule="auto" w:before="26"/>
        <w:ind w:left="154" w:right="8185"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 无</w:t>
      </w:r>
    </w:p>
    <w:p>
      <w:pPr>
        <w:spacing w:line="612" w:lineRule="exact" w:before="19"/>
        <w:ind w:left="574" w:right="0" w:hanging="420"/>
        <w:jc w:val="left"/>
        <w:rPr>
          <w:rFonts w:ascii="宋体" w:hAnsi="宋体" w:cs="宋体" w:eastAsia="宋体" w:hint="default"/>
          <w:sz w:val="21"/>
          <w:szCs w:val="21"/>
        </w:rPr>
      </w:pPr>
      <w:bookmarkStart w:name="1、遵循企业会计准则的声明" w:id="183"/>
      <w:bookmarkEnd w:id="18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公司所编制的财务报表符合企业会计准则的要求，真实、完整地反映了报告期公司的财务状况、经营</w:t>
      </w:r>
    </w:p>
    <w:p>
      <w:pPr>
        <w:pStyle w:val="BodyText"/>
        <w:spacing w:line="220" w:lineRule="exact" w:before="0"/>
        <w:ind w:right="1972"/>
        <w:jc w:val="left"/>
      </w:pPr>
      <w:r>
        <w:rPr/>
        <w:t>成果、现金流量等有关信息。</w:t>
      </w:r>
    </w:p>
    <w:p>
      <w:pPr>
        <w:spacing w:after="0" w:line="220" w:lineRule="exact"/>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5"/>
        <w:spacing w:line="240" w:lineRule="auto" w:before="35"/>
        <w:ind w:right="0"/>
        <w:jc w:val="both"/>
        <w:rPr>
          <w:b w:val="0"/>
          <w:bCs w:val="0"/>
        </w:rPr>
      </w:pPr>
      <w:bookmarkStart w:name="2、会计期间" w:id="184"/>
      <w:bookmarkEnd w:id="18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613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 本报告期为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5"/>
        <w:spacing w:line="240" w:lineRule="auto"/>
        <w:ind w:right="0"/>
        <w:jc w:val="both"/>
        <w:rPr>
          <w:b w:val="0"/>
          <w:bCs w:val="0"/>
        </w:rPr>
      </w:pPr>
      <w:bookmarkStart w:name="3、营业周期" w:id="185"/>
      <w:bookmarkEnd w:id="18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972"/>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both"/>
        <w:rPr>
          <w:b w:val="0"/>
          <w:bCs w:val="0"/>
        </w:rPr>
      </w:pPr>
      <w:bookmarkStart w:name="4、记账本位币" w:id="186"/>
      <w:bookmarkEnd w:id="18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972"/>
        <w:jc w:val="left"/>
      </w:pPr>
      <w:r>
        <w:rPr/>
        <w:t>本公司采用人民币为记账本位币。</w:t>
      </w:r>
    </w:p>
    <w:p>
      <w:pPr>
        <w:spacing w:line="240" w:lineRule="auto" w:before="11"/>
        <w:rPr>
          <w:rFonts w:ascii="宋体" w:hAnsi="宋体" w:cs="宋体" w:eastAsia="宋体" w:hint="default"/>
          <w:sz w:val="26"/>
          <w:szCs w:val="26"/>
        </w:rPr>
      </w:pPr>
    </w:p>
    <w:p>
      <w:pPr>
        <w:spacing w:line="590" w:lineRule="atLeast" w:before="0"/>
        <w:ind w:left="574" w:right="0" w:hanging="420"/>
        <w:jc w:val="left"/>
        <w:rPr>
          <w:rFonts w:ascii="宋体" w:hAnsi="宋体" w:cs="宋体" w:eastAsia="宋体" w:hint="default"/>
          <w:sz w:val="21"/>
          <w:szCs w:val="21"/>
        </w:rPr>
      </w:pPr>
      <w:bookmarkStart w:name="5、同一控制下和非同一控制下企业合并的会计处理方法" w:id="187"/>
      <w:bookmarkEnd w:id="18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同一控制下企业合并：本公司在企业合并中取得的资产和负债，按照合并日被合并方资产、负债（包</w:t>
      </w:r>
    </w:p>
    <w:p>
      <w:pPr>
        <w:pStyle w:val="BodyText"/>
        <w:spacing w:line="273" w:lineRule="auto" w:before="37"/>
        <w:ind w:right="1131"/>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273" w:lineRule="auto" w:before="8"/>
        <w:ind w:right="1131" w:firstLine="420"/>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BodyText"/>
        <w:spacing w:line="273" w:lineRule="auto"/>
        <w:ind w:right="1131"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6、合并财务报表的编制方法" w:id="188"/>
      <w:bookmarkEnd w:id="18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118" w:firstLine="2"/>
        <w:jc w:val="left"/>
      </w:pP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w:t>
      </w:r>
    </w:p>
    <w:p>
      <w:pPr>
        <w:pStyle w:val="BodyText"/>
        <w:spacing w:line="240" w:lineRule="auto"/>
        <w:ind w:right="0"/>
        <w:jc w:val="both"/>
      </w:pPr>
      <w:r>
        <w:rPr/>
        <w:t>割的部分）均纳入合并财务报表。</w:t>
      </w:r>
    </w:p>
    <w:p>
      <w:pPr>
        <w:spacing w:line="240" w:lineRule="auto" w:before="9"/>
        <w:rPr>
          <w:rFonts w:ascii="宋体" w:hAnsi="宋体" w:cs="宋体" w:eastAsia="宋体" w:hint="default"/>
          <w:sz w:val="26"/>
          <w:szCs w:val="26"/>
        </w:rPr>
      </w:pPr>
    </w:p>
    <w:p>
      <w:pPr>
        <w:pStyle w:val="BodyText"/>
        <w:spacing w:line="273" w:lineRule="auto" w:before="0"/>
        <w:ind w:left="574" w:right="1118" w:firstLine="2"/>
        <w:jc w:val="left"/>
      </w:pP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w:t>
      </w:r>
    </w:p>
    <w:p>
      <w:pPr>
        <w:pStyle w:val="BodyText"/>
        <w:spacing w:line="273" w:lineRule="auto"/>
        <w:ind w:right="0"/>
        <w:jc w:val="left"/>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273" w:lineRule="auto" w:before="8"/>
        <w:ind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0"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256" w:lineRule="auto"/>
        <w:ind w:left="574"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273" w:lineRule="auto" w:before="22"/>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273" w:lineRule="auto"/>
        <w:ind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273" w:lineRule="auto"/>
        <w:ind w:right="1130"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2"/>
        </w:rPr>
        <w:t> </w:t>
      </w:r>
      <w:r>
        <w:rPr>
          <w:spacing w:val="-82"/>
        </w:rPr>
      </w:r>
      <w:r>
        <w:rPr/>
        <w:t>告期末的现金流量纳入合并现金流量表。</w:t>
      </w:r>
    </w:p>
    <w:p>
      <w:pPr>
        <w:pStyle w:val="BodyText"/>
        <w:spacing w:line="273" w:lineRule="auto"/>
        <w:ind w:right="113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4" w:right="1972"/>
        <w:jc w:val="left"/>
      </w:pPr>
      <w:r>
        <w:rPr/>
        <w:t>（</w:t>
      </w:r>
      <w:r>
        <w:rPr>
          <w:rFonts w:ascii="Times New Roman" w:hAnsi="Times New Roman" w:cs="Times New Roman" w:eastAsia="Times New Roman" w:hint="default"/>
        </w:rPr>
        <w:t>2</w:t>
      </w:r>
      <w:r>
        <w:rPr/>
        <w:t>）处置子公司或业务</w:t>
      </w:r>
    </w:p>
    <w:p>
      <w:pPr>
        <w:pStyle w:val="BodyText"/>
        <w:spacing w:line="273" w:lineRule="auto" w:before="21"/>
        <w:ind w:left="574" w:right="0"/>
        <w:jc w:val="left"/>
      </w:pPr>
      <w:r>
        <w:rPr/>
        <w:t>①一般处理方法 </w:t>
      </w:r>
      <w:r>
        <w:rPr>
          <w:spacing w:val="-1"/>
        </w:rPr>
        <w:t>在报告期内，本公司处置子公司或业务，则该子公司或业务期初至处置日的收入、费用、利润纳入合</w:t>
      </w:r>
    </w:p>
    <w:p>
      <w:pPr>
        <w:pStyle w:val="BodyText"/>
        <w:spacing w:line="273" w:lineRule="auto"/>
        <w:ind w:left="574" w:right="0"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273" w:lineRule="auto"/>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273" w:lineRule="auto"/>
        <w:ind w:right="1132" w:firstLine="420"/>
        <w:jc w:val="both"/>
      </w:pPr>
      <w:r>
        <w:rPr>
          <w:spacing w:val="-1"/>
        </w:rPr>
        <w:t>因其他投资方对子公司增资而导致本公司持股比例下降从而丧失控制权的，按照上述原则进行会计处</w:t>
      </w:r>
      <w:r>
        <w:rPr/>
        <w:t> 理。</w:t>
      </w:r>
    </w:p>
    <w:p>
      <w:pPr>
        <w:pStyle w:val="BodyText"/>
        <w:spacing w:line="273" w:lineRule="auto"/>
        <w:ind w:left="574" w:right="0"/>
        <w:jc w:val="left"/>
      </w:pPr>
      <w:r>
        <w:rPr/>
        <w:t>②分步处置子公司 </w:t>
      </w:r>
      <w:r>
        <w:rPr>
          <w:spacing w:val="-1"/>
        </w:rPr>
        <w:t>通过多次交易分步处置对子公司股权投资直至丧失控制权的，处置对子公司股权投资的各项交易的条</w:t>
      </w:r>
    </w:p>
    <w:p>
      <w:pPr>
        <w:pStyle w:val="BodyText"/>
        <w:spacing w:line="273" w:lineRule="auto"/>
        <w:ind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273" w:lineRule="auto"/>
        <w:ind w:left="574" w:right="1118"/>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273" w:lineRule="auto"/>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256" w:lineRule="auto"/>
        <w:ind w:left="574" w:right="0"/>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273" w:lineRule="auto" w:before="22"/>
        <w:ind w:right="0"/>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256" w:lineRule="auto"/>
        <w:ind w:left="574" w:right="1302"/>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w:t>
      </w:r>
    </w:p>
    <w:p>
      <w:pPr>
        <w:pStyle w:val="BodyText"/>
        <w:spacing w:line="273" w:lineRule="auto" w:before="22"/>
        <w:ind w:right="0"/>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8"/>
        <w:rPr>
          <w:rFonts w:ascii="宋体" w:hAnsi="宋体" w:cs="宋体" w:eastAsia="宋体" w:hint="default"/>
          <w:sz w:val="23"/>
          <w:szCs w:val="23"/>
        </w:rPr>
      </w:pPr>
    </w:p>
    <w:p>
      <w:pPr>
        <w:pStyle w:val="Heading5"/>
        <w:spacing w:line="506" w:lineRule="auto"/>
        <w:ind w:left="568" w:right="6438" w:hanging="414"/>
        <w:jc w:val="left"/>
        <w:rPr>
          <w:rFonts w:ascii="宋体" w:hAnsi="宋体" w:cs="宋体" w:eastAsia="宋体" w:hint="default"/>
          <w:b w:val="0"/>
          <w:bCs w:val="0"/>
        </w:rPr>
      </w:pPr>
      <w:bookmarkStart w:name="7、合营安排分类及共同经营会计处理方法" w:id="189"/>
      <w:bookmarkEnd w:id="189"/>
      <w:r>
        <w:rPr>
          <w:b w:val="0"/>
          <w:bCs w:val="0"/>
        </w:rPr>
      </w:r>
      <w:r>
        <w:rPr>
          <w:rFonts w:ascii="Times New Roman" w:hAnsi="Times New Roman" w:cs="Times New Roman" w:eastAsia="Times New Roman" w:hint="default"/>
        </w:rPr>
        <w:t>7</w:t>
      </w:r>
      <w:r>
        <w:rPr/>
        <w:t>、合营安排分类及共同经营会计处理方法</w:t>
      </w:r>
      <w:r>
        <w:rPr>
          <w:w w:val="99"/>
        </w:rPr>
        <w:t> </w:t>
      </w:r>
      <w:r>
        <w:rPr>
          <w:rFonts w:ascii="宋体" w:hAnsi="宋体" w:cs="宋体" w:eastAsia="宋体" w:hint="default"/>
          <w:b w:val="0"/>
          <w:bCs w:val="0"/>
        </w:rPr>
        <w:t>无</w:t>
      </w:r>
    </w:p>
    <w:p>
      <w:pPr>
        <w:pStyle w:val="Heading5"/>
        <w:spacing w:line="240" w:lineRule="auto" w:before="105"/>
        <w:ind w:right="1972"/>
        <w:jc w:val="left"/>
        <w:rPr>
          <w:b w:val="0"/>
          <w:bCs w:val="0"/>
        </w:rPr>
      </w:pPr>
      <w:bookmarkStart w:name="8、现金及现金等价物的确定标准" w:id="190"/>
      <w:bookmarkEnd w:id="19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420"/>
        <w:jc w:val="left"/>
      </w:pPr>
      <w:r>
        <w:rPr/>
        <w:t>在编制现金流量表时，将本公司库存现金以及可以随时用于支付的存款确认为现金。将同时具备期限 短（从购买日起三个月内到期）、流动性强、易于转换为已知现金、价值变动风险很小四个条件的投资，</w:t>
      </w:r>
      <w:r>
        <w:rPr>
          <w:spacing w:val="-38"/>
        </w:rPr>
        <w:t> </w:t>
      </w:r>
      <w:r>
        <w:rPr>
          <w:spacing w:val="-38"/>
        </w:rPr>
      </w:r>
      <w:r>
        <w:rPr/>
        <w:t>确定为现金等价物。</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9、外币业务和外币报表折算" w:id="191"/>
      <w:bookmarkEnd w:id="19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2772" w:firstLine="2"/>
        <w:jc w:val="left"/>
      </w:pP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273" w:lineRule="auto"/>
        <w:ind w:right="1131"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240" w:lineRule="auto" w:before="6"/>
        <w:rPr>
          <w:rFonts w:ascii="宋体" w:hAnsi="宋体" w:cs="宋体" w:eastAsia="宋体" w:hint="default"/>
          <w:sz w:val="24"/>
          <w:szCs w:val="24"/>
        </w:rPr>
      </w:pPr>
    </w:p>
    <w:p>
      <w:pPr>
        <w:spacing w:line="273" w:lineRule="auto" w:before="0"/>
        <w:ind w:left="574" w:right="1209"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264" w:lineRule="auto" w:before="0"/>
        <w:ind w:right="1117"/>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 </w:t>
      </w:r>
      <w:r>
        <w:rPr>
          <w:spacing w:val="-5"/>
        </w:rPr>
        <w:t>汇率（或：采用按照系统合理的方法确定的、与交易发生日即期汇率近似的汇率。提示：若采用此种方法，</w:t>
      </w:r>
      <w:r>
        <w:rPr/>
        <w:t> 应明示何种方法何种口径）折算。</w:t>
      </w:r>
    </w:p>
    <w:p>
      <w:pPr>
        <w:pStyle w:val="BodyText"/>
        <w:spacing w:line="273" w:lineRule="auto" w:before="16"/>
        <w:ind w:right="1131" w:firstLine="420"/>
        <w:jc w:val="both"/>
      </w:pPr>
      <w:r>
        <w:rPr>
          <w:spacing w:val="-1"/>
        </w:rPr>
        <w:t>处置境外经营时，将与该境外经营相关的外币财务报表折算差额，自所有者权益项目转入处置当期损</w:t>
      </w:r>
      <w:r>
        <w:rPr/>
        <w:t> 益。</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10、金融工具" w:id="192"/>
      <w:bookmarkEnd w:id="19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spacing w:line="273" w:lineRule="auto" w:before="0"/>
        <w:ind w:left="576" w:right="5923" w:hanging="3"/>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 </w:t>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273" w:lineRule="auto"/>
        <w:ind w:right="1132" w:firstLine="420"/>
        <w:jc w:val="both"/>
      </w:pPr>
      <w:r>
        <w:rPr>
          <w:spacing w:val="-1"/>
        </w:rPr>
        <w:t>金融资产和金融负债于初始确认时分类为：以公允价值计量且其变动计入当期损益的金融资产或金融</w:t>
      </w:r>
      <w:r>
        <w:rPr/>
        <w:t> </w:t>
      </w: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5"/>
        <w:spacing w:line="240" w:lineRule="auto" w:before="35"/>
        <w:ind w:left="576" w:right="1972"/>
        <w:jc w:val="left"/>
        <w:rPr>
          <w:b w:val="0"/>
          <w:bCs w:val="0"/>
        </w:rPr>
      </w:pPr>
      <w:r>
        <w:rPr>
          <w:rFonts w:ascii="宋体" w:hAnsi="宋体" w:cs="宋体" w:eastAsia="宋体" w:hint="default"/>
        </w:rPr>
        <w:t>2.</w:t>
      </w:r>
      <w:r>
        <w:rPr/>
        <w:t>金融工具的确认依据和计量方法</w:t>
      </w:r>
      <w:r>
        <w:rPr>
          <w:b w:val="0"/>
          <w:bCs w:val="0"/>
        </w:rPr>
      </w:r>
    </w:p>
    <w:p>
      <w:pPr>
        <w:pStyle w:val="BodyText"/>
        <w:spacing w:line="256" w:lineRule="auto" w:before="37"/>
        <w:ind w:left="574"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273" w:lineRule="auto" w:before="23"/>
        <w:ind w:left="574" w:right="1512"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264" w:lineRule="auto"/>
        <w:ind w:left="574" w:right="1017"/>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BodyText"/>
        <w:spacing w:line="273" w:lineRule="auto" w:before="16"/>
        <w:ind w:left="574" w:right="4032" w:hanging="420"/>
        <w:jc w:val="left"/>
      </w:pPr>
      <w:r>
        <w:rPr/>
        <w:t>预期存续期间或适用的更短期间内保持不变。 处置时，将所取得价款与该投资账面价值之间的差额计入投资收益。</w:t>
      </w:r>
    </w:p>
    <w:p>
      <w:pPr>
        <w:pStyle w:val="BodyText"/>
        <w:spacing w:line="256" w:lineRule="auto"/>
        <w:ind w:left="574" w:right="0"/>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w:t>
      </w:r>
    </w:p>
    <w:p>
      <w:pPr>
        <w:pStyle w:val="BodyText"/>
        <w:spacing w:line="273" w:lineRule="auto" w:before="22"/>
        <w:ind w:right="0"/>
        <w:jc w:val="left"/>
      </w:pP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240" w:lineRule="auto"/>
        <w:ind w:left="574" w:right="1972"/>
        <w:jc w:val="left"/>
      </w:pPr>
      <w:r>
        <w:rPr/>
        <w:t>收回或处置时，将取得的价款与该应收款项账面价值之间的差额计入当期损益。</w:t>
      </w:r>
    </w:p>
    <w:p>
      <w:pPr>
        <w:pStyle w:val="BodyText"/>
        <w:spacing w:line="256" w:lineRule="auto" w:before="37"/>
        <w:ind w:left="574" w:right="0"/>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w:t>
      </w:r>
    </w:p>
    <w:p>
      <w:pPr>
        <w:pStyle w:val="BodyText"/>
        <w:spacing w:line="273" w:lineRule="auto" w:before="22"/>
        <w:ind w:left="574" w:right="0" w:hanging="420"/>
        <w:jc w:val="left"/>
      </w:pPr>
      <w:r>
        <w:rPr/>
        <w:t>交易费用之和作为初始确认金额。 </w:t>
      </w:r>
      <w:r>
        <w:rPr>
          <w:spacing w:val="-1"/>
        </w:rPr>
        <w:t>持有期间将取得的利息或现金股利确认为投资收益。期末以公允价值计量且将公允价值变动计入其他</w:t>
      </w:r>
    </w:p>
    <w:p>
      <w:pPr>
        <w:pStyle w:val="BodyText"/>
        <w:spacing w:line="273" w:lineRule="auto"/>
        <w:ind w:right="0"/>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273" w:lineRule="auto"/>
        <w:ind w:right="0" w:firstLine="420"/>
        <w:jc w:val="left"/>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256" w:lineRule="auto"/>
        <w:ind w:left="574" w:right="256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spacing w:line="273" w:lineRule="auto" w:before="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公司发生金融资产转移时，如已将金融资产所有权上几乎所有的风险和报酬转移给转入方，则终止确</w:t>
      </w:r>
    </w:p>
    <w:p>
      <w:pPr>
        <w:pStyle w:val="BodyText"/>
        <w:spacing w:line="273" w:lineRule="auto"/>
        <w:ind w:left="574" w:right="0"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273" w:lineRule="auto"/>
        <w:ind w:right="0"/>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4" w:right="1972"/>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right="1197"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spacing w:line="240" w:lineRule="auto" w:before="7"/>
        <w:rPr>
          <w:rFonts w:ascii="宋体" w:hAnsi="宋体" w:cs="宋体" w:eastAsia="宋体" w:hint="default"/>
          <w:sz w:val="25"/>
          <w:szCs w:val="25"/>
        </w:rPr>
      </w:pPr>
    </w:p>
    <w:p>
      <w:pPr>
        <w:pStyle w:val="BodyText"/>
        <w:spacing w:line="273" w:lineRule="auto" w:before="0"/>
        <w:ind w:right="0"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8"/>
        <w:ind w:left="574" w:right="1972"/>
        <w:jc w:val="left"/>
      </w:pPr>
      <w:r>
        <w:rPr/>
        <w:t>（</w:t>
      </w:r>
      <w:r>
        <w:rPr>
          <w:rFonts w:ascii="Times New Roman" w:hAnsi="Times New Roman" w:cs="Times New Roman" w:eastAsia="Times New Roman" w:hint="default"/>
        </w:rPr>
        <w:t>1</w:t>
      </w:r>
      <w:r>
        <w:rPr/>
        <w:t>）终止确认部分的账面价值；</w:t>
      </w:r>
    </w:p>
    <w:p>
      <w:pPr>
        <w:pStyle w:val="BodyText"/>
        <w:spacing w:line="256" w:lineRule="auto" w:before="21"/>
        <w:ind w:right="1197"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240" w:lineRule="auto" w:before="22"/>
        <w:ind w:left="574" w:right="0"/>
        <w:jc w:val="left"/>
      </w:pPr>
      <w:r>
        <w:rPr/>
        <w:t>金融资产转移不满足终止确认条件的，继续确认该金融资产，所收到的对价确认为一项金融负债。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273" w:lineRule="auto" w:before="35"/>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pStyle w:val="BodyText"/>
        <w:spacing w:line="273" w:lineRule="auto"/>
        <w:ind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273" w:lineRule="auto"/>
        <w:ind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ind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ind w:right="113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40" w:lineRule="auto" w:before="6"/>
        <w:rPr>
          <w:rFonts w:ascii="宋体" w:hAnsi="宋体" w:cs="宋体" w:eastAsia="宋体" w:hint="default"/>
          <w:sz w:val="24"/>
          <w:szCs w:val="24"/>
        </w:rPr>
      </w:pPr>
    </w:p>
    <w:p>
      <w:pPr>
        <w:spacing w:line="273" w:lineRule="auto" w:before="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存在活跃市场的金融工具，以活跃市场中的报价确定其公允价值。不存在活跃市场的金融工具，采用</w:t>
      </w:r>
    </w:p>
    <w:p>
      <w:pPr>
        <w:pStyle w:val="BodyText"/>
        <w:spacing w:line="273" w:lineRule="auto"/>
        <w:ind w:right="0"/>
        <w:jc w:val="left"/>
      </w:pPr>
      <w:r>
        <w:rPr/>
        <w:t>估值技术确定其公允价值。在估值时，本公司采用在当前情况下适用并且有足够可利用数据和其他信息支 持的估值技术，选择与市场参与者在相关资产或负债的交易中所考虑的资产或负债特征相一致的输入值，</w:t>
      </w:r>
      <w:r>
        <w:rPr>
          <w:spacing w:val="-33"/>
        </w:rPr>
        <w:t> </w:t>
      </w:r>
      <w:r>
        <w:rPr>
          <w:spacing w:val="-33"/>
        </w:rPr>
      </w:r>
      <w:r>
        <w:rPr/>
        <w:t>并优先使用相关可观察输入值。只有在相关可观察输入值无法取得或取得不切实可行的情况下，才使用不</w:t>
      </w:r>
      <w:r>
        <w:rPr/>
        <w:t> 可观察输入值。</w:t>
      </w:r>
    </w:p>
    <w:p>
      <w:pPr>
        <w:spacing w:line="624" w:lineRule="exact" w:before="66"/>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pStyle w:val="BodyText"/>
        <w:spacing w:line="217" w:lineRule="exact" w:before="0"/>
        <w:ind w:right="1972"/>
        <w:jc w:val="left"/>
      </w:pPr>
      <w:r>
        <w:rPr/>
        <w:t>值进行检查，如果有客观证据表明某项金融资产发生减值的，计提减值准备。</w:t>
      </w:r>
    </w:p>
    <w:p>
      <w:pPr>
        <w:pStyle w:val="BodyText"/>
        <w:spacing w:line="256" w:lineRule="auto" w:before="37"/>
        <w:ind w:left="574" w:right="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w:t>
      </w:r>
    </w:p>
    <w:p>
      <w:pPr>
        <w:pStyle w:val="BodyText"/>
        <w:spacing w:line="273" w:lineRule="auto" w:before="22"/>
        <w:ind w:right="0"/>
        <w:jc w:val="left"/>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273" w:lineRule="auto"/>
        <w:ind w:right="1132" w:firstLine="420"/>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240" w:lineRule="auto"/>
        <w:ind w:left="574" w:right="1972"/>
        <w:jc w:val="left"/>
      </w:pPr>
      <w:r>
        <w:rPr/>
        <w:t>可供出售权益工具投资发生的减值损失，不通过损益转回。</w:t>
      </w:r>
    </w:p>
    <w:p>
      <w:pPr>
        <w:pStyle w:val="BodyText"/>
        <w:spacing w:line="256" w:lineRule="auto" w:before="37"/>
        <w:ind w:left="574" w:right="382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4"/>
          <w:szCs w:val="24"/>
        </w:rPr>
      </w:pPr>
    </w:p>
    <w:p>
      <w:pPr>
        <w:pStyle w:val="Heading5"/>
        <w:spacing w:line="240" w:lineRule="auto"/>
        <w:ind w:right="1972"/>
        <w:jc w:val="left"/>
        <w:rPr>
          <w:b w:val="0"/>
          <w:bCs w:val="0"/>
        </w:rPr>
      </w:pPr>
      <w:bookmarkStart w:name="11、应收票据及应收账款" w:id="193"/>
      <w:bookmarkEnd w:id="193"/>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单项金额重大并单独计提坏账准备的应收款项" w:id="194"/>
      <w:bookmarkEnd w:id="19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万元及以上的应收款项，确定为 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1972"/>
        <w:jc w:val="left"/>
        <w:rPr>
          <w:b w:val="0"/>
          <w:bCs w:val="0"/>
        </w:rPr>
      </w:pPr>
      <w:bookmarkStart w:name="（2）按信用风险特征组合计提坏账准备的应收款项" w:id="195"/>
      <w:bookmarkEnd w:id="19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单项金额不重大但单独计提坏账准备的应收款项" w:id="196"/>
      <w:bookmarkEnd w:id="19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0"/>
        <w:ind w:left="0" w:right="1140" w:firstLine="0"/>
        <w:jc w:val="right"/>
        <w:rPr>
          <w:rFonts w:ascii="宋体" w:hAnsi="宋体" w:cs="宋体" w:eastAsia="宋体" w:hint="default"/>
          <w:sz w:val="18"/>
          <w:szCs w:val="18"/>
        </w:rPr>
      </w:pPr>
      <w:r>
        <w:rPr/>
        <w:pict>
          <v:shape style="position:absolute;margin-left:56.459999pt;margin-top:-85.548294pt;width:479.2pt;height:103.1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 死亡，以其破产财产或遗产清偿后仍不能收回，现金流量严 重不足等情况。</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 组合中分离出来，单独进行减值测试，根据其未来现金流量 </w:t>
                        </w:r>
                        <w:r>
                          <w:rPr>
                            <w:rFonts w:ascii="宋体" w:hAnsi="宋体" w:cs="宋体" w:eastAsia="宋体" w:hint="default"/>
                            <w:spacing w:val="-2"/>
                            <w:sz w:val="18"/>
                            <w:szCs w:val="18"/>
                          </w:rPr>
                          <w:t>现值低于其账面价值的差额，确认减值损失，计提坏账准备</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5"/>
        <w:spacing w:line="240" w:lineRule="auto" w:before="35"/>
        <w:ind w:right="1972"/>
        <w:jc w:val="left"/>
        <w:rPr>
          <w:b w:val="0"/>
          <w:bCs w:val="0"/>
        </w:rPr>
      </w:pPr>
      <w:bookmarkStart w:name="12、存货" w:id="197"/>
      <w:bookmarkEnd w:id="19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197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73" w:lineRule="auto" w:before="89"/>
        <w:ind w:left="574" w:right="613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存货分类为：在产品、库存商品、发出商品。</w:t>
      </w:r>
    </w:p>
    <w:p>
      <w:pPr>
        <w:spacing w:line="240" w:lineRule="auto" w:before="6"/>
        <w:rPr>
          <w:rFonts w:ascii="宋体" w:hAnsi="宋体" w:cs="宋体" w:eastAsia="宋体" w:hint="default"/>
          <w:sz w:val="24"/>
          <w:szCs w:val="24"/>
        </w:rPr>
      </w:pPr>
    </w:p>
    <w:p>
      <w:pPr>
        <w:spacing w:line="273" w:lineRule="auto" w:before="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pacing w:val="-1"/>
          <w:sz w:val="21"/>
          <w:szCs w:val="21"/>
        </w:rPr>
        <w:t>存货发出的计价方法：网络产品销售业务存货发出按加权平均法，系统集成业务等存货发出按个别计</w:t>
      </w:r>
    </w:p>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价法。</w:t>
      </w:r>
    </w:p>
    <w:p>
      <w:pPr>
        <w:spacing w:line="240" w:lineRule="auto" w:before="9"/>
        <w:rPr>
          <w:rFonts w:ascii="宋体" w:hAnsi="宋体" w:cs="宋体" w:eastAsia="宋体" w:hint="default"/>
          <w:sz w:val="26"/>
          <w:szCs w:val="26"/>
        </w:rPr>
      </w:pPr>
    </w:p>
    <w:p>
      <w:pPr>
        <w:spacing w:line="273" w:lineRule="auto" w:before="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pacing w:val="-1"/>
          <w:sz w:val="21"/>
          <w:szCs w:val="21"/>
        </w:rPr>
        <w:t>产成品、库存商品和用于出售的材料等直接用于出售的商品存货，在正常生产经营过程中，以该存货</w:t>
      </w:r>
    </w:p>
    <w:p>
      <w:pPr>
        <w:pStyle w:val="BodyText"/>
        <w:spacing w:line="273" w:lineRule="auto" w:before="8"/>
        <w:ind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273" w:lineRule="auto"/>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73" w:lineRule="auto"/>
        <w:ind w:right="1132" w:firstLine="420"/>
        <w:jc w:val="both"/>
      </w:pPr>
      <w:r>
        <w:rPr>
          <w:spacing w:val="-1"/>
        </w:rPr>
        <w:t>除有明确证据表明资产负债表日市场价格异常外，存货项目的可变现净值以资产负债表日市场价格为</w:t>
      </w:r>
      <w:r>
        <w:rPr/>
        <w:t> 基础确定。</w:t>
      </w:r>
    </w:p>
    <w:p>
      <w:pPr>
        <w:pStyle w:val="BodyText"/>
        <w:spacing w:line="240" w:lineRule="auto"/>
        <w:ind w:left="574" w:right="1972"/>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73" w:lineRule="auto" w:before="0"/>
        <w:ind w:left="574" w:right="83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6"/>
        <w:rPr>
          <w:rFonts w:ascii="宋体" w:hAnsi="宋体" w:cs="宋体" w:eastAsia="宋体" w:hint="default"/>
          <w:sz w:val="24"/>
          <w:szCs w:val="24"/>
        </w:rPr>
      </w:pPr>
    </w:p>
    <w:p>
      <w:pPr>
        <w:pStyle w:val="Heading5"/>
        <w:spacing w:line="240" w:lineRule="auto"/>
        <w:ind w:left="576" w:right="1972"/>
        <w:jc w:val="left"/>
        <w:rPr>
          <w:b w:val="0"/>
          <w:bCs w:val="0"/>
        </w:rPr>
      </w:pPr>
      <w:r>
        <w:rPr/>
        <w:t>（</w:t>
      </w:r>
      <w:r>
        <w:rPr>
          <w:rFonts w:ascii="宋体" w:hAnsi="宋体" w:cs="宋体" w:eastAsia="宋体" w:hint="default"/>
        </w:rPr>
        <w:t>5</w:t>
      </w:r>
      <w:r>
        <w:rPr/>
        <w:t>）低值易耗品和包装物的摊销方法</w:t>
      </w:r>
      <w:r>
        <w:rPr>
          <w:b w:val="0"/>
          <w:bCs w:val="0"/>
        </w:rPr>
      </w:r>
    </w:p>
    <w:p>
      <w:pPr>
        <w:pStyle w:val="BodyText"/>
        <w:spacing w:line="240" w:lineRule="auto" w:before="37"/>
        <w:ind w:left="574" w:right="1972"/>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21"/>
        <w:ind w:left="574" w:right="1972"/>
        <w:jc w:val="left"/>
      </w:pPr>
      <w:r>
        <w:rPr/>
        <w:t>（</w:t>
      </w:r>
      <w:r>
        <w:rPr>
          <w:rFonts w:ascii="Times New Roman" w:hAnsi="Times New Roman" w:cs="Times New Roman" w:eastAsia="Times New Roman" w:hint="default"/>
        </w:rPr>
        <w:t>2</w:t>
      </w:r>
      <w:r>
        <w:rPr/>
        <w:t>）包装物采用一次转销法。</w:t>
      </w:r>
    </w:p>
    <w:p>
      <w:pPr>
        <w:spacing w:line="240" w:lineRule="auto" w:before="9"/>
        <w:rPr>
          <w:rFonts w:ascii="宋体" w:hAnsi="宋体" w:cs="宋体" w:eastAsia="宋体" w:hint="default"/>
          <w:sz w:val="24"/>
          <w:szCs w:val="24"/>
        </w:rPr>
      </w:pPr>
    </w:p>
    <w:p>
      <w:pPr>
        <w:pStyle w:val="Heading5"/>
        <w:spacing w:line="506" w:lineRule="auto"/>
        <w:ind w:left="576" w:right="9067" w:hanging="423"/>
        <w:jc w:val="left"/>
        <w:rPr>
          <w:b w:val="0"/>
          <w:bCs w:val="0"/>
        </w:rPr>
      </w:pPr>
      <w:bookmarkStart w:name="13、持有待售资产" w:id="198"/>
      <w:bookmarkEnd w:id="198"/>
      <w:r>
        <w:rPr>
          <w:b w:val="0"/>
          <w:bCs w:val="0"/>
        </w:rPr>
      </w:r>
      <w:r>
        <w:rPr>
          <w:rFonts w:ascii="Times New Roman" w:hAnsi="Times New Roman" w:cs="Times New Roman" w:eastAsia="Times New Roman" w:hint="default"/>
        </w:rPr>
        <w:t>13</w:t>
      </w:r>
      <w:r>
        <w:rPr/>
        <w:t>、持有待售资产</w:t>
      </w:r>
      <w:r>
        <w:rPr>
          <w:spacing w:val="1"/>
          <w:w w:val="99"/>
        </w:rPr>
        <w:t> </w:t>
      </w:r>
      <w:r>
        <w:rPr/>
        <w:t>无</w:t>
      </w:r>
      <w:r>
        <w:rPr>
          <w:b w:val="0"/>
          <w:bCs w:val="0"/>
        </w:rPr>
      </w:r>
    </w:p>
    <w:p>
      <w:pPr>
        <w:pStyle w:val="Heading5"/>
        <w:spacing w:line="240" w:lineRule="auto" w:before="105"/>
        <w:ind w:right="0"/>
        <w:jc w:val="both"/>
        <w:rPr>
          <w:b w:val="0"/>
          <w:bCs w:val="0"/>
        </w:rPr>
      </w:pPr>
      <w:bookmarkStart w:name="14、长期股权投资" w:id="199"/>
      <w:bookmarkEnd w:id="19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spacing w:line="273" w:lineRule="auto" w:before="0"/>
        <w:ind w:left="574" w:right="0" w:firstLine="6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BodyText"/>
        <w:spacing w:line="273" w:lineRule="auto"/>
        <w:ind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273" w:lineRule="auto"/>
        <w:ind w:right="1131"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spacing w:line="240" w:lineRule="auto" w:before="6"/>
        <w:rPr>
          <w:rFonts w:ascii="宋体" w:hAnsi="宋体" w:cs="宋体" w:eastAsia="宋体" w:hint="default"/>
          <w:sz w:val="24"/>
          <w:szCs w:val="24"/>
        </w:rPr>
      </w:pPr>
    </w:p>
    <w:p>
      <w:pPr>
        <w:spacing w:line="273" w:lineRule="auto" w:before="0"/>
        <w:ind w:left="574" w:right="7392" w:firstLine="6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）初始投资成本的确定</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企业合并形成的长期股权投资</w:t>
      </w:r>
    </w:p>
    <w:p>
      <w:pPr>
        <w:pStyle w:val="BodyText"/>
        <w:spacing w:line="273" w:lineRule="auto"/>
        <w:ind w:right="1131" w:firstLine="420"/>
        <w:jc w:val="both"/>
      </w:pPr>
      <w:r>
        <w:rPr>
          <w:spacing w:val="-1"/>
        </w:rPr>
        <w:t>同一控制下的企业合并：公司以支付现金、转让非现金资产或承担债务方式以及以发行权益性证券作</w:t>
      </w:r>
      <w:r>
        <w:rPr/>
        <w:t> </w:t>
      </w: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益。</w:t>
      </w:r>
    </w:p>
    <w:p>
      <w:pPr>
        <w:pStyle w:val="BodyText"/>
        <w:spacing w:line="273" w:lineRule="auto" w:before="37"/>
        <w:ind w:right="113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273" w:lineRule="auto" w:before="8"/>
        <w:ind w:left="574" w:right="0" w:firstLine="4"/>
        <w:jc w:val="left"/>
      </w:pPr>
      <w:r>
        <w:rPr>
          <w:rFonts w:ascii="宋体" w:hAnsi="宋体" w:cs="宋体" w:eastAsia="宋体" w:hint="default"/>
        </w:rPr>
        <w:t>b.</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273" w:lineRule="auto"/>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78" w:right="1972"/>
        <w:jc w:val="left"/>
      </w:pPr>
      <w:r>
        <w:rPr/>
        <w:t>通过债务重组取得的长期股权投资，其初始投资成本按照公允价值为基础确定。</w:t>
      </w:r>
    </w:p>
    <w:p>
      <w:pPr>
        <w:spacing w:line="240" w:lineRule="auto" w:before="9"/>
        <w:rPr>
          <w:rFonts w:ascii="宋体" w:hAnsi="宋体" w:cs="宋体" w:eastAsia="宋体" w:hint="default"/>
          <w:sz w:val="26"/>
          <w:szCs w:val="26"/>
        </w:rPr>
      </w:pPr>
    </w:p>
    <w:p>
      <w:pPr>
        <w:spacing w:line="273" w:lineRule="auto" w:before="0"/>
        <w:ind w:left="574" w:right="7418" w:firstLine="6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成本法核算的长期股权投资</w:t>
      </w:r>
    </w:p>
    <w:p>
      <w:pPr>
        <w:pStyle w:val="BodyText"/>
        <w:spacing w:line="273" w:lineRule="auto"/>
        <w:ind w:right="1130" w:firstLine="420"/>
        <w:jc w:val="both"/>
      </w:pPr>
      <w:r>
        <w:rPr>
          <w:spacing w:val="-1"/>
        </w:rPr>
        <w:t>公司对子公司的长期股权投资，采用成本法核算。除取得投资时实际支付的价款或对价中包含的已宣</w:t>
      </w:r>
      <w:r>
        <w:rPr/>
        <w:t> </w:t>
      </w: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273" w:lineRule="auto"/>
        <w:ind w:left="574" w:right="0"/>
        <w:jc w:val="left"/>
      </w:pPr>
      <w:r>
        <w:rPr>
          <w:rFonts w:ascii="宋体" w:hAnsi="宋体" w:cs="宋体" w:eastAsia="宋体" w:hint="default"/>
        </w:rPr>
        <w:t>b.</w:t>
      </w:r>
      <w:r>
        <w:rPr/>
        <w:t>权益法核算的长期股权投资 </w:t>
      </w:r>
      <w:r>
        <w:rPr>
          <w:spacing w:val="-1"/>
        </w:rPr>
        <w:t>对联营企业和合营企业的长期股权投资，采用权益法核算。初始投资成本大于投资时应享有被投资单</w:t>
      </w:r>
    </w:p>
    <w:p>
      <w:pPr>
        <w:pStyle w:val="BodyText"/>
        <w:spacing w:line="273" w:lineRule="auto"/>
        <w:ind w:right="113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273" w:lineRule="auto" w:before="8"/>
        <w:ind w:right="1131" w:firstLine="420"/>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273" w:lineRule="auto"/>
        <w:ind w:right="0" w:firstLine="420"/>
        <w:jc w:val="left"/>
      </w:pPr>
      <w:r>
        <w:rPr>
          <w:spacing w:val="-1"/>
        </w:rPr>
        <w:t>在确认应享有被投资单位净损益的份额时，以取得投资时被投资单位可辨认净资产的公允价值为基础，</w:t>
      </w:r>
      <w:r>
        <w:rPr/>
        <w:t>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BodyText"/>
        <w:spacing w:line="268" w:lineRule="auto"/>
        <w:ind w:right="0" w:firstLine="420"/>
        <w:jc w:val="left"/>
      </w:pPr>
      <w:r>
        <w:rPr>
          <w:spacing w:val="-1"/>
        </w:rPr>
        <w:t>公司与联营企业、合营企业之间发生的未实现内部交易损益按照应享有的比例计算归属于公司的部分，</w:t>
      </w:r>
      <w:r>
        <w:rPr/>
        <w:t> 予以抵销，在此基础上确认投资收益。与被投资单位发生的未实现内部交易损失，属于资产减值损失的，</w:t>
      </w:r>
      <w:r>
        <w:rPr>
          <w:spacing w:val="-38"/>
        </w:rPr>
        <w:t> </w:t>
      </w:r>
      <w:r>
        <w:rPr>
          <w:spacing w:val="-38"/>
        </w:rPr>
      </w:r>
      <w:r>
        <w:rPr/>
        <w:t>全额确认。公司与联营企业、合营企业之间发生投出或出售资产的交易，该资产构成业务的，按照本附注</w:t>
      </w:r>
      <w:r>
        <w:rPr/>
        <w:t> </w:t>
      </w:r>
      <w:r>
        <w:rPr>
          <w:rFonts w:ascii="Times New Roman" w:hAnsi="Times New Roman" w:cs="Times New Roman" w:eastAsia="Times New Roman" w:hint="default"/>
          <w:spacing w:val="-4"/>
        </w:rPr>
        <w:t>“</w:t>
      </w:r>
      <w:r>
        <w:rPr>
          <w:spacing w:val="-4"/>
        </w:rPr>
        <w:t>三、（五）同一控制下和非同一控制下企业合并的会计处理方法</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三、（六）合并财务报表的编制方法</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6"/>
        </w:rPr>
        <w:t> </w:t>
      </w:r>
      <w:r>
        <w:rPr/>
        <w:t>中披露的相关政策进行会计处理。</w:t>
      </w:r>
    </w:p>
    <w:p>
      <w:pPr>
        <w:pStyle w:val="BodyText"/>
        <w:spacing w:line="273" w:lineRule="auto" w:before="12"/>
        <w:ind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273" w:lineRule="auto"/>
        <w:ind w:left="574" w:right="3612"/>
        <w:jc w:val="left"/>
      </w:pPr>
      <w:r>
        <w:rPr>
          <w:rFonts w:ascii="宋体" w:hAnsi="宋体" w:cs="宋体" w:eastAsia="宋体" w:hint="default"/>
        </w:rPr>
        <w:t>c.</w:t>
      </w:r>
      <w:r>
        <w:rPr/>
        <w:t>长期股权投资的处置 处置长期股权投资，其账面价值与实际取得价款的差额，计入当期损益。</w:t>
      </w:r>
    </w:p>
    <w:p>
      <w:pPr>
        <w:pStyle w:val="BodyText"/>
        <w:spacing w:line="273" w:lineRule="auto"/>
        <w:ind w:right="113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0" w:hanging="420"/>
        <w:jc w:val="left"/>
      </w:pPr>
      <w:r>
        <w:rPr/>
        <w:t>新计量设定受益计划净负债或净资产变动而产生的其他综合收益除外。 </w:t>
      </w:r>
      <w:r>
        <w:rPr>
          <w:spacing w:val="-1"/>
        </w:rPr>
        <w:t>因处置部分股权投资等原因丧失了对被投资单位的共同控制或重大影响的，处置后的剩余股权改按金</w:t>
      </w:r>
    </w:p>
    <w:p>
      <w:pPr>
        <w:pStyle w:val="BodyText"/>
        <w:spacing w:line="273" w:lineRule="auto"/>
        <w:ind w:right="1131"/>
        <w:jc w:val="both"/>
      </w:pP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273" w:lineRule="auto"/>
        <w:ind w:right="1131" w:firstLine="420"/>
        <w:jc w:val="both"/>
      </w:pPr>
      <w:r>
        <w:rPr>
          <w:spacing w:val="-1"/>
        </w:rPr>
        <w:t>因处置部分股权投资、因其他投资方对子公司增资而导致本公司持股比例下降等原因丧失了对被投资</w:t>
      </w:r>
      <w:r>
        <w:rPr/>
        <w:t> </w:t>
      </w:r>
      <w:r>
        <w:rPr>
          <w:spacing w:val="-1"/>
        </w:rPr>
        <w:t>单位控制权的，在编制个别财务报表时，剩余股权能够对被投资单位实施共同控制或重大影响的，改按权</w:t>
      </w:r>
      <w:r>
        <w:rPr>
          <w:spacing w:val="-83"/>
        </w:rPr>
        <w:t> </w:t>
      </w:r>
      <w:r>
        <w:rPr>
          <w:spacing w:val="-83"/>
        </w:rPr>
      </w:r>
      <w:r>
        <w:rPr>
          <w:spacing w:val="-1"/>
        </w:rPr>
        <w:t>益法核算，并对该剩余股权视同自取得时即采用权益法核算进行调整；剩余股权不能对被投资单位实施共</w:t>
      </w:r>
      <w:r>
        <w:rPr>
          <w:spacing w:val="-81"/>
        </w:rPr>
        <w:t> </w:t>
      </w:r>
      <w:r>
        <w:rPr>
          <w:spacing w:val="-81"/>
        </w:rPr>
      </w:r>
      <w:r>
        <w:rPr>
          <w:spacing w:val="-1"/>
        </w:rPr>
        <w:t>同控制或施加重大影响的，改按金融工具确认和计量准则的有关规定进行会计处理，其在丧失控制之日的</w:t>
      </w:r>
      <w:r>
        <w:rPr>
          <w:spacing w:val="-81"/>
        </w:rPr>
        <w:t> </w:t>
      </w:r>
      <w:r>
        <w:rPr>
          <w:spacing w:val="-81"/>
        </w:rPr>
      </w:r>
      <w:r>
        <w:rPr/>
        <w:t>公允价值与账面价值间的差额计入当期损益。</w:t>
      </w:r>
    </w:p>
    <w:p>
      <w:pPr>
        <w:pStyle w:val="BodyText"/>
        <w:spacing w:line="273" w:lineRule="auto"/>
        <w:ind w:right="113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15、投资性房地产" w:id="200"/>
      <w:bookmarkEnd w:id="20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0"/>
        <w:ind w:right="0" w:firstLine="420"/>
        <w:jc w:val="left"/>
      </w:pPr>
      <w:r>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BodyText"/>
        <w:spacing w:line="273" w:lineRule="auto"/>
        <w:ind w:right="1131" w:firstLine="420"/>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16、固定资产" w:id="201"/>
      <w:bookmarkEnd w:id="20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确认条件" w:id="202"/>
      <w:bookmarkEnd w:id="20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w:t>
      </w:r>
      <w:r>
        <w:rPr>
          <w:rFonts w:ascii="宋体" w:hAnsi="宋体" w:cs="宋体" w:eastAsia="宋体" w:hint="default"/>
          <w:sz w:val="18"/>
          <w:szCs w:val="18"/>
        </w:rPr>
        <w:t> </w:t>
      </w:r>
      <w:r>
        <w:rPr>
          <w:rFonts w:ascii="宋体" w:hAnsi="宋体" w:cs="宋体" w:eastAsia="宋体" w:hint="default"/>
          <w:spacing w:val="-8"/>
          <w:sz w:val="18"/>
          <w:szCs w:val="18"/>
        </w:rPr>
        <w:t>同时满足下列条件时予以确认：（</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）与该固定资产有关的经济利益很可能流入企业；（</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）该固定资产的成本能够可靠地计量。</w:t>
      </w:r>
    </w:p>
    <w:p>
      <w:pPr>
        <w:spacing w:line="240" w:lineRule="auto" w:before="10"/>
        <w:rPr>
          <w:rFonts w:ascii="宋体" w:hAnsi="宋体" w:cs="宋体" w:eastAsia="宋体" w:hint="default"/>
          <w:sz w:val="20"/>
          <w:szCs w:val="20"/>
        </w:rPr>
      </w:pPr>
    </w:p>
    <w:p>
      <w:pPr>
        <w:pStyle w:val="Heading5"/>
        <w:spacing w:line="240" w:lineRule="auto"/>
        <w:ind w:right="1972"/>
        <w:jc w:val="left"/>
        <w:rPr>
          <w:b w:val="0"/>
          <w:bCs w:val="0"/>
        </w:rPr>
      </w:pPr>
      <w:bookmarkStart w:name="（2）折旧方法" w:id="203"/>
      <w:bookmarkEnd w:id="20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260" w:lineRule="exact" w:before="0"/>
        <w:ind w:right="0" w:firstLine="420"/>
        <w:jc w:val="left"/>
      </w:pPr>
      <w:r>
        <w:rPr/>
        <w:t>固定资产折旧采用年限平均法分类计提，根据固定资产类别、预计使用寿命和预计净残值率确定折旧</w:t>
      </w:r>
    </w:p>
    <w:p>
      <w:pPr>
        <w:pStyle w:val="BodyText"/>
        <w:spacing w:line="240" w:lineRule="auto" w:before="37"/>
        <w:ind w:right="0"/>
        <w:jc w:val="left"/>
      </w:pPr>
      <w:r>
        <w:rPr/>
        <w:t>率。如固定资产各组成部分的使用寿命不同或者以不同方式为企业提供经济利益，则选择不同折旧率或折</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0" w:hanging="420"/>
        <w:jc w:val="left"/>
      </w:pPr>
      <w:r>
        <w:rPr/>
        <w:t>旧方法，分别计提折旧。 </w:t>
      </w:r>
      <w:r>
        <w:rPr>
          <w:spacing w:val="-1"/>
        </w:rPr>
        <w:t>融资租赁方式租入的固定资产，能合理确定租赁期届满时将会取得租赁资产所有权的，在租赁资产尚</w:t>
      </w:r>
    </w:p>
    <w:p>
      <w:pPr>
        <w:pStyle w:val="BodyText"/>
        <w:spacing w:line="273" w:lineRule="auto"/>
        <w:ind w:right="0"/>
        <w:jc w:val="left"/>
      </w:pP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3）融资租入固定资产的认定依据、计价和折旧方法" w:id="204"/>
      <w:bookmarkEnd w:id="20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04" w:lineRule="auto" w:before="0"/>
        <w:ind w:left="154" w:right="0" w:firstLine="0"/>
        <w:jc w:val="left"/>
        <w:rPr>
          <w:rFonts w:ascii="宋体" w:hAnsi="宋体" w:cs="宋体" w:eastAsia="宋体" w:hint="default"/>
          <w:sz w:val="18"/>
          <w:szCs w:val="18"/>
        </w:rPr>
      </w:pPr>
      <w:r>
        <w:rPr>
          <w:rFonts w:ascii="宋体" w:hAnsi="宋体" w:cs="宋体" w:eastAsia="宋体" w:hint="default"/>
          <w:spacing w:val="-4"/>
          <w:sz w:val="18"/>
          <w:szCs w:val="18"/>
        </w:rPr>
        <w:t>公司与租赁方所签订的租赁协议条款中规定了下列条件之一的，确认为融资租入资产：（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）租赁期满后租赁资产的所有权归</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属于本公司；（</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）公司具有购买资产的选择权，购买价款远低于行使选择权时该资产的公允价值；（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）租赁期占所租赁资产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使用寿命的大部分；（</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）租赁开始日的最低租赁付款额现值，与该资产的公允价值不存在较大的差异。公司在承租开始日，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将租赁资产公允价值与最低租赁付款额现值两者中较低者作为租入资产的入账价值，将最低租赁付款额作为长期应付款的入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账价值，其差额作为未确认的融资费。</w:t>
      </w:r>
    </w:p>
    <w:p>
      <w:pPr>
        <w:spacing w:line="240" w:lineRule="auto" w:before="0"/>
        <w:rPr>
          <w:rFonts w:ascii="宋体" w:hAnsi="宋体" w:cs="宋体" w:eastAsia="宋体" w:hint="default"/>
          <w:sz w:val="23"/>
          <w:szCs w:val="23"/>
        </w:rPr>
      </w:pPr>
    </w:p>
    <w:p>
      <w:pPr>
        <w:pStyle w:val="Heading5"/>
        <w:spacing w:line="240" w:lineRule="auto"/>
        <w:ind w:right="1972"/>
        <w:jc w:val="left"/>
        <w:rPr>
          <w:b w:val="0"/>
          <w:bCs w:val="0"/>
        </w:rPr>
      </w:pPr>
      <w:bookmarkStart w:name="17、在建工程" w:id="205"/>
      <w:bookmarkEnd w:id="20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197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BodyText"/>
        <w:spacing w:line="273" w:lineRule="auto" w:before="89"/>
        <w:ind w:right="1032"/>
        <w:jc w:val="both"/>
      </w:pPr>
      <w:r>
        <w:rPr/>
        <w:t>在建工程项目按建造该项资产达到预定可使用状态前所发生的必要支出，作为固定资产的入账价值。所建 造的固定资产在工程已达到预定可使用状态，但尚未办理竣工决算的，自达到预定可使用状态之日起，根 据工程预算、造价或者工程实际成本等，按估计的价值转入固定资产，并按本公司固定资产折旧政策计提 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18、借款费用" w:id="206"/>
      <w:bookmarkEnd w:id="20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0" w:hanging="42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BodyText"/>
        <w:spacing w:line="273" w:lineRule="auto"/>
        <w:ind w:left="574" w:right="0"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273" w:lineRule="auto"/>
        <w:ind w:left="574" w:right="6132" w:hanging="420"/>
        <w:jc w:val="left"/>
      </w:pPr>
      <w:r>
        <w:rPr/>
        <w:t>售状态的固定资产、投资性房地产和存货等资产。 借款费用同时满足下列条件时开始资本化：</w:t>
      </w:r>
    </w:p>
    <w:p>
      <w:pPr>
        <w:pStyle w:val="BodyText"/>
        <w:spacing w:line="256" w:lineRule="auto"/>
        <w:ind w:right="1197"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22"/>
        <w:ind w:left="574" w:right="1972"/>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574" w:right="1972"/>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73" w:lineRule="auto" w:before="21"/>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ind w:right="1972"/>
        <w:jc w:val="left"/>
      </w:pPr>
      <w:r>
        <w:rPr/>
        <w:t>包括在内。</w:t>
      </w:r>
    </w:p>
    <w:p>
      <w:pPr>
        <w:pStyle w:val="BodyText"/>
        <w:spacing w:line="273" w:lineRule="auto" w:before="37"/>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right="1972"/>
        <w:jc w:val="left"/>
      </w:pPr>
      <w:r>
        <w:rPr/>
        <w:t>止资本化。</w:t>
      </w:r>
    </w:p>
    <w:p>
      <w:pPr>
        <w:pStyle w:val="BodyText"/>
        <w:spacing w:line="273" w:lineRule="auto" w:before="37"/>
        <w:ind w:right="0" w:firstLine="420"/>
        <w:jc w:val="left"/>
      </w:pPr>
      <w:r>
        <w:rPr>
          <w:spacing w:val="-1"/>
        </w:rPr>
        <w:t>购建或者生产的资产的各部分分别完工，但必须等到整体完工后才可使用或可对外销售的，在该资产</w:t>
      </w:r>
      <w:r>
        <w:rPr/>
        <w:t> 整体完工时停止借款费用资本化。</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73" w:lineRule="auto" w:before="35"/>
        <w:ind w:left="574" w:right="1197" w:hanging="420"/>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273" w:lineRule="auto" w:before="0"/>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40" w:lineRule="auto" w:before="6"/>
        <w:rPr>
          <w:rFonts w:ascii="宋体" w:hAnsi="宋体" w:cs="宋体" w:eastAsia="宋体" w:hint="default"/>
          <w:sz w:val="24"/>
          <w:szCs w:val="24"/>
        </w:rPr>
      </w:pPr>
    </w:p>
    <w:p>
      <w:pPr>
        <w:spacing w:line="273" w:lineRule="auto" w:before="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对于为购建或者生产符合资本化条件的资产而借入的专门借款，以专门借款当期实际发生的借款费用，</w:t>
      </w:r>
    </w:p>
    <w:p>
      <w:pPr>
        <w:pStyle w:val="BodyText"/>
        <w:spacing w:line="273" w:lineRule="auto"/>
        <w:ind w:right="0"/>
        <w:jc w:val="left"/>
      </w:pPr>
      <w:r>
        <w:rPr>
          <w:spacing w:val="-1"/>
        </w:rPr>
        <w:t>减去尚未动用的借款资金存入银行取得的利息收入或进行暂时性投资取得的投资收益后的金额，来确定借</w:t>
      </w:r>
      <w:r>
        <w:rPr>
          <w:spacing w:val="-81"/>
        </w:rPr>
        <w:t> </w:t>
      </w:r>
      <w:r>
        <w:rPr>
          <w:spacing w:val="-81"/>
        </w:rPr>
      </w:r>
      <w:r>
        <w:rPr/>
        <w:t>款费用的资本化金额。</w:t>
      </w:r>
    </w:p>
    <w:p>
      <w:pPr>
        <w:pStyle w:val="BodyText"/>
        <w:spacing w:line="273" w:lineRule="auto"/>
        <w:ind w:right="0" w:firstLine="420"/>
        <w:jc w:val="left"/>
      </w:pPr>
      <w:r>
        <w:rPr/>
        <w:t>对于为购建或者生产符合资本化条件的资产而占用的一般借款，根据累计资产支出超过专门借款部分 的资产支出加权平均数乘以所占用一般借款的资本化率，计算确定一般借款应予资本化的借款费用金额。</w:t>
      </w:r>
      <w:r>
        <w:rPr>
          <w:spacing w:val="-38"/>
        </w:rPr>
        <w:t> </w:t>
      </w:r>
      <w:r>
        <w:rPr>
          <w:spacing w:val="-38"/>
        </w:rPr>
      </w:r>
      <w:r>
        <w:rPr/>
        <w:t>资本化率根据一般借款加权平均利率计算确定。</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19、生物资产" w:id="207"/>
      <w:bookmarkEnd w:id="20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20、油气资产" w:id="208"/>
      <w:bookmarkEnd w:id="20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21、无形资产" w:id="209"/>
      <w:bookmarkEnd w:id="20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计价方法、使用寿命、减值测试" w:id="210"/>
      <w:bookmarkEnd w:id="21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197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Heading5"/>
        <w:spacing w:line="240" w:lineRule="auto" w:before="89"/>
        <w:ind w:left="576" w:right="1972"/>
        <w:jc w:val="left"/>
        <w:rPr>
          <w:b w:val="0"/>
          <w:bCs w:val="0"/>
        </w:rPr>
      </w:pPr>
      <w:r>
        <w:rPr>
          <w:rFonts w:ascii="宋体" w:hAnsi="宋体" w:cs="宋体" w:eastAsia="宋体" w:hint="default"/>
        </w:rPr>
        <w:t>1.</w:t>
      </w:r>
      <w:r>
        <w:rPr/>
        <w:t>无形资产的计价方法</w:t>
      </w:r>
      <w:r>
        <w:rPr>
          <w:b w:val="0"/>
          <w:bCs w:val="0"/>
        </w:rPr>
      </w:r>
    </w:p>
    <w:p>
      <w:pPr>
        <w:pStyle w:val="BodyText"/>
        <w:spacing w:line="256" w:lineRule="auto" w:before="37"/>
        <w:ind w:left="574"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BodyText"/>
        <w:spacing w:line="273" w:lineRule="auto" w:before="22"/>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273" w:lineRule="auto"/>
        <w:ind w:right="0" w:firstLine="420"/>
        <w:jc w:val="left"/>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273" w:lineRule="auto"/>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56" w:lineRule="auto"/>
        <w:ind w:left="574" w:right="655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73" w:lineRule="auto" w:before="22"/>
        <w:ind w:right="0" w:firstLine="420"/>
        <w:jc w:val="left"/>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Heading5"/>
        <w:spacing w:line="240" w:lineRule="auto" w:before="7"/>
        <w:ind w:left="1070" w:right="1972"/>
        <w:jc w:val="left"/>
        <w:rPr>
          <w:b w:val="0"/>
          <w:bCs w:val="0"/>
        </w:rPr>
      </w:pPr>
      <w:r>
        <w:rPr>
          <w:rFonts w:ascii="宋体" w:hAnsi="宋体" w:cs="宋体" w:eastAsia="宋体" w:hint="default"/>
        </w:rPr>
        <w:t>1.</w:t>
      </w:r>
      <w:r>
        <w:rPr>
          <w:rFonts w:ascii="宋体" w:hAnsi="宋体" w:cs="宋体" w:eastAsia="宋体" w:hint="default"/>
          <w:spacing w:val="36"/>
        </w:rPr>
        <w:t> </w:t>
      </w:r>
      <w:r>
        <w:rPr/>
        <w:t>使用寿命有限的无形资产的使用寿命估计情况：</w:t>
      </w:r>
      <w:r>
        <w:rPr>
          <w:b w:val="0"/>
          <w:bCs w:val="0"/>
        </w:rPr>
      </w:r>
    </w:p>
    <w:p>
      <w:pPr>
        <w:spacing w:line="240" w:lineRule="auto" w:before="13"/>
        <w:rPr>
          <w:rFonts w:ascii="宋体" w:hAnsi="宋体" w:cs="宋体" w:eastAsia="宋体" w:hint="default"/>
          <w:b/>
          <w:bCs/>
          <w:sz w:val="3"/>
          <w:szCs w:val="3"/>
        </w:rPr>
      </w:pPr>
    </w:p>
    <w:tbl>
      <w:tblPr>
        <w:tblW w:w="0" w:type="auto"/>
        <w:jc w:val="left"/>
        <w:tblInd w:w="504" w:type="dxa"/>
        <w:tblLayout w:type="fixed"/>
        <w:tblCellMar>
          <w:top w:w="0" w:type="dxa"/>
          <w:left w:w="0" w:type="dxa"/>
          <w:bottom w:w="0" w:type="dxa"/>
          <w:right w:w="0" w:type="dxa"/>
        </w:tblCellMar>
        <w:tblLook w:val="01E0"/>
      </w:tblPr>
      <w:tblGrid>
        <w:gridCol w:w="3304"/>
        <w:gridCol w:w="1913"/>
        <w:gridCol w:w="3978"/>
      </w:tblGrid>
      <w:tr>
        <w:trPr>
          <w:trHeight w:val="355" w:hRule="exact"/>
        </w:trPr>
        <w:tc>
          <w:tcPr>
            <w:tcW w:w="330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18"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397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3" w:hRule="exact"/>
        </w:trPr>
        <w:tc>
          <w:tcPr>
            <w:tcW w:w="33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50</w:t>
            </w:r>
          </w:p>
        </w:tc>
        <w:tc>
          <w:tcPr>
            <w:tcW w:w="397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17" w:right="0"/>
              <w:jc w:val="left"/>
              <w:rPr>
                <w:rFonts w:ascii="宋体" w:hAnsi="宋体" w:cs="宋体" w:eastAsia="宋体" w:hint="default"/>
                <w:sz w:val="21"/>
                <w:szCs w:val="21"/>
              </w:rPr>
            </w:pPr>
            <w:r>
              <w:rPr>
                <w:rFonts w:ascii="宋体" w:hAnsi="宋体" w:cs="宋体" w:eastAsia="宋体" w:hint="default"/>
                <w:sz w:val="21"/>
                <w:szCs w:val="21"/>
              </w:rPr>
              <w:t>合同规定与法律规定孰低原则</w:t>
            </w:r>
          </w:p>
        </w:tc>
      </w:tr>
    </w:tbl>
    <w:p>
      <w:pPr>
        <w:spacing w:after="0" w:line="260"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504" w:type="dxa"/>
        <w:tblLayout w:type="fixed"/>
        <w:tblCellMar>
          <w:top w:w="0" w:type="dxa"/>
          <w:left w:w="0" w:type="dxa"/>
          <w:bottom w:w="0" w:type="dxa"/>
          <w:right w:w="0" w:type="dxa"/>
        </w:tblCellMar>
        <w:tblLook w:val="01E0"/>
      </w:tblPr>
      <w:tblGrid>
        <w:gridCol w:w="3304"/>
        <w:gridCol w:w="1913"/>
        <w:gridCol w:w="3978"/>
      </w:tblGrid>
      <w:tr>
        <w:trPr>
          <w:trHeight w:val="355" w:hRule="exact"/>
        </w:trPr>
        <w:tc>
          <w:tcPr>
            <w:tcW w:w="330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8"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w:t>
            </w:r>
          </w:p>
        </w:tc>
        <w:tc>
          <w:tcPr>
            <w:tcW w:w="397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17" w:right="0"/>
              <w:jc w:val="left"/>
              <w:rPr>
                <w:rFonts w:ascii="宋体" w:hAnsi="宋体" w:cs="宋体" w:eastAsia="宋体" w:hint="default"/>
                <w:sz w:val="21"/>
                <w:szCs w:val="21"/>
              </w:rPr>
            </w:pPr>
            <w:r>
              <w:rPr>
                <w:rFonts w:ascii="宋体" w:hAnsi="宋体" w:cs="宋体" w:eastAsia="宋体" w:hint="default"/>
                <w:sz w:val="21"/>
                <w:szCs w:val="21"/>
              </w:rPr>
              <w:t>合同规定与法律规定孰低原则</w:t>
            </w:r>
          </w:p>
        </w:tc>
      </w:tr>
      <w:tr>
        <w:trPr>
          <w:trHeight w:val="352" w:hRule="exact"/>
        </w:trPr>
        <w:tc>
          <w:tcPr>
            <w:tcW w:w="330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8"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5</w:t>
            </w:r>
          </w:p>
        </w:tc>
        <w:tc>
          <w:tcPr>
            <w:tcW w:w="397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17" w:right="0"/>
              <w:jc w:val="left"/>
              <w:rPr>
                <w:rFonts w:ascii="宋体" w:hAnsi="宋体" w:cs="宋体" w:eastAsia="宋体" w:hint="default"/>
                <w:sz w:val="21"/>
                <w:szCs w:val="21"/>
              </w:rPr>
            </w:pPr>
            <w:r>
              <w:rPr>
                <w:rFonts w:ascii="宋体" w:hAnsi="宋体" w:cs="宋体" w:eastAsia="宋体" w:hint="default"/>
                <w:sz w:val="21"/>
                <w:szCs w:val="21"/>
              </w:rPr>
              <w:t>合同规定与法律规定孰低原则</w:t>
            </w:r>
          </w:p>
        </w:tc>
      </w:tr>
    </w:tbl>
    <w:p>
      <w:pPr>
        <w:pStyle w:val="BodyText"/>
        <w:spacing w:line="260" w:lineRule="exact" w:before="0"/>
        <w:ind w:left="574" w:right="1972"/>
        <w:jc w:val="left"/>
      </w:pPr>
      <w:r>
        <w:rPr/>
        <w:t>每年度终了，对使用寿命有限的无形资产的使用寿命及摊销方法进行复核。</w:t>
      </w:r>
    </w:p>
    <w:p>
      <w:pPr>
        <w:pStyle w:val="BodyText"/>
        <w:spacing w:line="240" w:lineRule="auto" w:before="37"/>
        <w:ind w:left="574" w:right="1972"/>
        <w:jc w:val="left"/>
      </w:pPr>
      <w:r>
        <w:rPr/>
        <w:t>经复核，本年期末无形资产的使用寿命及摊销方法与以前估计未有不同。</w:t>
      </w:r>
    </w:p>
    <w:p>
      <w:pPr>
        <w:pStyle w:val="Heading5"/>
        <w:spacing w:line="590" w:lineRule="atLeast" w:before="39"/>
        <w:ind w:right="7167"/>
        <w:jc w:val="left"/>
        <w:rPr>
          <w:b w:val="0"/>
          <w:bCs w:val="0"/>
        </w:rPr>
      </w:pPr>
      <w:bookmarkStart w:name="（2）内部研究开发支出会计政策" w:id="211"/>
      <w:bookmarkEnd w:id="211"/>
      <w:r>
        <w:rPr>
          <w:b w:val="0"/>
          <w:bCs w:val="0"/>
        </w:rPr>
      </w:r>
      <w:r>
        <w:rPr/>
        <w:t>（</w:t>
      </w:r>
      <w:r>
        <w:rPr>
          <w:rFonts w:ascii="Times New Roman" w:hAnsi="Times New Roman" w:cs="Times New Roman" w:eastAsia="Times New Roman" w:hint="default"/>
        </w:rPr>
        <w:t>2</w:t>
      </w:r>
      <w:r>
        <w:rPr/>
        <w:t>）内部研究开发支出会计政策</w:t>
      </w:r>
      <w:r>
        <w:rPr>
          <w:w w:val="99"/>
        </w:rPr>
        <w:t> </w:t>
      </w:r>
      <w:r>
        <w:rPr>
          <w:rFonts w:ascii="宋体" w:hAnsi="宋体" w:cs="宋体" w:eastAsia="宋体" w:hint="default"/>
        </w:rPr>
        <w:t>1.</w:t>
      </w:r>
      <w:r>
        <w:rPr/>
        <w:t>划分研究阶段和开发阶段的具体标准</w:t>
      </w:r>
      <w:r>
        <w:rPr>
          <w:b w:val="0"/>
          <w:bCs w:val="0"/>
        </w:rPr>
      </w:r>
    </w:p>
    <w:p>
      <w:pPr>
        <w:pStyle w:val="BodyText"/>
        <w:spacing w:line="261" w:lineRule="auto" w:before="37"/>
        <w:ind w:left="574" w:right="1349"/>
        <w:jc w:val="left"/>
      </w:pPr>
      <w:r>
        <w:rPr/>
        <w:t>公司内部研究开发项目的支出分为研究阶段支出和开发阶段支出。 研究阶段：为取得经批准的</w:t>
      </w:r>
      <w:r>
        <w:rPr>
          <w:rFonts w:ascii="Times New Roman" w:hAnsi="Times New Roman" w:cs="Times New Roman" w:eastAsia="Times New Roman" w:hint="default"/>
        </w:rPr>
        <w:t>“</w:t>
      </w:r>
      <w:r>
        <w:rPr/>
        <w:t>研究计划书</w:t>
      </w:r>
      <w:r>
        <w:rPr>
          <w:rFonts w:ascii="Times New Roman" w:hAnsi="Times New Roman" w:cs="Times New Roman" w:eastAsia="Times New Roman" w:hint="default"/>
        </w:rPr>
        <w:t>”</w:t>
      </w:r>
      <w:r>
        <w:rPr/>
        <w:t>时，结束时点为取得经批准的</w:t>
      </w:r>
      <w:r>
        <w:rPr>
          <w:rFonts w:ascii="Times New Roman" w:hAnsi="Times New Roman" w:cs="Times New Roman" w:eastAsia="Times New Roman" w:hint="default"/>
        </w:rPr>
        <w:t>“</w:t>
      </w:r>
      <w:r>
        <w:rPr/>
        <w:t>项目可行性验证报告</w:t>
      </w:r>
      <w:r>
        <w:rPr>
          <w:rFonts w:ascii="Times New Roman" w:hAnsi="Times New Roman" w:cs="Times New Roman" w:eastAsia="Times New Roman" w:hint="default"/>
        </w:rPr>
        <w:t>”</w:t>
      </w:r>
      <w:r>
        <w:rPr/>
        <w:t>时。 开发阶段：为取得经批准的</w:t>
      </w:r>
      <w:r>
        <w:rPr>
          <w:rFonts w:ascii="Times New Roman" w:hAnsi="Times New Roman" w:cs="Times New Roman" w:eastAsia="Times New Roman" w:hint="default"/>
        </w:rPr>
        <w:t>“</w:t>
      </w:r>
      <w:r>
        <w:rPr/>
        <w:t>项目立项报告</w:t>
      </w:r>
      <w:r>
        <w:rPr>
          <w:rFonts w:ascii="Times New Roman" w:hAnsi="Times New Roman" w:cs="Times New Roman" w:eastAsia="Times New Roman" w:hint="default"/>
        </w:rPr>
        <w:t>”</w:t>
      </w:r>
      <w:r>
        <w:rPr/>
        <w:t>时，结束时点为取得经批准的</w:t>
      </w:r>
      <w:r>
        <w:rPr>
          <w:rFonts w:ascii="Times New Roman" w:hAnsi="Times New Roman" w:cs="Times New Roman" w:eastAsia="Times New Roman" w:hint="default"/>
        </w:rPr>
        <w:t>“</w:t>
      </w:r>
      <w:r>
        <w:rPr/>
        <w:t>项目结项报告</w:t>
      </w:r>
      <w:r>
        <w:rPr>
          <w:rFonts w:ascii="Times New Roman" w:hAnsi="Times New Roman" w:cs="Times New Roman" w:eastAsia="Times New Roman" w:hint="default"/>
        </w:rPr>
        <w:t>”</w:t>
      </w:r>
      <w:r>
        <w:rPr/>
        <w:t>时。 结转无形资产：为取得经批准的</w:t>
      </w:r>
      <w:r>
        <w:rPr>
          <w:rFonts w:ascii="Times New Roman" w:hAnsi="Times New Roman" w:cs="Times New Roman" w:eastAsia="Times New Roman" w:hint="default"/>
        </w:rPr>
        <w:t>“</w:t>
      </w:r>
      <w:r>
        <w:rPr/>
        <w:t>项目结项报告</w:t>
      </w:r>
      <w:r>
        <w:rPr>
          <w:rFonts w:ascii="Times New Roman" w:hAnsi="Times New Roman" w:cs="Times New Roman" w:eastAsia="Times New Roman" w:hint="default"/>
        </w:rPr>
        <w:t>”</w:t>
      </w:r>
      <w:r>
        <w:rPr/>
        <w:t>时。</w:t>
      </w:r>
    </w:p>
    <w:p>
      <w:pPr>
        <w:spacing w:line="240" w:lineRule="auto" w:before="11"/>
        <w:rPr>
          <w:rFonts w:ascii="宋体" w:hAnsi="宋体" w:cs="宋体" w:eastAsia="宋体" w:hint="default"/>
          <w:sz w:val="23"/>
          <w:szCs w:val="23"/>
        </w:rPr>
      </w:pPr>
    </w:p>
    <w:p>
      <w:pPr>
        <w:spacing w:line="273" w:lineRule="auto" w:before="0"/>
        <w:ind w:left="574" w:right="3402"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ind w:left="574" w:right="1972"/>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4" w:right="1972"/>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197"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256" w:lineRule="auto" w:before="22"/>
        <w:ind w:right="1197"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256" w:lineRule="auto" w:before="22"/>
        <w:ind w:left="574" w:right="0"/>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before="22"/>
        <w:ind w:right="0"/>
        <w:jc w:val="both"/>
      </w:pPr>
      <w:r>
        <w:rPr/>
        <w:t>期损益。无法区分研究阶段支出和开发阶段支出的，将发生的研发支出全部计入当期损益。</w:t>
      </w:r>
    </w:p>
    <w:p>
      <w:pPr>
        <w:pStyle w:val="BodyText"/>
        <w:spacing w:line="590" w:lineRule="atLeast" w:before="39"/>
        <w:ind w:left="574" w:right="0" w:hanging="420"/>
        <w:jc w:val="left"/>
      </w:pPr>
      <w:bookmarkStart w:name="22、长期资产减值" w:id="212"/>
      <w:bookmarkEnd w:id="212"/>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长期股权投资、采用成本模式计量的投资性房地产、固定资产、在建工程、使用寿命有限的无形资产</w:t>
      </w:r>
    </w:p>
    <w:p>
      <w:pPr>
        <w:pStyle w:val="BodyText"/>
        <w:spacing w:line="273" w:lineRule="auto" w:before="37"/>
        <w:ind w:right="1130"/>
        <w:jc w:val="both"/>
      </w:pPr>
      <w:r>
        <w:rPr>
          <w:spacing w:val="-1"/>
        </w:rPr>
        <w:t>等长期资产，于资产负债表日存在减值迹象的，进行减值测试。减值测试结果表明资产的可收回金额低于</w:t>
      </w:r>
      <w:r>
        <w:rPr>
          <w:spacing w:val="-82"/>
        </w:rPr>
        <w:t> </w:t>
      </w:r>
      <w:r>
        <w:rPr>
          <w:spacing w:val="-82"/>
        </w:rPr>
      </w:r>
      <w:r>
        <w:rPr>
          <w:spacing w:val="-1"/>
        </w:rPr>
        <w:t>其账面价值的，按其差额计提减值准备并计入减值损失。可收回金额为资产的公允价值减去处置费用后的</w:t>
      </w:r>
      <w:r>
        <w:rPr>
          <w:spacing w:val="-81"/>
        </w:rPr>
        <w:t> </w:t>
      </w:r>
      <w:r>
        <w:rPr>
          <w:spacing w:val="-81"/>
        </w:rPr>
      </w:r>
      <w:r>
        <w:rPr>
          <w:spacing w:val="-1"/>
        </w:rPr>
        <w:t>净额与资产预计未来现金流量的现值两者之间的较高者。资产减值准备按单项资产为基础计算并确认，如</w:t>
      </w:r>
      <w:r>
        <w:rPr>
          <w:spacing w:val="-81"/>
        </w:rPr>
        <w:t> </w:t>
      </w:r>
      <w:r>
        <w:rPr>
          <w:spacing w:val="-81"/>
        </w:rPr>
      </w:r>
      <w:r>
        <w:rPr>
          <w:spacing w:val="-1"/>
        </w:rPr>
        <w:t>果难以对单项资产的可收回金额进行估计的，以该资产所属的资产组确定资产组的可收回金额。资产组是</w:t>
      </w:r>
      <w:r>
        <w:rPr>
          <w:spacing w:val="-81"/>
        </w:rPr>
        <w:t> </w:t>
      </w:r>
      <w:r>
        <w:rPr>
          <w:spacing w:val="-81"/>
        </w:rPr>
      </w:r>
      <w:r>
        <w:rPr/>
        <w:t>能够独立产生现金流入的最小资产组合。</w:t>
      </w:r>
    </w:p>
    <w:p>
      <w:pPr>
        <w:pStyle w:val="BodyText"/>
        <w:spacing w:line="273" w:lineRule="auto"/>
        <w:ind w:left="574" w:right="0"/>
        <w:jc w:val="left"/>
      </w:pPr>
      <w:r>
        <w:rPr/>
        <w:t>商誉和使用寿命不确定的无形资产至少在每年年度终了进行减值测试。 </w:t>
      </w:r>
      <w:r>
        <w:rPr>
          <w:spacing w:val="-1"/>
        </w:rPr>
        <w:t>本公司进行商誉减值测试，对于因企业合并形成的商誉的账面价值，自购买日起按照合理的方法分摊</w:t>
      </w:r>
    </w:p>
    <w:p>
      <w:pPr>
        <w:pStyle w:val="BodyText"/>
        <w:spacing w:line="273" w:lineRule="auto"/>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273" w:lineRule="auto"/>
        <w:ind w:right="1131"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spacing w:val="-2"/>
        </w:rPr>
        <w:t>组或者资产组组合的可收回金额低于其账面价值的，确认商誉的减值损失。</w:t>
      </w:r>
      <w:r>
        <w:rPr>
          <w:spacing w:val="-61"/>
        </w:rPr>
        <w:t> </w:t>
      </w:r>
      <w:r>
        <w:rPr/>
        <w:t>上述资产减值损失一经确认，</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972"/>
        <w:jc w:val="left"/>
      </w:pPr>
      <w:r>
        <w:rPr/>
        <w:t>在以后会计期间不予转回。</w:t>
      </w:r>
    </w:p>
    <w:p>
      <w:pPr>
        <w:pStyle w:val="BodyText"/>
        <w:spacing w:line="590" w:lineRule="atLeast" w:before="39"/>
        <w:ind w:left="574" w:right="0" w:hanging="420"/>
        <w:jc w:val="left"/>
      </w:pPr>
      <w:bookmarkStart w:name="23、长期待摊费用" w:id="213"/>
      <w:bookmarkEnd w:id="213"/>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长期待摊费用为已经发生但应由本期和以后各期负担的分摊期限在一年以上的各项费用。长期待摊费</w:t>
      </w:r>
    </w:p>
    <w:p>
      <w:pPr>
        <w:pStyle w:val="BodyText"/>
        <w:spacing w:line="273" w:lineRule="auto" w:before="37"/>
        <w:ind w:left="574" w:right="3822" w:hanging="420"/>
        <w:jc w:val="left"/>
      </w:pPr>
      <w:r>
        <w:rPr/>
        <w:t>用的摊销方法为直线法，在受益期内平均摊销。 本公司取得的高尔夫会员资格证按</w:t>
      </w:r>
      <w:r>
        <w:rPr>
          <w:rFonts w:ascii="Times New Roman" w:hAnsi="Times New Roman" w:cs="Times New Roman" w:eastAsia="Times New Roman" w:hint="default"/>
        </w:rPr>
        <w:t>20</w:t>
      </w:r>
      <w:r>
        <w:rPr/>
        <w:t>年摊销；装修费按受益年限摊销。</w:t>
      </w:r>
    </w:p>
    <w:p>
      <w:pPr>
        <w:spacing w:line="240" w:lineRule="auto" w:before="2"/>
        <w:rPr>
          <w:rFonts w:ascii="宋体" w:hAnsi="宋体" w:cs="宋体" w:eastAsia="宋体" w:hint="default"/>
          <w:sz w:val="22"/>
          <w:szCs w:val="22"/>
        </w:rPr>
      </w:pPr>
    </w:p>
    <w:p>
      <w:pPr>
        <w:pStyle w:val="Heading5"/>
        <w:spacing w:line="240" w:lineRule="auto"/>
        <w:ind w:right="1972"/>
        <w:jc w:val="left"/>
        <w:rPr>
          <w:b w:val="0"/>
          <w:bCs w:val="0"/>
        </w:rPr>
      </w:pPr>
      <w:bookmarkStart w:name="24、职工薪酬" w:id="214"/>
      <w:bookmarkEnd w:id="214"/>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273" w:lineRule="auto" w:before="37"/>
        <w:ind w:left="574" w:right="1118" w:hanging="420"/>
        <w:jc w:val="left"/>
      </w:pPr>
      <w:r>
        <w:rPr/>
        <w:t>相关资产成本。 </w:t>
      </w:r>
      <w:r>
        <w:rPr>
          <w:spacing w:val="-1"/>
        </w:rPr>
        <w:t>本公司为职工缴纳的社会保险费和住房公积金，以及按规定提取的工会经费和职工教育经费，在职工</w:t>
      </w:r>
    </w:p>
    <w:p>
      <w:pPr>
        <w:pStyle w:val="BodyText"/>
        <w:spacing w:line="273" w:lineRule="auto"/>
        <w:ind w:left="574" w:right="1932" w:hanging="420"/>
        <w:jc w:val="left"/>
      </w:pPr>
      <w:r>
        <w:rPr/>
        <w:t>为本公司提供服务的会计期间，根据规定的计提基础和计提比例计算确定相应的职工薪酬金额。 职工福利费为非货币性福利的，如能够可靠计量的，按照公允价值计量。</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2）离职后福利的会计处理方法" w:id="216"/>
      <w:bookmarkEnd w:id="21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firstLine="210"/>
        <w:jc w:val="left"/>
      </w:pPr>
      <w:r>
        <w:rPr/>
        <w:t>（</w:t>
      </w: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本公司按当地政府的相关规定为职工缴纳基本养老保险和失业保险，在职工为本公司提供服务的会计</w:t>
      </w:r>
    </w:p>
    <w:p>
      <w:pPr>
        <w:pStyle w:val="BodyText"/>
        <w:spacing w:line="273" w:lineRule="auto" w:before="23"/>
        <w:ind w:right="1023"/>
        <w:jc w:val="left"/>
      </w:pPr>
      <w:r>
        <w:rPr/>
        <w:t>期间，按以当地规定的缴纳基数和比例计算应缴纳金额，确认为负债，并计入当期损益或相关资产成本。</w:t>
      </w:r>
      <w:r>
        <w:rPr>
          <w:spacing w:val="-38"/>
        </w:rPr>
        <w:t> </w:t>
      </w:r>
      <w:r>
        <w:rPr>
          <w:spacing w:val="-38"/>
        </w:rPr>
      </w:r>
      <w:r>
        <w:rPr>
          <w:spacing w:val="-3"/>
        </w:rPr>
        <w:t>除基本养老保险外，本公司还依据国家企业年金制度的相关政策建立了企业年金缴费制度（补充养老保险）</w:t>
      </w:r>
    </w:p>
    <w:p>
      <w:pPr>
        <w:pStyle w:val="BodyText"/>
        <w:spacing w:line="256" w:lineRule="auto"/>
        <w:ind w:right="1185"/>
        <w:jc w:val="left"/>
      </w:pP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年金计划缴费，相应支出计 入当期损益或相关资产成本。</w:t>
      </w:r>
    </w:p>
    <w:p>
      <w:pPr>
        <w:pStyle w:val="BodyText"/>
        <w:spacing w:line="256" w:lineRule="auto" w:before="22"/>
        <w:ind w:left="574" w:right="1302"/>
        <w:jc w:val="left"/>
      </w:pPr>
      <w:r>
        <w:rPr/>
        <w:t>（</w:t>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w:t>
      </w:r>
    </w:p>
    <w:p>
      <w:pPr>
        <w:pStyle w:val="BodyText"/>
        <w:spacing w:line="273" w:lineRule="auto" w:before="22"/>
        <w:ind w:left="574" w:right="1302" w:hanging="420"/>
        <w:jc w:val="left"/>
      </w:pPr>
      <w:r>
        <w:rPr/>
        <w:t>期间，并计入当期损益或相关资产成本。 设定受益计划义务现值减去设定受益计划资产公允价值所形成的赤字或盈余确认为一项设定受益计</w:t>
      </w:r>
    </w:p>
    <w:p>
      <w:pPr>
        <w:pStyle w:val="BodyText"/>
        <w:spacing w:line="273" w:lineRule="auto"/>
        <w:ind w:right="0"/>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273" w:lineRule="auto"/>
        <w:ind w:right="0" w:firstLine="420"/>
        <w:jc w:val="left"/>
      </w:pPr>
      <w:r>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BodyText"/>
        <w:spacing w:line="273" w:lineRule="auto"/>
        <w:ind w:right="0" w:firstLine="420"/>
        <w:jc w:val="left"/>
      </w:pPr>
      <w:r>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BodyText"/>
        <w:spacing w:line="273" w:lineRule="auto"/>
        <w:ind w:right="0" w:firstLine="420"/>
        <w:jc w:val="left"/>
      </w:pPr>
      <w:r>
        <w:rPr>
          <w:spacing w:val="-1"/>
        </w:rPr>
        <w:t>在设定受益计划结算时，按在结算日确定的设定受益计划义务现值和结算价格两者的差额，确认结算</w:t>
      </w:r>
      <w:r>
        <w:rPr/>
        <w:t> 利得或损失。</w:t>
      </w:r>
    </w:p>
    <w:p>
      <w:pPr>
        <w:spacing w:line="590" w:lineRule="atLeast" w:before="10"/>
        <w:ind w:left="574" w:right="0" w:hanging="420"/>
        <w:jc w:val="left"/>
        <w:rPr>
          <w:rFonts w:ascii="宋体" w:hAnsi="宋体" w:cs="宋体" w:eastAsia="宋体" w:hint="default"/>
          <w:sz w:val="21"/>
          <w:szCs w:val="21"/>
        </w:rPr>
      </w:pPr>
      <w:bookmarkStart w:name="（3）辞退福利的会计处理方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BodyText"/>
        <w:spacing w:line="240" w:lineRule="auto" w:before="37"/>
        <w:ind w:right="0"/>
        <w:jc w:val="left"/>
      </w:pPr>
      <w:r>
        <w:rPr/>
        <w:t>退福利的重组相关的成本或费用时（两者孰早），确认辞退福利产生的职工薪酬负债，并计入当期损益。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972"/>
        <w:jc w:val="left"/>
        <w:rPr>
          <w:b w:val="0"/>
          <w:bCs w:val="0"/>
        </w:rPr>
      </w:pPr>
      <w:bookmarkStart w:name="（4）其他长期职工福利的会计处理方法" w:id="218"/>
      <w:bookmarkEnd w:id="21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25、预计负债" w:id="219"/>
      <w:bookmarkEnd w:id="21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spacing w:line="273" w:lineRule="auto" w:before="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与诉讼、债务担保、亏损合同、重组事项等或有事项相关的义务同时满足下列条件时，本公司确认为</w:t>
      </w:r>
    </w:p>
    <w:p>
      <w:pPr>
        <w:pStyle w:val="BodyText"/>
        <w:spacing w:line="240" w:lineRule="auto"/>
        <w:ind w:right="1972"/>
        <w:jc w:val="left"/>
      </w:pPr>
      <w:r>
        <w:rPr/>
        <w:t>预计负债：</w:t>
      </w:r>
    </w:p>
    <w:p>
      <w:pPr>
        <w:pStyle w:val="BodyText"/>
        <w:spacing w:line="240" w:lineRule="auto" w:before="37"/>
        <w:ind w:left="574" w:right="1972"/>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21"/>
        <w:ind w:left="574" w:right="1972"/>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21"/>
        <w:ind w:left="574" w:right="1972"/>
        <w:jc w:val="left"/>
      </w:pPr>
      <w:r>
        <w:rPr/>
        <w:t>（</w:t>
      </w:r>
      <w:r>
        <w:rPr>
          <w:rFonts w:ascii="Times New Roman" w:hAnsi="Times New Roman" w:cs="Times New Roman" w:eastAsia="Times New Roman" w:hint="default"/>
        </w:rPr>
        <w:t>3</w:t>
      </w:r>
      <w:r>
        <w:rPr/>
        <w:t>）该义务的金额能够可靠地计量。</w:t>
      </w:r>
    </w:p>
    <w:p>
      <w:pPr>
        <w:spacing w:line="240" w:lineRule="auto" w:before="6"/>
        <w:rPr>
          <w:rFonts w:ascii="宋体" w:hAnsi="宋体" w:cs="宋体" w:eastAsia="宋体" w:hint="default"/>
          <w:sz w:val="25"/>
          <w:szCs w:val="25"/>
        </w:rPr>
      </w:pPr>
    </w:p>
    <w:p>
      <w:pPr>
        <w:pStyle w:val="BodyText"/>
        <w:spacing w:line="273" w:lineRule="auto" w:before="0"/>
        <w:ind w:left="574" w:right="1118" w:firstLine="2"/>
        <w:jc w:val="left"/>
      </w:pPr>
      <w:r>
        <w:rPr>
          <w:rFonts w:ascii="宋体" w:hAnsi="宋体" w:cs="宋体" w:eastAsia="宋体" w:hint="default"/>
          <w:b/>
          <w:bCs/>
        </w:rPr>
        <w:t>2.</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273" w:lineRule="auto"/>
        <w:ind w:left="574" w:right="1118" w:hanging="420"/>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273" w:lineRule="auto"/>
        <w:ind w:left="574"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273" w:lineRule="auto"/>
        <w:ind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273" w:lineRule="auto"/>
        <w:ind w:right="0" w:firstLine="420"/>
        <w:jc w:val="left"/>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26、股份支付" w:id="220"/>
      <w:bookmarkEnd w:id="22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62" w:firstLine="42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 定的负债的交易。本公司的股份支付分为以权益结算的股份支付和以现金结算的股份支付。</w:t>
      </w:r>
    </w:p>
    <w:p>
      <w:pPr>
        <w:spacing w:line="273" w:lineRule="auto" w:before="22"/>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以权益结算的股份支付及权益工具</w:t>
      </w:r>
      <w:r>
        <w:rPr>
          <w:rFonts w:ascii="宋体" w:hAnsi="宋体" w:cs="宋体" w:eastAsia="宋体" w:hint="default"/>
          <w:b/>
          <w:bCs/>
          <w:w w:val="99"/>
          <w:sz w:val="21"/>
          <w:szCs w:val="21"/>
        </w:rPr>
        <w:t> </w:t>
      </w:r>
      <w:r>
        <w:rPr>
          <w:rFonts w:ascii="宋体" w:hAnsi="宋体" w:cs="宋体" w:eastAsia="宋体" w:hint="default"/>
          <w:spacing w:val="-1"/>
          <w:sz w:val="21"/>
          <w:szCs w:val="21"/>
        </w:rPr>
        <w:t>以权益结算的股份支付换取职工提供服务的，以授予职工权益工具的公允价值计量。本公司以限制性</w:t>
      </w:r>
    </w:p>
    <w:p>
      <w:pPr>
        <w:pStyle w:val="BodyText"/>
        <w:spacing w:line="273" w:lineRule="auto"/>
        <w:ind w:right="0"/>
        <w:jc w:val="left"/>
      </w:pPr>
      <w:r>
        <w:rPr>
          <w:spacing w:val="-1"/>
        </w:rPr>
        <w:t>股票进行股份支付的，职工出资认购股票，股票在达到解锁条件并解锁前不得上市流通或转让；如果最终</w:t>
      </w:r>
      <w:r>
        <w:rPr>
          <w:spacing w:val="-83"/>
        </w:rPr>
        <w:t> </w:t>
      </w:r>
      <w:r>
        <w:rPr>
          <w:spacing w:val="-83"/>
        </w:rPr>
      </w:r>
      <w:r>
        <w:rPr>
          <w:spacing w:val="-1"/>
        </w:rPr>
        <w:t>股权激励计划规定的解锁条件未能达到，则本公司按照事先约定的价格回购股票。本公司取得职工认购限</w:t>
      </w:r>
      <w:r>
        <w:rPr>
          <w:spacing w:val="-81"/>
        </w:rPr>
        <w:t> </w:t>
      </w:r>
      <w:r>
        <w:rPr>
          <w:spacing w:val="-81"/>
        </w:rPr>
      </w:r>
      <w:r>
        <w:rPr>
          <w:spacing w:val="-1"/>
        </w:rPr>
        <w:t>制性股票支付的款项时，按照取得的认股款确认股本和资本公积（股本溢价），同时就回购义务全额确认</w:t>
      </w:r>
      <w:r>
        <w:rPr>
          <w:spacing w:val="-85"/>
        </w:rPr>
        <w:t> </w:t>
      </w:r>
      <w:r>
        <w:rPr>
          <w:spacing w:val="-85"/>
        </w:rPr>
      </w:r>
      <w:r>
        <w:rPr/>
        <w:t>一项负债并确认库存股。在等待期内每个资产负债表日，本公司根据最新取得的可行权职工人数变动</w:t>
      </w:r>
      <w:r>
        <w:rPr>
          <w:spacing w:val="-20"/>
        </w:rPr>
        <w:t> </w:t>
      </w:r>
      <w:r>
        <w:rPr/>
        <w:t>、</w:t>
      </w:r>
      <w:r>
        <w:rPr/>
        <w:t> </w:t>
      </w:r>
      <w:r>
        <w:rPr>
          <w:spacing w:val="-1"/>
        </w:rPr>
        <w:t>是否达到规定业绩条件等后续信息对可行权权益工具数量作出最佳估计，以此为基础，按照授予日的公允</w:t>
      </w:r>
      <w:r>
        <w:rPr>
          <w:spacing w:val="-81"/>
        </w:rPr>
        <w:t> </w:t>
      </w:r>
      <w:r>
        <w:rPr>
          <w:spacing w:val="-81"/>
        </w:rPr>
      </w:r>
      <w:r>
        <w:rPr>
          <w:spacing w:val="-1"/>
        </w:rPr>
        <w:t>价值，将当期取得的服务计入相关成本或费用，相应增加资本公积。在可行权日之后不再对已确认的相关</w:t>
      </w:r>
      <w:r>
        <w:rPr>
          <w:spacing w:val="-83"/>
        </w:rPr>
        <w:t> </w:t>
      </w:r>
      <w:r>
        <w:rPr>
          <w:spacing w:val="-83"/>
        </w:rPr>
      </w:r>
      <w:r>
        <w:rPr>
          <w:spacing w:val="-1"/>
        </w:rPr>
        <w:t>成本或费用和所有者权益总额进行调整。但授予后立即可行权的，在授予日按照公允价值计入相关成本或</w:t>
      </w:r>
      <w:r>
        <w:rPr>
          <w:spacing w:val="-81"/>
        </w:rPr>
        <w:t> </w:t>
      </w:r>
      <w:r>
        <w:rPr>
          <w:spacing w:val="-81"/>
        </w:rPr>
      </w:r>
      <w:r>
        <w:rPr/>
        <w:t>费用，相应增加资本公积。</w:t>
      </w:r>
    </w:p>
    <w:p>
      <w:pPr>
        <w:pStyle w:val="BodyText"/>
        <w:spacing w:line="273" w:lineRule="auto"/>
        <w:ind w:right="0" w:firstLine="420"/>
        <w:jc w:val="left"/>
      </w:pPr>
      <w:r>
        <w:rPr>
          <w:spacing w:val="-1"/>
        </w:rPr>
        <w:t>对于最终未能行权的股份支付，不确认成本或费用，除非行权条件是市场条件或非可行权条件，此时</w:t>
      </w:r>
      <w:r>
        <w:rPr/>
        <w:t> 无论是否满足市场条件或非可行权条件，只要满足所有可行权条件中的非市场条件，即视为可行权。</w:t>
      </w:r>
    </w:p>
    <w:p>
      <w:pPr>
        <w:pStyle w:val="BodyText"/>
        <w:spacing w:line="273" w:lineRule="auto" w:before="8"/>
        <w:ind w:right="0" w:firstLine="420"/>
        <w:jc w:val="left"/>
      </w:pPr>
      <w:r>
        <w:rPr>
          <w:spacing w:val="-1"/>
        </w:rPr>
        <w:t>如果修改了以权益结算的股份支付的条款，至少按照未修改条款的情况确认取得的服务。此外，任何</w:t>
      </w:r>
      <w:r>
        <w:rPr/>
        <w:t> 增加所授予权益工具公允价值的修改，或在修改日对职工有利的变更，均确认取得服务的增加。</w:t>
      </w:r>
    </w:p>
    <w:p>
      <w:pPr>
        <w:pStyle w:val="BodyText"/>
        <w:spacing w:line="273" w:lineRule="auto"/>
        <w:ind w:right="1023" w:firstLine="420"/>
        <w:jc w:val="left"/>
      </w:pPr>
      <w:r>
        <w:rPr/>
        <w:t>如果取消了以权益结算的股份支付，则于取消日作为加速行权处理，立即确认尚未确认的金额。职工 </w:t>
      </w:r>
      <w:r>
        <w:rPr>
          <w:spacing w:val="-3"/>
        </w:rPr>
        <w:t>或其他方能够选择满足非可行权条件但在等待期内未满足的，作为取消以权益结算的股份支付处理。但是，</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如果授予新的权益工具，并在新权益工具授予日认定所授予的新权益工具是用于替代被取消的权益工具的，</w:t>
      </w:r>
      <w:r>
        <w:rPr>
          <w:spacing w:val="-80"/>
        </w:rPr>
        <w:t> </w:t>
      </w:r>
      <w:r>
        <w:rPr>
          <w:spacing w:val="-80"/>
        </w:rPr>
      </w:r>
      <w:r>
        <w:rPr/>
        <w:t>则以与处理原权益工具条款和条件修改相同的方式，对所授予的替代权益工具进行处理。</w:t>
      </w:r>
    </w:p>
    <w:p>
      <w:pPr>
        <w:spacing w:line="240" w:lineRule="auto" w:before="6"/>
        <w:rPr>
          <w:rFonts w:ascii="宋体" w:hAnsi="宋体" w:cs="宋体" w:eastAsia="宋体" w:hint="default"/>
          <w:sz w:val="24"/>
          <w:szCs w:val="24"/>
        </w:rPr>
      </w:pPr>
    </w:p>
    <w:p>
      <w:pPr>
        <w:spacing w:line="273" w:lineRule="auto" w:before="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以现金结算的股份支付及权益工具</w:t>
      </w:r>
      <w:r>
        <w:rPr>
          <w:rFonts w:ascii="宋体" w:hAnsi="宋体" w:cs="宋体" w:eastAsia="宋体" w:hint="default"/>
          <w:b/>
          <w:bCs/>
          <w:w w:val="99"/>
          <w:sz w:val="21"/>
          <w:szCs w:val="21"/>
        </w:rPr>
        <w:t> </w:t>
      </w:r>
      <w:r>
        <w:rPr>
          <w:rFonts w:ascii="宋体" w:hAnsi="宋体" w:cs="宋体" w:eastAsia="宋体" w:hint="default"/>
          <w:spacing w:val="-1"/>
          <w:sz w:val="21"/>
          <w:szCs w:val="21"/>
        </w:rPr>
        <w:t>以现金结算的股份支付，按照本公司承担的以股份或其他权益工具为基础计算确定的负债的公允价值</w:t>
      </w:r>
    </w:p>
    <w:p>
      <w:pPr>
        <w:pStyle w:val="BodyText"/>
        <w:spacing w:line="264" w:lineRule="auto"/>
        <w:ind w:right="1131"/>
        <w:jc w:val="both"/>
      </w:pPr>
      <w:r>
        <w:rPr/>
        <w:t>计量。初始采用</w:t>
      </w:r>
      <w:r>
        <w:rPr>
          <w:rFonts w:ascii="Times New Roman" w:hAnsi="Times New Roman" w:cs="Times New Roman" w:eastAsia="Times New Roman" w:hint="default"/>
        </w:rPr>
        <w:t>Black-Scholes</w:t>
      </w:r>
      <w:r>
        <w:rPr/>
        <w:t>模型按照授予日的公允价值计量，并考虑授予权益工具的条款和条件，详见 本附注</w:t>
      </w:r>
      <w:r>
        <w:rPr>
          <w:rFonts w:ascii="Times New Roman" w:hAnsi="Times New Roman" w:cs="Times New Roman" w:eastAsia="Times New Roman" w:hint="default"/>
        </w:rPr>
        <w:t>“</w:t>
      </w:r>
      <w:r>
        <w:rPr/>
        <w:t>十、股份支付</w:t>
      </w:r>
      <w:r>
        <w:rPr>
          <w:rFonts w:ascii="Times New Roman" w:hAnsi="Times New Roman" w:cs="Times New Roman" w:eastAsia="Times New Roman" w:hint="default"/>
        </w:rPr>
        <w:t>”</w:t>
      </w:r>
      <w:r>
        <w:rPr/>
        <w:t>。授予后立即可行权的，在授予日以承担负债的公允价值计入成本或费用，相应增 </w:t>
      </w:r>
      <w:r>
        <w:rPr>
          <w:spacing w:val="-1"/>
        </w:rPr>
        <w:t>加负债；完成等待期内的服务或达到规定业绩条件才可行权的，在等待期内以对可行权情况的最佳估计为</w:t>
      </w:r>
      <w:r>
        <w:rPr>
          <w:spacing w:val="-81"/>
        </w:rPr>
        <w:t> </w:t>
      </w:r>
      <w:r>
        <w:rPr>
          <w:spacing w:val="-81"/>
        </w:rPr>
      </w:r>
      <w:r>
        <w:rPr>
          <w:spacing w:val="-1"/>
        </w:rPr>
        <w:t>基础，按照承担负债的公允价值，将当期取得的服务计入相关成本或费用，增加相应负债。在相关负债结</w:t>
      </w:r>
      <w:r>
        <w:rPr>
          <w:spacing w:val="-86"/>
        </w:rPr>
        <w:t> </w:t>
      </w:r>
      <w:r>
        <w:rPr>
          <w:spacing w:val="-86"/>
        </w:rPr>
      </w:r>
      <w:r>
        <w:rPr/>
        <w:t>算前的每个资产负债表日以及结算日，对负债的公允价值重新计量，其变动计入当期损益。</w:t>
      </w:r>
    </w:p>
    <w:p>
      <w:pPr>
        <w:spacing w:line="240" w:lineRule="auto" w:before="3"/>
        <w:rPr>
          <w:rFonts w:ascii="宋体" w:hAnsi="宋体" w:cs="宋体" w:eastAsia="宋体" w:hint="default"/>
          <w:sz w:val="24"/>
          <w:szCs w:val="24"/>
        </w:rPr>
      </w:pPr>
    </w:p>
    <w:p>
      <w:pPr>
        <w:pStyle w:val="Heading5"/>
        <w:spacing w:line="240" w:lineRule="auto"/>
        <w:ind w:right="0"/>
        <w:jc w:val="both"/>
        <w:rPr>
          <w:b w:val="0"/>
          <w:bCs w:val="0"/>
        </w:rPr>
      </w:pPr>
      <w:bookmarkStart w:name="27、优先股、永续债等其他金融工具" w:id="221"/>
      <w:bookmarkEnd w:id="22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both"/>
        <w:rPr>
          <w:b w:val="0"/>
          <w:bCs w:val="0"/>
        </w:rPr>
      </w:pPr>
      <w:bookmarkStart w:name="28、收入" w:id="222"/>
      <w:bookmarkEnd w:id="222"/>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4"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Heading5"/>
        <w:spacing w:line="240" w:lineRule="auto" w:before="75"/>
        <w:ind w:left="576" w:right="1972"/>
        <w:jc w:val="left"/>
        <w:rPr>
          <w:b w:val="0"/>
          <w:bCs w:val="0"/>
        </w:rPr>
      </w:pPr>
      <w:r>
        <w:rPr>
          <w:rFonts w:ascii="宋体" w:hAnsi="宋体" w:cs="宋体" w:eastAsia="宋体" w:hint="default"/>
        </w:rPr>
        <w:t>1.</w:t>
      </w:r>
      <w:r>
        <w:rPr/>
        <w:t>销售商品收入确认的一般原则：</w:t>
      </w:r>
      <w:r>
        <w:rPr>
          <w:b w:val="0"/>
          <w:bCs w:val="0"/>
        </w:rPr>
      </w:r>
    </w:p>
    <w:p>
      <w:pPr>
        <w:pStyle w:val="BodyText"/>
        <w:spacing w:line="240" w:lineRule="auto" w:before="37"/>
        <w:ind w:left="574" w:right="1972"/>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21"/>
        <w:ind w:left="574" w:right="0"/>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21"/>
        <w:ind w:left="574" w:right="1972"/>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21"/>
        <w:ind w:left="574" w:right="1972"/>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21"/>
        <w:ind w:left="574" w:right="1972"/>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6"/>
        <w:rPr>
          <w:rFonts w:ascii="宋体" w:hAnsi="宋体" w:cs="宋体" w:eastAsia="宋体" w:hint="default"/>
          <w:sz w:val="25"/>
          <w:szCs w:val="25"/>
        </w:rPr>
      </w:pPr>
    </w:p>
    <w:p>
      <w:pPr>
        <w:pStyle w:val="BodyText"/>
        <w:spacing w:line="273" w:lineRule="auto" w:before="0"/>
        <w:ind w:left="574" w:right="1118" w:firstLine="2"/>
        <w:jc w:val="left"/>
      </w:pPr>
      <w:r>
        <w:rPr>
          <w:rFonts w:ascii="宋体" w:hAnsi="宋体" w:cs="宋体" w:eastAsia="宋体" w:hint="default"/>
          <w:b/>
          <w:bCs/>
        </w:rPr>
        <w:t>2.</w:t>
      </w:r>
      <w:r>
        <w:rPr>
          <w:rFonts w:ascii="宋体" w:hAnsi="宋体" w:cs="宋体" w:eastAsia="宋体" w:hint="default"/>
          <w:b/>
          <w:bCs/>
        </w:rPr>
        <w:t>具体原则</w:t>
      </w:r>
      <w:r>
        <w:rPr>
          <w:rFonts w:ascii="宋体" w:hAnsi="宋体" w:cs="宋体" w:eastAsia="宋体" w:hint="default"/>
          <w:b/>
          <w:bCs/>
          <w:w w:val="99"/>
        </w:rPr>
        <w:t> </w:t>
      </w:r>
      <w:r>
        <w:rPr>
          <w:spacing w:val="-1"/>
        </w:rPr>
        <w:t>本公司营业收入主要包括应用软件收入、技术服务收入、系统集成工程收入、电信运营业务收入和网</w:t>
      </w:r>
    </w:p>
    <w:p>
      <w:pPr>
        <w:pStyle w:val="BodyText"/>
        <w:spacing w:line="240" w:lineRule="auto"/>
        <w:ind w:right="0"/>
        <w:jc w:val="both"/>
      </w:pPr>
      <w:r>
        <w:rPr/>
        <w:t>络产品销售业务收入，各项收入确认的具体原则和方法如下：</w:t>
      </w:r>
    </w:p>
    <w:p>
      <w:pPr>
        <w:pStyle w:val="BodyText"/>
        <w:spacing w:line="256" w:lineRule="auto" w:before="37"/>
        <w:ind w:left="574" w:right="4872"/>
        <w:jc w:val="left"/>
      </w:pPr>
      <w:r>
        <w:rPr/>
        <w:t>（</w:t>
      </w:r>
      <w:r>
        <w:rPr>
          <w:rFonts w:ascii="Times New Roman" w:hAnsi="Times New Roman" w:cs="Times New Roman" w:eastAsia="Times New Roman" w:hint="default"/>
        </w:rPr>
        <w:t>1</w:t>
      </w:r>
      <w:r>
        <w:rPr/>
        <w:t>）应用软件收入的确认原则及方法 应用软件收入包括应用软件开发收入和软件产品销售收入。</w:t>
      </w:r>
    </w:p>
    <w:p>
      <w:pPr>
        <w:pStyle w:val="BodyText"/>
        <w:spacing w:line="273" w:lineRule="auto" w:before="22"/>
        <w:ind w:right="0" w:firstLine="420"/>
        <w:jc w:val="left"/>
      </w:pPr>
      <w:r>
        <w:rPr>
          <w:spacing w:val="-1"/>
        </w:rPr>
        <w:t>①应用软件开发收入：是指接受客户委托，根据客户的本地化需要，对应用软件技术进行研究开发所</w:t>
      </w:r>
      <w:r>
        <w:rPr/>
        <w:t> 获得的收入。由此开发出来的软件为定制软件、不具有通用性。其收入确认的原则及方法为：</w:t>
      </w:r>
    </w:p>
    <w:p>
      <w:pPr>
        <w:pStyle w:val="BodyText"/>
        <w:spacing w:line="256" w:lineRule="auto"/>
        <w:ind w:right="0" w:firstLine="420"/>
        <w:jc w:val="left"/>
      </w:pPr>
      <w:r>
        <w:rPr>
          <w:rFonts w:ascii="Times New Roman" w:hAnsi="Times New Roman" w:cs="Times New Roman" w:eastAsia="Times New Roman" w:hint="default"/>
          <w:spacing w:val="-1"/>
        </w:rPr>
        <w:t>A.</w:t>
      </w:r>
      <w:r>
        <w:rPr>
          <w:spacing w:val="-1"/>
        </w:rPr>
        <w:t>在资产负债表日提供劳务交易的结果能够可靠估计的软件开发项目，采用完工百分比法（项目完工</w:t>
      </w:r>
      <w:r>
        <w:rPr/>
        <w:t> 进度）确认软件开发收入。</w:t>
      </w:r>
    </w:p>
    <w:p>
      <w:pPr>
        <w:pStyle w:val="BodyText"/>
        <w:spacing w:line="273" w:lineRule="auto" w:before="22"/>
        <w:ind w:right="0" w:firstLine="420"/>
        <w:jc w:val="left"/>
      </w:pPr>
      <w:r>
        <w:rPr/>
        <w:t>完工百分比的确定方法：按己经提供的工作量占应提供的工作总量的比例确定。由于本公司计算的已 </w:t>
      </w:r>
      <w:r>
        <w:rPr>
          <w:spacing w:val="-1"/>
        </w:rPr>
        <w:t>提供的工作量需要委托方认可，故本公司实际采用委托方认可的完工进度证明作为完工百分比的确定依据。</w:t>
      </w:r>
    </w:p>
    <w:p>
      <w:pPr>
        <w:pStyle w:val="BodyText"/>
        <w:spacing w:line="268" w:lineRule="auto"/>
        <w:ind w:right="1131" w:firstLine="420"/>
        <w:jc w:val="both"/>
      </w:pPr>
      <w:r>
        <w:rPr>
          <w:rFonts w:ascii="Times New Roman" w:hAnsi="Times New Roman" w:cs="Times New Roman" w:eastAsia="Times New Roman" w:hint="default"/>
          <w:spacing w:val="-1"/>
        </w:rPr>
        <w:t>B.</w:t>
      </w:r>
      <w:r>
        <w:rPr>
          <w:spacing w:val="-1"/>
        </w:rPr>
        <w:t>对在资产负债表日提供劳务交易结果不能可靠估计的软件开发项目，如果已经发生的成本预计能够</w:t>
      </w:r>
      <w:r>
        <w:rPr/>
        <w:t> </w:t>
      </w:r>
      <w:r>
        <w:rPr>
          <w:spacing w:val="-1"/>
        </w:rPr>
        <w:t>得到补偿，按能够得到补偿的金额确认收入，并按相同的金额结转成本；如果已经发生的成本预计不能全</w:t>
      </w:r>
      <w:r>
        <w:rPr>
          <w:spacing w:val="-83"/>
        </w:rPr>
        <w:t> </w:t>
      </w:r>
      <w:r>
        <w:rPr>
          <w:spacing w:val="-83"/>
        </w:rPr>
      </w:r>
      <w:r>
        <w:rPr>
          <w:spacing w:val="-1"/>
        </w:rPr>
        <w:t>部得到补偿，按能够得到补偿的开发成本金额确认收入，并按已发生的成本结转成本，确认的收入金额小</w:t>
      </w:r>
      <w:r>
        <w:rPr>
          <w:spacing w:val="-83"/>
        </w:rPr>
        <w:t> </w:t>
      </w:r>
      <w:r>
        <w:rPr>
          <w:spacing w:val="-83"/>
        </w:rPr>
      </w:r>
      <w:r>
        <w:rPr>
          <w:spacing w:val="-1"/>
        </w:rPr>
        <w:t>于已经发生的成本的差额，确认为损失；如果已发生的成本全部不能得到补偿，则不确认收入，但将已发</w:t>
      </w:r>
      <w:r>
        <w:rPr>
          <w:spacing w:val="-86"/>
        </w:rPr>
        <w:t> </w:t>
      </w:r>
      <w:r>
        <w:rPr>
          <w:spacing w:val="-86"/>
        </w:rPr>
      </w:r>
      <w:r>
        <w:rPr/>
        <w:t>生的成本确认为费用。</w:t>
      </w:r>
    </w:p>
    <w:p>
      <w:pPr>
        <w:spacing w:after="0" w:line="268"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②软件产品销售收入：软件产品销售收入是指自行开发生产的计算机软件所获得的收入。该应用软件</w:t>
      </w:r>
      <w:r>
        <w:rPr/>
        <w:t> </w:t>
      </w:r>
      <w:r>
        <w:rPr>
          <w:spacing w:val="-1"/>
        </w:rPr>
        <w:t>产品的特点是通用性强、不需要进行本地化开发，通过产品配置、技术培训就能够满足客户对产品的应用</w:t>
      </w:r>
      <w:r>
        <w:rPr>
          <w:spacing w:val="-83"/>
        </w:rPr>
        <w:t> </w:t>
      </w:r>
      <w:r>
        <w:rPr>
          <w:spacing w:val="-83"/>
        </w:rPr>
      </w:r>
      <w:r>
        <w:rPr/>
        <w:t>需求。其收入确认的原则及方法为：</w:t>
      </w:r>
    </w:p>
    <w:p>
      <w:pPr>
        <w:pStyle w:val="BodyText"/>
        <w:spacing w:line="273" w:lineRule="auto"/>
        <w:ind w:right="1131" w:firstLine="420"/>
        <w:jc w:val="both"/>
      </w:pPr>
      <w:r>
        <w:rPr>
          <w:spacing w:val="-1"/>
        </w:rPr>
        <w:t>本公司在软件产品使用权的重要风险和报酬转移给买方、不再对该软件产品使用权实施继续管理权和</w:t>
      </w:r>
      <w:r>
        <w:rPr/>
        <w:t> </w:t>
      </w:r>
      <w:r>
        <w:rPr>
          <w:spacing w:val="-1"/>
        </w:rPr>
        <w:t>实际控制权、相关的收入已经收到或取得了收款的证据、并且与销售该软件产品有关的成本能够可靠地计</w:t>
      </w:r>
      <w:r>
        <w:rPr>
          <w:spacing w:val="-81"/>
        </w:rPr>
        <w:t> </w:t>
      </w:r>
      <w:r>
        <w:rPr>
          <w:spacing w:val="-81"/>
        </w:rPr>
      </w:r>
      <w:r>
        <w:rPr/>
        <w:t>量时，确认销售收入。</w:t>
      </w:r>
    </w:p>
    <w:p>
      <w:pPr>
        <w:pStyle w:val="BodyText"/>
        <w:spacing w:line="256" w:lineRule="auto"/>
        <w:ind w:left="574" w:right="0"/>
        <w:jc w:val="left"/>
      </w:pPr>
      <w:r>
        <w:rPr/>
        <w:t>（</w:t>
      </w:r>
      <w:r>
        <w:rPr>
          <w:rFonts w:ascii="Times New Roman" w:hAnsi="Times New Roman" w:cs="Times New Roman" w:eastAsia="Times New Roman" w:hint="default"/>
        </w:rPr>
        <w:t>2</w:t>
      </w:r>
      <w:r>
        <w:rPr/>
        <w:t>）技术服务收入的确认原则及方法 本公司技术服务特点是在服务期间内及时解决客户提出的问题，满足服务要求。服务合同期限过后，</w:t>
      </w:r>
    </w:p>
    <w:p>
      <w:pPr>
        <w:pStyle w:val="BodyText"/>
        <w:spacing w:line="273" w:lineRule="auto" w:before="22"/>
        <w:ind w:right="1118"/>
        <w:jc w:val="left"/>
      </w:pPr>
      <w:r>
        <w:rPr>
          <w:spacing w:val="-1"/>
        </w:rPr>
        <w:t>合同自动终止。其收入确认的原则及方法为：在劳务已经提供，收到价款或取得收取款项的证据时，确认</w:t>
      </w:r>
      <w:r>
        <w:rPr>
          <w:spacing w:val="-86"/>
        </w:rPr>
        <w:t> </w:t>
      </w:r>
      <w:r>
        <w:rPr>
          <w:spacing w:val="-86"/>
        </w:rPr>
      </w:r>
      <w:r>
        <w:rPr/>
        <w:t>劳务收入。</w:t>
      </w:r>
    </w:p>
    <w:p>
      <w:pPr>
        <w:pStyle w:val="BodyText"/>
        <w:spacing w:line="256" w:lineRule="auto"/>
        <w:ind w:left="574" w:right="0"/>
        <w:jc w:val="left"/>
      </w:pPr>
      <w:r>
        <w:rPr/>
        <w:t>（</w:t>
      </w:r>
      <w:r>
        <w:rPr>
          <w:rFonts w:ascii="Times New Roman" w:hAnsi="Times New Roman" w:cs="Times New Roman" w:eastAsia="Times New Roman" w:hint="default"/>
        </w:rPr>
        <w:t>3</w:t>
      </w:r>
      <w:r>
        <w:rPr/>
        <w:t>）系统集成工程的确认原则及方法 </w:t>
      </w:r>
      <w:r>
        <w:rPr>
          <w:spacing w:val="-1"/>
        </w:rPr>
        <w:t>系统集成工程：是指公司为客户实施系统集成工程时，应客户要求代其外购硬件系统并安装集成所获</w:t>
      </w:r>
    </w:p>
    <w:p>
      <w:pPr>
        <w:pStyle w:val="BodyText"/>
        <w:spacing w:line="273" w:lineRule="auto" w:before="22"/>
        <w:ind w:left="574" w:right="0" w:hanging="420"/>
        <w:jc w:val="left"/>
      </w:pPr>
      <w:r>
        <w:rPr/>
        <w:t>得的收入。其收入确认的原则及方法为： </w:t>
      </w:r>
      <w:r>
        <w:rPr>
          <w:spacing w:val="-1"/>
        </w:rPr>
        <w:t>系统集成工程项目软硬件系统所有权上的主要风险和报酬转移给买方，公司不再对其实施继续管理权</w:t>
      </w:r>
    </w:p>
    <w:p>
      <w:pPr>
        <w:pStyle w:val="BodyText"/>
        <w:spacing w:line="273" w:lineRule="auto"/>
        <w:ind w:right="0"/>
        <w:jc w:val="left"/>
      </w:pPr>
      <w:r>
        <w:rPr>
          <w:spacing w:val="-1"/>
        </w:rPr>
        <w:t>和实际控制权，相关的收入已经收到或取得了收款的证据，与销售该软硬件系统有关的成本能够可靠地计</w:t>
      </w:r>
      <w:r>
        <w:rPr>
          <w:spacing w:val="-81"/>
        </w:rPr>
        <w:t> </w:t>
      </w:r>
      <w:r>
        <w:rPr>
          <w:spacing w:val="-81"/>
        </w:rPr>
      </w:r>
      <w:r>
        <w:rPr/>
        <w:t>量时，确认销售收入。</w:t>
      </w:r>
    </w:p>
    <w:p>
      <w:pPr>
        <w:pStyle w:val="BodyText"/>
        <w:spacing w:line="256" w:lineRule="auto"/>
        <w:ind w:left="574" w:right="0"/>
        <w:jc w:val="left"/>
      </w:pPr>
      <w:r>
        <w:rPr/>
        <w:t>（</w:t>
      </w:r>
      <w:r>
        <w:rPr>
          <w:rFonts w:ascii="Times New Roman" w:hAnsi="Times New Roman" w:cs="Times New Roman" w:eastAsia="Times New Roman" w:hint="default"/>
        </w:rPr>
        <w:t>4</w:t>
      </w:r>
      <w:r>
        <w:rPr/>
        <w:t>）电信运营业务收入的确认原则及方法 </w:t>
      </w:r>
      <w:r>
        <w:rPr>
          <w:spacing w:val="-1"/>
        </w:rPr>
        <w:t>电信运营业务是指由本公司提供软、硬件设备，中国联通、中国电信等电信运营商提供通信网络和客</w:t>
      </w:r>
    </w:p>
    <w:p>
      <w:pPr>
        <w:pStyle w:val="BodyText"/>
        <w:spacing w:line="273" w:lineRule="auto" w:before="22"/>
        <w:ind w:left="574" w:right="0" w:hanging="420"/>
        <w:jc w:val="left"/>
      </w:pPr>
      <w:r>
        <w:rPr/>
        <w:t>户资源的合作业务，双方按协议约定比例对取得的信息费（或功能费）收入进行分成。 </w:t>
      </w:r>
      <w:r>
        <w:rPr>
          <w:spacing w:val="-1"/>
        </w:rPr>
        <w:t>电信运营业务收入的确认原则及方法为：根据电信运营商提供的结算报表，依据合同约定的费率、分</w:t>
      </w:r>
    </w:p>
    <w:p>
      <w:pPr>
        <w:pStyle w:val="BodyText"/>
        <w:spacing w:line="240" w:lineRule="auto"/>
        <w:ind w:right="1972"/>
        <w:jc w:val="left"/>
      </w:pPr>
      <w:r>
        <w:rPr/>
        <w:t>成比例计算确认收入。</w:t>
      </w:r>
    </w:p>
    <w:p>
      <w:pPr>
        <w:pStyle w:val="BodyText"/>
        <w:spacing w:line="256" w:lineRule="auto" w:before="37"/>
        <w:ind w:left="574" w:right="0"/>
        <w:jc w:val="left"/>
      </w:pPr>
      <w:r>
        <w:rPr/>
        <w:t>（</w:t>
      </w:r>
      <w:r>
        <w:rPr>
          <w:rFonts w:ascii="Times New Roman" w:hAnsi="Times New Roman" w:cs="Times New Roman" w:eastAsia="Times New Roman" w:hint="default"/>
        </w:rPr>
        <w:t>5</w:t>
      </w:r>
      <w:r>
        <w:rPr/>
        <w:t>）网络产品销售业务收入的确认原则及方法 网络产品销售所有权上的主要风险和报酬转移给买方，公司不再对其实施继续管理权和实际控制权，</w:t>
      </w:r>
    </w:p>
    <w:p>
      <w:pPr>
        <w:pStyle w:val="BodyText"/>
        <w:spacing w:line="273" w:lineRule="auto" w:before="22"/>
        <w:ind w:right="1118"/>
        <w:jc w:val="left"/>
      </w:pPr>
      <w:r>
        <w:rPr>
          <w:spacing w:val="-1"/>
        </w:rPr>
        <w:t>相关的收入已经收到或取得了收款的证据，与销售该网络产品有关的成本能够可靠地计量时，确认销售收</w:t>
      </w:r>
      <w:r>
        <w:rPr>
          <w:spacing w:val="-80"/>
        </w:rPr>
        <w:t> </w:t>
      </w:r>
      <w:r>
        <w:rPr>
          <w:spacing w:val="-80"/>
        </w:rPr>
      </w:r>
      <w:r>
        <w:rPr/>
        <w:t>入。</w:t>
      </w:r>
    </w:p>
    <w:p>
      <w:pPr>
        <w:pStyle w:val="BodyText"/>
        <w:spacing w:line="240" w:lineRule="auto"/>
        <w:ind w:left="574" w:right="1972"/>
        <w:jc w:val="left"/>
      </w:pPr>
      <w:r>
        <w:rPr/>
        <w:t>（</w:t>
      </w:r>
      <w:r>
        <w:rPr>
          <w:rFonts w:ascii="Times New Roman" w:hAnsi="Times New Roman" w:cs="Times New Roman" w:eastAsia="Times New Roman" w:hint="default"/>
        </w:rPr>
        <w:t>6</w:t>
      </w:r>
      <w:r>
        <w:rPr/>
        <w:t>）让渡资产使用权收入包括利息收入、使用费收入。</w:t>
      </w:r>
    </w:p>
    <w:p>
      <w:pPr>
        <w:pStyle w:val="BodyText"/>
        <w:spacing w:line="240" w:lineRule="auto" w:before="21"/>
        <w:ind w:left="574" w:right="1972"/>
        <w:jc w:val="left"/>
      </w:pPr>
      <w:r>
        <w:rPr/>
        <w:t>①利息收入金额，按照他人使用本企业货币资金的时间和实际利率计算确定；</w:t>
      </w:r>
    </w:p>
    <w:p>
      <w:pPr>
        <w:pStyle w:val="BodyText"/>
        <w:spacing w:line="240" w:lineRule="auto" w:before="37"/>
        <w:ind w:left="574" w:right="1972"/>
        <w:jc w:val="left"/>
      </w:pPr>
      <w:r>
        <w:rPr/>
        <w:t>②使用费收入金额，按照有关合同或协议约定的收费时间和方法计算确定。</w:t>
      </w:r>
    </w:p>
    <w:p>
      <w:pPr>
        <w:spacing w:line="240" w:lineRule="auto" w:before="11"/>
        <w:rPr>
          <w:rFonts w:ascii="宋体" w:hAnsi="宋体" w:cs="宋体" w:eastAsia="宋体" w:hint="default"/>
          <w:sz w:val="25"/>
          <w:szCs w:val="25"/>
        </w:rPr>
      </w:pPr>
    </w:p>
    <w:p>
      <w:pPr>
        <w:pStyle w:val="Heading5"/>
        <w:spacing w:line="240" w:lineRule="auto"/>
        <w:ind w:right="1972"/>
        <w:jc w:val="left"/>
        <w:rPr>
          <w:b w:val="0"/>
          <w:bCs w:val="0"/>
        </w:rPr>
      </w:pPr>
      <w:bookmarkStart w:name="29、政府补助" w:id="223"/>
      <w:bookmarkEnd w:id="22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118" w:firstLine="2"/>
        <w:jc w:val="left"/>
      </w:pPr>
      <w:r>
        <w:rPr>
          <w:rFonts w:ascii="宋体" w:hAnsi="宋体" w:cs="宋体" w:eastAsia="宋体"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spacing w:val="-1"/>
        </w:rPr>
        <w:t>政府补助，是本公司从政府无偿取得的货币性资产与非货币性资产。分为与资产相关的政府补助和与</w:t>
      </w:r>
    </w:p>
    <w:p>
      <w:pPr>
        <w:pStyle w:val="BodyText"/>
        <w:spacing w:line="273" w:lineRule="auto"/>
        <w:ind w:left="574" w:right="0" w:hanging="420"/>
        <w:jc w:val="left"/>
      </w:pPr>
      <w:r>
        <w:rPr/>
        <w:t>收益相关的政府补助。 </w:t>
      </w:r>
      <w:r>
        <w:rPr>
          <w:spacing w:val="-1"/>
        </w:rPr>
        <w:t>与资产相关的政府补助，是指本公司取得的、用于购建或以其他方式形成长期资产的政府补助。与收</w:t>
      </w:r>
    </w:p>
    <w:p>
      <w:pPr>
        <w:pStyle w:val="BodyText"/>
        <w:spacing w:line="273" w:lineRule="auto"/>
        <w:ind w:left="574" w:right="0" w:hanging="420"/>
        <w:jc w:val="left"/>
      </w:pPr>
      <w:r>
        <w:rPr/>
        <w:t>益相关的政府补助，是指除与资产相关的政府补助之外的政府补助。 本公司将政府补助划分为与资产相关的具体标准为： </w:t>
      </w:r>
      <w:r>
        <w:rPr>
          <w:spacing w:val="-1"/>
        </w:rPr>
        <w:t>政府文件明确规定补助对象为资产类项目的，使用该政府补助款将本使公司形成长期资产的，本公司</w:t>
      </w:r>
    </w:p>
    <w:p>
      <w:pPr>
        <w:pStyle w:val="BodyText"/>
        <w:spacing w:line="273" w:lineRule="auto"/>
        <w:ind w:left="574" w:right="5502" w:hanging="420"/>
        <w:jc w:val="left"/>
      </w:pPr>
      <w:r>
        <w:rPr/>
        <w:t>将该政府补助划分为与资产相关的政府补助。 本公司将政府补助划分为与收益相关的具体标准为：</w:t>
      </w:r>
    </w:p>
    <w:p>
      <w:pPr>
        <w:pStyle w:val="BodyText"/>
        <w:spacing w:line="273" w:lineRule="auto" w:before="8"/>
        <w:ind w:right="1131" w:firstLine="420"/>
        <w:jc w:val="both"/>
      </w:pPr>
      <w:r>
        <w:rPr>
          <w:spacing w:val="-1"/>
        </w:rPr>
        <w:t>政府文件明确规定补助对象为收益类项目的，该政府补助无特定用途，或使用该政府补助款不会使公</w:t>
      </w:r>
      <w:r>
        <w:rPr/>
        <w:t> 司形成长期资产的，本公司将该政府补助划分为与收益相关的政府补助</w:t>
      </w:r>
    </w:p>
    <w:p>
      <w:pPr>
        <w:pStyle w:val="BodyText"/>
        <w:spacing w:line="273" w:lineRule="auto"/>
        <w:ind w:right="1132" w:firstLine="420"/>
        <w:jc w:val="both"/>
      </w:pPr>
      <w:r>
        <w:rPr>
          <w:spacing w:val="-1"/>
        </w:rPr>
        <w:t>对于政府文件未明确规定补助对象的，本公司将该政府补助划分为与资产相关或与收益相关的判断依</w:t>
      </w:r>
      <w:r>
        <w:rPr/>
        <w:t> 据为：</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1972"/>
        <w:jc w:val="left"/>
      </w:pPr>
      <w:r>
        <w:rPr/>
        <w:t>根据该政府补助的实际使用情况判断。</w:t>
      </w:r>
    </w:p>
    <w:p>
      <w:pPr>
        <w:spacing w:line="240" w:lineRule="auto" w:before="9"/>
        <w:rPr>
          <w:rFonts w:ascii="宋体" w:hAnsi="宋体" w:cs="宋体" w:eastAsia="宋体" w:hint="default"/>
          <w:sz w:val="26"/>
          <w:szCs w:val="26"/>
        </w:rPr>
      </w:pPr>
    </w:p>
    <w:p>
      <w:pPr>
        <w:pStyle w:val="BodyText"/>
        <w:spacing w:line="273" w:lineRule="auto" w:before="0"/>
        <w:ind w:left="574" w:right="1118" w:firstLine="2"/>
        <w:jc w:val="left"/>
      </w:pPr>
      <w:r>
        <w:rPr>
          <w:rFonts w:ascii="宋体" w:hAnsi="宋体" w:cs="宋体" w:eastAsia="宋体" w:hint="default"/>
          <w:b/>
          <w:bCs/>
        </w:rPr>
        <w:t>1.</w:t>
      </w:r>
      <w:r>
        <w:rPr>
          <w:rFonts w:ascii="宋体" w:hAnsi="宋体" w:cs="宋体" w:eastAsia="宋体" w:hint="default"/>
          <w:b/>
          <w:bCs/>
        </w:rPr>
        <w:t>确认时点</w:t>
      </w:r>
      <w:r>
        <w:rPr>
          <w:rFonts w:ascii="宋体" w:hAnsi="宋体" w:cs="宋体" w:eastAsia="宋体" w:hint="default"/>
          <w:b/>
          <w:bCs/>
          <w:w w:val="99"/>
        </w:rPr>
        <w:t> </w:t>
      </w:r>
      <w:r>
        <w:rPr>
          <w:spacing w:val="-1"/>
        </w:rPr>
        <w:t>公司取得的各种政府补助为货币性资产的，按照实际收到的金额计量；存在确凿证据表明该项补助是</w:t>
      </w:r>
    </w:p>
    <w:p>
      <w:pPr>
        <w:pStyle w:val="BodyText"/>
        <w:spacing w:line="273" w:lineRule="auto" w:before="8"/>
        <w:ind w:right="1131"/>
        <w:jc w:val="both"/>
      </w:pPr>
      <w:r>
        <w:rPr>
          <w:spacing w:val="-1"/>
        </w:rPr>
        <w:t>按照固定的定额标准拨付的，如按照实际销量或储备量与单位补贴定额计算的补助等，按照应收的金额计</w:t>
      </w:r>
      <w:r>
        <w:rPr>
          <w:spacing w:val="-81"/>
        </w:rPr>
        <w:t> </w:t>
      </w:r>
      <w:r>
        <w:rPr>
          <w:spacing w:val="-81"/>
        </w:rPr>
      </w:r>
      <w:r>
        <w:rPr/>
        <w:t>量。</w:t>
      </w:r>
    </w:p>
    <w:p>
      <w:pPr>
        <w:spacing w:line="240" w:lineRule="auto" w:before="6"/>
        <w:rPr>
          <w:rFonts w:ascii="宋体" w:hAnsi="宋体" w:cs="宋体" w:eastAsia="宋体" w:hint="default"/>
          <w:sz w:val="24"/>
          <w:szCs w:val="24"/>
        </w:rPr>
      </w:pPr>
    </w:p>
    <w:p>
      <w:pPr>
        <w:pStyle w:val="BodyText"/>
        <w:spacing w:line="273" w:lineRule="auto" w:before="0"/>
        <w:ind w:left="574" w:right="1118" w:firstLine="2"/>
        <w:jc w:val="left"/>
      </w:pPr>
      <w:r>
        <w:rPr>
          <w:rFonts w:ascii="宋体" w:hAnsi="宋体" w:cs="宋体" w:eastAsia="宋体" w:hint="default"/>
          <w:b/>
          <w:bCs/>
        </w:rPr>
        <w:t>2.</w:t>
      </w:r>
      <w:r>
        <w:rPr>
          <w:rFonts w:ascii="宋体" w:hAnsi="宋体" w:cs="宋体" w:eastAsia="宋体" w:hint="default"/>
          <w:b/>
          <w:bCs/>
        </w:rPr>
        <w:t>会计处理</w:t>
      </w:r>
      <w:r>
        <w:rPr>
          <w:rFonts w:ascii="宋体" w:hAnsi="宋体" w:cs="宋体" w:eastAsia="宋体" w:hint="default"/>
          <w:b/>
          <w:bCs/>
          <w:w w:val="99"/>
        </w:rPr>
        <w:t> </w:t>
      </w:r>
      <w:r>
        <w:rPr>
          <w:spacing w:val="-1"/>
        </w:rPr>
        <w:t>与资产相关的政府补助，冲减相关资产账面价值或确认为递延收益。确认为递延收益的，在相关资产</w:t>
      </w:r>
    </w:p>
    <w:p>
      <w:pPr>
        <w:pStyle w:val="BodyText"/>
        <w:spacing w:line="273" w:lineRule="auto"/>
        <w:ind w:right="1133"/>
        <w:jc w:val="both"/>
      </w:pPr>
      <w:r>
        <w:rPr>
          <w:spacing w:val="-1"/>
        </w:rPr>
        <w:t>使用寿命内按照合理、系统的方法分期计入当期损益（与本公司日常活动相关的，计入其他收益；与本公</w:t>
      </w:r>
      <w:r>
        <w:rPr>
          <w:spacing w:val="-86"/>
        </w:rPr>
        <w:t> </w:t>
      </w:r>
      <w:r>
        <w:rPr>
          <w:spacing w:val="-86"/>
        </w:rPr>
      </w:r>
      <w:r>
        <w:rPr/>
        <w:t>司日常活动无关的，计入营业外收入）；</w:t>
      </w:r>
    </w:p>
    <w:p>
      <w:pPr>
        <w:pStyle w:val="BodyText"/>
        <w:spacing w:line="273" w:lineRule="auto"/>
        <w:ind w:right="1131" w:firstLine="420"/>
        <w:jc w:val="both"/>
      </w:pPr>
      <w:r>
        <w:rPr>
          <w:spacing w:val="-1"/>
        </w:rPr>
        <w:t>与收益相关的政府补助，用于补偿本公司以后期间的相关成本费用或损失的，确认为递延收益，并在</w:t>
      </w:r>
      <w:r>
        <w:rPr/>
        <w:t> </w:t>
      </w:r>
      <w:r>
        <w:rPr>
          <w:spacing w:val="-1"/>
        </w:rPr>
        <w:t>确认相关成本费用或损失的期间，计入当期损益（与本公司日常活动相关的，计入其他收益；与本公司日</w:t>
      </w:r>
      <w:r>
        <w:rPr>
          <w:spacing w:val="-86"/>
        </w:rPr>
        <w:t> </w:t>
      </w:r>
      <w:r>
        <w:rPr>
          <w:spacing w:val="-86"/>
        </w:rPr>
      </w:r>
      <w:r>
        <w:rPr>
          <w:spacing w:val="-1"/>
        </w:rPr>
        <w:t>常活动无关的，计入营业外收入）或冲减相关成本费用或损失；用于补偿本公司已发生的相关成本费用或</w:t>
      </w:r>
      <w:r>
        <w:rPr>
          <w:spacing w:val="-83"/>
        </w:rPr>
        <w:t> </w:t>
      </w:r>
      <w:r>
        <w:rPr>
          <w:spacing w:val="-83"/>
        </w:rPr>
      </w:r>
      <w:r>
        <w:rPr>
          <w:spacing w:val="-1"/>
        </w:rPr>
        <w:t>损失的，直接计入当期损益（与本公司日常活动相关的，计入其他收益；与本公司日常活动无关的，计入</w:t>
      </w:r>
      <w:r>
        <w:rPr>
          <w:spacing w:val="-83"/>
        </w:rPr>
        <w:t> </w:t>
      </w:r>
      <w:r>
        <w:rPr>
          <w:spacing w:val="-83"/>
        </w:rPr>
      </w:r>
      <w:r>
        <w:rPr/>
        <w:t>营业外收入）或冲减相关成本费用或损失。</w:t>
      </w:r>
    </w:p>
    <w:p>
      <w:pPr>
        <w:pStyle w:val="BodyText"/>
        <w:spacing w:line="240" w:lineRule="auto"/>
        <w:ind w:left="574" w:right="1972"/>
        <w:jc w:val="left"/>
      </w:pPr>
      <w:r>
        <w:rPr/>
        <w:t>本公司取得的政策性优惠贷款贴息，区分以下两种情况，分别进行会计处理：</w:t>
      </w:r>
    </w:p>
    <w:p>
      <w:pPr>
        <w:pStyle w:val="BodyText"/>
        <w:spacing w:line="256" w:lineRule="auto" w:before="37"/>
        <w:ind w:right="0" w:firstLine="420"/>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BodyText"/>
        <w:spacing w:line="240" w:lineRule="auto" w:before="22"/>
        <w:ind w:left="574" w:right="1972"/>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590" w:lineRule="atLeast" w:before="23"/>
        <w:ind w:left="574" w:right="0" w:hanging="420"/>
        <w:jc w:val="left"/>
        <w:rPr>
          <w:rFonts w:ascii="宋体" w:hAnsi="宋体" w:cs="宋体" w:eastAsia="宋体" w:hint="default"/>
          <w:sz w:val="21"/>
          <w:szCs w:val="21"/>
        </w:rPr>
      </w:pPr>
      <w:bookmarkStart w:name="30、递延所得税资产/递延所得税负债" w:id="224"/>
      <w:bookmarkEnd w:id="224"/>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BodyText"/>
        <w:spacing w:line="273" w:lineRule="auto" w:before="37"/>
        <w:ind w:right="1131"/>
        <w:jc w:val="both"/>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BodyText"/>
        <w:spacing w:line="273" w:lineRule="auto"/>
        <w:ind w:left="574"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273" w:lineRule="auto"/>
        <w:ind w:left="574" w:right="0"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273" w:lineRule="auto"/>
        <w:ind w:left="574" w:right="0"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273" w:lineRule="auto"/>
        <w:ind w:right="1130"/>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0"/>
        </w:rPr>
        <w:t> </w:t>
      </w:r>
      <w:r>
        <w:rPr>
          <w:spacing w:val="-80"/>
        </w:rPr>
      </w:r>
      <w:r>
        <w:rPr/>
        <w:t>债或是同时取得资产、清偿负债时，递延所得税资产及递延所得税负债以抵销后的净额列报。</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31、租赁" w:id="225"/>
      <w:bookmarkEnd w:id="225"/>
      <w:r>
        <w:rPr>
          <w:b w:val="0"/>
          <w:bCs w:val="0"/>
        </w:rPr>
      </w:r>
      <w:r>
        <w:rPr>
          <w:rFonts w:ascii="Times New Roman" w:hAnsi="Times New Roman" w:cs="Times New Roman" w:eastAsia="Times New Roman" w:hint="default"/>
        </w:rPr>
        <w:t>31</w:t>
      </w:r>
      <w:r>
        <w:rPr/>
        <w:t>、租赁</w:t>
      </w:r>
      <w:r>
        <w:rPr>
          <w:b w:val="0"/>
          <w:bCs w:val="0"/>
        </w:rPr>
      </w:r>
    </w:p>
    <w:p>
      <w:pPr>
        <w:pStyle w:val="Heading5"/>
        <w:spacing w:line="590" w:lineRule="atLeast" w:before="23"/>
        <w:ind w:left="576" w:right="7907" w:hanging="423"/>
        <w:jc w:val="left"/>
        <w:rPr>
          <w:b w:val="0"/>
          <w:bCs w:val="0"/>
        </w:rPr>
      </w:pPr>
      <w:bookmarkStart w:name="（1）经营租赁的会计处理方法" w:id="226"/>
      <w:bookmarkEnd w:id="226"/>
      <w:r>
        <w:rPr>
          <w:b w:val="0"/>
          <w:bCs w:val="0"/>
        </w:rPr>
      </w:r>
      <w:r>
        <w:rPr/>
        <w:t>（</w:t>
      </w:r>
      <w:r>
        <w:rPr>
          <w:rFonts w:ascii="Times New Roman" w:hAnsi="Times New Roman" w:cs="Times New Roman" w:eastAsia="Times New Roman" w:hint="default"/>
        </w:rPr>
        <w:t>1</w:t>
      </w:r>
      <w:r>
        <w:rPr/>
        <w:t>）经营租赁的会计处理方法</w:t>
      </w:r>
      <w:r>
        <w:rPr>
          <w:w w:val="99"/>
        </w:rPr>
        <w:t> </w:t>
      </w:r>
      <w:r>
        <w:rPr>
          <w:rFonts w:ascii="宋体" w:hAnsi="宋体" w:cs="宋体" w:eastAsia="宋体" w:hint="default"/>
        </w:rPr>
        <w:t>1.</w:t>
      </w:r>
      <w:r>
        <w:rPr/>
        <w:t>经营租赁会计处理</w:t>
      </w:r>
      <w:r>
        <w:rPr>
          <w:b w:val="0"/>
          <w:bCs w:val="0"/>
        </w:rPr>
      </w:r>
    </w:p>
    <w:p>
      <w:pPr>
        <w:pStyle w:val="BodyText"/>
        <w:spacing w:line="256" w:lineRule="auto" w:before="37"/>
        <w:ind w:right="1197" w:firstLine="42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 期费用。公司支付的与租赁交易相关的初始直接费用，计入当期费用。</w:t>
      </w:r>
    </w:p>
    <w:p>
      <w:pPr>
        <w:pStyle w:val="BodyText"/>
        <w:spacing w:line="240" w:lineRule="auto" w:before="22"/>
        <w:ind w:left="574" w:right="0"/>
        <w:jc w:val="left"/>
      </w:pPr>
      <w:r>
        <w:rPr/>
        <w:t>资产出租方承担了应由公司承担的与租赁相关的费用时，公司将该部分费用从租金总额中扣除，按扣</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972"/>
        <w:jc w:val="left"/>
      </w:pPr>
      <w:r>
        <w:rPr/>
        <w:t>除后的租金费用在租赁期内分摊，计入当期费用。</w:t>
      </w:r>
    </w:p>
    <w:p>
      <w:pPr>
        <w:pStyle w:val="BodyText"/>
        <w:spacing w:line="264" w:lineRule="auto" w:before="37"/>
        <w:ind w:right="0" w:firstLine="42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 租赁收入。公司支付的与租赁交易相关的初始直接费用，计入当期费用；如金额较大的，则予以资本化，</w:t>
      </w:r>
      <w:r>
        <w:rPr>
          <w:spacing w:val="-38"/>
        </w:rPr>
        <w:t> </w:t>
      </w:r>
      <w:r>
        <w:rPr>
          <w:spacing w:val="-38"/>
        </w:rPr>
      </w:r>
      <w:r>
        <w:rPr/>
        <w:t>在整个租赁期间内按照与租赁收入确认相同的基础分期计入当期收益。</w:t>
      </w:r>
    </w:p>
    <w:p>
      <w:pPr>
        <w:pStyle w:val="BodyText"/>
        <w:spacing w:line="273" w:lineRule="auto" w:before="16"/>
        <w:ind w:right="0" w:firstLine="420"/>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3"/>
          <w:szCs w:val="23"/>
        </w:rPr>
      </w:pPr>
    </w:p>
    <w:p>
      <w:pPr>
        <w:pStyle w:val="Heading5"/>
        <w:spacing w:line="240" w:lineRule="auto"/>
        <w:ind w:right="1972"/>
        <w:jc w:val="left"/>
        <w:rPr>
          <w:b w:val="0"/>
          <w:bCs w:val="0"/>
        </w:rPr>
      </w:pPr>
      <w:bookmarkStart w:name="2.融资租赁的会计处理方法" w:id="227"/>
      <w:bookmarkEnd w:id="227"/>
      <w:r>
        <w:rPr>
          <w:b w:val="0"/>
          <w:bCs w:val="0"/>
        </w:rPr>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6" w:lineRule="auto" w:before="0"/>
        <w:ind w:right="1023"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r>
        <w:rPr>
          <w:spacing w:val="-92"/>
        </w:rPr>
        <w:t> </w:t>
      </w:r>
      <w:r>
        <w:rPr>
          <w:spacing w:val="-92"/>
        </w:rPr>
      </w:r>
      <w:r>
        <w:rPr/>
        <w:t>公司采用实际利率法对未确认的融资费用，在资产租赁期间内摊销，计入财务费用。公司发生的初始直接</w:t>
      </w:r>
      <w:r>
        <w:rPr/>
        <w:t> 费用，计入租入资产价值。</w:t>
      </w:r>
    </w:p>
    <w:p>
      <w:pPr>
        <w:pStyle w:val="BodyText"/>
        <w:spacing w:line="264" w:lineRule="auto" w:before="14"/>
        <w:ind w:right="1131" w:firstLine="420"/>
        <w:jc w:val="both"/>
      </w:pPr>
      <w:r>
        <w:rPr/>
        <w:t>（</w:t>
      </w:r>
      <w:r>
        <w:rPr>
          <w:rFonts w:ascii="Times New Roman" w:hAnsi="Times New Roman" w:cs="Times New Roman" w:eastAsia="Times New Roman"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spacing w:line="590" w:lineRule="atLeast" w:before="18"/>
        <w:ind w:left="574" w:right="0" w:hanging="420"/>
        <w:jc w:val="left"/>
        <w:rPr>
          <w:rFonts w:ascii="宋体" w:hAnsi="宋体" w:cs="宋体" w:eastAsia="宋体" w:hint="default"/>
          <w:sz w:val="21"/>
          <w:szCs w:val="21"/>
        </w:rPr>
      </w:pPr>
      <w:bookmarkStart w:name="32、其他重要的会计政策和会计估计" w:id="228"/>
      <w:bookmarkEnd w:id="228"/>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pacing w:val="-1"/>
          <w:sz w:val="21"/>
          <w:szCs w:val="21"/>
        </w:rPr>
        <w:t>终止经营是满足下列条件之一的、能够单独区分的组成部分，且该组成部分已被本公司处置或被本公</w:t>
      </w:r>
    </w:p>
    <w:p>
      <w:pPr>
        <w:pStyle w:val="BodyText"/>
        <w:spacing w:line="240" w:lineRule="auto" w:before="37"/>
        <w:ind w:right="1972"/>
        <w:jc w:val="left"/>
      </w:pPr>
      <w:r>
        <w:rPr/>
        <w:t>司划归为持有待售类别：</w:t>
      </w:r>
    </w:p>
    <w:p>
      <w:pPr>
        <w:pStyle w:val="BodyText"/>
        <w:spacing w:line="240" w:lineRule="auto" w:before="37"/>
        <w:ind w:left="574" w:right="1972"/>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56" w:lineRule="auto" w:before="21"/>
        <w:ind w:right="1197" w:firstLine="42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 的一部分；</w:t>
      </w:r>
    </w:p>
    <w:p>
      <w:pPr>
        <w:pStyle w:val="BodyText"/>
        <w:spacing w:line="240" w:lineRule="auto" w:before="22"/>
        <w:ind w:left="574" w:right="1972"/>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8"/>
        <w:rPr>
          <w:rFonts w:ascii="宋体" w:hAnsi="宋体" w:cs="宋体" w:eastAsia="宋体" w:hint="default"/>
          <w:sz w:val="24"/>
          <w:szCs w:val="24"/>
        </w:rPr>
      </w:pPr>
    </w:p>
    <w:p>
      <w:pPr>
        <w:pStyle w:val="Heading5"/>
        <w:spacing w:line="240" w:lineRule="auto"/>
        <w:ind w:right="1972"/>
        <w:jc w:val="left"/>
        <w:rPr>
          <w:b w:val="0"/>
          <w:bCs w:val="0"/>
        </w:rPr>
      </w:pPr>
      <w:bookmarkStart w:name="33、重要会计政策和会计估计变更" w:id="229"/>
      <w:bookmarkEnd w:id="22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576" w:right="1972"/>
        <w:jc w:val="left"/>
        <w:rPr>
          <w:b w:val="0"/>
          <w:bCs w:val="0"/>
        </w:rPr>
      </w:pPr>
      <w:bookmarkStart w:name="（1）重要会计政策变更" w:id="230"/>
      <w:bookmarkEnd w:id="23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）资产负债表中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w:t>
            </w:r>
            <w:r>
              <w:rPr>
                <w:rFonts w:ascii="宋体" w:hAnsi="宋体" w:cs="宋体" w:eastAsia="宋体" w:hint="default"/>
                <w:sz w:val="18"/>
                <w:szCs w:val="18"/>
              </w:rPr>
              <w:t> </w:t>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w:t>
            </w:r>
            <w:r>
              <w:rPr>
                <w:rFonts w:ascii="宋体" w:hAnsi="宋体" w:cs="宋体" w:eastAsia="宋体" w:hint="default"/>
                <w:spacing w:val="-3"/>
                <w:sz w:val="18"/>
                <w:szCs w:val="18"/>
              </w:rPr>
              <w:t>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w:t>
            </w:r>
            <w:r>
              <w:rPr>
                <w:rFonts w:ascii="宋体" w:hAnsi="宋体" w:cs="宋体" w:eastAsia="宋体" w:hint="default"/>
                <w:spacing w:val="-74"/>
                <w:sz w:val="18"/>
                <w:szCs w:val="18"/>
              </w:rPr>
              <w:t> </w:t>
            </w:r>
            <w:r>
              <w:rPr>
                <w:rFonts w:ascii="宋体" w:hAnsi="宋体" w:cs="宋体" w:eastAsia="宋体" w:hint="default"/>
                <w:spacing w:val="-3"/>
                <w:sz w:val="18"/>
                <w:szCs w:val="18"/>
              </w:rPr>
              <w:t>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3"/>
                <w:sz w:val="18"/>
                <w:szCs w:val="18"/>
              </w:rPr>
              <w:t>工程物资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在建工程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专项应</w:t>
            </w:r>
            <w:r>
              <w:rPr>
                <w:rFonts w:ascii="宋体" w:hAnsi="宋体" w:cs="宋体" w:eastAsia="宋体" w:hint="default"/>
                <w:spacing w:val="-74"/>
                <w:sz w:val="18"/>
                <w:szCs w:val="18"/>
              </w:rPr>
              <w:t> </w:t>
            </w:r>
            <w:r>
              <w:rPr>
                <w:rFonts w:ascii="宋体" w:hAnsi="宋体" w:cs="宋体" w:eastAsia="宋体" w:hint="default"/>
                <w:sz w:val="18"/>
                <w:szCs w:val="18"/>
              </w:rPr>
              <w:t>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 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日第四届董事会第二十 四次会议审议通过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1,651,385,128.30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元，上期金额</w:t>
            </w:r>
          </w:p>
          <w:p>
            <w:pPr>
              <w:pStyle w:val="TableParagraph"/>
              <w:spacing w:line="300" w:lineRule="auto" w:before="1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1,389,678,482.57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w:t>
            </w:r>
            <w:r>
              <w:rPr>
                <w:rFonts w:ascii="宋体" w:hAnsi="宋体" w:cs="宋体" w:eastAsia="宋体" w:hint="default"/>
                <w:sz w:val="18"/>
                <w:szCs w:val="18"/>
              </w:rPr>
              <w:t> 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 </w:t>
            </w:r>
            <w:r>
              <w:rPr>
                <w:rFonts w:ascii="宋体" w:hAnsi="宋体" w:cs="宋体" w:eastAsia="宋体" w:hint="default"/>
                <w:spacing w:val="-4"/>
                <w:sz w:val="18"/>
                <w:szCs w:val="18"/>
              </w:rPr>
              <w:t>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，本期金额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68,378,643.43</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元，上期金</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29,322,925.39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11,242,797.72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元，上期金额</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10,926,101.17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6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185,525,225.24</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6"/>
                <w:sz w:val="18"/>
                <w:szCs w:val="18"/>
              </w:rPr>
              <w:t>元，上期金额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141,443,693.76</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元，重分类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单独列示；在利润表中财务费 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3</w:t>
            </w:r>
            <w:r>
              <w:rPr>
                <w:rFonts w:ascii="宋体" w:hAnsi="宋体" w:cs="宋体" w:eastAsia="宋体" w:hint="default"/>
                <w:spacing w:val="-5"/>
                <w:w w:val="99"/>
                <w:sz w:val="18"/>
                <w:szCs w:val="18"/>
              </w:rPr>
              <w:t>）所有者权益变动表中新增</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设定受益</w:t>
            </w:r>
            <w:r>
              <w:rPr>
                <w:rFonts w:ascii="宋体" w:hAnsi="宋体" w:cs="宋体" w:eastAsia="宋体" w:hint="default"/>
                <w:spacing w:val="-85"/>
                <w:w w:val="99"/>
                <w:sz w:val="18"/>
                <w:szCs w:val="18"/>
              </w:rPr>
              <w:t> </w:t>
            </w:r>
            <w:r>
              <w:rPr>
                <w:rFonts w:ascii="宋体" w:hAnsi="宋体" w:cs="宋体" w:eastAsia="宋体" w:hint="default"/>
                <w:sz w:val="18"/>
                <w:szCs w:val="18"/>
              </w:rPr>
              <w:t>计划变动额结转留存收益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 据相应调整。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76" w:lineRule="exact" w:before="0"/>
        <w:ind w:right="0"/>
        <w:jc w:val="left"/>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spacing w:val="-2"/>
        </w:rPr>
        <w:t>月</w:t>
      </w:r>
      <w:r>
        <w:rPr>
          <w:rFonts w:ascii="Times New Roman" w:hAnsi="Times New Roman" w:cs="Times New Roman" w:eastAsia="Times New Roman" w:hint="default"/>
        </w:rPr>
        <w:t>15</w:t>
      </w:r>
      <w:r>
        <w:rPr>
          <w:spacing w:val="-2"/>
        </w:rPr>
        <w:t>日</w:t>
      </w:r>
      <w:r>
        <w:rPr/>
        <w:t>发布</w:t>
      </w:r>
      <w:r>
        <w:rPr>
          <w:spacing w:val="-84"/>
        </w:rPr>
        <w:t>了</w:t>
      </w:r>
      <w:r>
        <w:rPr/>
        <w:t>《财政部关于修订印发</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2"/>
        </w:rPr>
        <w:t>年</w:t>
      </w:r>
      <w:r>
        <w:rPr/>
        <w:t>度一般企业财务报表格式的通知</w:t>
      </w:r>
      <w:r>
        <w:rPr>
          <w:spacing w:val="-168"/>
        </w:rPr>
        <w:t>》</w:t>
      </w:r>
      <w:r>
        <w:rPr/>
        <w:t>（财</w:t>
      </w:r>
      <w:r>
        <w:rPr>
          <w:spacing w:val="-84"/>
        </w:rPr>
        <w:t>会</w:t>
      </w:r>
      <w:r>
        <w:rPr/>
        <w:t>（</w:t>
      </w:r>
      <w:r>
        <w:rPr>
          <w:rFonts w:ascii="Times New Roman" w:hAnsi="Times New Roman" w:cs="Times New Roman" w:eastAsia="Times New Roman" w:hint="default"/>
        </w:rPr>
        <w:t>2018</w:t>
      </w:r>
      <w:r>
        <w:rPr/>
        <w:t>）</w:t>
      </w:r>
    </w:p>
    <w:p>
      <w:pPr>
        <w:pStyle w:val="BodyText"/>
        <w:spacing w:line="240" w:lineRule="auto" w:before="21"/>
        <w:ind w:right="1972"/>
        <w:jc w:val="left"/>
      </w:pPr>
      <w:r>
        <w:rPr>
          <w:rFonts w:ascii="Times New Roman" w:hAnsi="Times New Roman" w:cs="Times New Roman" w:eastAsia="Times New Roman" w:hint="default"/>
        </w:rPr>
        <w:t>15</w:t>
      </w:r>
      <w:r>
        <w:rPr/>
        <w:t>号），对一般企业财务报表格式进行了修订。</w:t>
      </w:r>
      <w:r>
        <w:rPr>
          <w:spacing w:val="-23"/>
        </w:rPr>
        <w:t> </w:t>
      </w:r>
      <w:r>
        <w:rPr/>
        <w:t>本公司执行上述规定的主要影响如上：</w:t>
      </w:r>
    </w:p>
    <w:p>
      <w:pPr>
        <w:spacing w:line="240" w:lineRule="auto" w:before="8"/>
        <w:rPr>
          <w:rFonts w:ascii="宋体" w:hAnsi="宋体" w:cs="宋体" w:eastAsia="宋体" w:hint="default"/>
          <w:sz w:val="24"/>
          <w:szCs w:val="24"/>
        </w:rPr>
      </w:pPr>
    </w:p>
    <w:p>
      <w:pPr>
        <w:pStyle w:val="Heading5"/>
        <w:spacing w:line="240" w:lineRule="auto"/>
        <w:ind w:right="1972"/>
        <w:jc w:val="left"/>
        <w:rPr>
          <w:b w:val="0"/>
          <w:bCs w:val="0"/>
        </w:rPr>
      </w:pPr>
      <w:bookmarkStart w:name="（2）重要会计估计变更" w:id="231"/>
      <w:bookmarkEnd w:id="23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32"/>
      <w:bookmarkEnd w:id="23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33"/>
      <w:bookmarkEnd w:id="23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34"/>
      <w:bookmarkEnd w:id="23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0.01%</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合肥英泽、深圳宝贝团、北京维恩贝特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10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8"/>
              <w:jc w:val="both"/>
              <w:rPr>
                <w:rFonts w:ascii="宋体" w:hAnsi="宋体" w:cs="宋体" w:eastAsia="宋体" w:hint="default"/>
                <w:sz w:val="18"/>
                <w:szCs w:val="18"/>
              </w:rPr>
            </w:pPr>
            <w:r>
              <w:rPr>
                <w:rFonts w:ascii="宋体" w:hAnsi="宋体" w:cs="宋体" w:eastAsia="宋体" w:hint="default"/>
                <w:sz w:val="18"/>
                <w:szCs w:val="18"/>
              </w:rPr>
              <w:t>本公司、上海天源迪科、北京天源迪科、广州易杰、广州易 星、深圳金华威、合肥天源迪科、上海维恩孛特、广州天源 迪科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广西驿途、前海维恩贝特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8"/>
              <w:jc w:val="left"/>
              <w:rPr>
                <w:rFonts w:ascii="宋体" w:hAnsi="宋体" w:cs="宋体" w:eastAsia="宋体" w:hint="default"/>
                <w:sz w:val="18"/>
                <w:szCs w:val="18"/>
              </w:rPr>
            </w:pPr>
            <w:r>
              <w:rPr>
                <w:rFonts w:ascii="宋体" w:hAnsi="宋体" w:cs="宋体" w:eastAsia="宋体" w:hint="default"/>
                <w:sz w:val="18"/>
                <w:szCs w:val="18"/>
              </w:rPr>
              <w:t>武汉天源迪科、合肥科技、安徽迪科数金、亳州迪科数金、 合肥迪科数金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澳门维恩贝特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适用纯利税超额累进税率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972"/>
        <w:jc w:val="left"/>
        <w:rPr>
          <w:b w:val="0"/>
          <w:bCs w:val="0"/>
        </w:rPr>
      </w:pPr>
      <w:bookmarkStart w:name="2、税收优惠" w:id="235"/>
      <w:bookmarkEnd w:id="23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576" w:right="8960"/>
        <w:jc w:val="left"/>
        <w:rPr>
          <w:b w:val="0"/>
          <w:bCs w:val="0"/>
        </w:rPr>
      </w:pPr>
      <w:r>
        <w:rPr>
          <w:rFonts w:ascii="Times New Roman" w:hAnsi="Times New Roman" w:cs="Times New Roman" w:eastAsia="Times New Roman" w:hint="default"/>
        </w:rPr>
        <w:t>1</w:t>
      </w:r>
      <w:r>
        <w:rPr/>
        <w:t>、企业所得税</w:t>
      </w:r>
      <w:r>
        <w:rPr>
          <w:w w:val="99"/>
        </w:rPr>
        <w:t> </w:t>
      </w:r>
      <w:r>
        <w:rPr/>
        <w:t>本公司：</w:t>
      </w:r>
      <w:r>
        <w:rPr>
          <w:b w:val="0"/>
          <w:bCs w:val="0"/>
        </w:rPr>
      </w:r>
    </w:p>
    <w:p>
      <w:pPr>
        <w:pStyle w:val="BodyText"/>
        <w:spacing w:line="256" w:lineRule="auto" w:before="23"/>
        <w:ind w:right="0" w:firstLine="42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月，本公司通过复审再次被认定为国家高新技术企业，证书编号为</w:t>
      </w:r>
      <w:r>
        <w:rPr>
          <w:rFonts w:ascii="Times New Roman" w:hAnsi="Times New Roman" w:cs="Times New Roman" w:eastAsia="Times New Roman" w:hint="default"/>
          <w:spacing w:val="-3"/>
        </w:rPr>
        <w:t>GR201744204085</w:t>
      </w:r>
      <w:r>
        <w:rPr>
          <w:spacing w:val="-3"/>
        </w:rPr>
        <w:t>，认定有</w:t>
      </w:r>
      <w:r>
        <w:rPr/>
        <w:t> 效期</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2017</w:t>
      </w:r>
      <w:r>
        <w:rPr/>
        <w:t>年起至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税率征收企业所得税。</w:t>
      </w:r>
    </w:p>
    <w:p>
      <w:pPr>
        <w:pStyle w:val="Heading5"/>
        <w:spacing w:line="240" w:lineRule="auto" w:before="5"/>
        <w:ind w:left="576" w:right="1972"/>
        <w:jc w:val="left"/>
        <w:rPr>
          <w:b w:val="0"/>
          <w:bCs w:val="0"/>
        </w:rPr>
      </w:pPr>
      <w:r>
        <w:rPr/>
        <w:t>上海天源迪科：</w:t>
      </w:r>
      <w:r>
        <w:rPr>
          <w:b w:val="0"/>
          <w:bCs w:val="0"/>
        </w:rPr>
      </w:r>
    </w:p>
    <w:p>
      <w:pPr>
        <w:pStyle w:val="BodyText"/>
        <w:spacing w:line="240" w:lineRule="auto" w:before="37"/>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年，本公司之子公司上海天源迪科通过复审被认定为高新技术企业，目前处于公示阶段，自</w:t>
      </w:r>
      <w:r>
        <w:rPr>
          <w:rFonts w:ascii="Times New Roman" w:hAnsi="Times New Roman" w:cs="Times New Roman" w:eastAsia="Times New Roman" w:hint="default"/>
        </w:rPr>
        <w:t>2018</w:t>
      </w:r>
    </w:p>
    <w:p>
      <w:pPr>
        <w:spacing w:line="256" w:lineRule="auto" w:before="21"/>
        <w:ind w:left="576" w:right="6588" w:hanging="423"/>
        <w:jc w:val="left"/>
        <w:rPr>
          <w:rFonts w:ascii="宋体" w:hAnsi="宋体" w:cs="宋体" w:eastAsia="宋体" w:hint="default"/>
          <w:sz w:val="21"/>
          <w:szCs w:val="21"/>
        </w:rPr>
      </w:pPr>
      <w:r>
        <w:rPr>
          <w:rFonts w:ascii="宋体" w:hAnsi="宋体" w:cs="宋体" w:eastAsia="宋体" w:hint="default"/>
          <w:sz w:val="21"/>
          <w:szCs w:val="21"/>
        </w:rPr>
        <w:t>年起至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税率征收企业所得税。 </w:t>
      </w:r>
      <w:r>
        <w:rPr>
          <w:rFonts w:ascii="宋体" w:hAnsi="宋体" w:cs="宋体" w:eastAsia="宋体" w:hint="default"/>
          <w:b/>
          <w:bCs/>
          <w:sz w:val="21"/>
          <w:szCs w:val="21"/>
        </w:rPr>
        <w:t>北京天源迪科：</w:t>
      </w:r>
      <w:r>
        <w:rPr>
          <w:rFonts w:ascii="宋体" w:hAnsi="宋体" w:cs="宋体" w:eastAsia="宋体" w:hint="default"/>
          <w:sz w:val="21"/>
          <w:szCs w:val="21"/>
        </w:rPr>
      </w:r>
    </w:p>
    <w:p>
      <w:pPr>
        <w:pStyle w:val="BodyText"/>
        <w:spacing w:line="240" w:lineRule="auto" w:before="22"/>
        <w:ind w:left="574" w:right="0"/>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月，本公司之子公司北京天源迪科被认定为高新技术企业，证书编号为</w:t>
      </w:r>
      <w:r>
        <w:rPr>
          <w:rFonts w:ascii="Times New Roman" w:hAnsi="Times New Roman" w:cs="Times New Roman" w:eastAsia="Times New Roman" w:hint="default"/>
          <w:spacing w:val="-3"/>
        </w:rPr>
        <w:t>GR201611006106</w:t>
      </w:r>
      <w:r>
        <w:rPr>
          <w:spacing w:val="-3"/>
        </w:rPr>
        <w:t>，自</w:t>
      </w:r>
      <w:r>
        <w:rPr/>
      </w:r>
    </w:p>
    <w:p>
      <w:pPr>
        <w:pStyle w:val="BodyText"/>
        <w:spacing w:line="256" w:lineRule="auto" w:before="21"/>
        <w:ind w:left="576" w:right="6168" w:hanging="423"/>
        <w:jc w:val="left"/>
        <w:rPr>
          <w:rFonts w:ascii="宋体" w:hAnsi="宋体" w:cs="宋体" w:eastAsia="宋体" w:hint="default"/>
        </w:rPr>
      </w:pPr>
      <w:r>
        <w:rPr>
          <w:rFonts w:ascii="Times New Roman" w:hAnsi="Times New Roman" w:cs="Times New Roman" w:eastAsia="Times New Roman" w:hint="default"/>
        </w:rPr>
        <w:t>2016</w:t>
      </w:r>
      <w:r>
        <w:rPr/>
        <w:t>年起至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税率征收企业所得税。 </w:t>
      </w:r>
      <w:r>
        <w:rPr>
          <w:rFonts w:ascii="宋体" w:hAnsi="宋体" w:cs="宋体" w:eastAsia="宋体" w:hint="default"/>
          <w:b/>
          <w:bCs/>
        </w:rPr>
        <w:t>广州易杰：</w:t>
      </w:r>
      <w:r>
        <w:rPr>
          <w:rFonts w:ascii="宋体" w:hAnsi="宋体" w:cs="宋体" w:eastAsia="宋体" w:hint="default"/>
        </w:rPr>
      </w:r>
    </w:p>
    <w:p>
      <w:pPr>
        <w:pStyle w:val="BodyText"/>
        <w:spacing w:line="256" w:lineRule="auto" w:before="22"/>
        <w:ind w:right="0" w:firstLine="42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月，本公司之子公司广州易杰通过复审再次被认定为高新技术企业，证书编号为</w:t>
      </w:r>
      <w:r>
        <w:rPr>
          <w:rFonts w:ascii="Times New Roman" w:hAnsi="Times New Roman" w:cs="Times New Roman" w:eastAsia="Times New Roman" w:hint="default"/>
          <w:spacing w:val="-3"/>
        </w:rPr>
        <w:t>201744011083</w:t>
      </w:r>
      <w:r>
        <w:rPr>
          <w:spacing w:val="-3"/>
        </w:rPr>
        <w:t>，</w:t>
      </w:r>
      <w:r>
        <w:rPr/>
        <w:t> 自</w:t>
      </w:r>
      <w:r>
        <w:rPr>
          <w:rFonts w:ascii="Times New Roman" w:hAnsi="Times New Roman" w:cs="Times New Roman" w:eastAsia="Times New Roman" w:hint="default"/>
        </w:rPr>
        <w:t>2017</w:t>
      </w:r>
      <w:r>
        <w:rPr/>
        <w:t>年起至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税率征收企业所得税。</w:t>
      </w:r>
    </w:p>
    <w:p>
      <w:pPr>
        <w:pStyle w:val="Heading5"/>
        <w:spacing w:line="240" w:lineRule="auto" w:before="5"/>
        <w:ind w:left="576" w:right="1972"/>
        <w:jc w:val="left"/>
        <w:rPr>
          <w:b w:val="0"/>
          <w:bCs w:val="0"/>
        </w:rPr>
      </w:pPr>
      <w:r>
        <w:rPr/>
        <w:t>广州易星：</w:t>
      </w:r>
      <w:r>
        <w:rPr>
          <w:b w:val="0"/>
          <w:bCs w:val="0"/>
        </w:rPr>
      </w:r>
    </w:p>
    <w:p>
      <w:pPr>
        <w:pStyle w:val="BodyText"/>
        <w:spacing w:line="240" w:lineRule="auto" w:before="37"/>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月，本公司之子公司广州易星被认定为高新技术企业，证书编号为</w:t>
      </w:r>
      <w:r>
        <w:rPr>
          <w:rFonts w:ascii="Times New Roman" w:hAnsi="Times New Roman" w:cs="Times New Roman" w:eastAsia="Times New Roman" w:hint="default"/>
        </w:rPr>
        <w:t>GR201644003520</w:t>
      </w:r>
      <w:r>
        <w:rPr/>
        <w:t>，自</w:t>
      </w:r>
      <w:r>
        <w:rPr>
          <w:rFonts w:ascii="Times New Roman" w:hAnsi="Times New Roman" w:cs="Times New Roman" w:eastAsia="Times New Roman" w:hint="default"/>
        </w:rPr>
        <w:t>2016</w:t>
      </w:r>
    </w:p>
    <w:p>
      <w:pPr>
        <w:pStyle w:val="BodyText"/>
        <w:spacing w:line="256" w:lineRule="auto" w:before="21"/>
        <w:ind w:left="576" w:right="6588" w:hanging="423"/>
        <w:jc w:val="left"/>
        <w:rPr>
          <w:rFonts w:ascii="宋体" w:hAnsi="宋体" w:cs="宋体" w:eastAsia="宋体" w:hint="default"/>
        </w:rPr>
      </w:pPr>
      <w:r>
        <w:rPr/>
        <w:t>年起至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税率征收企业所得税。 </w:t>
      </w:r>
      <w:r>
        <w:rPr>
          <w:rFonts w:ascii="宋体" w:hAnsi="宋体" w:cs="宋体" w:eastAsia="宋体" w:hint="default"/>
          <w:b/>
          <w:bCs/>
        </w:rPr>
        <w:t>深圳金华威：</w:t>
      </w:r>
      <w:r>
        <w:rPr>
          <w:rFonts w:ascii="宋体" w:hAnsi="宋体" w:cs="宋体" w:eastAsia="宋体" w:hint="default"/>
        </w:rPr>
      </w:r>
    </w:p>
    <w:p>
      <w:pPr>
        <w:pStyle w:val="BodyText"/>
        <w:spacing w:line="256" w:lineRule="auto" w:before="22"/>
        <w:ind w:right="1131" w:firstLine="420"/>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月，本公司之子公司深圳金华威通过复审再次被认定为国家高新技术企业，认定有效期</w:t>
      </w:r>
      <w:r>
        <w:rPr>
          <w:rFonts w:ascii="Times New Roman" w:hAnsi="Times New Roman" w:cs="Times New Roman" w:eastAsia="Times New Roman" w:hint="default"/>
          <w:spacing w:val="-3"/>
        </w:rPr>
        <w:t>3</w:t>
      </w:r>
      <w:r>
        <w:rPr>
          <w:spacing w:val="-3"/>
        </w:rPr>
        <w:t>年，</w:t>
      </w:r>
      <w:r>
        <w:rPr/>
        <w:t> 自</w:t>
      </w:r>
      <w:r>
        <w:rPr>
          <w:rFonts w:ascii="Times New Roman" w:hAnsi="Times New Roman" w:cs="Times New Roman" w:eastAsia="Times New Roman" w:hint="default"/>
        </w:rPr>
        <w:t>2016</w:t>
      </w:r>
      <w:r>
        <w:rPr/>
        <w:t>年起至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税率征收企业所得税。</w:t>
      </w:r>
    </w:p>
    <w:p>
      <w:pPr>
        <w:pStyle w:val="Heading5"/>
        <w:spacing w:line="240" w:lineRule="auto" w:before="5"/>
        <w:ind w:left="576" w:right="1972"/>
        <w:jc w:val="left"/>
        <w:rPr>
          <w:b w:val="0"/>
          <w:bCs w:val="0"/>
        </w:rPr>
      </w:pPr>
      <w:r>
        <w:rPr/>
        <w:t>合肥天源迪科：</w:t>
      </w:r>
      <w:r>
        <w:rPr>
          <w:b w:val="0"/>
          <w:bCs w:val="0"/>
        </w:rPr>
      </w:r>
    </w:p>
    <w:p>
      <w:pPr>
        <w:pStyle w:val="BodyText"/>
        <w:spacing w:line="240" w:lineRule="auto" w:before="37"/>
        <w:ind w:left="574" w:right="0"/>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月，本公司之子公司合肥天源迪科被认定为高新技术企业，证书编号为</w:t>
      </w:r>
      <w:r>
        <w:rPr>
          <w:rFonts w:ascii="Times New Roman" w:hAnsi="Times New Roman" w:cs="Times New Roman" w:eastAsia="Times New Roman" w:hint="default"/>
          <w:spacing w:val="-3"/>
        </w:rPr>
        <w:t>GR201634000215</w:t>
      </w:r>
      <w:r>
        <w:rPr>
          <w:spacing w:val="-3"/>
        </w:rPr>
        <w:t>，自</w:t>
      </w:r>
      <w:r>
        <w:rPr/>
      </w:r>
    </w:p>
    <w:p>
      <w:pPr>
        <w:pStyle w:val="BodyText"/>
        <w:spacing w:line="256" w:lineRule="auto" w:before="21"/>
        <w:ind w:left="576" w:right="6168" w:hanging="423"/>
        <w:jc w:val="left"/>
        <w:rPr>
          <w:rFonts w:ascii="宋体" w:hAnsi="宋体" w:cs="宋体" w:eastAsia="宋体" w:hint="default"/>
        </w:rPr>
      </w:pPr>
      <w:r>
        <w:rPr>
          <w:rFonts w:ascii="Times New Roman" w:hAnsi="Times New Roman" w:cs="Times New Roman" w:eastAsia="Times New Roman" w:hint="default"/>
        </w:rPr>
        <w:t>2016</w:t>
      </w:r>
      <w:r>
        <w:rPr/>
        <w:t>年起至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税率征收企业所得税。 </w:t>
      </w:r>
      <w:r>
        <w:rPr>
          <w:rFonts w:ascii="宋体" w:hAnsi="宋体" w:cs="宋体" w:eastAsia="宋体" w:hint="default"/>
          <w:b/>
          <w:bCs/>
        </w:rPr>
        <w:t>广州天源迪科：</w:t>
      </w:r>
      <w:r>
        <w:rPr>
          <w:rFonts w:ascii="宋体" w:hAnsi="宋体" w:cs="宋体" w:eastAsia="宋体" w:hint="default"/>
        </w:rPr>
      </w:r>
    </w:p>
    <w:p>
      <w:pPr>
        <w:pStyle w:val="BodyText"/>
        <w:spacing w:line="240" w:lineRule="auto" w:before="22"/>
        <w:ind w:left="574" w:right="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月，本公司之子公司广州天源迪科被认定为高新技术企业，证书编号为</w:t>
      </w:r>
      <w:r>
        <w:rPr>
          <w:rFonts w:ascii="Times New Roman" w:hAnsi="Times New Roman" w:cs="Times New Roman" w:eastAsia="Times New Roman" w:hint="default"/>
          <w:spacing w:val="-3"/>
        </w:rPr>
        <w:t>GR201744000311</w:t>
      </w:r>
      <w:r>
        <w:rPr>
          <w:spacing w:val="-3"/>
        </w:rPr>
        <w:t>，自</w:t>
      </w:r>
      <w:r>
        <w:rPr/>
      </w:r>
    </w:p>
    <w:p>
      <w:pPr>
        <w:spacing w:line="256" w:lineRule="auto" w:before="21"/>
        <w:ind w:left="576" w:right="6168"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年起至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税率征收企业所得税。 </w:t>
      </w:r>
      <w:r>
        <w:rPr>
          <w:rFonts w:ascii="宋体" w:hAnsi="宋体" w:cs="宋体" w:eastAsia="宋体" w:hint="default"/>
          <w:b/>
          <w:bCs/>
          <w:sz w:val="21"/>
          <w:szCs w:val="21"/>
        </w:rPr>
        <w:t>广西驿途、前海维恩贝特：</w:t>
      </w:r>
      <w:r>
        <w:rPr>
          <w:rFonts w:ascii="宋体" w:hAnsi="宋体" w:cs="宋体" w:eastAsia="宋体" w:hint="default"/>
          <w:sz w:val="21"/>
          <w:szCs w:val="21"/>
        </w:rPr>
      </w:r>
    </w:p>
    <w:p>
      <w:pPr>
        <w:pStyle w:val="BodyText"/>
        <w:spacing w:line="261" w:lineRule="auto" w:before="22"/>
        <w:ind w:right="0" w:firstLine="420"/>
        <w:jc w:val="left"/>
      </w:pPr>
      <w:r>
        <w:rPr/>
        <w:t>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77</w:t>
      </w:r>
      <w:r>
        <w:rPr/>
        <w:t>号：关于进一步扩大小型微利企业所得税优惠政策范围的通知自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日，将小型微利企业的年应纳税所得额上限由</w:t>
      </w:r>
      <w:r>
        <w:rPr>
          <w:rFonts w:ascii="Times New Roman" w:hAnsi="Times New Roman" w:cs="Times New Roman" w:eastAsia="Times New Roman" w:hint="default"/>
        </w:rPr>
        <w:t>50</w:t>
      </w:r>
      <w:r>
        <w:rPr/>
        <w:t>万元提高至</w:t>
      </w:r>
      <w:r>
        <w:rPr>
          <w:rFonts w:ascii="Times New Roman" w:hAnsi="Times New Roman" w:cs="Times New Roman" w:eastAsia="Times New Roman" w:hint="default"/>
        </w:rPr>
        <w:t>100</w:t>
      </w:r>
      <w:r>
        <w:rPr/>
        <w:t>万元，对年应纳税所得额低于</w:t>
      </w:r>
      <w:r>
        <w:rPr>
          <w:rFonts w:ascii="Times New Roman" w:hAnsi="Times New Roman" w:cs="Times New Roman" w:eastAsia="Times New Roman" w:hint="default"/>
        </w:rPr>
        <w:t>100 </w:t>
      </w:r>
      <w:r>
        <w:rPr/>
        <w:t>万元（含</w:t>
      </w:r>
      <w:r>
        <w:rPr>
          <w:rFonts w:ascii="Times New Roman" w:hAnsi="Times New Roman" w:cs="Times New Roman" w:eastAsia="Times New Roman" w:hint="default"/>
        </w:rPr>
        <w:t>100</w:t>
      </w:r>
      <w:r>
        <w:rPr/>
        <w:t>万元）的小型微利企业，其所得减按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r>
        <w:rPr>
          <w:spacing w:val="-66"/>
        </w:rPr>
        <w:t> </w:t>
      </w:r>
      <w:r>
        <w:rPr>
          <w:spacing w:val="-66"/>
        </w:rPr>
      </w:r>
      <w:r>
        <w:rPr/>
        <w:t>本公司之子公司广西驿途、本公司之孙公司前海维恩贝特符合小型微利企业的相关条件，应纳税所得减按</w:t>
      </w:r>
      <w:r>
        <w:rPr/>
        <w:t> </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pStyle w:val="Heading5"/>
        <w:spacing w:line="240" w:lineRule="auto"/>
        <w:ind w:left="576" w:right="1972"/>
        <w:jc w:val="left"/>
        <w:rPr>
          <w:b w:val="0"/>
          <w:bCs w:val="0"/>
        </w:rPr>
      </w:pPr>
      <w:r>
        <w:rPr/>
        <w:t>合肥英泽：</w:t>
      </w:r>
      <w:r>
        <w:rPr>
          <w:b w:val="0"/>
          <w:bCs w:val="0"/>
        </w:rPr>
      </w:r>
    </w:p>
    <w:p>
      <w:pPr>
        <w:pStyle w:val="BodyText"/>
        <w:spacing w:line="256" w:lineRule="auto" w:before="37"/>
        <w:ind w:right="1131"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月，根据《财政部、国家税务总局关于进一步鼓励软件产品和集成电路产业发展企业所得税</w:t>
      </w:r>
      <w:r>
        <w:rPr/>
        <w:t> 政策的通知》（财税</w:t>
      </w:r>
      <w:r>
        <w:rPr>
          <w:rFonts w:ascii="Times New Roman" w:hAnsi="Times New Roman" w:cs="Times New Roman" w:eastAsia="Times New Roman" w:hint="default"/>
        </w:rPr>
        <w:t>[2012]27</w:t>
      </w:r>
      <w:r>
        <w:rPr/>
        <w:t>号文）和《企业所得税优惠事项备案表》规定，本公司之子公司合肥英泽自 </w:t>
      </w:r>
      <w:r>
        <w:rPr>
          <w:rFonts w:ascii="Times New Roman" w:hAnsi="Times New Roman" w:cs="Times New Roman" w:eastAsia="Times New Roman" w:hint="default"/>
          <w:spacing w:val="-4"/>
        </w:rPr>
        <w:t>2014</w:t>
      </w:r>
      <w:r>
        <w:rPr>
          <w:spacing w:val="-4"/>
        </w:rPr>
        <w:t>年度起，第一年至第二年免征企业所得税，第三年至第五年按照</w:t>
      </w:r>
      <w:r>
        <w:rPr>
          <w:rFonts w:ascii="Times New Roman" w:hAnsi="Times New Roman" w:cs="Times New Roman" w:eastAsia="Times New Roman" w:hint="default"/>
          <w:spacing w:val="-4"/>
        </w:rPr>
        <w:t>25%</w:t>
      </w:r>
      <w:r>
        <w:rPr>
          <w:spacing w:val="-4"/>
        </w:rPr>
        <w:t>的法定税率减半征收企业所得税，</w:t>
      </w:r>
      <w:r>
        <w:rPr/>
        <w:t> 并享受至期满为止。故本公司之子公司合肥英泽</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12.5%</w:t>
      </w:r>
      <w:r>
        <w:rPr/>
        <w:t>的税率征收企业所得税。</w:t>
      </w:r>
    </w:p>
    <w:p>
      <w:pPr>
        <w:pStyle w:val="Heading5"/>
        <w:spacing w:line="240" w:lineRule="auto" w:before="5"/>
        <w:ind w:left="576" w:right="1972"/>
        <w:jc w:val="left"/>
        <w:rPr>
          <w:b w:val="0"/>
          <w:bCs w:val="0"/>
        </w:rPr>
      </w:pPr>
      <w:r>
        <w:rPr/>
        <w:t>深圳宝贝团：</w:t>
      </w:r>
      <w:r>
        <w:rPr>
          <w:b w:val="0"/>
          <w:bCs w:val="0"/>
        </w:rPr>
      </w:r>
    </w:p>
    <w:p>
      <w:pPr>
        <w:pStyle w:val="BodyText"/>
        <w:spacing w:line="256" w:lineRule="auto" w:before="37"/>
        <w:ind w:right="0"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月，根据《财政部、国家税务总局关于进一步鼓励软件产品和集成电路产业发展企业所得税 </w:t>
      </w:r>
      <w:r>
        <w:rPr>
          <w:spacing w:val="-4"/>
        </w:rPr>
        <w:t>政策的通知》（财税</w:t>
      </w:r>
      <w:r>
        <w:rPr>
          <w:rFonts w:ascii="Times New Roman" w:hAnsi="Times New Roman" w:cs="Times New Roman" w:eastAsia="Times New Roman" w:hint="default"/>
          <w:spacing w:val="-4"/>
        </w:rPr>
        <w:t>[2012]27</w:t>
      </w:r>
      <w:r>
        <w:rPr>
          <w:spacing w:val="-4"/>
        </w:rPr>
        <w:t>号文）、《国家税务总局关于软件和集成电路企业认定管理有关问题的公告》</w:t>
      </w:r>
    </w:p>
    <w:p>
      <w:pPr>
        <w:pStyle w:val="BodyText"/>
        <w:spacing w:line="240" w:lineRule="auto" w:before="5"/>
        <w:ind w:right="0"/>
        <w:jc w:val="left"/>
      </w:pPr>
      <w:r>
        <w:rPr/>
        <w:t>（国家税务总局公告</w:t>
      </w:r>
      <w:r>
        <w:rPr>
          <w:rFonts w:ascii="Times New Roman" w:hAnsi="Times New Roman" w:cs="Times New Roman" w:eastAsia="Times New Roman" w:hint="default"/>
        </w:rPr>
        <w:t>2012</w:t>
      </w:r>
      <w:r>
        <w:rPr/>
        <w:t>年第</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t>号</w:t>
      </w:r>
      <w:r>
        <w:rPr>
          <w:spacing w:val="-77"/>
        </w:rPr>
        <w:t>）</w:t>
      </w:r>
      <w:r>
        <w:rPr>
          <w:spacing w:val="-155"/>
        </w:rPr>
        <w:t>、</w:t>
      </w:r>
      <w:r>
        <w:rPr/>
        <w:t>《国家税务总局关于执行软件企业所得税优惠政策有关问题的公告》</w:t>
      </w:r>
    </w:p>
    <w:p>
      <w:pPr>
        <w:pStyle w:val="BodyText"/>
        <w:spacing w:line="256" w:lineRule="auto" w:before="21"/>
        <w:ind w:right="0"/>
        <w:jc w:val="left"/>
      </w:pPr>
      <w:r>
        <w:rPr>
          <w:spacing w:val="-1"/>
        </w:rPr>
        <w:t>（国家税务总局公告</w:t>
      </w:r>
      <w:r>
        <w:rPr>
          <w:rFonts w:ascii="Times New Roman" w:hAnsi="Times New Roman" w:cs="Times New Roman" w:eastAsia="Times New Roman" w:hint="default"/>
          <w:spacing w:val="-1"/>
        </w:rPr>
        <w:t>2013</w:t>
      </w:r>
      <w:r>
        <w:rPr>
          <w:spacing w:val="-1"/>
        </w:rPr>
        <w:t>年第</w:t>
      </w:r>
      <w:r>
        <w:rPr>
          <w:rFonts w:ascii="Times New Roman" w:hAnsi="Times New Roman" w:cs="Times New Roman" w:eastAsia="Times New Roman" w:hint="default"/>
          <w:spacing w:val="-1"/>
        </w:rPr>
        <w:t>43</w:t>
      </w:r>
      <w:r>
        <w:rPr>
          <w:spacing w:val="-1"/>
        </w:rPr>
        <w:t>号）、《工业和信息化部国家发展和改革委员会财政部国家税务总局关于</w:t>
      </w:r>
      <w:r>
        <w:rPr>
          <w:spacing w:val="-81"/>
        </w:rPr>
        <w:t> </w:t>
      </w:r>
      <w:r>
        <w:rPr>
          <w:spacing w:val="-81"/>
        </w:rPr>
      </w:r>
      <w:r>
        <w:rPr/>
        <w:t>印发</w:t>
      </w:r>
      <w:r>
        <w:rPr>
          <w:rFonts w:ascii="Times New Roman" w:hAnsi="Times New Roman" w:cs="Times New Roman" w:eastAsia="Times New Roman" w:hint="default"/>
        </w:rPr>
        <w:t>&lt;</w:t>
      </w:r>
      <w:r>
        <w:rPr/>
        <w:t>软件企业认定管理办法</w:t>
      </w:r>
      <w:r>
        <w:rPr>
          <w:rFonts w:ascii="Times New Roman" w:hAnsi="Times New Roman" w:cs="Times New Roman" w:eastAsia="Times New Roman" w:hint="default"/>
        </w:rPr>
        <w:t>&gt;</w:t>
      </w:r>
      <w:r>
        <w:rPr/>
        <w:t>的通知》（工信部联软</w:t>
      </w:r>
      <w:r>
        <w:rPr>
          <w:rFonts w:ascii="Times New Roman" w:hAnsi="Times New Roman" w:cs="Times New Roman" w:eastAsia="Times New Roman" w:hint="default"/>
        </w:rPr>
        <w:t>[2013]64</w:t>
      </w:r>
      <w:r>
        <w:rPr/>
        <w:t>号）和深圳市国家税务局关于《企业所得税</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9"/>
        <w:jc w:val="both"/>
      </w:pPr>
      <w:r>
        <w:rPr>
          <w:spacing w:val="-1"/>
        </w:rPr>
        <w:t>优惠事项备案通知书》（深国税南减免备案</w:t>
      </w:r>
      <w:r>
        <w:rPr>
          <w:rFonts w:ascii="Times New Roman" w:hAnsi="Times New Roman" w:cs="Times New Roman" w:eastAsia="Times New Roman" w:hint="default"/>
          <w:spacing w:val="-1"/>
        </w:rPr>
        <w:t>&lt;2016&gt;1174</w:t>
      </w:r>
      <w:r>
        <w:rPr>
          <w:spacing w:val="-1"/>
        </w:rPr>
        <w:t>号）规定，本公司之子公司深圳宝贝团自</w:t>
      </w:r>
      <w:r>
        <w:rPr>
          <w:rFonts w:ascii="Times New Roman" w:hAnsi="Times New Roman" w:cs="Times New Roman" w:eastAsia="Times New Roman" w:hint="default"/>
          <w:spacing w:val="-1"/>
        </w:rPr>
        <w:t>2015</w:t>
      </w:r>
      <w:r>
        <w:rPr>
          <w:spacing w:val="-1"/>
        </w:rPr>
        <w:t>年度</w:t>
      </w:r>
      <w:r>
        <w:rPr>
          <w:spacing w:val="-102"/>
        </w:rPr>
        <w:t> </w:t>
      </w:r>
      <w:r>
        <w:rPr/>
        <w:t>起，第一年至第二年免征企业所得税，第三年至第五年按照</w:t>
      </w:r>
      <w:r>
        <w:rPr>
          <w:rFonts w:ascii="Times New Roman" w:hAnsi="Times New Roman" w:cs="Times New Roman" w:eastAsia="Times New Roman" w:hint="default"/>
        </w:rPr>
        <w:t>25%</w:t>
      </w:r>
      <w:r>
        <w:rPr/>
        <w:t>的法定税率减半征收企业所得税，并享受 至期满为止。故本公司之子公司深圳宝贝团</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12.5%</w:t>
      </w:r>
      <w:r>
        <w:rPr/>
        <w:t>的税率征收企业所得税。</w:t>
      </w:r>
    </w:p>
    <w:p>
      <w:pPr>
        <w:pStyle w:val="BodyText"/>
        <w:spacing w:line="273" w:lineRule="auto" w:before="5"/>
        <w:ind w:left="574" w:right="1032" w:firstLine="2"/>
        <w:jc w:val="left"/>
      </w:pPr>
      <w:r>
        <w:rPr>
          <w:rFonts w:ascii="宋体" w:hAnsi="宋体" w:cs="宋体" w:eastAsia="宋体" w:hint="default"/>
          <w:b/>
          <w:bCs/>
        </w:rPr>
        <w:t>维恩贝特：</w:t>
      </w:r>
      <w:r>
        <w:rPr>
          <w:rFonts w:ascii="宋体" w:hAnsi="宋体" w:cs="宋体" w:eastAsia="宋体" w:hint="default"/>
          <w:b/>
          <w:bCs/>
          <w:w w:val="99"/>
        </w:rPr>
        <w:t> </w:t>
      </w:r>
      <w:r>
        <w:rPr/>
        <w:t>根据《财政部、国家税务总局关于进一步鼓励软件产业和集成电路产业发展企业所得税政策的通知》</w:t>
      </w:r>
    </w:p>
    <w:p>
      <w:pPr>
        <w:pStyle w:val="BodyText"/>
        <w:spacing w:line="256" w:lineRule="auto"/>
        <w:ind w:right="1145"/>
        <w:jc w:val="both"/>
      </w:pP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号）规定，维恩贝特作为国家规划布局内重点软件企业可减按</w:t>
      </w:r>
      <w:r>
        <w:rPr>
          <w:rFonts w:ascii="Times New Roman" w:hAnsi="Times New Roman" w:cs="Times New Roman" w:eastAsia="Times New Roman" w:hint="default"/>
        </w:rPr>
        <w:t>10%</w:t>
      </w:r>
      <w:r>
        <w:rPr/>
        <w:t>的税率征收企业所得 税。</w:t>
      </w:r>
    </w:p>
    <w:p>
      <w:pPr>
        <w:pStyle w:val="Heading5"/>
        <w:spacing w:line="240" w:lineRule="auto" w:before="22"/>
        <w:ind w:left="576" w:right="1972"/>
        <w:jc w:val="left"/>
        <w:rPr>
          <w:b w:val="0"/>
          <w:bCs w:val="0"/>
        </w:rPr>
      </w:pPr>
      <w:r>
        <w:rPr/>
        <w:t>北京维恩贝特：</w:t>
      </w:r>
      <w:r>
        <w:rPr>
          <w:b w:val="0"/>
          <w:bCs w:val="0"/>
        </w:rPr>
      </w:r>
    </w:p>
    <w:p>
      <w:pPr>
        <w:pStyle w:val="BodyText"/>
        <w:spacing w:line="256" w:lineRule="auto" w:before="37"/>
        <w:ind w:right="1116" w:firstLine="42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日，本公司之孙公司北京维恩贝特信息技术有限公司，取得北京市科学技术委员会、北</w:t>
      </w:r>
      <w:r>
        <w:rPr/>
        <w:t> </w:t>
      </w:r>
      <w:r>
        <w:rPr>
          <w:spacing w:val="-2"/>
        </w:rPr>
        <w:t>京市财政局、北京市国家税务局、北京市地方税务局联合颁发的编号为</w:t>
      </w:r>
      <w:r>
        <w:rPr>
          <w:rFonts w:ascii="Times New Roman" w:hAnsi="Times New Roman" w:cs="Times New Roman" w:eastAsia="Times New Roman" w:hint="default"/>
          <w:spacing w:val="-2"/>
        </w:rPr>
        <w:t>GR201411002585</w:t>
      </w:r>
      <w:r>
        <w:rPr>
          <w:spacing w:val="-2"/>
        </w:rPr>
        <w:t>的《高新技术企业</w:t>
      </w:r>
      <w:r>
        <w:rPr/>
        <w:t> 证书》，证书有效期为</w:t>
      </w:r>
      <w:r>
        <w:rPr>
          <w:rFonts w:ascii="Times New Roman" w:hAnsi="Times New Roman" w:cs="Times New Roman" w:eastAsia="Times New Roman" w:hint="default"/>
        </w:rPr>
        <w:t>3</w:t>
      </w:r>
      <w:r>
        <w:rPr/>
        <w:t>年。根据《财政部、国家税务总局关于进一步鼓励软件产业和集成电路产业发展 </w:t>
      </w:r>
      <w:r>
        <w:rPr>
          <w:spacing w:val="-1"/>
        </w:rPr>
        <w:t>企业所得税政策的通知》（财税【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号）规定，公司子公司北京维恩贝特信息技术有限公司，从开</w:t>
      </w:r>
      <w:r>
        <w:rPr>
          <w:spacing w:val="-84"/>
        </w:rPr>
        <w:t> </w:t>
      </w:r>
      <w:r>
        <w:rPr>
          <w:spacing w:val="-84"/>
        </w:rPr>
      </w:r>
      <w:r>
        <w:rPr>
          <w:spacing w:val="-1"/>
        </w:rPr>
        <w:t>始获利年度即</w:t>
      </w:r>
      <w:r>
        <w:rPr>
          <w:rFonts w:ascii="Times New Roman" w:hAnsi="Times New Roman" w:cs="Times New Roman" w:eastAsia="Times New Roman" w:hint="default"/>
          <w:spacing w:val="-1"/>
        </w:rPr>
        <w:t>2016</w:t>
      </w:r>
      <w:r>
        <w:rPr>
          <w:spacing w:val="-1"/>
        </w:rPr>
        <w:t>年度起，两年免征企业所得税，三年减半征收企业所得税。故本公司之孙公司北京维恩</w:t>
      </w:r>
      <w:r>
        <w:rPr>
          <w:spacing w:val="-82"/>
        </w:rPr>
        <w:t> </w:t>
      </w:r>
      <w:r>
        <w:rPr>
          <w:spacing w:val="-82"/>
        </w:rPr>
      </w:r>
      <w:r>
        <w:rPr/>
        <w:t>贝特</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12.5%</w:t>
      </w:r>
      <w:r>
        <w:rPr/>
        <w:t>的税率征收企业所得税。</w:t>
      </w:r>
    </w:p>
    <w:p>
      <w:pPr>
        <w:pStyle w:val="Heading5"/>
        <w:spacing w:line="240" w:lineRule="auto" w:before="5"/>
        <w:ind w:left="576" w:right="1972"/>
        <w:jc w:val="left"/>
        <w:rPr>
          <w:b w:val="0"/>
          <w:bCs w:val="0"/>
        </w:rPr>
      </w:pPr>
      <w:r>
        <w:rPr/>
        <w:t>上海维恩孛特：</w:t>
      </w:r>
      <w:r>
        <w:rPr>
          <w:b w:val="0"/>
          <w:bCs w:val="0"/>
        </w:rPr>
      </w:r>
    </w:p>
    <w:p>
      <w:pPr>
        <w:pStyle w:val="BodyText"/>
        <w:spacing w:line="256" w:lineRule="auto" w:before="37"/>
        <w:ind w:right="1020" w:firstLine="420"/>
        <w:jc w:val="left"/>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11</w:t>
      </w:r>
      <w:r>
        <w:rPr>
          <w:spacing w:val="-4"/>
        </w:rPr>
        <w:t>月，本公司之孙公司上海维恩孛特被认定为国家高新技术企业，证书编号为</w:t>
      </w:r>
      <w:r>
        <w:rPr>
          <w:rFonts w:ascii="Times New Roman" w:hAnsi="Times New Roman" w:cs="Times New Roman" w:eastAsia="Times New Roman" w:hint="default"/>
          <w:spacing w:val="-4"/>
        </w:rPr>
        <w:t>GR201631000026</w:t>
      </w:r>
      <w:r>
        <w:rPr>
          <w:spacing w:val="-4"/>
        </w:rPr>
        <w:t>，</w:t>
      </w:r>
      <w:r>
        <w:rPr/>
        <w:t> 认定有效期</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2016</w:t>
      </w:r>
      <w:r>
        <w:rPr/>
        <w:t>年起至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税率征收企业所得税。</w:t>
      </w:r>
    </w:p>
    <w:p>
      <w:pPr>
        <w:pStyle w:val="BodyText"/>
        <w:spacing w:line="256" w:lineRule="auto" w:before="5"/>
        <w:ind w:left="574" w:right="1118" w:firstLine="2"/>
        <w:jc w:val="left"/>
      </w:pPr>
      <w:r>
        <w:rPr>
          <w:rFonts w:ascii="Times New Roman" w:hAnsi="Times New Roman" w:cs="Times New Roman" w:eastAsia="Times New Roman" w:hint="default"/>
          <w:b/>
          <w:bCs/>
        </w:rPr>
        <w:t>2</w:t>
      </w:r>
      <w:r>
        <w:rPr>
          <w:rFonts w:ascii="宋体" w:hAnsi="宋体" w:cs="宋体" w:eastAsia="宋体" w:hint="default"/>
          <w:b/>
          <w:bCs/>
        </w:rPr>
        <w:t>、增值税</w:t>
      </w:r>
      <w:r>
        <w:rPr>
          <w:rFonts w:ascii="宋体" w:hAnsi="宋体" w:cs="宋体" w:eastAsia="宋体" w:hint="default"/>
          <w:b/>
          <w:bCs/>
          <w:w w:val="99"/>
        </w:rPr>
        <w:t> </w:t>
      </w:r>
      <w:r>
        <w:rPr>
          <w:spacing w:val="-6"/>
        </w:rPr>
        <w:t>根据《国务院关于印发进一步鼓励软件产业和集成电路产业发展若干政策的通知》（国发</w:t>
      </w:r>
      <w:r>
        <w:rPr>
          <w:rFonts w:ascii="Times New Roman" w:hAnsi="Times New Roman" w:cs="Times New Roman" w:eastAsia="Times New Roman" w:hint="default"/>
          <w:spacing w:val="-6"/>
        </w:rPr>
        <w:t>[2011]4</w:t>
      </w:r>
      <w:r>
        <w:rPr>
          <w:spacing w:val="-6"/>
        </w:rPr>
        <w:t>号），</w:t>
      </w:r>
    </w:p>
    <w:p>
      <w:pPr>
        <w:pStyle w:val="BodyText"/>
        <w:spacing w:line="256" w:lineRule="auto" w:before="5"/>
        <w:ind w:right="1132"/>
        <w:jc w:val="both"/>
      </w:pPr>
      <w:r>
        <w:rPr/>
        <w:t>以及财政部、国家税务总局财税财税</w:t>
      </w:r>
      <w:r>
        <w:rPr>
          <w:rFonts w:ascii="Times New Roman" w:hAnsi="Times New Roman" w:cs="Times New Roman" w:eastAsia="Times New Roman" w:hint="default"/>
        </w:rPr>
        <w:t>[2011]100</w:t>
      </w:r>
      <w:r>
        <w:rPr/>
        <w:t>号《关于软件产品增值税政策的通知》的规定，自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 </w:t>
      </w:r>
      <w:r>
        <w:rPr>
          <w:spacing w:val="-3"/>
        </w:rPr>
        <w:t>月</w:t>
      </w:r>
      <w:r>
        <w:rPr>
          <w:rFonts w:ascii="Times New Roman" w:hAnsi="Times New Roman" w:cs="Times New Roman" w:eastAsia="Times New Roman" w:hint="default"/>
          <w:spacing w:val="-3"/>
        </w:rPr>
        <w:t>1</w:t>
      </w:r>
      <w:r>
        <w:rPr>
          <w:spacing w:val="-3"/>
        </w:rPr>
        <w:t>日起执行，增值税一般纳税人销售其自行开发生产的软件产品，按</w:t>
      </w:r>
      <w:r>
        <w:rPr>
          <w:rFonts w:ascii="Times New Roman" w:hAnsi="Times New Roman" w:cs="Times New Roman" w:eastAsia="Times New Roman" w:hint="default"/>
          <w:spacing w:val="-3"/>
        </w:rPr>
        <w:t>17%</w:t>
      </w:r>
      <w:r>
        <w:rPr>
          <w:spacing w:val="-3"/>
        </w:rPr>
        <w:t>税率征收增值税后，对其增值税</w:t>
      </w:r>
      <w:r>
        <w:rPr>
          <w:spacing w:val="-59"/>
        </w:rPr>
        <w:t> </w:t>
      </w:r>
      <w:r>
        <w:rPr>
          <w:spacing w:val="-59"/>
        </w:rPr>
      </w:r>
      <w:r>
        <w:rPr/>
        <w:t>实际税负超过</w:t>
      </w:r>
      <w:r>
        <w:rPr>
          <w:rFonts w:ascii="Times New Roman" w:hAnsi="Times New Roman" w:cs="Times New Roman" w:eastAsia="Times New Roman" w:hint="default"/>
        </w:rPr>
        <w:t>3%</w:t>
      </w:r>
      <w:r>
        <w:rPr/>
        <w:t>的部分实行即征即退政策。</w:t>
      </w:r>
    </w:p>
    <w:p>
      <w:pPr>
        <w:pStyle w:val="BodyText"/>
        <w:spacing w:line="266" w:lineRule="auto" w:before="5"/>
        <w:ind w:right="1130" w:firstLine="420"/>
        <w:jc w:val="both"/>
      </w:pPr>
      <w:r>
        <w:rPr>
          <w:spacing w:val="-2"/>
        </w:rPr>
        <w:t>根据财税</w:t>
      </w:r>
      <w:r>
        <w:rPr>
          <w:rFonts w:ascii="Times New Roman" w:hAnsi="Times New Roman" w:cs="Times New Roman" w:eastAsia="Times New Roman" w:hint="default"/>
          <w:spacing w:val="-2"/>
        </w:rPr>
        <w:t>[2016]36</w:t>
      </w:r>
      <w:r>
        <w:rPr>
          <w:spacing w:val="-2"/>
        </w:rPr>
        <w:t>号《财政部国家税务总局关于全面推开营业税改征增值税试点的通知》附件</w:t>
      </w:r>
      <w:r>
        <w:rPr>
          <w:rFonts w:ascii="Times New Roman" w:hAnsi="Times New Roman" w:cs="Times New Roman" w:eastAsia="Times New Roman" w:hint="default"/>
          <w:spacing w:val="-2"/>
        </w:rPr>
        <w:t>3</w:t>
      </w:r>
      <w:r>
        <w:rPr>
          <w:spacing w:val="-2"/>
        </w:rPr>
        <w:t>营业税</w:t>
      </w:r>
      <w:r>
        <w:rPr/>
        <w:t> </w:t>
      </w:r>
      <w:r>
        <w:rPr>
          <w:spacing w:val="-1"/>
        </w:rPr>
        <w:t>改征增值税试点过渡政策的规定：第一大类免征增值税目录中，（十九）统借统还业务的利息收入免征增</w:t>
      </w:r>
      <w:r>
        <w:rPr>
          <w:spacing w:val="-84"/>
        </w:rPr>
        <w:t> </w:t>
      </w:r>
      <w:r>
        <w:rPr>
          <w:spacing w:val="-84"/>
        </w:rPr>
      </w:r>
      <w:r>
        <w:rPr>
          <w:spacing w:val="-1"/>
        </w:rPr>
        <w:t>值税；（二十六）纳税人提供技术转让、技术开发和与之相关的技术咨询、技术服务取得的收入免征增值</w:t>
      </w:r>
      <w:r>
        <w:rPr>
          <w:spacing w:val="-82"/>
        </w:rPr>
        <w:t> </w:t>
      </w:r>
      <w:r>
        <w:rPr>
          <w:spacing w:val="-82"/>
        </w:rPr>
      </w:r>
      <w:r>
        <w:rPr/>
        <w:t>税。</w:t>
      </w:r>
    </w:p>
    <w:p>
      <w:pPr>
        <w:pStyle w:val="BodyText"/>
        <w:spacing w:line="256" w:lineRule="auto" w:before="14"/>
        <w:ind w:right="0" w:firstLine="420"/>
        <w:jc w:val="left"/>
      </w:pPr>
      <w:r>
        <w:rPr>
          <w:spacing w:val="-1"/>
        </w:rPr>
        <w:t>根据财政部、税务总局关于调整增值税税率的通知（财税〔</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32</w:t>
      </w:r>
      <w:r>
        <w:rPr>
          <w:spacing w:val="-1"/>
        </w:rPr>
        <w:t>号），自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日起，纳税</w:t>
      </w:r>
      <w:r>
        <w:rPr/>
        <w:t> 人发生增值税应税销售行为或者进口货物，原适用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税率的，税率分别调整为</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w:t>
      </w:r>
    </w:p>
    <w:p>
      <w:pPr>
        <w:spacing w:line="240" w:lineRule="auto" w:before="3"/>
        <w:rPr>
          <w:rFonts w:ascii="宋体" w:hAnsi="宋体" w:cs="宋体" w:eastAsia="宋体" w:hint="default"/>
          <w:sz w:val="24"/>
          <w:szCs w:val="24"/>
        </w:rPr>
      </w:pPr>
    </w:p>
    <w:p>
      <w:pPr>
        <w:pStyle w:val="BodyText"/>
        <w:spacing w:line="256" w:lineRule="auto" w:before="0"/>
        <w:ind w:left="574" w:right="0" w:firstLine="2"/>
        <w:jc w:val="left"/>
      </w:pPr>
      <w:r>
        <w:rPr>
          <w:rFonts w:ascii="Times New Roman" w:hAnsi="Times New Roman" w:cs="Times New Roman" w:eastAsia="Times New Roman" w:hint="default"/>
          <w:b/>
          <w:bCs/>
        </w:rPr>
        <w:t>3</w:t>
      </w:r>
      <w:r>
        <w:rPr>
          <w:rFonts w:ascii="宋体" w:hAnsi="宋体" w:cs="宋体" w:eastAsia="宋体" w:hint="default"/>
          <w:b/>
          <w:bCs/>
        </w:rPr>
        <w:t>、堤围防护费</w:t>
      </w:r>
      <w:r>
        <w:rPr>
          <w:rFonts w:ascii="宋体" w:hAnsi="宋体" w:cs="宋体" w:eastAsia="宋体" w:hint="default"/>
          <w:b/>
          <w:bCs/>
          <w:w w:val="99"/>
        </w:rPr>
        <w:t> </w:t>
      </w:r>
      <w:r>
        <w:rPr>
          <w:spacing w:val="-1"/>
        </w:rPr>
        <w:t>根据深圳市地方税务局《关于免征我市堤围防护费的通告》，自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日起，深圳市免征堤围防</w:t>
      </w:r>
    </w:p>
    <w:p>
      <w:pPr>
        <w:pStyle w:val="BodyText"/>
        <w:spacing w:line="240" w:lineRule="auto" w:before="5"/>
        <w:ind w:right="0"/>
        <w:jc w:val="both"/>
      </w:pPr>
      <w:r>
        <w:rPr/>
        <w:t>护费。</w:t>
      </w:r>
    </w:p>
    <w:p>
      <w:pPr>
        <w:spacing w:before="103"/>
        <w:ind w:left="154"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0"/>
        <w:rPr>
          <w:rFonts w:ascii="宋体" w:hAnsi="宋体" w:cs="宋体" w:eastAsia="宋体" w:hint="default"/>
          <w:sz w:val="25"/>
          <w:szCs w:val="25"/>
        </w:rPr>
      </w:pPr>
    </w:p>
    <w:p>
      <w:pPr>
        <w:spacing w:line="487" w:lineRule="auto" w:before="0"/>
        <w:ind w:left="154" w:right="7692" w:firstLine="211"/>
        <w:jc w:val="left"/>
        <w:rPr>
          <w:rFonts w:ascii="宋体" w:hAnsi="宋体" w:cs="宋体" w:eastAsia="宋体" w:hint="default"/>
          <w:sz w:val="21"/>
          <w:szCs w:val="21"/>
        </w:rPr>
      </w:pPr>
      <w:bookmarkStart w:name="4、其他" w:id="236"/>
      <w:bookmarkEnd w:id="23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37"/>
      <w:bookmarkEnd w:id="23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8"/>
      <w:bookmarkEnd w:id="23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223,676.69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480,874.43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240,012,543.87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322,924,729.22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63,348,697.45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22,006,805.35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303,584,918.01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345,412,409.00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3195"/>
        <w:gridCol w:w="3181"/>
        <w:gridCol w:w="3175"/>
      </w:tblGrid>
      <w:tr>
        <w:trPr>
          <w:trHeight w:val="337" w:hRule="exact"/>
        </w:trPr>
        <w:tc>
          <w:tcPr>
            <w:tcW w:w="3195" w:type="dxa"/>
            <w:tcBorders>
              <w:top w:val="single" w:sz="6" w:space="0" w:color="000000"/>
              <w:left w:val="single" w:sz="6" w:space="0" w:color="000000"/>
              <w:bottom w:val="single" w:sz="12" w:space="0" w:color="000000"/>
              <w:right w:val="single" w:sz="6" w:space="0" w:color="000000"/>
            </w:tcBorders>
            <w:shd w:val="clear" w:color="auto" w:fill="D6D6D6"/>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1" w:type="dxa"/>
            <w:tcBorders>
              <w:top w:val="single" w:sz="6" w:space="0" w:color="000000"/>
              <w:left w:val="single" w:sz="6" w:space="0" w:color="000000"/>
              <w:bottom w:val="single" w:sz="12" w:space="0" w:color="000000"/>
              <w:right w:val="single" w:sz="6" w:space="0" w:color="000000"/>
            </w:tcBorders>
            <w:shd w:val="clear" w:color="auto" w:fill="D6D6D6"/>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5" w:type="dxa"/>
            <w:tcBorders>
              <w:top w:val="single" w:sz="6" w:space="0" w:color="000000"/>
              <w:left w:val="single" w:sz="6" w:space="0" w:color="000000"/>
              <w:bottom w:val="single" w:sz="12" w:space="0" w:color="000000"/>
              <w:right w:val="nil" w:sz="6" w:space="0" w:color="auto"/>
            </w:tcBorders>
            <w:shd w:val="clear" w:color="auto" w:fill="D6D6D6"/>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6" w:hRule="exact"/>
        </w:trPr>
        <w:tc>
          <w:tcPr>
            <w:tcW w:w="319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票据保证金</w:t>
            </w:r>
          </w:p>
        </w:tc>
        <w:tc>
          <w:tcPr>
            <w:tcW w:w="3181"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54,600,000.00</w:t>
            </w:r>
          </w:p>
        </w:tc>
        <w:tc>
          <w:tcPr>
            <w:tcW w:w="3175" w:type="dxa"/>
            <w:tcBorders>
              <w:top w:val="single" w:sz="16" w:space="0" w:color="000000"/>
              <w:left w:val="single" w:sz="6" w:space="0" w:color="000000"/>
              <w:bottom w:val="single" w:sz="12" w:space="0" w:color="000000"/>
              <w:right w:val="nil" w:sz="6" w:space="0" w:color="auto"/>
            </w:tcBorders>
          </w:tcPr>
          <w:p>
            <w:pPr/>
          </w:p>
        </w:tc>
      </w:tr>
      <w:tr>
        <w:trPr>
          <w:trHeight w:val="353" w:hRule="exact"/>
        </w:trPr>
        <w:tc>
          <w:tcPr>
            <w:tcW w:w="319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7,210,495.57</w:t>
            </w:r>
          </w:p>
        </w:tc>
        <w:tc>
          <w:tcPr>
            <w:tcW w:w="31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3,674,278.89</w:t>
            </w:r>
          </w:p>
        </w:tc>
      </w:tr>
      <w:tr>
        <w:trPr>
          <w:trHeight w:val="352" w:hRule="exact"/>
        </w:trPr>
        <w:tc>
          <w:tcPr>
            <w:tcW w:w="319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支付宝保证金</w:t>
            </w:r>
          </w:p>
        </w:tc>
        <w:tc>
          <w:tcPr>
            <w:tcW w:w="3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450,000.00</w:t>
            </w:r>
          </w:p>
        </w:tc>
        <w:tc>
          <w:tcPr>
            <w:tcW w:w="31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450,000.00</w:t>
            </w:r>
          </w:p>
        </w:tc>
      </w:tr>
      <w:tr>
        <w:trPr>
          <w:trHeight w:val="352" w:hRule="exact"/>
        </w:trPr>
        <w:tc>
          <w:tcPr>
            <w:tcW w:w="319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贷款保证金</w:t>
            </w:r>
          </w:p>
        </w:tc>
        <w:tc>
          <w:tcPr>
            <w:tcW w:w="3181" w:type="dxa"/>
            <w:tcBorders>
              <w:top w:val="single" w:sz="12" w:space="0" w:color="000000"/>
              <w:left w:val="single" w:sz="6" w:space="0" w:color="000000"/>
              <w:bottom w:val="single" w:sz="12" w:space="0" w:color="000000"/>
              <w:right w:val="single" w:sz="6" w:space="0" w:color="000000"/>
            </w:tcBorders>
          </w:tcPr>
          <w:p>
            <w:pPr/>
          </w:p>
        </w:tc>
        <w:tc>
          <w:tcPr>
            <w:tcW w:w="31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14,100,000.00</w:t>
            </w:r>
          </w:p>
        </w:tc>
      </w:tr>
      <w:tr>
        <w:trPr>
          <w:trHeight w:val="353" w:hRule="exact"/>
        </w:trPr>
        <w:tc>
          <w:tcPr>
            <w:tcW w:w="319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62,260,495.57</w:t>
            </w:r>
          </w:p>
        </w:tc>
        <w:tc>
          <w:tcPr>
            <w:tcW w:w="31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18,224,278.89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1972"/>
        <w:jc w:val="left"/>
        <w:rPr>
          <w:b w:val="0"/>
          <w:bCs w:val="0"/>
        </w:rPr>
      </w:pPr>
      <w:bookmarkStart w:name="2、以公允价值计量且其变动计入当期损益的金融资产" w:id="239"/>
      <w:bookmarkEnd w:id="23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1,722,384.00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3,123,921.70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1,722,384.00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3,123,921.70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1,722,384.00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3,123,921.70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3、衍生金融资产" w:id="240"/>
      <w:bookmarkEnd w:id="24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4、应收票据及应收账款" w:id="241"/>
      <w:bookmarkEnd w:id="241"/>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115,996,492.35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129,915,302.63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1,535,388,635.95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1,259,763,179.94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1,651,385,128.30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1,389,678,482.57</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1）应收票据" w:id="242"/>
      <w:bookmarkEnd w:id="24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21,470,291.97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83,933,918.73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94,526,200.38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45,981,383.90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115,996,492.35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129,915,302.63</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2"/>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90,460,794.43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90,460,794.43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298,000,000.00</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应收账款" w:id="243"/>
      <w:bookmarkEnd w:id="24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1,619,15</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0,184.94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83,761,5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1,535,388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,635.95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03,559.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62,140,37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1,259,763,1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79.94</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1,619,15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0,184.94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83,761,5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1,535,388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,635.95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03,559.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62,140,37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1,259,763,1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79.94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407"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1,402,667,862.19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42,080,035.88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139,467,890.64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13,946,789.06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44,568,719.70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8,913,743.94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32,445,712.41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18,820,980.11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58.01%</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5,196,247.79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5,196,247.79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1,619,150,184.94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83,761,548.99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0"/>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2"/>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437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21,694,179.24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 其中本期坏账准备收回或转回金额重要的：</w:t>
      </w:r>
    </w:p>
    <w:p>
      <w:pPr>
        <w:spacing w:before="4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73,010.00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广西壮族自治区地 方税务局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签订终止协议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宾阳县地方税务局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签订终止协议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广西异构科技有限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客户拒绝支付余款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73,010.00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0" w:lineRule="auto" w:before="51"/>
        <w:ind w:left="154" w:right="6822"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line="357" w:lineRule="auto" w:before="33"/>
        <w:ind w:left="154" w:right="8952" w:firstLine="0"/>
        <w:jc w:val="left"/>
        <w:rPr>
          <w:rFonts w:ascii="宋体" w:hAnsi="宋体" w:cs="宋体" w:eastAsia="宋体" w:hint="default"/>
          <w:sz w:val="18"/>
          <w:szCs w:val="18"/>
        </w:rPr>
      </w:pPr>
      <w:r>
        <w:rPr>
          <w:rFonts w:ascii="宋体" w:hAnsi="宋体" w:cs="宋体" w:eastAsia="宋体" w:hint="default"/>
          <w:sz w:val="18"/>
          <w:szCs w:val="18"/>
        </w:rPr>
        <w:t>是 软件与信息技术服务业</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8"/>
          <w:szCs w:val="28"/>
        </w:rPr>
      </w:pPr>
    </w:p>
    <w:tbl>
      <w:tblPr>
        <w:tblW w:w="0" w:type="auto"/>
        <w:jc w:val="left"/>
        <w:tblInd w:w="174" w:type="dxa"/>
        <w:tblLayout w:type="fixed"/>
        <w:tblCellMar>
          <w:top w:w="0" w:type="dxa"/>
          <w:left w:w="0" w:type="dxa"/>
          <w:bottom w:w="0" w:type="dxa"/>
          <w:right w:w="0" w:type="dxa"/>
        </w:tblCellMar>
        <w:tblLook w:val="01E0"/>
      </w:tblPr>
      <w:tblGrid>
        <w:gridCol w:w="4080"/>
        <w:gridCol w:w="1846"/>
        <w:gridCol w:w="1710"/>
        <w:gridCol w:w="1906"/>
      </w:tblGrid>
      <w:tr>
        <w:trPr>
          <w:trHeight w:val="344" w:hRule="exact"/>
        </w:trPr>
        <w:tc>
          <w:tcPr>
            <w:tcW w:w="4080" w:type="dxa"/>
            <w:vMerge w:val="restart"/>
            <w:tcBorders>
              <w:top w:val="single" w:sz="6" w:space="0" w:color="000000"/>
              <w:left w:val="single" w:sz="6" w:space="0" w:color="000000"/>
              <w:right w:val="single" w:sz="6" w:space="0" w:color="000000"/>
            </w:tcBorders>
            <w:shd w:val="clear" w:color="auto" w:fill="D6D6D6"/>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6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5462" w:type="dxa"/>
            <w:gridSpan w:val="3"/>
            <w:tcBorders>
              <w:top w:val="single" w:sz="6" w:space="0" w:color="000000"/>
              <w:left w:val="single" w:sz="6" w:space="0" w:color="000000"/>
              <w:bottom w:val="single" w:sz="12" w:space="0" w:color="000000"/>
              <w:right w:val="nil" w:sz="6" w:space="0" w:color="auto"/>
            </w:tcBorders>
            <w:shd w:val="clear" w:color="auto" w:fill="D6D6D6"/>
          </w:tcPr>
          <w:p>
            <w:pPr>
              <w:pStyle w:val="TableParagraph"/>
              <w:spacing w:line="265" w:lineRule="exact"/>
              <w:ind w:right="6"/>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68" w:hRule="exact"/>
        </w:trPr>
        <w:tc>
          <w:tcPr>
            <w:tcW w:w="4080" w:type="dxa"/>
            <w:vMerge/>
            <w:tcBorders>
              <w:left w:val="single" w:sz="6" w:space="0" w:color="000000"/>
              <w:bottom w:val="single" w:sz="12" w:space="0" w:color="000000"/>
              <w:right w:val="single" w:sz="6" w:space="0" w:color="000000"/>
            </w:tcBorders>
            <w:shd w:val="clear" w:color="auto" w:fill="D6D6D6"/>
          </w:tcPr>
          <w:p>
            <w:pPr/>
          </w:p>
        </w:tc>
        <w:tc>
          <w:tcPr>
            <w:tcW w:w="1846"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5" w:lineRule="exact"/>
              <w:ind w:left="49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0"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73" w:lineRule="auto"/>
              <w:ind w:left="374" w:right="6"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占应收账款合计数 的比例</w:t>
            </w:r>
            <w:r>
              <w:rPr>
                <w:rFonts w:ascii="Times New Roman" w:hAnsi="Times New Roman" w:cs="Times New Roman" w:eastAsia="Times New Roman" w:hint="default"/>
                <w:sz w:val="21"/>
                <w:szCs w:val="21"/>
              </w:rPr>
              <w:t>(%)</w:t>
            </w:r>
          </w:p>
        </w:tc>
        <w:tc>
          <w:tcPr>
            <w:tcW w:w="1906" w:type="dxa"/>
            <w:tcBorders>
              <w:top w:val="single" w:sz="12" w:space="0" w:color="000000"/>
              <w:left w:val="single" w:sz="6" w:space="0" w:color="000000"/>
              <w:bottom w:val="single" w:sz="12" w:space="0" w:color="000000"/>
              <w:right w:val="nil" w:sz="6" w:space="0" w:color="auto"/>
            </w:tcBorders>
            <w:shd w:val="clear" w:color="auto" w:fill="D6D6D6"/>
          </w:tcPr>
          <w:p>
            <w:pPr>
              <w:pStyle w:val="TableParagraph"/>
              <w:spacing w:line="265" w:lineRule="exact"/>
              <w:ind w:left="52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3" w:hRule="exact"/>
        </w:trPr>
        <w:tc>
          <w:tcPr>
            <w:tcW w:w="4080"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83,908,553.07</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5.18</w:t>
            </w:r>
          </w:p>
        </w:tc>
        <w:tc>
          <w:tcPr>
            <w:tcW w:w="1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2,517,256.59</w:t>
            </w:r>
          </w:p>
        </w:tc>
      </w:tr>
      <w:tr>
        <w:trPr>
          <w:trHeight w:val="352" w:hRule="exact"/>
        </w:trPr>
        <w:tc>
          <w:tcPr>
            <w:tcW w:w="4080"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52,943,128.85</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3.27</w:t>
            </w:r>
          </w:p>
        </w:tc>
        <w:tc>
          <w:tcPr>
            <w:tcW w:w="1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1,588,293.87</w:t>
            </w:r>
          </w:p>
        </w:tc>
      </w:tr>
      <w:tr>
        <w:trPr>
          <w:trHeight w:val="353" w:hRule="exact"/>
        </w:trPr>
        <w:tc>
          <w:tcPr>
            <w:tcW w:w="4080"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45,338,503.18</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2.80</w:t>
            </w:r>
          </w:p>
        </w:tc>
        <w:tc>
          <w:tcPr>
            <w:tcW w:w="1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1,913,466.43</w:t>
            </w:r>
          </w:p>
        </w:tc>
      </w:tr>
      <w:tr>
        <w:trPr>
          <w:trHeight w:val="352" w:hRule="exact"/>
        </w:trPr>
        <w:tc>
          <w:tcPr>
            <w:tcW w:w="4080"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43,712,439.17</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2.70</w:t>
            </w:r>
          </w:p>
        </w:tc>
        <w:tc>
          <w:tcPr>
            <w:tcW w:w="1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1,323,450.95</w:t>
            </w:r>
          </w:p>
        </w:tc>
      </w:tr>
      <w:tr>
        <w:trPr>
          <w:trHeight w:val="352" w:hRule="exact"/>
        </w:trPr>
        <w:tc>
          <w:tcPr>
            <w:tcW w:w="4080"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39,700,327.30</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2.45</w:t>
            </w:r>
          </w:p>
        </w:tc>
        <w:tc>
          <w:tcPr>
            <w:tcW w:w="1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1,191,009.82</w:t>
            </w:r>
          </w:p>
        </w:tc>
      </w:tr>
      <w:tr>
        <w:trPr>
          <w:trHeight w:val="348" w:hRule="exact"/>
        </w:trPr>
        <w:tc>
          <w:tcPr>
            <w:tcW w:w="4080"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265,602,951.57</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16.40</w:t>
            </w:r>
          </w:p>
        </w:tc>
        <w:tc>
          <w:tcPr>
            <w:tcW w:w="19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8,533,477.66</w:t>
            </w:r>
          </w:p>
        </w:tc>
      </w:tr>
    </w:tbl>
    <w:p>
      <w:pPr>
        <w:spacing w:before="5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2"/>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pStyle w:val="Heading5"/>
        <w:spacing w:line="240" w:lineRule="auto"/>
        <w:ind w:right="1972"/>
        <w:jc w:val="left"/>
        <w:rPr>
          <w:b w:val="0"/>
          <w:bCs w:val="0"/>
        </w:rPr>
      </w:pPr>
      <w:bookmarkStart w:name="5、预付款项" w:id="244"/>
      <w:bookmarkEnd w:id="244"/>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预付款项按账龄列示" w:id="245"/>
      <w:bookmarkEnd w:id="24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96,541,885.93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145,338,307.60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658,865.98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370,339.60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97,438,951.91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145,708,647.20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5"/>
        <w:spacing w:line="240" w:lineRule="auto"/>
        <w:ind w:right="1972"/>
        <w:jc w:val="left"/>
        <w:rPr>
          <w:b w:val="0"/>
          <w:bCs w:val="0"/>
        </w:rPr>
      </w:pPr>
      <w:bookmarkStart w:name="（2）按预付对象归集的期末余额前五名的预付款情况" w:id="246"/>
      <w:bookmarkEnd w:id="24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13" w:type="dxa"/>
        <w:tblLayout w:type="fixed"/>
        <w:tblCellMar>
          <w:top w:w="0" w:type="dxa"/>
          <w:left w:w="0" w:type="dxa"/>
          <w:bottom w:w="0" w:type="dxa"/>
          <w:right w:w="0" w:type="dxa"/>
        </w:tblCellMar>
        <w:tblLook w:val="01E0"/>
      </w:tblPr>
      <w:tblGrid>
        <w:gridCol w:w="3332"/>
        <w:gridCol w:w="3030"/>
        <w:gridCol w:w="3240"/>
      </w:tblGrid>
      <w:tr>
        <w:trPr>
          <w:trHeight w:val="330" w:hRule="exact"/>
        </w:trPr>
        <w:tc>
          <w:tcPr>
            <w:tcW w:w="3332" w:type="dxa"/>
            <w:tcBorders>
              <w:top w:val="single" w:sz="6" w:space="0" w:color="000000"/>
              <w:left w:val="single" w:sz="6" w:space="0" w:color="000000"/>
              <w:bottom w:val="single" w:sz="12" w:space="0" w:color="000000"/>
              <w:right w:val="single" w:sz="6" w:space="0" w:color="000000"/>
            </w:tcBorders>
            <w:shd w:val="clear" w:color="auto" w:fill="D6D6D6"/>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3030" w:type="dxa"/>
            <w:tcBorders>
              <w:top w:val="single" w:sz="6" w:space="0" w:color="000000"/>
              <w:left w:val="single" w:sz="6" w:space="0" w:color="000000"/>
              <w:bottom w:val="single" w:sz="12" w:space="0" w:color="000000"/>
              <w:right w:val="single" w:sz="6" w:space="0" w:color="000000"/>
            </w:tcBorders>
            <w:shd w:val="clear" w:color="auto" w:fill="D6D6D6"/>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0" w:type="dxa"/>
            <w:tcBorders>
              <w:top w:val="single" w:sz="6" w:space="0" w:color="000000"/>
              <w:left w:val="single" w:sz="6" w:space="0" w:color="000000"/>
              <w:bottom w:val="single" w:sz="12" w:space="0" w:color="000000"/>
              <w:right w:val="nil" w:sz="6" w:space="0" w:color="auto"/>
            </w:tcBorders>
            <w:shd w:val="clear" w:color="auto" w:fill="D6D6D6"/>
          </w:tcPr>
          <w:p>
            <w:pPr>
              <w:pStyle w:val="TableParagraph"/>
              <w:spacing w:line="271" w:lineRule="exact"/>
              <w:ind w:right="44"/>
              <w:jc w:val="right"/>
              <w:rPr>
                <w:rFonts w:ascii="宋体" w:hAnsi="宋体" w:cs="宋体" w:eastAsia="宋体" w:hint="default"/>
                <w:sz w:val="21"/>
                <w:szCs w:val="21"/>
              </w:rPr>
            </w:pPr>
            <w:r>
              <w:rPr>
                <w:rFonts w:ascii="宋体" w:hAnsi="宋体" w:cs="宋体" w:eastAsia="宋体" w:hint="default"/>
                <w:sz w:val="21"/>
                <w:szCs w:val="21"/>
              </w:rPr>
              <w:t>占预付款项期末余额合计数的比例</w:t>
            </w:r>
          </w:p>
        </w:tc>
      </w:tr>
      <w:tr>
        <w:trPr>
          <w:trHeight w:val="377" w:hRule="exact"/>
        </w:trPr>
        <w:tc>
          <w:tcPr>
            <w:tcW w:w="3332"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3030"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54"/>
              <w:ind w:right="2"/>
              <w:jc w:val="right"/>
              <w:rPr>
                <w:rFonts w:ascii="Times New Roman" w:hAnsi="Times New Roman" w:cs="Times New Roman" w:eastAsia="Times New Roman" w:hint="default"/>
                <w:sz w:val="21"/>
                <w:szCs w:val="21"/>
              </w:rPr>
            </w:pPr>
            <w:r>
              <w:rPr>
                <w:rFonts w:ascii="Times New Roman"/>
                <w:sz w:val="21"/>
              </w:rPr>
              <w:t>62,510,913.90</w:t>
            </w:r>
          </w:p>
        </w:tc>
        <w:tc>
          <w:tcPr>
            <w:tcW w:w="3240" w:type="dxa"/>
            <w:tcBorders>
              <w:top w:val="single" w:sz="16" w:space="0" w:color="000000"/>
              <w:left w:val="single" w:sz="6" w:space="0" w:color="000000"/>
              <w:bottom w:val="single" w:sz="12" w:space="0" w:color="000000"/>
              <w:right w:val="nil" w:sz="6" w:space="0" w:color="auto"/>
            </w:tcBorders>
          </w:tcPr>
          <w:p>
            <w:pPr>
              <w:pStyle w:val="TableParagraph"/>
              <w:spacing w:line="240" w:lineRule="auto" w:before="54"/>
              <w:ind w:right="9"/>
              <w:jc w:val="right"/>
              <w:rPr>
                <w:rFonts w:ascii="Times New Roman" w:hAnsi="Times New Roman" w:cs="Times New Roman" w:eastAsia="Times New Roman" w:hint="default"/>
                <w:sz w:val="21"/>
                <w:szCs w:val="21"/>
              </w:rPr>
            </w:pPr>
            <w:r>
              <w:rPr>
                <w:rFonts w:ascii="Times New Roman"/>
                <w:sz w:val="21"/>
              </w:rPr>
              <w:t>64.15</w:t>
            </w:r>
          </w:p>
        </w:tc>
      </w:tr>
      <w:tr>
        <w:trPr>
          <w:trHeight w:val="352" w:hRule="exact"/>
        </w:trPr>
        <w:tc>
          <w:tcPr>
            <w:tcW w:w="33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5,631,321.93</w:t>
            </w:r>
          </w:p>
        </w:tc>
        <w:tc>
          <w:tcPr>
            <w:tcW w:w="3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0"/>
              <w:jc w:val="right"/>
              <w:rPr>
                <w:rFonts w:ascii="Times New Roman" w:hAnsi="Times New Roman" w:cs="Times New Roman" w:eastAsia="Times New Roman" w:hint="default"/>
                <w:sz w:val="21"/>
                <w:szCs w:val="21"/>
              </w:rPr>
            </w:pPr>
            <w:r>
              <w:rPr>
                <w:rFonts w:ascii="Times New Roman"/>
                <w:sz w:val="21"/>
              </w:rPr>
              <w:t>5.78</w:t>
            </w:r>
          </w:p>
        </w:tc>
      </w:tr>
      <w:tr>
        <w:trPr>
          <w:trHeight w:val="352" w:hRule="exact"/>
        </w:trPr>
        <w:tc>
          <w:tcPr>
            <w:tcW w:w="33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2,205,148.00</w:t>
            </w:r>
          </w:p>
        </w:tc>
        <w:tc>
          <w:tcPr>
            <w:tcW w:w="3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0"/>
              <w:jc w:val="right"/>
              <w:rPr>
                <w:rFonts w:ascii="Times New Roman" w:hAnsi="Times New Roman" w:cs="Times New Roman" w:eastAsia="Times New Roman" w:hint="default"/>
                <w:sz w:val="21"/>
                <w:szCs w:val="21"/>
              </w:rPr>
            </w:pPr>
            <w:r>
              <w:rPr>
                <w:rFonts w:ascii="Times New Roman"/>
                <w:sz w:val="21"/>
              </w:rPr>
              <w:t>2.26</w:t>
            </w:r>
          </w:p>
        </w:tc>
      </w:tr>
      <w:tr>
        <w:trPr>
          <w:trHeight w:val="353" w:hRule="exact"/>
        </w:trPr>
        <w:tc>
          <w:tcPr>
            <w:tcW w:w="33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1,553,100.00</w:t>
            </w:r>
          </w:p>
        </w:tc>
        <w:tc>
          <w:tcPr>
            <w:tcW w:w="3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0"/>
              <w:jc w:val="right"/>
              <w:rPr>
                <w:rFonts w:ascii="Times New Roman" w:hAnsi="Times New Roman" w:cs="Times New Roman" w:eastAsia="Times New Roman" w:hint="default"/>
                <w:sz w:val="21"/>
                <w:szCs w:val="21"/>
              </w:rPr>
            </w:pPr>
            <w:r>
              <w:rPr>
                <w:rFonts w:ascii="Times New Roman"/>
                <w:sz w:val="21"/>
              </w:rPr>
              <w:t>1.59</w:t>
            </w:r>
          </w:p>
        </w:tc>
      </w:tr>
      <w:tr>
        <w:trPr>
          <w:trHeight w:val="352" w:hRule="exact"/>
        </w:trPr>
        <w:tc>
          <w:tcPr>
            <w:tcW w:w="33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供应商五</w:t>
            </w:r>
          </w:p>
        </w:tc>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959,000.00</w:t>
            </w:r>
          </w:p>
        </w:tc>
        <w:tc>
          <w:tcPr>
            <w:tcW w:w="3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0"/>
              <w:jc w:val="right"/>
              <w:rPr>
                <w:rFonts w:ascii="Times New Roman" w:hAnsi="Times New Roman" w:cs="Times New Roman" w:eastAsia="Times New Roman" w:hint="default"/>
                <w:sz w:val="21"/>
                <w:szCs w:val="21"/>
              </w:rPr>
            </w:pPr>
            <w:r>
              <w:rPr>
                <w:rFonts w:ascii="Times New Roman"/>
                <w:sz w:val="21"/>
              </w:rPr>
              <w:t>0.98</w:t>
            </w:r>
          </w:p>
        </w:tc>
      </w:tr>
      <w:tr>
        <w:trPr>
          <w:trHeight w:val="352" w:hRule="exact"/>
        </w:trPr>
        <w:tc>
          <w:tcPr>
            <w:tcW w:w="33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72,859,483.83</w:t>
            </w:r>
          </w:p>
        </w:tc>
        <w:tc>
          <w:tcPr>
            <w:tcW w:w="3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z w:val="21"/>
              </w:rPr>
              <w:t>74.77</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6、其他应收款" w:id="247"/>
      <w:bookmarkEnd w:id="247"/>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57,073,821.42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40,605,187.67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57,073,821.42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40,605,187.67</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1）应收利息" w:id="248"/>
      <w:bookmarkEnd w:id="24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应收股利" w:id="249"/>
      <w:bookmarkEnd w:id="24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其他应收款" w:id="250"/>
      <w:bookmarkEnd w:id="25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60,865,1</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24.35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3,791,30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57,073,82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43,788,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048.25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3,182,860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40,605,187.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60,865,1</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24.35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3,791,30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57,073,82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1.42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43,788,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048.25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3,182,860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40,605,187.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50,255,156.71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1,507,654.70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7,085,849.57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708,584.98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1,750,098.98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350,019.80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1,774,019.09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1,225,043.45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69.05%</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676,067.80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676,067.80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60,865,124.35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3,791,302.93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57" w:lineRule="auto" w:before="51"/>
        <w:ind w:left="154" w:right="163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4" w:right="1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16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16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2"/>
        <w:ind w:left="154"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608,442.35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11" w:space="2518"/>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1"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16,993,445.03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17,304,434.60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32,639,861.37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18,327,024.91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390,319.46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96,961.64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8,396,999.80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4,752,665.64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2,444,498.69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3,306,961.46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60,865,124.35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43,788,048.25</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广西壮族自治区粮 食和物资储备局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10,860,360.10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325,810.80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深圳数字电视国家 工程实验室股份有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房租及押金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3,257,682.12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97,730.46</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中国联合网络通信 有限公司重庆市分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菏泽市定陶区公共 资源交易中心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1,757,776.70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71,157.30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19,995,818.92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617,698.56</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深圳福田区国家税务局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增值税即增即退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1" w:right="0"/>
              <w:jc w:val="left"/>
              <w:rPr>
                <w:rFonts w:ascii="Times New Roman" w:hAnsi="Times New Roman" w:cs="Times New Roman" w:eastAsia="Times New Roman" w:hint="default"/>
                <w:sz w:val="18"/>
                <w:szCs w:val="18"/>
              </w:rPr>
            </w:pPr>
            <w:r>
              <w:rPr>
                <w:rFonts w:ascii="Times New Roman"/>
                <w:sz w:val="18"/>
              </w:rPr>
              <w:t>890,370.40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日已全额 收到、银行回单</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4"/>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7、存货" w:id="251"/>
      <w:bookmarkEnd w:id="251"/>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pStyle w:val="Heading5"/>
        <w:spacing w:line="240" w:lineRule="auto"/>
        <w:ind w:right="1972"/>
        <w:jc w:val="left"/>
        <w:rPr>
          <w:b w:val="0"/>
          <w:bCs w:val="0"/>
        </w:rPr>
      </w:pPr>
      <w:bookmarkStart w:name="（1）存货分类" w:id="252"/>
      <w:bookmarkEnd w:id="25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10,980,965.21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10,980,965.21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11,990,344.76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11,990,344.76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313,300,676.57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313,300,676.57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195,058,318.86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195,058,318.86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538,435,302.65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538,435,302.65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329,236,160.59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329,236,160.59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862,716,944.43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862,716,944.43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536,284,824.21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536,284,824.21</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0"/>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2"/>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12"/>
        <w:rPr>
          <w:rFonts w:ascii="宋体" w:hAnsi="宋体" w:cs="宋体" w:eastAsia="宋体" w:hint="default"/>
          <w:sz w:val="20"/>
          <w:szCs w:val="20"/>
        </w:rPr>
      </w:pPr>
    </w:p>
    <w:p>
      <w:pPr>
        <w:pStyle w:val="Heading5"/>
        <w:spacing w:line="240" w:lineRule="auto"/>
        <w:ind w:right="1972"/>
        <w:jc w:val="left"/>
        <w:rPr>
          <w:b w:val="0"/>
          <w:bCs w:val="0"/>
        </w:rPr>
      </w:pPr>
      <w:bookmarkStart w:name="（2）存货跌价准备" w:id="253"/>
      <w:bookmarkEnd w:id="25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3）存货期末余额含有借款费用资本化金额的说明" w:id="254"/>
      <w:bookmarkEnd w:id="25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4）期末建造合同形成的已完工未结算资产情况" w:id="255"/>
      <w:bookmarkEnd w:id="25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8、持有待售资产" w:id="256"/>
      <w:bookmarkEnd w:id="256"/>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9、一年内到期的非流动资产" w:id="257"/>
      <w:bookmarkEnd w:id="257"/>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10、其他流动资产" w:id="258"/>
      <w:bookmarkEnd w:id="258"/>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12,701,868.63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3,071,035.79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694,312.62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957,316.63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13,396,181.25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4,028,352.42</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11、可供出售金融资产" w:id="259"/>
      <w:bookmarkEnd w:id="259"/>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可供出售金融资产情况" w:id="260"/>
      <w:bookmarkEnd w:id="26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72,927,564.25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72,927,564.25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55,063,998.25</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72,927,564.25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72,927,564.25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55,063,998.25</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72,927,564.25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72,927,564.25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55,063,998.25</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期末按公允价值计量的可供出售金融资产" w:id="261"/>
      <w:bookmarkEnd w:id="26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期末按成本计量的可供出售金融资产" w:id="262"/>
      <w:bookmarkEnd w:id="26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1129"/>
        <w:gridCol w:w="1110"/>
        <w:gridCol w:w="856"/>
        <w:gridCol w:w="1170"/>
        <w:gridCol w:w="464"/>
        <w:gridCol w:w="946"/>
        <w:gridCol w:w="780"/>
        <w:gridCol w:w="600"/>
        <w:gridCol w:w="775"/>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42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75"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1129"/>
        <w:gridCol w:w="1110"/>
        <w:gridCol w:w="856"/>
        <w:gridCol w:w="1170"/>
        <w:gridCol w:w="464"/>
        <w:gridCol w:w="946"/>
        <w:gridCol w:w="780"/>
        <w:gridCol w:w="600"/>
        <w:gridCol w:w="775"/>
        <w:gridCol w:w="870"/>
      </w:tblGrid>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东南亚电 信集团股 份有限公 司（新加 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35,733,998.25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4,176,066.00</w:t>
            </w:r>
          </w:p>
        </w:tc>
        <w:tc>
          <w:tcPr>
            <w:tcW w:w="85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39,910,064.25</w:t>
            </w:r>
          </w:p>
        </w:tc>
        <w:tc>
          <w:tcPr>
            <w:tcW w:w="46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深圳市优 课在线教 育有限公 司</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7,687,500.00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7,687,500.00</w:t>
            </w:r>
          </w:p>
        </w:tc>
        <w:tc>
          <w:tcPr>
            <w:tcW w:w="46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深圳迅销 科技股份 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4,320,000.00</w:t>
            </w:r>
          </w:p>
        </w:tc>
        <w:tc>
          <w:tcPr>
            <w:tcW w:w="111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4,320,000.00</w:t>
            </w:r>
          </w:p>
        </w:tc>
        <w:tc>
          <w:tcPr>
            <w:tcW w:w="46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北京江融 信科技有 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46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中电达通 数据技术 股份有限 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111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46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潍坊市云 支付科技 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111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46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55,063,998.25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17,863,566.00</w:t>
            </w:r>
          </w:p>
        </w:tc>
        <w:tc>
          <w:tcPr>
            <w:tcW w:w="85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72,927,564.25</w:t>
            </w:r>
          </w:p>
        </w:tc>
        <w:tc>
          <w:tcPr>
            <w:tcW w:w="46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4）报告期内可供出售金融资产减值的变动情况" w:id="263"/>
      <w:bookmarkEnd w:id="26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5）可供出售权益工具期末公允价值严重下跌或非暂时性下跌但未计提减值准备的相关说" w:id="264"/>
      <w:bookmarkEnd w:id="26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12、持有至到期投资" w:id="265"/>
      <w:bookmarkEnd w:id="265"/>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持有至到期投资情况" w:id="266"/>
      <w:bookmarkEnd w:id="26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期末重要的持有至到期投资" w:id="267"/>
      <w:bookmarkEnd w:id="26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本期重分类的持有至到期投资" w:id="268"/>
      <w:bookmarkEnd w:id="26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13、长期应收款" w:id="269"/>
      <w:bookmarkEnd w:id="269"/>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长期应收款情况" w:id="270"/>
      <w:bookmarkEnd w:id="27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因金融资产转移而终止确认的长期应收款" w:id="271"/>
      <w:bookmarkEnd w:id="27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3）转移长期应收款且继续涉入形成的资产、负债金额" w:id="272"/>
      <w:bookmarkEnd w:id="27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14、长期股权投资" w:id="273"/>
      <w:bookmarkEnd w:id="27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深州市汇 巨信息技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41,921,14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256,068.2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42,177,20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北京信邦 安达信息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6,332,893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-733,922.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5,598,971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科技股份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广州天源 信息科技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21,914,87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1,957,120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23,871,99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70,168,90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1,479,266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71,648,17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70,168,90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1,479,266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71,648,17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15、投资性房地产" w:id="274"/>
      <w:bookmarkEnd w:id="27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采用成本计量模式的投资性房地产" w:id="275"/>
      <w:bookmarkEnd w:id="27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8,162,563.69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8,162,563.69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138,430,472.89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138,430,472.89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138,430,472.89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138,430,472.89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146,593,036.58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146,593,036.58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1,658,928.01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1,658,928.01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5,078,211.30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5,078,211.30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2,622,258.68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2,622,258.68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2,455,952.62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2,455,952.62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6,737,139.31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6,737,139.31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139,855,897.27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139,855,897.27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6,503,635.68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6,503,635.68</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采用公允价值计量模式的投资性房地产" w:id="276"/>
      <w:bookmarkEnd w:id="27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3）未办妥产权证书的投资性房地产情况" w:id="277"/>
      <w:bookmarkEnd w:id="27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16、固定资产" w:id="278"/>
      <w:bookmarkEnd w:id="27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367,568,656.89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244,156,240.59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367,568,656.89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244,156,240.59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972"/>
        <w:jc w:val="left"/>
        <w:rPr>
          <w:b w:val="0"/>
          <w:bCs w:val="0"/>
        </w:rPr>
      </w:pPr>
      <w:bookmarkStart w:name="（1）固定资产情况" w:id="279"/>
      <w:bookmarkEnd w:id="27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230,953,930.08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44,259,093.95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8,369,852.61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20,712,111.02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304,294,987.66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252,576,475.81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14,172,881.69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2,024,423.89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10,310,432.35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279,084,213.74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14,172,881.69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2,024,423.89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10,310,432.35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26,507,737.93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252,576,475.81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252,576,475.81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138,430,472.89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3,167,099.78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337,936.75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355,245.84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142,290,755.26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3,167,099.78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337,936.75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355,245.84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3,860,282.37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转入投资性房地产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138,430,472.89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138,430,472.89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345,099,933.00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55,264,875.86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10,056,339.75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30,667,297.53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441,088,446.14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21,160,811.94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22,739,404.42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6,357,455.71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9,881,075.00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60,138,747.07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5,249,889.91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8,066,375.80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806,856.87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5,422,953.91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19,546,076.49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5,249,889.91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8,066,375.80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806,856.87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5,422,953.91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19,546,076.49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2,455,952.62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3,056,772.18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321,039.92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331,269.59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6,165,034.31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3,056,772.18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321,039.92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331,269.59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3,709,081.69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转入投资性房地产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2,455,952.62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2,455,952.62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23,954,749.23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27,749,008.04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6,843,272.66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14,972,759.32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73,519,789.25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321,145,183.77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27,515,867.82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3,213,067.09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15,694,538.21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367,568,656.89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209,793,118.14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21,519,689.53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2,012,396.90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10,831,036.02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244,156,240.59</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暂时闲置的固定资产情况" w:id="280"/>
      <w:bookmarkEnd w:id="28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通过融资租赁租入的固定资产情况" w:id="281"/>
      <w:bookmarkEnd w:id="28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4）通过经营租赁租出的固定资产" w:id="282"/>
      <w:bookmarkEnd w:id="28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5）未办妥产权证书的固定资产情况" w:id="283"/>
      <w:bookmarkEnd w:id="28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86,766,044.61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6）固定资产清理" w:id="284"/>
      <w:bookmarkEnd w:id="284"/>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17、在建工程" w:id="285"/>
      <w:bookmarkEnd w:id="28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152,468,550.55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152,468,550.55</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1）在建工程情况" w:id="286"/>
      <w:bookmarkEnd w:id="28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武汉软件新城 </w:t>
            </w:r>
            <w:r>
              <w:rPr>
                <w:rFonts w:ascii="Times New Roman" w:hAnsi="Times New Roman" w:cs="Times New Roman" w:eastAsia="Times New Roman" w:hint="default"/>
                <w:sz w:val="18"/>
                <w:szCs w:val="18"/>
              </w:rPr>
              <w:t>C13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办公楼装修 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2,532,078.65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2,532,078.65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合肥天源迪科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149,936,471.90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149,936,471.90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152,468,550.55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152,468,550.55</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重要在建工程项目本期变动情况" w:id="287"/>
      <w:bookmarkEnd w:id="28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武汉软 件新城 </w:t>
            </w:r>
            <w:r>
              <w:rPr>
                <w:rFonts w:ascii="Times New Roman" w:hAnsi="Times New Roman" w:cs="Times New Roman" w:eastAsia="Times New Roman" w:hint="default"/>
                <w:sz w:val="18"/>
                <w:szCs w:val="18"/>
              </w:rPr>
              <w:t>C13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办</w:t>
            </w: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公楼装 修工程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101,300,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2,532,07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84,233,9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65.96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86,766,0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44.61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合肥天 源迪科 </w:t>
            </w:r>
            <w:r>
              <w:rPr>
                <w:rFonts w:ascii="Times New Roman" w:hAnsi="Times New Roman" w:cs="Times New Roman" w:eastAsia="Times New Roman" w:hint="default"/>
                <w:sz w:val="18"/>
                <w:szCs w:val="18"/>
              </w:rPr>
              <w:t>1#</w:t>
            </w:r>
            <w:r>
              <w:rPr>
                <w:rFonts w:ascii="宋体" w:hAnsi="宋体" w:cs="宋体" w:eastAsia="宋体" w:hint="default"/>
                <w:sz w:val="18"/>
                <w:szCs w:val="18"/>
              </w:rPr>
              <w:t>办公 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165,464,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149,936,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471.90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15,873,9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165,810,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431.20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4,082,05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3.71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266,764,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152,468,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550.55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100,107,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925.26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252,576,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475.81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4,082,05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3.71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本期计提在建工程减值准备情况" w:id="288"/>
      <w:bookmarkEnd w:id="28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357" w:lineRule="auto" w:before="52"/>
        <w:ind w:left="154" w:right="1003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972"/>
        <w:jc w:val="left"/>
        <w:rPr>
          <w:b w:val="0"/>
          <w:bCs w:val="0"/>
        </w:rPr>
      </w:pPr>
      <w:bookmarkStart w:name="（4）工程物资" w:id="289"/>
      <w:bookmarkEnd w:id="289"/>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18、生产性生物资产" w:id="290"/>
      <w:bookmarkEnd w:id="290"/>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采用成本计量模式的生产性生物资产" w:id="291"/>
      <w:bookmarkEnd w:id="29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2）采用公允价值计量模式的生产性生物资产" w:id="292"/>
      <w:bookmarkEnd w:id="29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19、油气资产" w:id="293"/>
      <w:bookmarkEnd w:id="293"/>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20、无形资产" w:id="294"/>
      <w:bookmarkEnd w:id="294"/>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无形资产情况" w:id="295"/>
      <w:bookmarkEnd w:id="29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15,776,991.84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578,319,033.29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35,284,286.48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629,380,311.61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95,660,153.66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95,660,153.66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95,660,153.66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95,660,153.66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15,776,991.84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673,979,186.95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35,284,286.48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725,040,465.27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1,923,616.21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380,482,808.28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28,075,560.43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410,481,984.92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315,539.88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92,975,491.68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3,490,881.47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96,781,913.03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315,539.88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92,975,491.68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3,490,881.47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96,781,913.03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2,239,156.09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473,458,299.96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31,566,441.90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507,263,897.95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13,537,835.75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200,520,886.99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3,717,844.58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217,776,567.32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13,853,375.63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197,836,225.01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7,208,726.05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218,898,326.69</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92.08%</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2）未办妥产权证书的土地使用权情况" w:id="296"/>
      <w:bookmarkEnd w:id="29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21、开发支出" w:id="297"/>
      <w:bookmarkEnd w:id="297"/>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电信集团</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BSS3.0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22,239,055.0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22,239,055.0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全业务服务 接入平台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20,775,619.4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20,775,619.4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警务云架构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20,540,355.8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20,540,355.8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云化融合计 费平台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21,984,501.4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21,984,501.4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运营商智慧 </w:t>
            </w:r>
            <w:r>
              <w:rPr>
                <w:rFonts w:ascii="Times New Roman" w:hAnsi="Times New Roman" w:cs="Times New Roman" w:eastAsia="Times New Roman" w:hint="default"/>
                <w:sz w:val="18"/>
                <w:szCs w:val="18"/>
              </w:rPr>
              <w:t>BOSS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18,431,096.1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18,431,096.1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物码互联技 术研究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21,698,420.8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21,698,420.8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人工智能技 术研究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9,992,930.14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9,992,930.14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行业互联网 电商平台研 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12,314,917.9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12,314,917.9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信息安全技 术研究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14,840,321.3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14,840,321.3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大数据洞察 分析平台二 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35,801,264.9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35,801,264.9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企业移动商 业智慧服务 平台二期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29,210,103.7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29,210,103.7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产业</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“BOSS+”</w:t>
            </w:r>
            <w:r>
              <w:rPr>
                <w:rFonts w:ascii="宋体" w:hAnsi="宋体" w:cs="宋体" w:eastAsia="宋体" w:hint="default"/>
                <w:sz w:val="18"/>
                <w:szCs w:val="18"/>
              </w:rPr>
              <w:t>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平台二期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30,648,785.0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30,648,785.0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基于云架构 分布式调度 管理系统关 键技术研发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17,791,860.3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17,791,860.3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银行人工智 能营销系统 的关键技术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20,411,914.9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20,411,914.9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中国联通华 盛公司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伴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7,838,969.81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7,838,969.81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中国联通在 线信控系统 运维项目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10,231,339.2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10,231,339.2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大连锦城物 流住处系统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4,120,064.42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4,120,064.42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基于大数据 的用户多维 度分析模型 构建系统研 发和应用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5,195,125.25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5,195,125.25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金华威企业 云通信应用 与管理系统</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11,185,784.4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11,185,784.4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迪科数金催 收平台项目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4,395,951.25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4,395,951.25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天源迪科长 途客运治安 防控软件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9,613,008.82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9,613,008.82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宝贝团淘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商城</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4,191,877.33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4,191,877.33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企业智慧安 全数据库管 理技术的研 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10,016,285.2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10,016,285.2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统一充值缴 费平台研发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2,821,432.08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2,821,432.08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大视频多屏 互动及智能 融合推荐平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13,837,868.6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13,837,868.6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移动销售微 信小程序版 本的研发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5,027,153.06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5,027,153.06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95,660,153.6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289,495,853.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95,660,153.6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185,525,225.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103,970,627.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6"/>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92</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2、商誉" w:id="298"/>
      <w:bookmarkEnd w:id="298"/>
      <w:r>
        <w:rPr>
          <w:b w:val="0"/>
          <w:bCs w:val="0"/>
        </w:rPr>
      </w:r>
      <w:r>
        <w:rPr>
          <w:rFonts w:ascii="Times New Roman" w:hAnsi="Times New Roman" w:cs="Times New Roman" w:eastAsia="Times New Roman" w:hint="default"/>
        </w:rPr>
        <w:t>22</w:t>
      </w:r>
      <w:r>
        <w:rPr/>
        <w:t>、商誉</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商誉账面原值" w:id="299"/>
      <w:bookmarkEnd w:id="29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27,673,109.50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27,673,109.50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1,478,319.78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1,478,319.78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2,764,044.72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2,764,044.72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4,274,008.29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4,274,008.29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深圳宝贝团</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7,064,931.14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7,064,931.14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611,765,517.72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611,765,517.72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655,019,931.15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655,019,931.15</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2）商誉减值准备" w:id="300"/>
      <w:bookmarkEnd w:id="30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1,020,017.91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1,020,017.91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深圳宝贝团</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1,020,017.91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1,020,017.91</w:t>
            </w:r>
          </w:p>
        </w:tc>
      </w:tr>
    </w:tbl>
    <w:p>
      <w:pPr>
        <w:spacing w:line="338"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w: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66" w:lineRule="auto" w:before="16"/>
        <w:ind w:right="1131" w:firstLine="420"/>
        <w:jc w:val="both"/>
      </w:pPr>
      <w:r>
        <w:rPr>
          <w:spacing w:val="-1"/>
        </w:rPr>
        <w:t>注：本公司以被收购公司整体作为资产组组合进行资产减值测试，资产组组合的可收回金额依据其预</w:t>
      </w:r>
      <w:r>
        <w:rPr/>
        <w:t> </w:t>
      </w:r>
      <w:r>
        <w:rPr>
          <w:spacing w:val="-1"/>
        </w:rPr>
        <w:t>计未来现金流量的现值估计，折现率采用能够反映资产组组合的当前市场货币时间价值和特定风险的税前</w:t>
      </w:r>
      <w:r>
        <w:rPr>
          <w:spacing w:val="-81"/>
        </w:rPr>
        <w:t> </w:t>
      </w:r>
      <w:r>
        <w:rPr>
          <w:spacing w:val="-81"/>
        </w:rPr>
      </w:r>
      <w:r>
        <w:rPr>
          <w:spacing w:val="-2"/>
        </w:rPr>
        <w:t>利率。年末对本公司商誉进行减值测试，除广州易杰计提商誉减值准备</w:t>
      </w:r>
      <w:r>
        <w:rPr>
          <w:rFonts w:ascii="Times New Roman" w:hAnsi="Times New Roman" w:cs="Times New Roman" w:eastAsia="Times New Roman" w:hint="default"/>
          <w:spacing w:val="-2"/>
        </w:rPr>
        <w:t>1,020,017.91</w:t>
      </w:r>
      <w:r>
        <w:rPr>
          <w:spacing w:val="-2"/>
        </w:rPr>
        <w:t>元外，其余商誉的公允</w:t>
      </w:r>
      <w:r>
        <w:rPr>
          <w:spacing w:val="-78"/>
        </w:rPr>
        <w:t> </w:t>
      </w:r>
      <w:r>
        <w:rPr>
          <w:spacing w:val="-78"/>
        </w:rPr>
      </w:r>
      <w:r>
        <w:rPr>
          <w:spacing w:val="-1"/>
        </w:rPr>
        <w:t>价值均高于其账面价值，故无需计提商誉减值准备。维恩贝特在收购时存在业绩承诺，本年度是业绩承诺</w:t>
      </w:r>
    </w:p>
    <w:p>
      <w:pPr>
        <w:spacing w:after="0" w:line="26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45"/>
        <w:jc w:val="both"/>
      </w:pPr>
      <w:r>
        <w:rPr/>
        <w:t>的最后一年，</w:t>
      </w:r>
      <w:r>
        <w:rPr>
          <w:rFonts w:ascii="Times New Roman" w:hAnsi="Times New Roman" w:cs="Times New Roman" w:eastAsia="Times New Roman" w:hint="default"/>
        </w:rPr>
        <w:t>2018</w:t>
      </w:r>
      <w:r>
        <w:rPr/>
        <w:t>年度经过调整后的净利润为</w:t>
      </w:r>
      <w:r>
        <w:rPr>
          <w:rFonts w:ascii="Times New Roman" w:hAnsi="Times New Roman" w:cs="Times New Roman" w:eastAsia="Times New Roman" w:hint="default"/>
        </w:rPr>
        <w:t>6,472.01</w:t>
      </w:r>
      <w:r>
        <w:rPr/>
        <w:t>万元，</w:t>
      </w:r>
      <w:r>
        <w:rPr>
          <w:rFonts w:ascii="Times New Roman" w:hAnsi="Times New Roman" w:cs="Times New Roman" w:eastAsia="Times New Roman" w:hint="default"/>
        </w:rPr>
        <w:t>2016-2018</w:t>
      </w:r>
      <w:r>
        <w:rPr/>
        <w:t>年度合计净利润为</w:t>
      </w:r>
      <w:r>
        <w:rPr>
          <w:rFonts w:ascii="Times New Roman" w:hAnsi="Times New Roman" w:cs="Times New Roman" w:eastAsia="Times New Roman" w:hint="default"/>
        </w:rPr>
        <w:t>14,608.86</w:t>
      </w:r>
      <w:r>
        <w:rPr/>
        <w:t>万元， 完成了业绩承诺的</w:t>
      </w:r>
      <w:r>
        <w:rPr>
          <w:rFonts w:ascii="Times New Roman" w:hAnsi="Times New Roman" w:cs="Times New Roman" w:eastAsia="Times New Roman" w:hint="default"/>
        </w:rPr>
        <w:t>14,490</w:t>
      </w:r>
      <w:r>
        <w:rPr/>
        <w:t>万元，本年度公司已聘请资产评估机构对维恩贝特的商誉减值测试进行评估，经 评估，维恩贝特的商誉未发生减值。</w:t>
      </w:r>
    </w:p>
    <w:p>
      <w:pPr>
        <w:spacing w:line="240" w:lineRule="auto" w:before="0"/>
        <w:rPr>
          <w:rFonts w:ascii="宋体" w:hAnsi="宋体" w:cs="宋体" w:eastAsia="宋体" w:hint="default"/>
          <w:sz w:val="20"/>
          <w:szCs w:val="20"/>
        </w:rPr>
      </w:pPr>
    </w:p>
    <w:p>
      <w:pPr>
        <w:spacing w:line="360" w:lineRule="auto" w:before="139"/>
        <w:ind w:left="154" w:right="8592"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11"/>
        <w:rPr>
          <w:rFonts w:ascii="宋体" w:hAnsi="宋体" w:cs="宋体" w:eastAsia="宋体" w:hint="default"/>
          <w:sz w:val="19"/>
          <w:szCs w:val="19"/>
        </w:rPr>
      </w:pPr>
    </w:p>
    <w:p>
      <w:pPr>
        <w:pStyle w:val="Heading5"/>
        <w:spacing w:line="240" w:lineRule="auto"/>
        <w:ind w:right="0"/>
        <w:jc w:val="both"/>
        <w:rPr>
          <w:b w:val="0"/>
          <w:bCs w:val="0"/>
        </w:rPr>
      </w:pPr>
      <w:bookmarkStart w:name="23、长期待摊费用" w:id="301"/>
      <w:bookmarkEnd w:id="30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6,746,300.55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12,731,524.10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2,951,154.11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16,526,670.54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高尔夫会员资格证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646,957.97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580,457.93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车位费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171,428.59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19,047.62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152,380.97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7,564,687.11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12,731,524.10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3,036,701.77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17,259,509.44</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4、递延所得税资产/递延所得税负债" w:id="302"/>
      <w:bookmarkEnd w:id="302"/>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未经抵销的递延所得税资产" w:id="303"/>
      <w:bookmarkEnd w:id="30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87,454,296.02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12,890,452.80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63,423,244.53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9,365,178.85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187,288,669.54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28,093,300.43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160,274,041.07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24,041,106.16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31,624,819.20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4,743,722.88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68,416,063.68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10,262,409.55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306,367,784.76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45,727,476.11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292,113,349.28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43,668,694.56</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未经抵销的递延所得税负债" w:id="304"/>
      <w:bookmarkEnd w:id="30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以抵销后净额列示的递延所得税资产或负债" w:id="305"/>
      <w:bookmarkEnd w:id="30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38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3" w:right="0"/>
              <w:jc w:val="left"/>
              <w:rPr>
                <w:rFonts w:ascii="宋体" w:hAnsi="宋体" w:cs="宋体" w:eastAsia="宋体" w:hint="default"/>
                <w:sz w:val="18"/>
                <w:szCs w:val="18"/>
              </w:rPr>
            </w:pPr>
            <w:r>
              <w:rPr>
                <w:rFonts w:ascii="宋体" w:hAnsi="宋体" w:cs="宋体" w:eastAsia="宋体" w:hint="default"/>
                <w:sz w:val="18"/>
                <w:szCs w:val="18"/>
              </w:rPr>
              <w:t>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45,727,476.11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43,668,694.56</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4）未确认递延所得税资产明细" w:id="306"/>
      <w:bookmarkEnd w:id="30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98,555.90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1,284,259.22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56,482,556.82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585,290.08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56,581,112.72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1,869,549.30</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5）未确认递延所得税资产的可抵扣亏损将于以下年度到期" w:id="307"/>
      <w:bookmarkEnd w:id="30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3,405,093.53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19,136,923.66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254,063.94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3,416,609.97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5,553,197.96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331,226.14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24,970,731.70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56,482,556.82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585,290.08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5、其他非流动资产" w:id="308"/>
      <w:bookmarkEnd w:id="308"/>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预付购买办公楼款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79,701,417.00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预付购车款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415,550.00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预付在建工程款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328,564.88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1,902,379.91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预付固定资产款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878,564.88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82,019,346.91</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26、短期借款" w:id="309"/>
      <w:bookmarkEnd w:id="309"/>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短期借款分类" w:id="310"/>
      <w:bookmarkEnd w:id="31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681,000,000.00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56" w:lineRule="auto" w:before="90"/>
        <w:ind w:right="1214" w:firstLine="420"/>
        <w:jc w:val="both"/>
      </w:pPr>
      <w:r>
        <w:rPr/>
        <w:t>注</w:t>
      </w:r>
      <w:r>
        <w:rPr>
          <w:rFonts w:ascii="Times New Roman" w:hAnsi="Times New Roman" w:cs="Times New Roman" w:eastAsia="Times New Roman" w:hint="default"/>
        </w:rPr>
        <w:t>1</w:t>
      </w:r>
      <w:r>
        <w:rPr/>
        <w:t>：根据招商银行深圳分行与本公司之子公司北京天源迪科签订的国内保理业务协议和应收账款转 让登记协议，北京天源迪科以应收本公司的</w:t>
      </w:r>
      <w:r>
        <w:rPr>
          <w:rFonts w:ascii="Times New Roman" w:hAnsi="Times New Roman" w:cs="Times New Roman" w:eastAsia="Times New Roman" w:hint="default"/>
        </w:rPr>
        <w:t>3,000</w:t>
      </w:r>
      <w:r>
        <w:rPr/>
        <w:t>万元应收账款转让予招商银行深圳分行取得</w:t>
      </w:r>
      <w:r>
        <w:rPr>
          <w:rFonts w:ascii="Times New Roman" w:hAnsi="Times New Roman" w:cs="Times New Roman" w:eastAsia="Times New Roman" w:hint="default"/>
        </w:rPr>
        <w:t>3,000</w:t>
      </w:r>
      <w:r>
        <w:rPr/>
        <w:t>万的借 款。</w:t>
      </w:r>
    </w:p>
    <w:p>
      <w:pPr>
        <w:pStyle w:val="BodyText"/>
        <w:spacing w:line="256" w:lineRule="auto" w:before="22"/>
        <w:ind w:right="1119" w:firstLine="420"/>
        <w:jc w:val="left"/>
      </w:pPr>
      <w:r>
        <w:rPr/>
        <w:t>注</w:t>
      </w:r>
      <w:r>
        <w:rPr>
          <w:rFonts w:ascii="Times New Roman" w:hAnsi="Times New Roman" w:cs="Times New Roman" w:eastAsia="Times New Roman" w:hint="default"/>
        </w:rPr>
        <w:t>2</w:t>
      </w:r>
      <w:r>
        <w:rPr/>
        <w:t>：根据平安商业保理有限公司与本公司之子公司深圳金华威签订的保理协议，深圳金华威以与深 </w:t>
      </w:r>
      <w:r>
        <w:rPr>
          <w:spacing w:val="-1"/>
        </w:rPr>
        <w:t>圳市世纪中科信息技术有限公司签订的合同编号为</w:t>
      </w:r>
      <w:r>
        <w:rPr>
          <w:rFonts w:ascii="Times New Roman" w:hAnsi="Times New Roman" w:cs="Times New Roman" w:eastAsia="Times New Roman" w:hint="default"/>
          <w:spacing w:val="-1"/>
        </w:rPr>
        <w:t>GY181201B/15006</w:t>
      </w:r>
      <w:r>
        <w:rPr>
          <w:spacing w:val="-1"/>
        </w:rPr>
        <w:t>的</w:t>
      </w:r>
      <w:r>
        <w:rPr>
          <w:rFonts w:ascii="Times New Roman" w:hAnsi="Times New Roman" w:cs="Times New Roman" w:eastAsia="Times New Roman" w:hint="default"/>
          <w:spacing w:val="-1"/>
        </w:rPr>
        <w:t>1,100</w:t>
      </w:r>
      <w:r>
        <w:rPr>
          <w:spacing w:val="-1"/>
        </w:rPr>
        <w:t>万应收账款、与深圳市齐普生</w:t>
      </w:r>
      <w:r>
        <w:rPr/>
        <w:t> 科技股份有限公司签订的合同编号为</w:t>
      </w:r>
      <w:r>
        <w:rPr>
          <w:rFonts w:ascii="Times New Roman" w:hAnsi="Times New Roman" w:cs="Times New Roman" w:eastAsia="Times New Roman" w:hint="default"/>
        </w:rPr>
        <w:t>ZZ181122C/14321</w:t>
      </w:r>
      <w:r>
        <w:rPr/>
        <w:t>的</w:t>
      </w:r>
      <w:r>
        <w:rPr>
          <w:rFonts w:ascii="Times New Roman" w:hAnsi="Times New Roman" w:cs="Times New Roman" w:eastAsia="Times New Roman" w:hint="default"/>
        </w:rPr>
        <w:t>2,825</w:t>
      </w:r>
      <w:r>
        <w:rPr/>
        <w:t>万应收账款转让予平安商业保理有限公司 取得</w:t>
      </w:r>
      <w:r>
        <w:rPr>
          <w:rFonts w:ascii="Times New Roman" w:hAnsi="Times New Roman" w:cs="Times New Roman" w:eastAsia="Times New Roman" w:hint="default"/>
        </w:rPr>
        <w:t>3,000</w:t>
      </w:r>
      <w:r>
        <w:rPr/>
        <w:t>万的借款。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5"/>
        <w:spacing w:line="240" w:lineRule="auto"/>
        <w:ind w:right="1972"/>
        <w:jc w:val="left"/>
        <w:rPr>
          <w:b w:val="0"/>
          <w:bCs w:val="0"/>
        </w:rPr>
      </w:pPr>
      <w:bookmarkStart w:name="（2）已逾期未偿还的短期借款情况" w:id="311"/>
      <w:bookmarkEnd w:id="31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元，其中重要的已逾期未偿还的短期借款情况如下：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7、以公允价值计量且其变动计入当期损益的金融负债" w:id="312"/>
      <w:bookmarkEnd w:id="312"/>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8、衍生金融负债" w:id="313"/>
      <w:bookmarkEnd w:id="313"/>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29、应付票据及应付账款" w:id="314"/>
      <w:bookmarkEnd w:id="314"/>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68,378,643.43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29,322,925.39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68,378,643.43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29,322,925.39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972"/>
        <w:jc w:val="left"/>
        <w:rPr>
          <w:b w:val="0"/>
          <w:bCs w:val="0"/>
        </w:rPr>
      </w:pPr>
      <w:bookmarkStart w:name="（1）应付票据分类列示" w:id="315"/>
      <w:bookmarkEnd w:id="315"/>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2）应付账款列示" w:id="316"/>
      <w:bookmarkEnd w:id="316"/>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61,034,556.20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18,724,203.17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1,793,190.49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4,409,538.39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4,208,188.72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5,568,385.81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1,342,708.02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620,798.02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68,378,643.43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29,322,925.39</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账龄超过1年的重要应付账款" w:id="317"/>
      <w:bookmarkEnd w:id="317"/>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广东博思信息技术有限公司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1,307,692.32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上海柯力士信息安全技术有限公司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1,163,125.81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背靠背合同，项目款项暂未收到，收到 后付款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合肥大富建筑装潢工程有限责任公司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476,170.66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安徽安兴装饰工程有限责任公司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462,862.95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合肥建工装饰工程有限责任公司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455,837.62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安徽中昊建设工程有限公司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455,605.88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4,321,295.24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30、预收款项" w:id="318"/>
      <w:bookmarkEnd w:id="318"/>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预收款项列示" w:id="319"/>
      <w:bookmarkEnd w:id="31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159,508,409.71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125,125,414.44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159,508,409.71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125,125,414.44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972"/>
        <w:jc w:val="left"/>
        <w:rPr>
          <w:b w:val="0"/>
          <w:bCs w:val="0"/>
        </w:rPr>
      </w:pPr>
      <w:bookmarkStart w:name="（2）账龄超过1年的重要预收款项"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1,202,370.00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952,692.72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670,696.00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604,072.00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583,871.42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4,013,702.14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期末建造合同形成的已结算未完工项目情况" w:id="321"/>
      <w:bookmarkEnd w:id="32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1、应付职工薪酬" w:id="322"/>
      <w:bookmarkEnd w:id="322"/>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应付职工薪酬列示" w:id="323"/>
      <w:bookmarkEnd w:id="32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40,717,702.18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848,511,250.24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856,103,065.70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33,125,886.72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348,714.22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44,065,566.91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43,989,915.58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424,365.55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2,430,174.18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2,430,174.18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41,066,416.40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895,006,991.33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902,523,155.46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33,550,252.27</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短期薪酬列示" w:id="324"/>
      <w:bookmarkEnd w:id="32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40,460,300.15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780,793,437.44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788,473,433.91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32,780,303.68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13,706,691.74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13,706,691.74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210,236.62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22,826,224.90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22,813,108.16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223,353.36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177,909.42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20,862,287.43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20,842,065.79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198,131.06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676,677.16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676,668.63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5,082.16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27,253.57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1,287,260.31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1,294,373.74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20,140.14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46,154.15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28,750,301.19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28,708,310.26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88,145.08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1,011.26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2,434,594.97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2,401,521.63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34,084.60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40,717,702.18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848,511,250.24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856,103,065.70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33,125,886.72</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设定提存计划列示" w:id="325"/>
      <w:bookmarkEnd w:id="32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338,912.36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41,521,557.59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41,451,787.46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408,682.49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1,428,972.97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1,423,091.77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15,683.06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1,115,036.35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1,115,036.35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348,714.22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44,065,566.91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43,989,915.58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424,365.55</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2、应交税费" w:id="326"/>
      <w:bookmarkEnd w:id="326"/>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10,944,560.85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10,103,507.04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17,120,360.58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8,822,708.42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2,552,739.23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5,289,688.62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899,365.34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733,663.82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707,238.02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476,493.23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105,704.95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60,331.42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367,793.42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228,062.72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32,697,762.39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25,714,455.27</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3、其他应付款" w:id="327"/>
      <w:bookmarkEnd w:id="327"/>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11,242,797.72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10,926,101.17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23,696,743.54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10,339,306.79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34,939,541.26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21,265,407.96</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1）应付利息" w:id="328"/>
      <w:bookmarkEnd w:id="328"/>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9,166,666.67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9,166,666.67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应付银行借款利息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2,076,131.05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1,759,434.50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11,242,797.72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10,926,101.17</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应付股利" w:id="329"/>
      <w:bookmarkEnd w:id="329"/>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1"/>
        <w:rPr>
          <w:rFonts w:ascii="宋体" w:hAnsi="宋体" w:cs="宋体" w:eastAsia="宋体" w:hint="default"/>
          <w:sz w:val="25"/>
          <w:szCs w:val="25"/>
        </w:rPr>
      </w:pPr>
    </w:p>
    <w:p>
      <w:pPr>
        <w:pStyle w:val="Heading5"/>
        <w:spacing w:line="240" w:lineRule="auto"/>
        <w:ind w:right="1972"/>
        <w:jc w:val="left"/>
        <w:rPr>
          <w:b w:val="0"/>
          <w:bCs w:val="0"/>
        </w:rPr>
      </w:pPr>
      <w:bookmarkStart w:name="（3）其他应付款" w:id="330"/>
      <w:bookmarkEnd w:id="330"/>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1,068,125.28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785,337.02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3,754,054.05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1,121,678.43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14,823,148.00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1,563,129.56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1,142,041.09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703,206.82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1,869,375.12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4,345,954.96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23,696,743.54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10,339,306.79</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34、持有待售负债" w:id="331"/>
      <w:bookmarkEnd w:id="331"/>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35、一年内到期的非流动负债" w:id="332"/>
      <w:bookmarkEnd w:id="332"/>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199,900,156.79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229,900,156.79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36、其他流动负债" w:id="333"/>
      <w:bookmarkEnd w:id="333"/>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7、长期借款" w:id="334"/>
      <w:bookmarkEnd w:id="334"/>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长期借款分类" w:id="335"/>
      <w:bookmarkEnd w:id="33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38、应付债券" w:id="336"/>
      <w:bookmarkEnd w:id="336"/>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应付债券" w:id="337"/>
      <w:bookmarkEnd w:id="33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迪科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199,306,602.73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199,306,602.73</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应付债券的增减变动（不包括划分为金融负债的优先股、永续债等其他金融工具）" w:id="338"/>
      <w:bookmarkEnd w:id="33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转出到一 年到期的 非流动负 债</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迪科</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199,306,6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02.73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593,554.0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199,900,1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199,306,6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02.73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593,554.0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199,900,1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3）可转换公司债券的转股条件、转股时间说明" w:id="339"/>
      <w:bookmarkEnd w:id="33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4）划分为金融负债的其他金融工具说明" w:id="340"/>
      <w:bookmarkEnd w:id="34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pStyle w:val="Heading5"/>
        <w:spacing w:line="240" w:lineRule="auto"/>
        <w:ind w:right="1972"/>
        <w:jc w:val="left"/>
        <w:rPr>
          <w:b w:val="0"/>
          <w:bCs w:val="0"/>
        </w:rPr>
      </w:pPr>
      <w:bookmarkStart w:name="39、长期应付款" w:id="341"/>
      <w:bookmarkEnd w:id="341"/>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1）按款项性质列示长期应付款" w:id="342"/>
      <w:bookmarkEnd w:id="34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专项应付款" w:id="343"/>
      <w:bookmarkEnd w:id="343"/>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40、长期应付职工薪酬" w:id="344"/>
      <w:bookmarkEnd w:id="344"/>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长期应付职工薪酬表" w:id="345"/>
      <w:bookmarkEnd w:id="34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2）设定受益计划变动情况" w:id="346"/>
      <w:bookmarkEnd w:id="34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41、预计负债" w:id="347"/>
      <w:bookmarkEnd w:id="347"/>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42、递延收益" w:id="348"/>
      <w:bookmarkEnd w:id="348"/>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28,874,622.17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14,630,073.92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18,464,548.25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28,874,622.17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14,630,073.92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18,464,548.25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124"/>
        <w:gridCol w:w="1003"/>
        <w:gridCol w:w="1232"/>
        <w:gridCol w:w="895"/>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6" w:right="4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9" w:right="70"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3"/>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面向金融服 务的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服务云平台 系统的关键 技术研发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238,120.00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238,120.00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面向金融服 务的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服务云平台 系统的关键 技术研发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390,999.99</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163,333.32</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面向现代商 业银行的多 </w:t>
            </w:r>
            <w:r>
              <w:rPr>
                <w:rFonts w:ascii="宋体" w:hAnsi="宋体" w:cs="宋体" w:eastAsia="宋体" w:hint="default"/>
                <w:spacing w:val="-13"/>
                <w:sz w:val="18"/>
                <w:szCs w:val="18"/>
              </w:rPr>
              <w:t>维度，多视图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金融产品管 理软件</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管委会装修 补贴资金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1,643,333.34</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339,999.96</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1,303,333.38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管委会财政 局座席扶持 资金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565,500.00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高新区管委 会固定资产 投资项目补 助</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2,063,697.48</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47,260.27</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2,016,437.21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合肥高新区 关于合肥天 源迪科研发 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借 转补</w:t>
            </w:r>
            <w:r>
              <w:rPr>
                <w:rFonts w:ascii="Times New Roman" w:hAnsi="Times New Roman" w:cs="Times New Roman" w:eastAsia="Times New Roman" w:hint="default"/>
                <w:sz w:val="18"/>
                <w:szCs w:val="18"/>
              </w:rPr>
              <w:t>"</w:t>
            </w:r>
            <w:r>
              <w:rPr>
                <w:rFonts w:ascii="宋体" w:hAnsi="宋体" w:cs="宋体" w:eastAsia="宋体" w:hint="default"/>
                <w:sz w:val="18"/>
                <w:szCs w:val="18"/>
              </w:rPr>
              <w:t>专项财 政扶持资金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2,515,471.36</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56,860.37</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2,458,610.99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8"/>
              <w:jc w:val="left"/>
              <w:rPr>
                <w:rFonts w:ascii="宋体" w:hAnsi="宋体" w:cs="宋体" w:eastAsia="宋体" w:hint="default"/>
                <w:sz w:val="18"/>
                <w:szCs w:val="18"/>
              </w:rPr>
            </w:pPr>
            <w:r>
              <w:rPr>
                <w:rFonts w:ascii="宋体" w:hAnsi="宋体" w:cs="宋体" w:eastAsia="宋体" w:hint="default"/>
                <w:sz w:val="18"/>
                <w:szCs w:val="18"/>
              </w:rPr>
              <w:t>企业发展专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中小</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124"/>
        <w:gridCol w:w="1003"/>
        <w:gridCol w:w="1232"/>
        <w:gridCol w:w="895"/>
        <w:gridCol w:w="1063"/>
        <w:gridCol w:w="1064"/>
        <w:gridCol w:w="1062"/>
        <w:gridCol w:w="1063"/>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企业大数据 分析服务平 台项目</w:t>
            </w:r>
          </w:p>
        </w:tc>
        <w:tc>
          <w:tcPr>
            <w:tcW w:w="112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合肥市财政 创新基金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基于互联网 电子商务大 数据的卖家 智能运营支 撑平台项目 资助</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天河区科工 信局天河区 科技计划项 目经费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0612-1240B0</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110124/1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专</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题政府补助</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合同项目</w:t>
            </w:r>
          </w:p>
          <w:p>
            <w:pPr>
              <w:pStyle w:val="TableParagraph"/>
              <w:spacing w:line="302" w:lineRule="auto" w:before="75"/>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 区政府项目</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国家电子信 息产业发展 </w:t>
            </w:r>
            <w:r>
              <w:rPr>
                <w:rFonts w:ascii="宋体" w:hAnsi="宋体" w:cs="宋体" w:eastAsia="宋体" w:hint="default"/>
                <w:spacing w:val="-13"/>
                <w:sz w:val="18"/>
                <w:szCs w:val="18"/>
              </w:rPr>
              <w:t>基金（移动互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联网应用开 发部署系统 研发及产业 化）</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科技技术部 政策引导类 资助</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深圳市重大 攻关项目补 贴（重 </w:t>
            </w:r>
            <w:r>
              <w:rPr>
                <w:rFonts w:ascii="Times New Roman" w:hAnsi="Times New Roman" w:cs="Times New Roman" w:eastAsia="Times New Roman" w:hint="default"/>
                <w:spacing w:val="-15"/>
                <w:sz w:val="18"/>
                <w:szCs w:val="18"/>
              </w:rPr>
              <w:t>20150026</w:t>
            </w:r>
            <w:r>
              <w:rPr>
                <w:rFonts w:ascii="宋体" w:hAnsi="宋体" w:cs="宋体" w:eastAsia="宋体" w:hint="default"/>
                <w:spacing w:val="-15"/>
                <w:sz w:val="18"/>
                <w:szCs w:val="18"/>
              </w:rPr>
              <w:t>，跨</w:t>
            </w:r>
            <w:r>
              <w:rPr>
                <w:rFonts w:ascii="宋体" w:hAnsi="宋体" w:cs="宋体" w:eastAsia="宋体" w:hint="default"/>
                <w:sz w:val="18"/>
                <w:szCs w:val="18"/>
              </w:rPr>
            </w: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平台互联网 移动应用开 发平台关键 技术研发）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化委员会付</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124"/>
        <w:gridCol w:w="1003"/>
        <w:gridCol w:w="1232"/>
        <w:gridCol w:w="895"/>
        <w:gridCol w:w="1063"/>
        <w:gridCol w:w="1064"/>
        <w:gridCol w:w="1062"/>
        <w:gridCol w:w="1063"/>
      </w:tblGrid>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第四批 扶持计划新 一代信息技 术产业链关 键环节项目</w:t>
            </w:r>
          </w:p>
        </w:tc>
        <w:tc>
          <w:tcPr>
            <w:tcW w:w="112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基于云技术 的企业级</w:t>
            </w:r>
            <w:r>
              <w:rPr>
                <w:rFonts w:ascii="Times New Roman" w:hAnsi="Times New Roman" w:cs="Times New Roman" w:eastAsia="Times New Roman" w:hint="default"/>
                <w:sz w:val="18"/>
                <w:szCs w:val="18"/>
              </w:rPr>
              <w:t>"</w:t>
            </w:r>
            <w:r>
              <w:rPr>
                <w:rFonts w:ascii="宋体" w:hAnsi="宋体" w:cs="宋体" w:eastAsia="宋体" w:hint="default"/>
                <w:sz w:val="18"/>
                <w:szCs w:val="18"/>
              </w:rPr>
              <w:t>移 动互联网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运营平台项 目资金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市战略新兴 产为和未来 产业专项资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批扶资金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深圳市战略 性新兴产业 发展专项资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四批专项资 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深圳市科创 委付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省部产学研 合项目资金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深圳市财政 委员会转胡 芸战略新兴 产业专项资 金</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 河科技计划 项目</w:t>
            </w:r>
          </w:p>
        </w:tc>
        <w:tc>
          <w:tcPr>
            <w:tcW w:w="112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在线理赔车 险服务平台</w:t>
            </w:r>
          </w:p>
        </w:tc>
        <w:tc>
          <w:tcPr>
            <w:tcW w:w="112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深圳市战略 新兴产业发 展专项资金 </w:t>
            </w:r>
            <w:r>
              <w:rPr>
                <w:rFonts w:ascii="Times New Roman" w:hAnsi="Times New Roman" w:cs="Times New Roman" w:eastAsia="Times New Roman" w:hint="default"/>
                <w:sz w:val="18"/>
                <w:szCs w:val="18"/>
              </w:rPr>
              <w:t>20171447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28,874,622.17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14,630,073.92</w:t>
            </w:r>
          </w:p>
        </w:tc>
        <w:tc>
          <w:tcPr>
            <w:tcW w:w="8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18,464,548.2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5"/>
        <w:spacing w:line="240" w:lineRule="auto" w:before="89"/>
        <w:ind w:left="576" w:right="1972"/>
        <w:jc w:val="left"/>
        <w:rPr>
          <w:b w:val="0"/>
          <w:bCs w:val="0"/>
        </w:rPr>
      </w:pPr>
      <w:r>
        <w:rPr/>
        <w:t>递延收益分类的说明：</w:t>
      </w:r>
      <w:r>
        <w:rPr>
          <w:b w:val="0"/>
          <w:bCs w:val="0"/>
        </w:rPr>
      </w:r>
    </w:p>
    <w:p>
      <w:pPr>
        <w:pStyle w:val="BodyText"/>
        <w:spacing w:line="256" w:lineRule="auto" w:before="37"/>
        <w:ind w:right="1129" w:firstLine="420"/>
        <w:jc w:val="both"/>
      </w:pPr>
      <w:r>
        <w:rPr>
          <w:spacing w:val="-8"/>
        </w:rPr>
        <w:t>（</w:t>
      </w:r>
      <w:r>
        <w:rPr>
          <w:rFonts w:ascii="Times New Roman" w:hAnsi="Times New Roman" w:cs="Times New Roman" w:eastAsia="Times New Roman" w:hint="default"/>
          <w:spacing w:val="-8"/>
        </w:rPr>
        <w:t>1</w:t>
      </w:r>
      <w:r>
        <w:rPr>
          <w:spacing w:val="-8"/>
        </w:rPr>
        <w:t>）根据深圳市科技创新委员会文件《关于下达科技计划资助项目的通知》（深科技创新计字〔</w:t>
      </w:r>
      <w:r>
        <w:rPr>
          <w:rFonts w:ascii="Times New Roman" w:hAnsi="Times New Roman" w:cs="Times New Roman" w:eastAsia="Times New Roman" w:hint="default"/>
          <w:spacing w:val="-8"/>
        </w:rPr>
        <w:t>2016</w:t>
      </w:r>
      <w:r>
        <w:rPr>
          <w:spacing w:val="-8"/>
        </w:rPr>
        <w:t>〕</w:t>
      </w:r>
      <w:r>
        <w:rPr/>
        <w:t> </w:t>
      </w:r>
      <w:r>
        <w:rPr>
          <w:rFonts w:ascii="Times New Roman" w:hAnsi="Times New Roman" w:cs="Times New Roman" w:eastAsia="Times New Roman" w:hint="default"/>
          <w:spacing w:val="-3"/>
        </w:rPr>
        <w:t>3494</w:t>
      </w:r>
      <w:r>
        <w:rPr>
          <w:spacing w:val="-3"/>
        </w:rPr>
        <w:t>号）规定，子公司维恩贝特于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日获得政府资助款</w:t>
      </w:r>
      <w:r>
        <w:rPr>
          <w:rFonts w:ascii="Times New Roman" w:hAnsi="Times New Roman" w:cs="Times New Roman" w:eastAsia="Times New Roman" w:hint="default"/>
          <w:spacing w:val="-3"/>
        </w:rPr>
        <w:t>200</w:t>
      </w:r>
      <w:r>
        <w:rPr>
          <w:spacing w:val="-3"/>
        </w:rPr>
        <w:t>万元用于项目</w:t>
      </w:r>
      <w:r>
        <w:rPr>
          <w:rFonts w:ascii="Times New Roman" w:hAnsi="Times New Roman" w:cs="Times New Roman" w:eastAsia="Times New Roman" w:hint="default"/>
          <w:spacing w:val="-3"/>
        </w:rPr>
        <w:t>—</w:t>
      </w:r>
      <w:r>
        <w:rPr>
          <w:spacing w:val="-3"/>
        </w:rPr>
        <w:t>面向金融服务的</w:t>
      </w:r>
      <w:r>
        <w:rPr>
          <w:rFonts w:ascii="Times New Roman" w:hAnsi="Times New Roman" w:cs="Times New Roman" w:eastAsia="Times New Roman" w:hint="default"/>
          <w:spacing w:val="-3"/>
        </w:rPr>
        <w:t>SAAS</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1"/>
        </w:rPr>
        <w:t>服务云平台系统的关键技术研发。其中</w:t>
      </w:r>
      <w:r>
        <w:rPr>
          <w:rFonts w:ascii="Times New Roman" w:hAnsi="Times New Roman" w:cs="Times New Roman" w:eastAsia="Times New Roman" w:hint="default"/>
          <w:spacing w:val="-1"/>
        </w:rPr>
        <w:t>490,000.00</w:t>
      </w:r>
      <w:r>
        <w:rPr>
          <w:spacing w:val="-1"/>
        </w:rPr>
        <w:t>元仅限于购买设备，</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月花费</w:t>
      </w:r>
      <w:r>
        <w:rPr>
          <w:rFonts w:ascii="Times New Roman" w:hAnsi="Times New Roman" w:cs="Times New Roman" w:eastAsia="Times New Roman" w:hint="default"/>
          <w:spacing w:val="-1"/>
        </w:rPr>
        <w:t>104,000.00</w:t>
      </w:r>
      <w:r>
        <w:rPr>
          <w:spacing w:val="-1"/>
        </w:rPr>
        <w:t>元购买研</w:t>
      </w:r>
      <w:r>
        <w:rPr>
          <w:spacing w:val="-74"/>
        </w:rPr>
        <w:t> </w:t>
      </w:r>
      <w:r>
        <w:rPr>
          <w:spacing w:val="-74"/>
        </w:rPr>
      </w:r>
      <w:r>
        <w:rPr>
          <w:spacing w:val="-4"/>
        </w:rPr>
        <w:t>发设备，</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月花费</w:t>
      </w:r>
      <w:r>
        <w:rPr>
          <w:rFonts w:ascii="Times New Roman" w:hAnsi="Times New Roman" w:cs="Times New Roman" w:eastAsia="Times New Roman" w:hint="default"/>
          <w:spacing w:val="-4"/>
        </w:rPr>
        <w:t>224,120.00</w:t>
      </w:r>
      <w:r>
        <w:rPr>
          <w:spacing w:val="-4"/>
        </w:rPr>
        <w:t>元用于购买研发设备，截至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日已摊销</w:t>
      </w:r>
      <w:r>
        <w:rPr>
          <w:rFonts w:ascii="Times New Roman" w:hAnsi="Times New Roman" w:cs="Times New Roman" w:eastAsia="Times New Roman" w:hint="default"/>
          <w:spacing w:val="-4"/>
        </w:rPr>
        <w:t>99,000.01</w:t>
      </w:r>
      <w:r>
        <w:rPr>
          <w:spacing w:val="-4"/>
        </w:rPr>
        <w:t>元，截至</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3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日摊销</w:t>
      </w:r>
      <w:r>
        <w:rPr>
          <w:rFonts w:ascii="Times New Roman" w:hAnsi="Times New Roman" w:cs="Times New Roman" w:eastAsia="Times New Roman" w:hint="default"/>
        </w:rPr>
        <w:t>163,333.32</w:t>
      </w:r>
      <w:r>
        <w:rPr/>
        <w:t>，累计摊销</w:t>
      </w:r>
      <w:r>
        <w:rPr>
          <w:rFonts w:ascii="Times New Roman" w:hAnsi="Times New Roman" w:cs="Times New Roman" w:eastAsia="Times New Roman" w:hint="default"/>
        </w:rPr>
        <w:t>262,333.33</w:t>
      </w:r>
      <w:r>
        <w:rPr/>
        <w:t>元，账面余额</w:t>
      </w:r>
      <w:r>
        <w:rPr>
          <w:rFonts w:ascii="Times New Roman" w:hAnsi="Times New Roman" w:cs="Times New Roman" w:eastAsia="Times New Roman" w:hint="default"/>
        </w:rPr>
        <w:t>227,666.67</w:t>
      </w:r>
      <w:r>
        <w:rPr/>
        <w:t>元；其中</w:t>
      </w:r>
      <w:r>
        <w:rPr>
          <w:rFonts w:ascii="Times New Roman" w:hAnsi="Times New Roman" w:cs="Times New Roman" w:eastAsia="Times New Roman" w:hint="default"/>
        </w:rPr>
        <w:t>1,510,000.00</w:t>
      </w:r>
      <w:r>
        <w:rPr/>
        <w:t>元用于补偿</w:t>
      </w:r>
      <w:r>
        <w:rPr>
          <w:spacing w:val="-86"/>
        </w:rPr>
        <w:t> </w:t>
      </w:r>
      <w:r>
        <w:rPr>
          <w:spacing w:val="-86"/>
        </w:rPr>
      </w:r>
      <w:r>
        <w:rPr>
          <w:spacing w:val="-2"/>
        </w:rPr>
        <w:t>企业在该项目以后期间发生的相关费用或损失，子公司维恩贝特</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月花费</w:t>
      </w:r>
      <w:r>
        <w:rPr>
          <w:rFonts w:ascii="Times New Roman" w:hAnsi="Times New Roman" w:cs="Times New Roman" w:eastAsia="Times New Roman" w:hint="default"/>
          <w:spacing w:val="-2"/>
        </w:rPr>
        <w:t>1,271,880.00</w:t>
      </w:r>
      <w:r>
        <w:rPr>
          <w:spacing w:val="-2"/>
        </w:rPr>
        <w:t>元用于研发项</w:t>
      </w:r>
      <w:r>
        <w:rPr>
          <w:spacing w:val="-73"/>
        </w:rPr>
        <w:t> </w:t>
      </w:r>
      <w:r>
        <w:rPr>
          <w:spacing w:val="-73"/>
        </w:rPr>
      </w:r>
      <w:r>
        <w:rPr/>
        <w:t>目费用支出，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月用于研发项目费用支出</w:t>
      </w:r>
      <w:r>
        <w:rPr>
          <w:rFonts w:ascii="Times New Roman" w:hAnsi="Times New Roman" w:cs="Times New Roman" w:eastAsia="Times New Roman" w:hint="default"/>
        </w:rPr>
        <w:t>238,120.00</w:t>
      </w:r>
      <w:r>
        <w:rPr/>
        <w:t>元。</w:t>
      </w:r>
    </w:p>
    <w:p>
      <w:pPr>
        <w:pStyle w:val="BodyText"/>
        <w:spacing w:line="261" w:lineRule="auto" w:before="5"/>
        <w:ind w:right="1126" w:firstLine="420"/>
        <w:jc w:val="both"/>
      </w:pPr>
      <w:r>
        <w:rPr/>
        <w:t>（</w:t>
      </w:r>
      <w:r>
        <w:rPr>
          <w:rFonts w:ascii="Times New Roman" w:hAnsi="Times New Roman" w:cs="Times New Roman" w:eastAsia="Times New Roman" w:hint="default"/>
        </w:rPr>
        <w:t>2</w:t>
      </w:r>
      <w:r>
        <w:rPr/>
        <w:t>）根据深圳市战略性新兴产业发展规划和政策、《深圳市科技研发资金管理办法》、《深圳市科 </w:t>
      </w:r>
      <w:r>
        <w:rPr>
          <w:spacing w:val="-1"/>
        </w:rPr>
        <w:t>技计划项目管理办法》等有关规定，子公司维恩贝特获得深圳市战略新兴产业发展专项资金国家和省计划</w:t>
      </w:r>
      <w:r>
        <w:rPr>
          <w:spacing w:val="-81"/>
        </w:rPr>
        <w:t> </w:t>
      </w:r>
      <w:r>
        <w:rPr>
          <w:spacing w:val="-81"/>
        </w:rPr>
      </w:r>
      <w:r>
        <w:rPr/>
        <w:t>配套项目</w:t>
      </w:r>
      <w:r>
        <w:rPr>
          <w:rFonts w:ascii="Times New Roman" w:hAnsi="Times New Roman" w:cs="Times New Roman" w:eastAsia="Times New Roman" w:hint="default"/>
        </w:rPr>
        <w:t>----</w:t>
      </w:r>
      <w:r>
        <w:rPr/>
        <w:t>面向现代商业银行的多维度，多视图金融产品管理软件补助资金</w:t>
      </w:r>
      <w:r>
        <w:rPr>
          <w:rFonts w:ascii="Times New Roman" w:hAnsi="Times New Roman" w:cs="Times New Roman" w:eastAsia="Times New Roman" w:hint="default"/>
        </w:rPr>
        <w:t>175,000.00</w:t>
      </w:r>
      <w:r>
        <w:rPr/>
        <w:t>元。该补助主要补</w:t>
      </w:r>
      <w:r>
        <w:rPr>
          <w:spacing w:val="-99"/>
        </w:rPr>
        <w:t> </w:t>
      </w:r>
      <w:r>
        <w:rPr>
          <w:spacing w:val="-99"/>
        </w:rPr>
      </w:r>
      <w:r>
        <w:rPr/>
        <w:t>偿企业在该项目以后期间发生的相关费用或损失，其中</w:t>
      </w:r>
      <w:r>
        <w:rPr>
          <w:rFonts w:ascii="Times New Roman" w:hAnsi="Times New Roman" w:cs="Times New Roman" w:eastAsia="Times New Roman" w:hint="default"/>
        </w:rPr>
        <w:t>102,500.00</w:t>
      </w:r>
      <w:r>
        <w:rPr/>
        <w:t>元仅限于购买设备，截至</w:t>
      </w:r>
      <w:r>
        <w:rPr>
          <w:rFonts w:ascii="Times New Roman" w:hAnsi="Times New Roman" w:cs="Times New Roman" w:eastAsia="Times New Roman" w:hint="default"/>
        </w:rPr>
        <w:t>2017</w:t>
      </w:r>
      <w:r>
        <w:rPr/>
        <w:t>年已摊销</w:t>
      </w:r>
      <w:r>
        <w:rPr>
          <w:spacing w:val="-22"/>
        </w:rPr>
        <w:t> </w:t>
      </w:r>
      <w:r>
        <w:rPr/>
        <w:t>完毕；另外</w:t>
      </w:r>
      <w:r>
        <w:rPr>
          <w:rFonts w:ascii="Times New Roman" w:hAnsi="Times New Roman" w:cs="Times New Roman" w:eastAsia="Times New Roman" w:hint="default"/>
        </w:rPr>
        <w:t>72,500.00</w:t>
      </w:r>
      <w:r>
        <w:rPr/>
        <w:t>元主要用于项目发生的费用，</w:t>
      </w:r>
      <w:r>
        <w:rPr>
          <w:rFonts w:ascii="Times New Roman" w:hAnsi="Times New Roman" w:cs="Times New Roman" w:eastAsia="Times New Roman" w:hint="default"/>
        </w:rPr>
        <w:t>2018</w:t>
      </w:r>
      <w:r>
        <w:rPr/>
        <w:t>年补偿费用</w:t>
      </w:r>
      <w:r>
        <w:rPr>
          <w:rFonts w:ascii="Times New Roman" w:hAnsi="Times New Roman" w:cs="Times New Roman" w:eastAsia="Times New Roman" w:hint="default"/>
        </w:rPr>
        <w:t>17,500.00</w:t>
      </w:r>
      <w:r>
        <w:rPr/>
        <w:t>元。</w:t>
      </w:r>
    </w:p>
    <w:p>
      <w:pPr>
        <w:pStyle w:val="BodyText"/>
        <w:spacing w:line="256" w:lineRule="auto" w:before="0"/>
        <w:ind w:right="1130" w:firstLine="420"/>
        <w:jc w:val="both"/>
      </w:pPr>
      <w:r>
        <w:rPr/>
        <w:t>（</w:t>
      </w:r>
      <w:r>
        <w:rPr>
          <w:rFonts w:ascii="Times New Roman" w:hAnsi="Times New Roman" w:cs="Times New Roman" w:eastAsia="Times New Roman" w:hint="default"/>
        </w:rPr>
        <w:t>3</w:t>
      </w:r>
      <w:r>
        <w:rPr/>
        <w:t>）根据亳州迪科数金与亳州芜湖现代产业园区管理委员会签订的亳州芜湖现代产业园服务外包产 </w:t>
      </w:r>
      <w:r>
        <w:rPr>
          <w:spacing w:val="-2"/>
        </w:rPr>
        <w:t>业招商合同，亳州迪科数金于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号收到亳州芜湖现代产业园区管理委员会的</w:t>
      </w:r>
      <w:r>
        <w:rPr>
          <w:rFonts w:ascii="Times New Roman" w:hAnsi="Times New Roman" w:cs="Times New Roman" w:eastAsia="Times New Roman" w:hint="default"/>
          <w:spacing w:val="-2"/>
        </w:rPr>
        <w:t>2,285,000.00</w:t>
      </w:r>
      <w:r>
        <w:rPr>
          <w:spacing w:val="-2"/>
        </w:rPr>
        <w:t>元的政</w:t>
      </w:r>
      <w:r>
        <w:rPr>
          <w:spacing w:val="-70"/>
        </w:rPr>
        <w:t> </w:t>
      </w:r>
      <w:r>
        <w:rPr>
          <w:spacing w:val="-70"/>
        </w:rPr>
      </w:r>
      <w:r>
        <w:rPr>
          <w:spacing w:val="-1"/>
        </w:rPr>
        <w:t>府补助。根据《企业会计准则第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政府补助》的有关规定该项目属于与资产相关的政府补助，应在</w:t>
      </w:r>
      <w:r>
        <w:rPr>
          <w:spacing w:val="-86"/>
        </w:rPr>
        <w:t> </w:t>
      </w:r>
      <w:r>
        <w:rPr>
          <w:spacing w:val="-86"/>
        </w:rPr>
      </w:r>
      <w:r>
        <w:rPr/>
        <w:t>资产使用期内摊销。截至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日，已转销</w:t>
      </w:r>
      <w:r>
        <w:rPr>
          <w:rFonts w:ascii="Times New Roman" w:hAnsi="Times New Roman" w:cs="Times New Roman" w:eastAsia="Times New Roman" w:hint="default"/>
        </w:rPr>
        <w:t>533,166.62</w:t>
      </w:r>
      <w:r>
        <w:rPr/>
        <w:t>元，账面余额</w:t>
      </w:r>
      <w:r>
        <w:rPr>
          <w:rFonts w:ascii="Times New Roman" w:hAnsi="Times New Roman" w:cs="Times New Roman" w:eastAsia="Times New Roman" w:hint="default"/>
        </w:rPr>
        <w:t>1,751,833.38</w:t>
      </w:r>
      <w:r>
        <w:rPr/>
        <w:t>元。</w:t>
      </w:r>
    </w:p>
    <w:p>
      <w:pPr>
        <w:pStyle w:val="BodyText"/>
        <w:spacing w:line="256" w:lineRule="auto" w:before="5"/>
        <w:ind w:right="1131" w:firstLine="420"/>
        <w:jc w:val="both"/>
      </w:pPr>
      <w:r>
        <w:rPr/>
        <w:t>（</w:t>
      </w:r>
      <w:r>
        <w:rPr>
          <w:rFonts w:ascii="Times New Roman" w:hAnsi="Times New Roman" w:cs="Times New Roman" w:eastAsia="Times New Roman" w:hint="default"/>
        </w:rPr>
        <w:t>4</w:t>
      </w:r>
      <w:r>
        <w:rPr/>
        <w:t>）根据与合肥高新技术产业开发区招商局签订的《关于在合肥高新区建设研发中心项目合作协议 书》，本公司之子公司合肥天源迪科于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月收到合肥高新技术产业开发区财政国库支付中心支付的</w:t>
      </w:r>
      <w:r>
        <w:rPr>
          <w:spacing w:val="-32"/>
        </w:rPr>
        <w:t> </w:t>
      </w:r>
      <w:r>
        <w:rPr>
          <w:spacing w:val="-32"/>
        </w:rPr>
      </w:r>
      <w:r>
        <w:rPr/>
        <w:t>土地补助款</w:t>
      </w:r>
      <w:r>
        <w:rPr>
          <w:rFonts w:ascii="Times New Roman" w:hAnsi="Times New Roman" w:cs="Times New Roman" w:eastAsia="Times New Roman" w:hint="default"/>
        </w:rPr>
        <w:t>230</w:t>
      </w:r>
      <w:r>
        <w:rPr/>
        <w:t>万元。根据《企业会计准则第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政府补助》的有关规定，该项目属于与资产相关的政府</w:t>
      </w:r>
      <w:r>
        <w:rPr>
          <w:spacing w:val="-99"/>
        </w:rPr>
        <w:t> </w:t>
      </w:r>
      <w:r>
        <w:rPr>
          <w:spacing w:val="-99"/>
        </w:rPr>
      </w:r>
      <w:r>
        <w:rPr>
          <w:spacing w:val="-1"/>
        </w:rPr>
        <w:t>补助，应在该项资产（土地使用权）的受益期限内分配，截止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日，本期分配金额为</w:t>
      </w:r>
      <w:r>
        <w:rPr>
          <w:rFonts w:ascii="Times New Roman" w:hAnsi="Times New Roman" w:cs="Times New Roman" w:eastAsia="Times New Roman" w:hint="default"/>
          <w:spacing w:val="-1"/>
        </w:rPr>
        <w:t>47,260.27</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元，累计分配金额为</w:t>
      </w:r>
      <w:r>
        <w:rPr>
          <w:rFonts w:ascii="Times New Roman" w:hAnsi="Times New Roman" w:cs="Times New Roman" w:eastAsia="Times New Roman" w:hint="default"/>
        </w:rPr>
        <w:t>283,562.79</w:t>
      </w:r>
      <w:r>
        <w:rPr/>
        <w:t>元，递延收益账面余额为</w:t>
      </w:r>
      <w:r>
        <w:rPr>
          <w:rFonts w:ascii="Times New Roman" w:hAnsi="Times New Roman" w:cs="Times New Roman" w:eastAsia="Times New Roman" w:hint="default"/>
        </w:rPr>
        <w:t>2,016,437.21</w:t>
      </w:r>
      <w:r>
        <w:rPr/>
        <w:t>元。</w:t>
      </w:r>
    </w:p>
    <w:p>
      <w:pPr>
        <w:pStyle w:val="BodyText"/>
        <w:spacing w:line="256" w:lineRule="auto" w:before="5"/>
        <w:ind w:right="1132" w:firstLine="420"/>
        <w:jc w:val="both"/>
      </w:pPr>
      <w:r>
        <w:rPr/>
        <w:t>（</w:t>
      </w:r>
      <w:r>
        <w:rPr>
          <w:rFonts w:ascii="Times New Roman" w:hAnsi="Times New Roman" w:cs="Times New Roman" w:eastAsia="Times New Roman" w:hint="default"/>
        </w:rPr>
        <w:t>5</w:t>
      </w:r>
      <w:r>
        <w:rPr/>
        <w:t>）根据与合肥高新技术产业开发区经济贸易局、合肥高新技术产业开发区财政局签订的《合肥高 新区关于合肥天源迪科研发基地项目使用</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专项财政扶持资金协议书》，本公司之子公司合肥天源 迪科于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日分别收到合肥高新技术产业开发区财政国库支付</w:t>
      </w:r>
      <w:r>
        <w:rPr>
          <w:spacing w:val="-35"/>
        </w:rPr>
        <w:t> </w:t>
      </w:r>
      <w:r>
        <w:rPr>
          <w:spacing w:val="-35"/>
        </w:rPr>
      </w:r>
      <w:r>
        <w:rPr/>
        <w:t>中心支付的</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款</w:t>
      </w:r>
      <w:r>
        <w:rPr>
          <w:rFonts w:ascii="Times New Roman" w:hAnsi="Times New Roman" w:cs="Times New Roman" w:eastAsia="Times New Roman" w:hint="default"/>
        </w:rPr>
        <w:t>222</w:t>
      </w:r>
      <w:r>
        <w:rPr/>
        <w:t>万元、</w:t>
      </w:r>
      <w:r>
        <w:rPr>
          <w:rFonts w:ascii="Times New Roman" w:hAnsi="Times New Roman" w:cs="Times New Roman" w:eastAsia="Times New Roman" w:hint="default"/>
        </w:rPr>
        <w:t>22.53</w:t>
      </w:r>
      <w:r>
        <w:rPr/>
        <w:t>万元、</w:t>
      </w:r>
      <w:r>
        <w:rPr>
          <w:rFonts w:ascii="Times New Roman" w:hAnsi="Times New Roman" w:cs="Times New Roman" w:eastAsia="Times New Roman" w:hint="default"/>
        </w:rPr>
        <w:t>22.54</w:t>
      </w:r>
      <w:r>
        <w:rPr/>
        <w:t>万元，合计</w:t>
      </w:r>
      <w:r>
        <w:rPr>
          <w:rFonts w:ascii="Times New Roman" w:hAnsi="Times New Roman" w:cs="Times New Roman" w:eastAsia="Times New Roman" w:hint="default"/>
        </w:rPr>
        <w:t>267.07</w:t>
      </w:r>
      <w:r>
        <w:rPr/>
        <w:t>万元，主要用于合肥天源迪科研发基</w:t>
      </w:r>
      <w:r>
        <w:rPr>
          <w:spacing w:val="-52"/>
        </w:rPr>
        <w:t> </w:t>
      </w:r>
      <w:r>
        <w:rPr>
          <w:spacing w:val="-52"/>
        </w:rPr>
      </w:r>
      <w:r>
        <w:rPr/>
        <w:t>地项目建设。该项目已于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日经主管单位验收并公示。截止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日，本期转销金额为</w:t>
      </w:r>
      <w:r>
        <w:rPr>
          <w:spacing w:val="-32"/>
        </w:rPr>
        <w:t> </w:t>
      </w:r>
      <w:r>
        <w:rPr>
          <w:spacing w:val="-32"/>
        </w:rPr>
      </w:r>
      <w:r>
        <w:rPr>
          <w:rFonts w:ascii="Times New Roman" w:hAnsi="Times New Roman" w:cs="Times New Roman" w:eastAsia="Times New Roman" w:hint="default"/>
        </w:rPr>
        <w:t>56,860.37</w:t>
      </w:r>
      <w:r>
        <w:rPr/>
        <w:t>元，累计转销金额为</w:t>
      </w:r>
      <w:r>
        <w:rPr>
          <w:rFonts w:ascii="Times New Roman" w:hAnsi="Times New Roman" w:cs="Times New Roman" w:eastAsia="Times New Roman" w:hint="default"/>
        </w:rPr>
        <w:t>212,089.01</w:t>
      </w:r>
      <w:r>
        <w:rPr/>
        <w:t>元，递延收益账面余额为</w:t>
      </w:r>
      <w:r>
        <w:rPr>
          <w:rFonts w:ascii="Times New Roman" w:hAnsi="Times New Roman" w:cs="Times New Roman" w:eastAsia="Times New Roman" w:hint="default"/>
        </w:rPr>
        <w:t>2,458,610.99</w:t>
      </w:r>
      <w:r>
        <w:rPr/>
        <w:t>元。</w:t>
      </w:r>
    </w:p>
    <w:p>
      <w:pPr>
        <w:pStyle w:val="BodyText"/>
        <w:spacing w:line="256" w:lineRule="auto" w:before="5"/>
        <w:ind w:right="1130" w:firstLine="420"/>
        <w:jc w:val="both"/>
      </w:pPr>
      <w:r>
        <w:rPr/>
        <w:t>（</w:t>
      </w:r>
      <w:r>
        <w:rPr>
          <w:rFonts w:ascii="Times New Roman" w:hAnsi="Times New Roman" w:cs="Times New Roman" w:eastAsia="Times New Roman" w:hint="default"/>
        </w:rPr>
        <w:t>6</w:t>
      </w:r>
      <w:r>
        <w:rPr/>
        <w:t>）根据《关于做好第二批省企业发展专项资金项目库征集工作的通知》（皖经信技改函〔</w:t>
      </w:r>
      <w:r>
        <w:rPr>
          <w:rFonts w:ascii="Times New Roman" w:hAnsi="Times New Roman" w:cs="Times New Roman" w:eastAsia="Times New Roman" w:hint="default"/>
        </w:rPr>
        <w:t>2015</w:t>
      </w:r>
      <w:r>
        <w:rPr/>
        <w:t>〕 </w:t>
      </w:r>
      <w:r>
        <w:rPr>
          <w:rFonts w:ascii="Times New Roman" w:hAnsi="Times New Roman" w:cs="Times New Roman" w:eastAsia="Times New Roman" w:hint="default"/>
          <w:spacing w:val="-1"/>
        </w:rPr>
        <w:t>1450</w:t>
      </w:r>
      <w:r>
        <w:rPr>
          <w:spacing w:val="-1"/>
        </w:rPr>
        <w:t>号）、《关于组织申报</w:t>
      </w:r>
      <w:r>
        <w:rPr>
          <w:rFonts w:ascii="Times New Roman" w:hAnsi="Times New Roman" w:cs="Times New Roman" w:eastAsia="Times New Roman" w:hint="default"/>
          <w:spacing w:val="-1"/>
        </w:rPr>
        <w:t>2016</w:t>
      </w:r>
      <w:r>
        <w:rPr>
          <w:spacing w:val="-1"/>
        </w:rPr>
        <w:t>年民营中小企业项目的通知》（皖经信中小服务函〔</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34</w:t>
      </w:r>
      <w:r>
        <w:rPr>
          <w:spacing w:val="-1"/>
        </w:rPr>
        <w:t>号）（项目</w:t>
      </w:r>
      <w:r>
        <w:rPr>
          <w:spacing w:val="-79"/>
        </w:rPr>
        <w:t> </w:t>
      </w:r>
      <w:r>
        <w:rPr>
          <w:spacing w:val="-79"/>
        </w:rPr>
      </w:r>
      <w:r>
        <w:rPr/>
        <w:t>名称：中小企业大数据分析服务平台）之规定，本公司之子公司合肥天源迪科于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日收到合肥</w:t>
      </w:r>
      <w:r>
        <w:rPr>
          <w:spacing w:val="-28"/>
        </w:rPr>
        <w:t> </w:t>
      </w:r>
      <w:r>
        <w:rPr>
          <w:spacing w:val="-28"/>
        </w:rPr>
      </w:r>
      <w:r>
        <w:rPr>
          <w:spacing w:val="-1"/>
        </w:rPr>
        <w:t>经济和信息化委员会发展专项资金</w:t>
      </w:r>
      <w:r>
        <w:rPr>
          <w:rFonts w:ascii="Times New Roman" w:hAnsi="Times New Roman" w:cs="Times New Roman" w:eastAsia="Times New Roman" w:hint="default"/>
          <w:spacing w:val="-1"/>
        </w:rPr>
        <w:t>75</w:t>
      </w:r>
      <w:r>
        <w:rPr>
          <w:spacing w:val="-1"/>
        </w:rPr>
        <w:t>万元，该项目需要项目主管单位的验收后予以转销，截止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spacing w:val="-80"/>
        </w:rPr>
        <w:t> </w:t>
      </w:r>
      <w:r>
        <w:rPr>
          <w:rFonts w:ascii="Times New Roman" w:hAnsi="Times New Roman" w:cs="Times New Roman" w:eastAsia="Times New Roman" w:hint="default"/>
        </w:rPr>
        <w:t>31</w:t>
      </w:r>
      <w:r>
        <w:rPr/>
        <w:t>日，本期转销金额为</w:t>
      </w:r>
      <w:r>
        <w:rPr>
          <w:rFonts w:ascii="Times New Roman" w:hAnsi="Times New Roman" w:cs="Times New Roman" w:eastAsia="Times New Roman" w:hint="default"/>
        </w:rPr>
        <w:t>150,000.00</w:t>
      </w:r>
      <w:r>
        <w:rPr/>
        <w:t>元，累计转销金额为</w:t>
      </w:r>
      <w:r>
        <w:rPr>
          <w:rFonts w:ascii="Times New Roman" w:hAnsi="Times New Roman" w:cs="Times New Roman" w:eastAsia="Times New Roman" w:hint="default"/>
        </w:rPr>
        <w:t>300,000.00</w:t>
      </w:r>
      <w:r>
        <w:rPr/>
        <w:t>元，递延收益账面余额为</w:t>
      </w:r>
      <w:r>
        <w:rPr>
          <w:rFonts w:ascii="Times New Roman" w:hAnsi="Times New Roman" w:cs="Times New Roman" w:eastAsia="Times New Roman" w:hint="default"/>
        </w:rPr>
        <w:t>450,000.00</w:t>
      </w:r>
      <w:r>
        <w:rPr/>
        <w:t>元。</w:t>
      </w:r>
    </w:p>
    <w:p>
      <w:pPr>
        <w:pStyle w:val="BodyText"/>
        <w:spacing w:line="256" w:lineRule="auto" w:before="5"/>
        <w:ind w:right="1128" w:firstLine="420"/>
        <w:jc w:val="both"/>
      </w:pPr>
      <w:r>
        <w:rPr/>
        <w:t>（</w:t>
      </w:r>
      <w:r>
        <w:rPr>
          <w:rFonts w:ascii="Times New Roman" w:hAnsi="Times New Roman" w:cs="Times New Roman" w:eastAsia="Times New Roman" w:hint="default"/>
        </w:rPr>
        <w:t>7</w:t>
      </w:r>
      <w:r>
        <w:rPr/>
        <w:t>）根据科技型中小企业技术创新基金国科发</w:t>
      </w:r>
      <w:r>
        <w:rPr>
          <w:rFonts w:ascii="Times New Roman" w:hAnsi="Times New Roman" w:cs="Times New Roman" w:eastAsia="Times New Roman" w:hint="default"/>
        </w:rPr>
        <w:t>[2014]166</w:t>
      </w:r>
      <w:r>
        <w:rPr/>
        <w:t>号颁发的立项证书（项目名称：基于</w:t>
      </w:r>
      <w:r>
        <w:rPr>
          <w:rFonts w:ascii="Times New Roman" w:hAnsi="Times New Roman" w:cs="Times New Roman" w:eastAsia="Times New Roman" w:hint="default"/>
        </w:rPr>
        <w:t>SOA</w:t>
      </w:r>
      <w:r>
        <w:rPr/>
        <w:t>构 架的融资担保云平台），本公司之子公司合肥英泽于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日收到的创新基金</w:t>
      </w:r>
      <w:r>
        <w:rPr>
          <w:rFonts w:ascii="Times New Roman" w:hAnsi="Times New Roman" w:cs="Times New Roman" w:eastAsia="Times New Roman" w:hint="default"/>
        </w:rPr>
        <w:t>60</w:t>
      </w:r>
      <w:r>
        <w:rPr/>
        <w:t>万元、于</w:t>
      </w:r>
      <w:r>
        <w:rPr>
          <w:rFonts w:ascii="Times New Roman" w:hAnsi="Times New Roman" w:cs="Times New Roman" w:eastAsia="Times New Roman" w:hint="default"/>
        </w:rPr>
        <w:t>2015</w:t>
      </w:r>
      <w:r>
        <w:rPr/>
        <w:t>年收</w:t>
      </w:r>
      <w:r>
        <w:rPr>
          <w:spacing w:val="-25"/>
        </w:rPr>
        <w:t> </w:t>
      </w:r>
      <w:r>
        <w:rPr/>
        <w:t>到项目经费</w:t>
      </w:r>
      <w:r>
        <w:rPr>
          <w:rFonts w:ascii="Times New Roman" w:hAnsi="Times New Roman" w:cs="Times New Roman" w:eastAsia="Times New Roman" w:hint="default"/>
        </w:rPr>
        <w:t>29</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日，该项目已完工并验收。</w:t>
      </w:r>
    </w:p>
    <w:p>
      <w:pPr>
        <w:pStyle w:val="BodyText"/>
        <w:spacing w:line="256" w:lineRule="auto" w:before="5"/>
        <w:ind w:right="1132" w:firstLine="420"/>
        <w:jc w:val="both"/>
      </w:pPr>
      <w:r>
        <w:rPr>
          <w:spacing w:val="-1"/>
        </w:rPr>
        <w:t>（</w:t>
      </w:r>
      <w:r>
        <w:rPr>
          <w:rFonts w:ascii="Times New Roman" w:hAnsi="Times New Roman" w:cs="Times New Roman" w:eastAsia="Times New Roman" w:hint="default"/>
          <w:spacing w:val="-1"/>
        </w:rPr>
        <w:t>8</w:t>
      </w:r>
      <w:r>
        <w:rPr>
          <w:spacing w:val="-1"/>
        </w:rPr>
        <w:t>）深圳宝贝团于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月收到深圳市科创委的基于互联网电子商务大数据的卖家智能运营支撑平</w:t>
      </w:r>
      <w:r>
        <w:rPr/>
        <w:t> </w:t>
      </w:r>
      <w:r>
        <w:rPr>
          <w:spacing w:val="-1"/>
        </w:rPr>
        <w:t>台专项经费补助</w:t>
      </w:r>
      <w:r>
        <w:rPr>
          <w:rFonts w:ascii="Times New Roman" w:hAnsi="Times New Roman" w:cs="Times New Roman" w:eastAsia="Times New Roman" w:hint="default"/>
          <w:spacing w:val="-1"/>
        </w:rPr>
        <w:t>80</w:t>
      </w:r>
      <w:r>
        <w:rPr>
          <w:spacing w:val="-1"/>
        </w:rPr>
        <w:t>万元，该项目需要科技部验收收合格后予以转销，截止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日，该项目尚在进</w:t>
      </w:r>
      <w:r>
        <w:rPr>
          <w:spacing w:val="-85"/>
        </w:rPr>
        <w:t> </w:t>
      </w:r>
      <w:r>
        <w:rPr>
          <w:spacing w:val="-85"/>
        </w:rPr>
      </w:r>
      <w:r>
        <w:rPr/>
        <w:t>行中，且未验收。</w:t>
      </w:r>
    </w:p>
    <w:p>
      <w:pPr>
        <w:pStyle w:val="BodyText"/>
        <w:spacing w:line="261" w:lineRule="auto" w:before="23"/>
        <w:ind w:right="1130" w:firstLine="420"/>
        <w:jc w:val="both"/>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月，根据广州天源迪科与广州市天河区科技工业和信息化局签订的《天河区科技计划 </w:t>
      </w:r>
      <w:r>
        <w:rPr>
          <w:spacing w:val="-1"/>
        </w:rPr>
        <w:t>项目任务书》（项目名称：基于大数据的用户多维度分析模型构建系统研发和应用）之规定，本公司之广</w:t>
      </w:r>
      <w:r>
        <w:rPr>
          <w:spacing w:val="-83"/>
        </w:rPr>
        <w:t> </w:t>
      </w:r>
      <w:r>
        <w:rPr>
          <w:spacing w:val="-83"/>
        </w:rPr>
      </w:r>
      <w:r>
        <w:rPr>
          <w:spacing w:val="-1"/>
        </w:rPr>
        <w:t>州天源迪科于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月收到广州市天河区科技工业和信息化局支付的专项经费补助</w:t>
      </w:r>
      <w:r>
        <w:rPr>
          <w:rFonts w:ascii="Times New Roman" w:hAnsi="Times New Roman" w:cs="Times New Roman" w:eastAsia="Times New Roman" w:hint="default"/>
          <w:spacing w:val="-1"/>
        </w:rPr>
        <w:t>10</w:t>
      </w:r>
      <w:r>
        <w:rPr>
          <w:spacing w:val="-1"/>
        </w:rPr>
        <w:t>万元，该项目需要</w:t>
      </w:r>
      <w:r>
        <w:rPr>
          <w:spacing w:val="-81"/>
        </w:rPr>
        <w:t> </w:t>
      </w:r>
      <w:r>
        <w:rPr>
          <w:spacing w:val="-81"/>
        </w:rPr>
      </w:r>
      <w:r>
        <w:rPr/>
        <w:t>科技部验收收合格后予以转销，截止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9" w:firstLine="420"/>
        <w:jc w:val="both"/>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月，根据广东省财政厅粤财工</w:t>
      </w:r>
      <w:r>
        <w:rPr>
          <w:rFonts w:ascii="Times New Roman" w:hAnsi="Times New Roman" w:cs="Times New Roman" w:eastAsia="Times New Roman" w:hint="default"/>
        </w:rPr>
        <w:t>[2012]313</w:t>
      </w:r>
      <w:r>
        <w:rPr/>
        <w:t>号《关于下达</w:t>
      </w:r>
      <w:r>
        <w:rPr>
          <w:rFonts w:ascii="Times New Roman" w:hAnsi="Times New Roman" w:cs="Times New Roman" w:eastAsia="Times New Roman" w:hint="default"/>
        </w:rPr>
        <w:t>2012</w:t>
      </w:r>
      <w:r>
        <w:rPr/>
        <w:t>年省现代信息服务业发展专</w:t>
      </w:r>
      <w:r>
        <w:rPr>
          <w:spacing w:val="1"/>
        </w:rPr>
        <w:t> </w:t>
      </w:r>
      <w:r>
        <w:rPr>
          <w:spacing w:val="-1"/>
        </w:rPr>
        <w:t>项资金的通知》、《</w:t>
      </w:r>
      <w:r>
        <w:rPr>
          <w:rFonts w:ascii="Times New Roman" w:hAnsi="Times New Roman" w:cs="Times New Roman" w:eastAsia="Times New Roman" w:hint="default"/>
          <w:spacing w:val="-1"/>
        </w:rPr>
        <w:t>2012</w:t>
      </w:r>
      <w:r>
        <w:rPr>
          <w:spacing w:val="-1"/>
        </w:rPr>
        <w:t>年广东省现代信息服务业发展专项资金项目计划》（项目名称：基于移动互联网</w:t>
      </w:r>
      <w:r>
        <w:rPr>
          <w:spacing w:val="-83"/>
        </w:rPr>
        <w:t> </w:t>
      </w:r>
      <w:r>
        <w:rPr>
          <w:spacing w:val="-83"/>
        </w:rPr>
      </w:r>
      <w:r>
        <w:rPr/>
        <w:t>的融合通信、社交及云储业务系统）之规定，本公司之子公司广州易杰于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日收到广州市天河</w:t>
      </w:r>
      <w:r>
        <w:rPr>
          <w:spacing w:val="-28"/>
        </w:rPr>
        <w:t> </w:t>
      </w:r>
      <w:r>
        <w:rPr>
          <w:spacing w:val="-28"/>
        </w:rPr>
      </w:r>
      <w:r>
        <w:rPr/>
        <w:t>区财政局拨付的发展专项资金</w:t>
      </w:r>
      <w:r>
        <w:rPr>
          <w:rFonts w:ascii="Times New Roman" w:hAnsi="Times New Roman" w:cs="Times New Roman" w:eastAsia="Times New Roman" w:hint="default"/>
        </w:rPr>
        <w:t>300</w:t>
      </w:r>
      <w:r>
        <w:rPr/>
        <w:t>万元，该项目需要项目主管单位的验收后予以转销，截止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日，该项目已完工并验收合格。</w:t>
      </w:r>
    </w:p>
    <w:p>
      <w:pPr>
        <w:pStyle w:val="BodyText"/>
        <w:spacing w:line="256" w:lineRule="auto" w:before="22"/>
        <w:ind w:right="1131" w:firstLine="420"/>
        <w:jc w:val="both"/>
      </w:pPr>
      <w:r>
        <w:rPr>
          <w:spacing w:val="-1"/>
        </w:rPr>
        <w:t>（</w:t>
      </w:r>
      <w:r>
        <w:rPr>
          <w:rFonts w:ascii="Times New Roman" w:hAnsi="Times New Roman" w:cs="Times New Roman" w:eastAsia="Times New Roman" w:hint="default"/>
          <w:spacing w:val="-1"/>
        </w:rPr>
        <w:t>11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月，根据广州易杰与广州市天河区科技工业和信息化局签订的《天河区科技计划项目</w:t>
      </w:r>
      <w:r>
        <w:rPr/>
        <w:t> 任务书》（项目名称：面向数字家庭的多屏互动多维度深度融合</w:t>
      </w:r>
      <w:r>
        <w:rPr>
          <w:rFonts w:ascii="Times New Roman" w:hAnsi="Times New Roman" w:cs="Times New Roman" w:eastAsia="Times New Roman" w:hint="default"/>
        </w:rPr>
        <w:t>iTV</w:t>
      </w:r>
      <w:r>
        <w:rPr/>
        <w:t>平台）之规定，本公司之广州易杰收</w:t>
      </w:r>
      <w:r>
        <w:rPr>
          <w:spacing w:val="-50"/>
        </w:rPr>
        <w:t> </w:t>
      </w:r>
      <w:r>
        <w:rPr>
          <w:spacing w:val="-50"/>
        </w:rPr>
      </w:r>
      <w:r>
        <w:rPr>
          <w:spacing w:val="-1"/>
        </w:rPr>
        <w:t>到广州市天河区科技工业和信息化局支付的专项经费补助</w:t>
      </w:r>
      <w:r>
        <w:rPr>
          <w:rFonts w:ascii="Times New Roman" w:hAnsi="Times New Roman" w:cs="Times New Roman" w:eastAsia="Times New Roman" w:hint="default"/>
          <w:spacing w:val="-1"/>
        </w:rPr>
        <w:t>10</w:t>
      </w:r>
      <w:r>
        <w:rPr>
          <w:spacing w:val="-1"/>
        </w:rPr>
        <w:t>万元，该项目需要科技部验收收合格后予以转</w:t>
      </w:r>
      <w:r>
        <w:rPr>
          <w:spacing w:val="-83"/>
        </w:rPr>
        <w:t> </w:t>
      </w:r>
      <w:r>
        <w:rPr>
          <w:spacing w:val="-83"/>
        </w:rPr>
      </w:r>
      <w:r>
        <w:rPr/>
        <w:t>销，截止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256" w:lineRule="auto" w:before="5"/>
        <w:ind w:right="1023" w:firstLine="420"/>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月，本公司与工业和信息化部电子发展基金管理办公室签订的《电子信息产业发展基 </w:t>
      </w:r>
      <w:r>
        <w:rPr>
          <w:spacing w:val="-2"/>
        </w:rPr>
        <w:t>金资助项目合同书》（项目名称：移动互联网应用开发部署系统研发及产业化基于</w:t>
      </w:r>
      <w:r>
        <w:rPr>
          <w:rFonts w:ascii="Times New Roman" w:hAnsi="Times New Roman" w:cs="Times New Roman" w:eastAsia="Times New Roman" w:hint="default"/>
          <w:spacing w:val="-2"/>
        </w:rPr>
        <w:t>HTML5</w:t>
      </w:r>
      <w:r>
        <w:rPr>
          <w:spacing w:val="-2"/>
        </w:rPr>
        <w:t>移动应用引擎研</w:t>
      </w:r>
      <w:r>
        <w:rPr/>
        <w:t> 发与产业化），本公司于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月收到中华人民共和国财政部统一支付的项目资助款</w:t>
      </w:r>
      <w:r>
        <w:rPr>
          <w:rFonts w:ascii="Times New Roman" w:hAnsi="Times New Roman" w:cs="Times New Roman" w:eastAsia="Times New Roman" w:hint="default"/>
        </w:rPr>
        <w:t>500</w:t>
      </w:r>
      <w:r>
        <w:rPr/>
        <w:t>万元，该项目</w:t>
      </w:r>
      <w:r>
        <w:rPr>
          <w:spacing w:val="-29"/>
        </w:rPr>
        <w:t> </w:t>
      </w:r>
      <w:r>
        <w:rPr>
          <w:spacing w:val="-29"/>
        </w:rPr>
      </w:r>
      <w:r>
        <w:rPr>
          <w:spacing w:val="-3"/>
        </w:rPr>
        <w:t>需要信息化部电子发展基金管理办公室验收收合格后予以转销，截止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日，该项目尚在进行中，</w:t>
      </w:r>
      <w:r>
        <w:rPr>
          <w:spacing w:val="-83"/>
        </w:rPr>
        <w:t> </w:t>
      </w:r>
      <w:r>
        <w:rPr>
          <w:spacing w:val="-83"/>
        </w:rPr>
      </w:r>
      <w:r>
        <w:rPr/>
        <w:t>且未验收。</w:t>
      </w:r>
    </w:p>
    <w:p>
      <w:pPr>
        <w:pStyle w:val="BodyText"/>
        <w:spacing w:line="256" w:lineRule="auto" w:before="22"/>
        <w:ind w:right="1124" w:firstLine="420"/>
        <w:jc w:val="both"/>
      </w:pPr>
      <w:r>
        <w:rPr>
          <w:spacing w:val="-1"/>
        </w:rPr>
        <w:t>（</w:t>
      </w:r>
      <w:r>
        <w:rPr>
          <w:rFonts w:ascii="Times New Roman" w:hAnsi="Times New Roman" w:cs="Times New Roman" w:eastAsia="Times New Roman" w:hint="default"/>
          <w:spacing w:val="-1"/>
        </w:rPr>
        <w:t>13</w:t>
      </w:r>
      <w:r>
        <w:rPr>
          <w:spacing w:val="-1"/>
        </w:rPr>
        <w:t>）根据本公司与电子科技大学、深圳创新谷投资管理有限公司签订的合作协议书，该三方共同承</w:t>
      </w:r>
      <w:r>
        <w:rPr/>
        <w:t> </w:t>
      </w:r>
      <w:r>
        <w:rPr>
          <w:spacing w:val="3"/>
        </w:rPr>
        <w:t>担</w:t>
      </w:r>
      <w:r>
        <w:rPr>
          <w:rFonts w:ascii="Times New Roman" w:hAnsi="Times New Roman" w:cs="Times New Roman" w:eastAsia="Times New Roman" w:hint="default"/>
          <w:spacing w:val="3"/>
        </w:rPr>
        <w:t>2013</w:t>
      </w:r>
      <w:r>
        <w:rPr>
          <w:spacing w:val="3"/>
        </w:rPr>
        <w:t>年度电子信息产业发展基金项目</w:t>
      </w:r>
      <w:r>
        <w:rPr>
          <w:rFonts w:ascii="Times New Roman" w:hAnsi="Times New Roman" w:cs="Times New Roman" w:eastAsia="Times New Roman" w:hint="default"/>
          <w:spacing w:val="3"/>
        </w:rPr>
        <w:t>“</w:t>
      </w:r>
      <w:r>
        <w:rPr>
          <w:spacing w:val="3"/>
        </w:rPr>
        <w:t>移动互联网应用开发部署系统研发及产业化项目之课题</w:t>
      </w:r>
      <w:r>
        <w:rPr>
          <w:rFonts w:ascii="Times New Roman" w:hAnsi="Times New Roman" w:cs="Times New Roman" w:eastAsia="Times New Roman" w:hint="default"/>
          <w:spacing w:val="3"/>
        </w:rPr>
        <w:t>2</w:t>
      </w:r>
      <w:r>
        <w:rPr>
          <w:spacing w:val="3"/>
        </w:rPr>
        <w:t>：基于</w:t>
      </w:r>
      <w:r>
        <w:rPr>
          <w:spacing w:val="-68"/>
        </w:rPr>
        <w:t> </w:t>
      </w:r>
      <w:r>
        <w:rPr>
          <w:rFonts w:ascii="Times New Roman" w:hAnsi="Times New Roman" w:cs="Times New Roman" w:eastAsia="Times New Roman" w:hint="default"/>
          <w:spacing w:val="-2"/>
        </w:rPr>
        <w:t>HTML5</w:t>
      </w:r>
      <w:r>
        <w:rPr>
          <w:spacing w:val="-2"/>
        </w:rPr>
        <w:t>移动应用引擎研发与产业化</w:t>
      </w:r>
      <w:r>
        <w:rPr>
          <w:rFonts w:ascii="Times New Roman" w:hAnsi="Times New Roman" w:cs="Times New Roman" w:eastAsia="Times New Roman" w:hint="default"/>
          <w:spacing w:val="-2"/>
        </w:rPr>
        <w:t>”</w:t>
      </w:r>
      <w:r>
        <w:rPr>
          <w:spacing w:val="-2"/>
        </w:rPr>
        <w:t>事宜，本公司于</w:t>
      </w:r>
      <w:r>
        <w:rPr>
          <w:rFonts w:ascii="Times New Roman" w:hAnsi="Times New Roman" w:cs="Times New Roman" w:eastAsia="Times New Roman" w:hint="default"/>
          <w:spacing w:val="-2"/>
        </w:rPr>
        <w:t>2014</w:t>
      </w:r>
      <w:r>
        <w:rPr>
          <w:spacing w:val="-2"/>
        </w:rPr>
        <w:t>年分别支付电子科技大学</w:t>
      </w:r>
      <w:r>
        <w:rPr>
          <w:rFonts w:ascii="Times New Roman" w:hAnsi="Times New Roman" w:cs="Times New Roman" w:eastAsia="Times New Roman" w:hint="default"/>
          <w:spacing w:val="-2"/>
        </w:rPr>
        <w:t>120</w:t>
      </w:r>
      <w:r>
        <w:rPr>
          <w:spacing w:val="-2"/>
        </w:rPr>
        <w:t>万元，支付深圳创新</w:t>
      </w:r>
      <w:r>
        <w:rPr>
          <w:spacing w:val="-84"/>
        </w:rPr>
        <w:t> </w:t>
      </w:r>
      <w:r>
        <w:rPr>
          <w:spacing w:val="-84"/>
        </w:rPr>
      </w:r>
      <w:r>
        <w:rPr/>
        <w:t>谷投资管理有限公司</w:t>
      </w:r>
      <w:r>
        <w:rPr>
          <w:rFonts w:ascii="Times New Roman" w:hAnsi="Times New Roman" w:cs="Times New Roman" w:eastAsia="Times New Roman" w:hint="default"/>
        </w:rPr>
        <w:t>120</w:t>
      </w:r>
      <w:r>
        <w:rPr/>
        <w:t>万元。</w:t>
      </w:r>
    </w:p>
    <w:p>
      <w:pPr>
        <w:pStyle w:val="BodyText"/>
        <w:spacing w:line="240" w:lineRule="auto" w:before="5"/>
        <w:ind w:left="574" w:right="0"/>
        <w:jc w:val="left"/>
      </w:pP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月，根据本公司与深圳市高新技术产业园管理委员会签订的《科技开发项目任务书》</w:t>
      </w:r>
    </w:p>
    <w:p>
      <w:pPr>
        <w:pStyle w:val="BodyText"/>
        <w:spacing w:line="256" w:lineRule="auto" w:before="21"/>
        <w:ind w:right="1132"/>
        <w:jc w:val="both"/>
      </w:pPr>
      <w:r>
        <w:rPr>
          <w:spacing w:val="-1"/>
        </w:rPr>
        <w:t>（项目名称：基于下一代移动互联网的开放性信息服务平台）之规定，本公司于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月收到科学技术</w:t>
      </w:r>
      <w:r>
        <w:rPr>
          <w:spacing w:val="-82"/>
        </w:rPr>
        <w:t> </w:t>
      </w:r>
      <w:r>
        <w:rPr>
          <w:spacing w:val="-82"/>
        </w:rPr>
      </w:r>
      <w:r>
        <w:rPr>
          <w:spacing w:val="-1"/>
        </w:rPr>
        <w:t>部支付的专项经费补助</w:t>
      </w:r>
      <w:r>
        <w:rPr>
          <w:rFonts w:ascii="Times New Roman" w:hAnsi="Times New Roman" w:cs="Times New Roman" w:eastAsia="Times New Roman" w:hint="default"/>
          <w:spacing w:val="-1"/>
        </w:rPr>
        <w:t>65</w:t>
      </w:r>
      <w:r>
        <w:rPr>
          <w:spacing w:val="-1"/>
        </w:rPr>
        <w:t>万元，该项目需要科技部验收收合格后予以转销，截止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日，该项目</w:t>
      </w:r>
      <w:r>
        <w:rPr>
          <w:spacing w:val="-84"/>
        </w:rPr>
        <w:t> </w:t>
      </w:r>
      <w:r>
        <w:rPr>
          <w:spacing w:val="-84"/>
        </w:rPr>
      </w:r>
      <w:r>
        <w:rPr/>
        <w:t>尚在进行中，且未验收。</w:t>
      </w:r>
    </w:p>
    <w:p>
      <w:pPr>
        <w:pStyle w:val="BodyText"/>
        <w:spacing w:line="256" w:lineRule="auto" w:before="23"/>
        <w:ind w:right="0" w:firstLine="420"/>
        <w:jc w:val="left"/>
      </w:pP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月，根据本公司与深圳市科技创新委员会签订的深圳市科技计划项目合同书（项目名 称：跨平台互联网移动应用开发平台关键技术研发）之规定，本公司于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月收到科技经费</w:t>
      </w:r>
      <w:r>
        <w:rPr>
          <w:rFonts w:ascii="Times New Roman" w:hAnsi="Times New Roman" w:cs="Times New Roman" w:eastAsia="Times New Roman" w:hint="default"/>
        </w:rPr>
        <w:t>300</w:t>
      </w:r>
      <w:r>
        <w:rPr/>
        <w:t>万元，</w:t>
      </w:r>
      <w:r>
        <w:rPr>
          <w:spacing w:val="-28"/>
        </w:rPr>
        <w:t> </w:t>
      </w:r>
      <w:r>
        <w:rPr>
          <w:spacing w:val="-28"/>
        </w:rPr>
      </w:r>
      <w:r>
        <w:rPr/>
        <w:t>该项目需验收合格后予以转销，截止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日，该项目已完成验收。</w:t>
      </w:r>
    </w:p>
    <w:p>
      <w:pPr>
        <w:pStyle w:val="BodyText"/>
        <w:spacing w:line="256" w:lineRule="auto" w:before="5"/>
        <w:ind w:right="1132" w:firstLine="420"/>
        <w:jc w:val="both"/>
      </w:pP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月，本公司与国家超级计算深圳中心（深圳云计算中心）签订了深圳市技术攻关项目 </w:t>
      </w:r>
      <w:r>
        <w:rPr>
          <w:spacing w:val="-1"/>
        </w:rPr>
        <w:t>合作协议（项目名称：跨平台互联网移动应用开发平台关键技术研发），双方联合申报</w:t>
      </w:r>
      <w:r>
        <w:rPr>
          <w:rFonts w:ascii="Times New Roman" w:hAnsi="Times New Roman" w:cs="Times New Roman" w:eastAsia="Times New Roman" w:hint="default"/>
          <w:spacing w:val="-1"/>
        </w:rPr>
        <w:t>2015</w:t>
      </w:r>
      <w:r>
        <w:rPr>
          <w:spacing w:val="-1"/>
        </w:rPr>
        <w:t>年第一批技术</w:t>
      </w:r>
      <w:r>
        <w:rPr>
          <w:spacing w:val="-83"/>
        </w:rPr>
        <w:t> </w:t>
      </w:r>
      <w:r>
        <w:rPr/>
        <w:t>攻关项目，本公司于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月支付国家超级计算深圳中心</w:t>
      </w:r>
      <w:r>
        <w:rPr>
          <w:rFonts w:ascii="Times New Roman" w:hAnsi="Times New Roman" w:cs="Times New Roman" w:eastAsia="Times New Roman" w:hint="default"/>
        </w:rPr>
        <w:t>90</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日，该项目已完成</w:t>
      </w:r>
      <w:r>
        <w:rPr>
          <w:spacing w:val="-32"/>
        </w:rPr>
        <w:t> </w:t>
      </w:r>
      <w:r>
        <w:rPr>
          <w:spacing w:val="-32"/>
        </w:rPr>
      </w:r>
      <w:r>
        <w:rPr/>
        <w:t>验收。</w:t>
      </w:r>
    </w:p>
    <w:p>
      <w:pPr>
        <w:pStyle w:val="BodyText"/>
        <w:spacing w:line="240" w:lineRule="auto" w:before="22"/>
        <w:ind w:left="574" w:right="0"/>
        <w:jc w:val="left"/>
      </w:pPr>
      <w:r>
        <w:rPr>
          <w:spacing w:val="13"/>
        </w:rPr>
        <w:t>（</w:t>
      </w:r>
      <w:r>
        <w:rPr>
          <w:rFonts w:ascii="Times New Roman" w:hAnsi="Times New Roman" w:cs="Times New Roman" w:eastAsia="Times New Roman" w:hint="default"/>
          <w:spacing w:val="13"/>
        </w:rPr>
        <w:t>17</w:t>
      </w:r>
      <w:r>
        <w:rPr>
          <w:spacing w:val="13"/>
        </w:rPr>
        <w:t>）根据本公司与深圳市经济贸易和信息化委员会《深圳新一代信息技术产业振兴发展规划</w:t>
      </w:r>
    </w:p>
    <w:p>
      <w:pPr>
        <w:pStyle w:val="BodyText"/>
        <w:spacing w:line="264" w:lineRule="auto" w:before="21"/>
        <w:ind w:right="1129"/>
        <w:jc w:val="both"/>
      </w:pPr>
      <w:r>
        <w:rPr>
          <w:spacing w:val="-3"/>
        </w:rPr>
        <w:t>（</w:t>
      </w:r>
      <w:r>
        <w:rPr>
          <w:rFonts w:ascii="Times New Roman" w:hAnsi="Times New Roman" w:cs="Times New Roman" w:eastAsia="Times New Roman" w:hint="default"/>
          <w:spacing w:val="-3"/>
        </w:rPr>
        <w:t>2011-2015</w:t>
      </w:r>
      <w:r>
        <w:rPr>
          <w:spacing w:val="-3"/>
        </w:rPr>
        <w:t>年）》（深府</w:t>
      </w:r>
      <w:r>
        <w:rPr>
          <w:rFonts w:ascii="Times New Roman" w:hAnsi="Times New Roman" w:cs="Times New Roman" w:eastAsia="Times New Roman" w:hint="default"/>
          <w:spacing w:val="-3"/>
        </w:rPr>
        <w:t>[2011]209</w:t>
      </w:r>
      <w:r>
        <w:rPr>
          <w:spacing w:val="-3"/>
        </w:rPr>
        <w:t>号）和《深圳新一代信息技术产业振兴发展政策》（深府</w:t>
      </w:r>
      <w:r>
        <w:rPr>
          <w:rFonts w:ascii="Times New Roman" w:hAnsi="Times New Roman" w:cs="Times New Roman" w:eastAsia="Times New Roman" w:hint="default"/>
          <w:spacing w:val="-3"/>
        </w:rPr>
        <w:t>[2011]210</w:t>
      </w:r>
      <w:r>
        <w:rPr>
          <w:spacing w:val="-3"/>
        </w:rPr>
        <w:t>号）</w:t>
      </w:r>
      <w:r>
        <w:rPr>
          <w:spacing w:val="-91"/>
        </w:rPr>
        <w:t> </w:t>
      </w:r>
      <w:r>
        <w:rPr>
          <w:spacing w:val="-1"/>
        </w:rPr>
        <w:t>签订的项目合同书（项目名称：公安大数据智能研判分析作战系统应用示范）之规定，本公司收到贷款贴</w:t>
      </w:r>
      <w:r>
        <w:rPr>
          <w:spacing w:val="-86"/>
        </w:rPr>
        <w:t> </w:t>
      </w:r>
      <w:r>
        <w:rPr>
          <w:spacing w:val="-86"/>
        </w:rPr>
      </w:r>
      <w:r>
        <w:rPr/>
        <w:t>息</w:t>
      </w:r>
      <w:r>
        <w:rPr>
          <w:rFonts w:ascii="Times New Roman" w:hAnsi="Times New Roman" w:cs="Times New Roman" w:eastAsia="Times New Roman" w:hint="default"/>
        </w:rPr>
        <w:t>142</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日，该项目已完成验收。</w:t>
      </w:r>
    </w:p>
    <w:p>
      <w:pPr>
        <w:pStyle w:val="BodyText"/>
        <w:spacing w:line="261" w:lineRule="auto" w:before="0"/>
        <w:ind w:right="1127" w:firstLine="420"/>
        <w:jc w:val="both"/>
      </w:pPr>
      <w:r>
        <w:rPr/>
        <w:t>（</w:t>
      </w:r>
      <w:r>
        <w:rPr>
          <w:rFonts w:ascii="Times New Roman" w:hAnsi="Times New Roman" w:cs="Times New Roman" w:eastAsia="Times New Roman" w:hint="default"/>
        </w:rPr>
        <w:t>18</w:t>
      </w:r>
      <w:r>
        <w:rPr/>
        <w:t>）根据深发改【</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59</w:t>
      </w:r>
      <w:r>
        <w:rPr/>
        <w:t>号文件《深圳市发展改革委关于基于云技术的企业级</w:t>
      </w:r>
      <w:r>
        <w:rPr>
          <w:rFonts w:ascii="Times New Roman" w:hAnsi="Times New Roman" w:cs="Times New Roman" w:eastAsia="Times New Roman" w:hint="default"/>
        </w:rPr>
        <w:t>“</w:t>
      </w:r>
      <w:r>
        <w:rPr/>
        <w:t>移动互联网</w:t>
      </w:r>
      <w:r>
        <w:rPr>
          <w:rFonts w:ascii="Times New Roman" w:hAnsi="Times New Roman" w:cs="Times New Roman" w:eastAsia="Times New Roman" w:hint="default"/>
        </w:rPr>
        <w:t>+”</w:t>
      </w:r>
      <w:r>
        <w:rPr/>
        <w:t>运 </w:t>
      </w:r>
      <w:r>
        <w:rPr>
          <w:spacing w:val="-1"/>
        </w:rPr>
        <w:t>营平台项目资金申请报告的批复》及深发改【</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1935</w:t>
      </w:r>
      <w:r>
        <w:rPr>
          <w:spacing w:val="-1"/>
        </w:rPr>
        <w:t>号《深圳市发展和改革委员会、深圳市经济贸易</w:t>
      </w:r>
      <w:r>
        <w:rPr>
          <w:spacing w:val="-80"/>
        </w:rPr>
        <w:t> </w:t>
      </w:r>
      <w:r>
        <w:rPr>
          <w:spacing w:val="-80"/>
        </w:rPr>
      </w:r>
      <w:r>
        <w:rPr>
          <w:spacing w:val="-1"/>
        </w:rPr>
        <w:t>和信息化委员会、深圳市科技创新委员会、深圳市财政委员会、深圳市人居环境委员会关于下达深圳市战</w:t>
      </w:r>
      <w:r>
        <w:rPr>
          <w:spacing w:val="-83"/>
        </w:rPr>
        <w:t> </w:t>
      </w:r>
      <w:r>
        <w:rPr>
          <w:spacing w:val="-83"/>
        </w:rPr>
      </w:r>
      <w:r>
        <w:rPr/>
        <w:t>略性新兴产业和未来产业发展专项资金</w:t>
      </w:r>
      <w:r>
        <w:rPr>
          <w:rFonts w:ascii="Times New Roman" w:hAnsi="Times New Roman" w:cs="Times New Roman" w:eastAsia="Times New Roman" w:hint="default"/>
        </w:rPr>
        <w:t>2015</w:t>
      </w:r>
      <w:r>
        <w:rPr/>
        <w:t>年第八批和第九批扶持计划的通知》，本公司于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月收</w:t>
      </w:r>
      <w:r>
        <w:rPr>
          <w:spacing w:val="-25"/>
        </w:rPr>
        <w:t> </w:t>
      </w:r>
      <w:r>
        <w:rPr/>
        <w:t>到资助资金</w:t>
      </w:r>
      <w:r>
        <w:rPr>
          <w:rFonts w:ascii="Times New Roman" w:hAnsi="Times New Roman" w:cs="Times New Roman" w:eastAsia="Times New Roman" w:hint="default"/>
        </w:rPr>
        <w:t>400</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日，该项目已完成验收。</w:t>
      </w:r>
    </w:p>
    <w:p>
      <w:pPr>
        <w:pStyle w:val="BodyText"/>
        <w:spacing w:line="240" w:lineRule="auto" w:before="0"/>
        <w:ind w:left="574" w:right="0"/>
        <w:jc w:val="left"/>
      </w:pPr>
      <w:r>
        <w:rPr>
          <w:spacing w:val="13"/>
        </w:rPr>
        <w:t>（</w:t>
      </w:r>
      <w:r>
        <w:rPr>
          <w:rFonts w:ascii="Times New Roman" w:hAnsi="Times New Roman" w:cs="Times New Roman" w:eastAsia="Times New Roman" w:hint="default"/>
          <w:spacing w:val="13"/>
        </w:rPr>
        <w:t>19</w:t>
      </w:r>
      <w:r>
        <w:rPr>
          <w:spacing w:val="13"/>
        </w:rPr>
        <w:t>）根据本公司与深圳市经济贸易和信息化委员会《深圳新一代信息技术产业振兴发展规划</w:t>
      </w:r>
    </w:p>
    <w:p>
      <w:pPr>
        <w:pStyle w:val="BodyText"/>
        <w:spacing w:line="256" w:lineRule="auto" w:before="21"/>
        <w:ind w:right="1129"/>
        <w:jc w:val="both"/>
      </w:pPr>
      <w:r>
        <w:rPr>
          <w:spacing w:val="-3"/>
        </w:rPr>
        <w:t>（</w:t>
      </w:r>
      <w:r>
        <w:rPr>
          <w:rFonts w:ascii="Times New Roman" w:hAnsi="Times New Roman" w:cs="Times New Roman" w:eastAsia="Times New Roman" w:hint="default"/>
          <w:spacing w:val="-3"/>
        </w:rPr>
        <w:t>2011-2015</w:t>
      </w:r>
      <w:r>
        <w:rPr>
          <w:spacing w:val="-3"/>
        </w:rPr>
        <w:t>年）》（深府</w:t>
      </w:r>
      <w:r>
        <w:rPr>
          <w:rFonts w:ascii="Times New Roman" w:hAnsi="Times New Roman" w:cs="Times New Roman" w:eastAsia="Times New Roman" w:hint="default"/>
          <w:spacing w:val="-3"/>
        </w:rPr>
        <w:t>[2011]209</w:t>
      </w:r>
      <w:r>
        <w:rPr>
          <w:spacing w:val="-3"/>
        </w:rPr>
        <w:t>号）和《深圳新一代信息技术产业振兴发展政策》（深府</w:t>
      </w:r>
      <w:r>
        <w:rPr>
          <w:rFonts w:ascii="Times New Roman" w:hAnsi="Times New Roman" w:cs="Times New Roman" w:eastAsia="Times New Roman" w:hint="default"/>
          <w:spacing w:val="-3"/>
        </w:rPr>
        <w:t>[2011]210</w:t>
      </w:r>
      <w:r>
        <w:rPr>
          <w:spacing w:val="-3"/>
        </w:rPr>
        <w:t>号）</w:t>
      </w:r>
      <w:r>
        <w:rPr>
          <w:spacing w:val="-90"/>
        </w:rPr>
        <w:t> </w:t>
      </w:r>
      <w:r>
        <w:rPr/>
        <w:t>签订的项目合同书（项目名称：码上淘互动应用平台）之规定，本公司于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月收到贷款贴息</w:t>
      </w:r>
      <w:r>
        <w:rPr>
          <w:rFonts w:ascii="Times New Roman" w:hAnsi="Times New Roman" w:cs="Times New Roman" w:eastAsia="Times New Roman" w:hint="default"/>
        </w:rPr>
        <w:t>159</w:t>
      </w:r>
      <w:r>
        <w:rPr/>
        <w:t>万</w:t>
      </w:r>
      <w:r>
        <w:rPr>
          <w:spacing w:val="-28"/>
        </w:rPr>
        <w:t> </w:t>
      </w:r>
      <w:r>
        <w:rPr/>
        <w:t>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日，该项目已完成验收。</w:t>
      </w:r>
    </w:p>
    <w:p>
      <w:pPr>
        <w:pStyle w:val="BodyText"/>
        <w:spacing w:line="256" w:lineRule="auto" w:before="5"/>
        <w:ind w:right="1130" w:firstLine="420"/>
        <w:jc w:val="both"/>
      </w:pPr>
      <w:r>
        <w:rPr>
          <w:spacing w:val="-1"/>
        </w:rPr>
        <w:t>（</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月，根据本公司与深圳市经济贸易和信息化委员会签订的深圳市战略性新兴产业发展</w:t>
      </w:r>
      <w:r>
        <w:rPr/>
        <w:t> </w:t>
      </w:r>
      <w:r>
        <w:rPr>
          <w:spacing w:val="-2"/>
        </w:rPr>
        <w:t>专项资金项目合同书（项目名称：移动互联网应用开发部署系统研发及产业化基于</w:t>
      </w:r>
      <w:r>
        <w:rPr>
          <w:rFonts w:ascii="Times New Roman" w:hAnsi="Times New Roman" w:cs="Times New Roman" w:eastAsia="Times New Roman" w:hint="default"/>
          <w:spacing w:val="-2"/>
        </w:rPr>
        <w:t>HTML5</w:t>
      </w:r>
      <w:r>
        <w:rPr>
          <w:spacing w:val="-2"/>
        </w:rPr>
        <w:t>移动应用引擎研</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spacing w:val="-1"/>
        </w:rPr>
        <w:t>发与产业化）之规定，本公司于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月收到项目资助资金</w:t>
      </w:r>
      <w:r>
        <w:rPr>
          <w:rFonts w:ascii="Times New Roman" w:hAnsi="Times New Roman" w:cs="Times New Roman" w:eastAsia="Times New Roman" w:hint="default"/>
          <w:spacing w:val="-1"/>
        </w:rPr>
        <w:t>100</w:t>
      </w:r>
      <w:r>
        <w:rPr>
          <w:spacing w:val="-1"/>
        </w:rPr>
        <w:t>万元，该项目需验收合格后予以转销，截</w:t>
      </w:r>
      <w:r>
        <w:rPr>
          <w:spacing w:val="-83"/>
        </w:rPr>
        <w:t> </w:t>
      </w:r>
      <w:r>
        <w:rPr>
          <w:spacing w:val="-83"/>
        </w:rPr>
      </w:r>
      <w:r>
        <w:rPr/>
        <w:t>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256" w:lineRule="auto" w:before="5"/>
        <w:ind w:right="1130" w:firstLine="420"/>
        <w:jc w:val="both"/>
      </w:pPr>
      <w:r>
        <w:rPr/>
        <w:t>（</w:t>
      </w:r>
      <w:r>
        <w:rPr>
          <w:rFonts w:ascii="Times New Roman" w:hAnsi="Times New Roman" w:cs="Times New Roman" w:eastAsia="Times New Roman" w:hint="default"/>
        </w:rPr>
        <w:t>21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月，根据本公司与深圳市科技创新委员会、广东省科学技术厅签订的广东省省级科技 </w:t>
      </w:r>
      <w:r>
        <w:rPr>
          <w:spacing w:val="2"/>
        </w:rPr>
        <w:t>计划项目合同书（项目名称：面向服务的制造执行系统中间件平台</w:t>
      </w:r>
      <w:r>
        <w:rPr>
          <w:rFonts w:ascii="Times New Roman" w:hAnsi="Times New Roman" w:cs="Times New Roman" w:eastAsia="Times New Roman" w:hint="default"/>
          <w:spacing w:val="2"/>
        </w:rPr>
        <w:t>SOMES</w:t>
      </w:r>
      <w:r>
        <w:rPr>
          <w:spacing w:val="2"/>
        </w:rPr>
        <w:t>）之规定，本公司于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47"/>
        </w:rPr>
        <w:t> </w:t>
      </w:r>
      <w:r>
        <w:rPr/>
        <w:t>月收到项目经费</w:t>
      </w:r>
      <w:r>
        <w:rPr>
          <w:rFonts w:ascii="Times New Roman" w:hAnsi="Times New Roman" w:cs="Times New Roman" w:eastAsia="Times New Roman" w:hint="default"/>
        </w:rPr>
        <w:t>50</w:t>
      </w:r>
      <w:r>
        <w:rPr/>
        <w:t>万元，该项目需验收收合格后予以转销。根据合同规定，本公司于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月支付武汉</w:t>
      </w:r>
      <w:r>
        <w:rPr>
          <w:spacing w:val="-28"/>
        </w:rPr>
        <w:t> </w:t>
      </w:r>
      <w:r>
        <w:rPr>
          <w:spacing w:val="-28"/>
        </w:rPr>
      </w:r>
      <w:r>
        <w:rPr/>
        <w:t>大学</w:t>
      </w:r>
      <w:r>
        <w:rPr>
          <w:rFonts w:ascii="Times New Roman" w:hAnsi="Times New Roman" w:cs="Times New Roman" w:eastAsia="Times New Roman" w:hint="default"/>
        </w:rPr>
        <w:t>25</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日，该项目已完成验收。</w:t>
      </w:r>
    </w:p>
    <w:p>
      <w:pPr>
        <w:pStyle w:val="BodyText"/>
        <w:spacing w:line="240" w:lineRule="auto" w:before="5"/>
        <w:ind w:left="0" w:right="1140"/>
        <w:jc w:val="right"/>
      </w:pPr>
      <w:r>
        <w:rPr/>
        <w:t>（</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月，根据本公司与深圳市科技创新委员会签订的深圳市国家和省计划配套项目合同书</w:t>
      </w:r>
    </w:p>
    <w:p>
      <w:pPr>
        <w:pStyle w:val="BodyText"/>
        <w:spacing w:line="256" w:lineRule="auto" w:before="21"/>
        <w:ind w:right="1127"/>
        <w:jc w:val="left"/>
      </w:pPr>
      <w:r>
        <w:rPr/>
        <w:t>（项目名称：面向服务的制造执行系统中间件平台</w:t>
      </w:r>
      <w:r>
        <w:rPr>
          <w:rFonts w:ascii="Times New Roman" w:hAnsi="Times New Roman" w:cs="Times New Roman" w:eastAsia="Times New Roman" w:hint="default"/>
        </w:rPr>
        <w:t>SOMES</w:t>
      </w:r>
      <w:r>
        <w:rPr/>
        <w:t>）之规定，本公司于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月收到科技研发资</w:t>
      </w:r>
      <w:r>
        <w:rPr>
          <w:spacing w:val="-97"/>
        </w:rPr>
        <w:t> </w:t>
      </w:r>
      <w:r>
        <w:rPr>
          <w:spacing w:val="-97"/>
        </w:rPr>
      </w:r>
      <w:r>
        <w:rPr/>
        <w:t>金</w:t>
      </w:r>
      <w:r>
        <w:rPr>
          <w:rFonts w:ascii="Times New Roman" w:hAnsi="Times New Roman" w:cs="Times New Roman" w:eastAsia="Times New Roman" w:hint="default"/>
        </w:rPr>
        <w:t>25</w:t>
      </w:r>
      <w:r>
        <w:rPr/>
        <w:t>万元，该项目需验收收合格后予以转销，截止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日，该项目已完成验收。</w:t>
      </w:r>
    </w:p>
    <w:p>
      <w:pPr>
        <w:pStyle w:val="BodyText"/>
        <w:spacing w:line="256" w:lineRule="auto" w:before="5"/>
        <w:ind w:right="1130" w:firstLine="420"/>
        <w:jc w:val="both"/>
      </w:pP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日，根据深圳市经贸信息委关于深圳天源迪科信息技术股份有限公司《电信运营商</w:t>
      </w:r>
      <w:r>
        <w:rPr>
          <w:w w:val="99"/>
        </w:rPr>
        <w:t> </w:t>
      </w:r>
      <w:r>
        <w:rPr/>
        <w:t>智慧</w:t>
      </w:r>
      <w:r>
        <w:rPr>
          <w:rFonts w:ascii="Times New Roman" w:hAnsi="Times New Roman" w:cs="Times New Roman" w:eastAsia="Times New Roman" w:hint="default"/>
        </w:rPr>
        <w:t>BOSS</w:t>
      </w:r>
      <w:r>
        <w:rPr/>
        <w:t>云平台项目项目资金》批复：经市政府批准，该项目列入深圳市战略性新兴产业和未来产业发</w:t>
      </w:r>
      <w:r>
        <w:rPr>
          <w:spacing w:val="-36"/>
        </w:rPr>
        <w:t> </w:t>
      </w:r>
      <w:r>
        <w:rPr>
          <w:spacing w:val="-36"/>
        </w:rPr>
      </w:r>
      <w:r>
        <w:rPr/>
        <w:t>展专项资金</w:t>
      </w:r>
      <w:r>
        <w:rPr>
          <w:rFonts w:ascii="Times New Roman" w:hAnsi="Times New Roman" w:cs="Times New Roman" w:eastAsia="Times New Roman" w:hint="default"/>
        </w:rPr>
        <w:t>2017</w:t>
      </w:r>
      <w:r>
        <w:rPr/>
        <w:t>年第三批扶持计划（深发改【</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1246</w:t>
      </w:r>
      <w:r>
        <w:rPr/>
        <w:t>号），安排资助资金</w:t>
      </w:r>
      <w:r>
        <w:rPr>
          <w:rFonts w:ascii="Times New Roman" w:hAnsi="Times New Roman" w:cs="Times New Roman" w:eastAsia="Times New Roman" w:hint="default"/>
        </w:rPr>
        <w:t>209.00</w:t>
      </w:r>
      <w:r>
        <w:rPr/>
        <w:t>万元，用于偿付本项</w:t>
      </w:r>
      <w:r>
        <w:rPr>
          <w:spacing w:val="-77"/>
        </w:rPr>
        <w:t> </w:t>
      </w:r>
      <w:r>
        <w:rPr>
          <w:spacing w:val="-77"/>
        </w:rPr>
      </w:r>
      <w:r>
        <w:rPr/>
        <w:t>目所发生贷款（</w:t>
      </w:r>
      <w:r>
        <w:rPr>
          <w:rFonts w:ascii="Times New Roman" w:hAnsi="Times New Roman" w:cs="Times New Roman" w:eastAsia="Times New Roman" w:hint="default"/>
        </w:rPr>
        <w:t>0403985001</w:t>
      </w:r>
      <w:r>
        <w:rPr/>
        <w:t>）的利息。截止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256" w:lineRule="auto" w:before="5"/>
        <w:ind w:right="1131" w:firstLine="420"/>
        <w:jc w:val="both"/>
      </w:pPr>
      <w:r>
        <w:rPr>
          <w:spacing w:val="-1"/>
        </w:rPr>
        <w:t>（</w:t>
      </w:r>
      <w:r>
        <w:rPr>
          <w:rFonts w:ascii="Times New Roman" w:hAnsi="Times New Roman" w:cs="Times New Roman" w:eastAsia="Times New Roman" w:hint="default"/>
          <w:spacing w:val="-1"/>
        </w:rPr>
        <w:t>24</w:t>
      </w:r>
      <w:r>
        <w:rPr>
          <w:spacing w:val="-1"/>
        </w:rPr>
        <w:t>）根据广州市天河区科技工业和信息化局项目</w:t>
      </w:r>
      <w:r>
        <w:rPr>
          <w:rFonts w:ascii="Times New Roman" w:hAnsi="Times New Roman" w:cs="Times New Roman" w:eastAsia="Times New Roman" w:hint="default"/>
          <w:spacing w:val="-1"/>
        </w:rPr>
        <w:t>——</w:t>
      </w:r>
      <w:r>
        <w:rPr>
          <w:spacing w:val="-1"/>
        </w:rPr>
        <w:t>生产全流程赋智及大数据营销的服务型制造研</w:t>
      </w:r>
      <w:r>
        <w:rPr/>
        <w:t> </w:t>
      </w:r>
      <w:r>
        <w:rPr>
          <w:spacing w:val="-1"/>
        </w:rPr>
        <w:t>究及应用，该合同起止时间为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日，本公司之子公司广州易杰已收到科技经费</w:t>
      </w:r>
      <w:r>
        <w:rPr>
          <w:spacing w:val="-79"/>
        </w:rPr>
        <w:t> </w:t>
      </w:r>
      <w:r>
        <w:rPr>
          <w:spacing w:val="-79"/>
        </w:rPr>
      </w:r>
      <w:r>
        <w:rPr>
          <w:rFonts w:ascii="Times New Roman" w:hAnsi="Times New Roman" w:cs="Times New Roman" w:eastAsia="Times New Roman" w:hint="default"/>
        </w:rPr>
        <w:t>12</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256" w:lineRule="auto" w:before="5"/>
        <w:ind w:right="1132" w:firstLine="420"/>
        <w:jc w:val="both"/>
      </w:pPr>
      <w:r>
        <w:rPr>
          <w:spacing w:val="-2"/>
        </w:rPr>
        <w:t>（</w:t>
      </w:r>
      <w:r>
        <w:rPr>
          <w:rFonts w:ascii="Times New Roman" w:hAnsi="Times New Roman" w:cs="Times New Roman" w:eastAsia="Times New Roman" w:hint="default"/>
          <w:spacing w:val="-2"/>
        </w:rPr>
        <w:t>25</w:t>
      </w:r>
      <w:r>
        <w:rPr>
          <w:spacing w:val="-2"/>
        </w:rPr>
        <w:t>）根据广州市天河区科技工业和信息化局关于印发广州市天河区支持软件业发展和企业</w:t>
      </w:r>
      <w:r>
        <w:rPr>
          <w:rFonts w:ascii="Times New Roman" w:hAnsi="Times New Roman" w:cs="Times New Roman" w:eastAsia="Times New Roman" w:hint="default"/>
          <w:spacing w:val="-2"/>
        </w:rPr>
        <w:t>R&amp;D</w:t>
      </w:r>
      <w:r>
        <w:rPr>
          <w:spacing w:val="-2"/>
        </w:rPr>
        <w:t>投入</w:t>
      </w:r>
      <w:r>
        <w:rPr/>
        <w:t> </w:t>
      </w:r>
      <w:r>
        <w:rPr>
          <w:spacing w:val="-1"/>
        </w:rPr>
        <w:t>实施办法的通知的有关规定，本公司之子公司广州易星收到补助资金</w:t>
      </w:r>
      <w:r>
        <w:rPr>
          <w:rFonts w:ascii="Times New Roman" w:hAnsi="Times New Roman" w:cs="Times New Roman" w:eastAsia="Times New Roman" w:hint="default"/>
          <w:spacing w:val="-1"/>
        </w:rPr>
        <w:t>10</w:t>
      </w:r>
      <w:r>
        <w:rPr>
          <w:spacing w:val="-1"/>
        </w:rPr>
        <w:t>万元，用于项目无线视频勘测在线</w:t>
      </w:r>
      <w:r>
        <w:rPr>
          <w:spacing w:val="-83"/>
        </w:rPr>
        <w:t> </w:t>
      </w:r>
      <w:r>
        <w:rPr>
          <w:spacing w:val="-83"/>
        </w:rPr>
      </w:r>
      <w:r>
        <w:rPr/>
        <w:t>理赔车险服务平台。截至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pStyle w:val="BodyText"/>
        <w:spacing w:line="256" w:lineRule="auto" w:before="5"/>
        <w:ind w:right="1129" w:firstLine="420"/>
        <w:jc w:val="both"/>
      </w:pPr>
      <w:r>
        <w:rPr>
          <w:spacing w:val="-5"/>
        </w:rPr>
        <w:t>（</w:t>
      </w:r>
      <w:r>
        <w:rPr>
          <w:rFonts w:ascii="Times New Roman" w:hAnsi="Times New Roman" w:cs="Times New Roman" w:eastAsia="Times New Roman" w:hint="default"/>
          <w:spacing w:val="-5"/>
        </w:rPr>
        <w:t>26</w:t>
      </w:r>
      <w:r>
        <w:rPr>
          <w:spacing w:val="-5"/>
        </w:rPr>
        <w:t>）根据本公司与深圳市科技创新委员会签订的深圳市科技计划项目合同书（项目名称：重</w:t>
      </w:r>
      <w:r>
        <w:rPr>
          <w:rFonts w:ascii="Times New Roman" w:hAnsi="Times New Roman" w:cs="Times New Roman" w:eastAsia="Times New Roman" w:hint="default"/>
          <w:spacing w:val="-5"/>
        </w:rPr>
        <w:t>20170337</w:t>
      </w:r>
      <w:r>
        <w:rPr>
          <w:rFonts w:ascii="Times New Roman" w:hAnsi="Times New Roman" w:cs="Times New Roman" w:eastAsia="Times New Roman" w:hint="default"/>
        </w:rPr>
        <w:t> </w:t>
      </w:r>
      <w:r>
        <w:rPr>
          <w:spacing w:val="-3"/>
        </w:rPr>
        <w:t>互联网</w:t>
      </w:r>
      <w:r>
        <w:rPr>
          <w:rFonts w:ascii="Times New Roman" w:hAnsi="Times New Roman" w:cs="Times New Roman" w:eastAsia="Times New Roman" w:hint="default"/>
          <w:spacing w:val="-3"/>
        </w:rPr>
        <w:t>+</w:t>
      </w:r>
      <w:r>
        <w:rPr>
          <w:spacing w:val="-3"/>
        </w:rPr>
        <w:t>电动汽车充电站智能管理平台关键技术研发）之规定，本公司于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月收到科技经费</w:t>
      </w:r>
      <w:r>
        <w:rPr>
          <w:rFonts w:ascii="Times New Roman" w:hAnsi="Times New Roman" w:cs="Times New Roman" w:eastAsia="Times New Roman" w:hint="default"/>
          <w:spacing w:val="-3"/>
        </w:rPr>
        <w:t>400</w:t>
      </w:r>
      <w:r>
        <w:rPr>
          <w:spacing w:val="-3"/>
        </w:rPr>
        <w:t>万元，</w:t>
      </w:r>
      <w:r>
        <w:rPr>
          <w:spacing w:val="-96"/>
        </w:rPr>
        <w:t> </w:t>
      </w:r>
      <w:r>
        <w:rPr>
          <w:spacing w:val="-96"/>
        </w:rPr>
      </w:r>
      <w:r>
        <w:rPr/>
        <w:t>该项目需验收合格后予以转销，截止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日，该项目尚在进行中，且未验收。</w:t>
      </w:r>
    </w:p>
    <w:p>
      <w:pPr>
        <w:spacing w:line="240" w:lineRule="auto" w:before="6"/>
        <w:rPr>
          <w:rFonts w:ascii="宋体" w:hAnsi="宋体" w:cs="宋体" w:eastAsia="宋体" w:hint="default"/>
          <w:sz w:val="23"/>
          <w:szCs w:val="23"/>
        </w:rPr>
      </w:pPr>
    </w:p>
    <w:p>
      <w:pPr>
        <w:pStyle w:val="Heading5"/>
        <w:spacing w:line="240" w:lineRule="auto"/>
        <w:ind w:right="1972"/>
        <w:jc w:val="left"/>
        <w:rPr>
          <w:b w:val="0"/>
          <w:bCs w:val="0"/>
        </w:rPr>
      </w:pPr>
      <w:bookmarkStart w:name="43、其他非流动负债" w:id="349"/>
      <w:bookmarkEnd w:id="349"/>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44、股本" w:id="350"/>
      <w:bookmarkEnd w:id="350"/>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399,737,270.00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3" w:right="0"/>
              <w:jc w:val="left"/>
              <w:rPr>
                <w:rFonts w:ascii="Times New Roman" w:hAnsi="Times New Roman" w:cs="Times New Roman" w:eastAsia="Times New Roman" w:hint="default"/>
                <w:sz w:val="18"/>
                <w:szCs w:val="18"/>
              </w:rPr>
            </w:pPr>
            <w:r>
              <w:rPr>
                <w:rFonts w:ascii="Times New Roman"/>
                <w:sz w:val="18"/>
              </w:rPr>
              <w:t>-653,410.00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2" w:right="0"/>
              <w:jc w:val="left"/>
              <w:rPr>
                <w:rFonts w:ascii="Times New Roman" w:hAnsi="Times New Roman" w:cs="Times New Roman" w:eastAsia="Times New Roman" w:hint="default"/>
                <w:sz w:val="18"/>
                <w:szCs w:val="18"/>
              </w:rPr>
            </w:pPr>
            <w:r>
              <w:rPr>
                <w:rFonts w:ascii="Times New Roman"/>
                <w:sz w:val="18"/>
              </w:rPr>
              <w:t>-653,410.00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399,083,860.00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89"/>
        <w:ind w:right="0" w:firstLine="420"/>
        <w:jc w:val="left"/>
      </w:pPr>
      <w:r>
        <w:rPr/>
        <w:t>注：根据公司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日召开的第四届董事会第十三次会议、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日召开的第四届董事会 第十六次会议、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日召开的第四届董事会第十七次会议、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日召开的第四届董事会 第十九次会议及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日召开的第四届监事会第十六次会议决议通过的《关于回购注销已不符合激 </w:t>
      </w:r>
      <w:r>
        <w:rPr>
          <w:spacing w:val="-1"/>
        </w:rPr>
        <w:t>励条件的激励对象已获授权但尚未解锁的限制性股票的议案》，公司回购已不符合激励条件的激励对象已</w:t>
      </w:r>
      <w:r>
        <w:rPr>
          <w:spacing w:val="-81"/>
        </w:rPr>
        <w:t> </w:t>
      </w:r>
      <w:r>
        <w:rPr>
          <w:spacing w:val="-81"/>
        </w:rPr>
      </w:r>
      <w:r>
        <w:rPr/>
        <w:t>获授权但尚未解锁的限制性股票</w:t>
      </w:r>
      <w:r>
        <w:rPr>
          <w:rFonts w:ascii="Times New Roman" w:hAnsi="Times New Roman" w:cs="Times New Roman" w:eastAsia="Times New Roman" w:hint="default"/>
        </w:rPr>
        <w:t>653,410.00</w:t>
      </w:r>
      <w:r>
        <w:rPr/>
        <w:t>股（每股面值</w:t>
      </w:r>
      <w:r>
        <w:rPr>
          <w:rFonts w:ascii="Times New Roman" w:hAnsi="Times New Roman" w:cs="Times New Roman" w:eastAsia="Times New Roman" w:hint="default"/>
        </w:rPr>
        <w:t>1</w:t>
      </w:r>
      <w:r>
        <w:rPr/>
        <w:t>元），并申请减少注册资本</w:t>
      </w:r>
      <w:r>
        <w:rPr>
          <w:rFonts w:ascii="Times New Roman" w:hAnsi="Times New Roman" w:cs="Times New Roman" w:eastAsia="Times New Roman" w:hint="default"/>
        </w:rPr>
        <w:t>653,410.00</w:t>
      </w:r>
      <w:r>
        <w:rPr/>
        <w:t>元，由此 减少注册资本</w:t>
      </w:r>
      <w:r>
        <w:rPr>
          <w:rFonts w:ascii="Times New Roman" w:hAnsi="Times New Roman" w:cs="Times New Roman" w:eastAsia="Times New Roman" w:hint="default"/>
        </w:rPr>
        <w:t>653,410.00</w:t>
      </w:r>
      <w:r>
        <w:rPr/>
        <w:t>元。</w:t>
      </w:r>
    </w:p>
    <w:p>
      <w:pPr>
        <w:spacing w:after="0" w:line="26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before="35"/>
        <w:ind w:right="1972"/>
        <w:jc w:val="left"/>
        <w:rPr>
          <w:b w:val="0"/>
          <w:bCs w:val="0"/>
        </w:rPr>
      </w:pPr>
      <w:bookmarkStart w:name="45、其他权益工具" w:id="351"/>
      <w:bookmarkEnd w:id="351"/>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期末发行在外的优先股、永续债等其他金融工具基本情况" w:id="352"/>
      <w:bookmarkEnd w:id="35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2）期末发行在外的优先股、永续债等金融工具变动情况表" w:id="353"/>
      <w:bookmarkEnd w:id="35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463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5"/>
        <w:spacing w:line="240" w:lineRule="auto"/>
        <w:ind w:right="1972"/>
        <w:jc w:val="left"/>
        <w:rPr>
          <w:b w:val="0"/>
          <w:bCs w:val="0"/>
        </w:rPr>
      </w:pPr>
      <w:bookmarkStart w:name="46、资本公积" w:id="354"/>
      <w:bookmarkEnd w:id="354"/>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1,717,675,874.27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4,775,654.40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7,958,323.44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1,714,493,205.23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6,962,087.34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2,289,101.94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4,775,654.40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4,475,534.88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1,724,637,961.61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7,064,756.34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12,733,977.84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1,718,968,740.11</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0"/>
        <w:ind w:right="1131" w:firstLine="420"/>
        <w:jc w:val="left"/>
      </w:pPr>
      <w:r>
        <w:rPr/>
        <w:t>注：（</w:t>
      </w:r>
      <w:r>
        <w:rPr>
          <w:rFonts w:ascii="Times New Roman" w:hAnsi="Times New Roman" w:cs="Times New Roman" w:eastAsia="Times New Roman" w:hint="default"/>
        </w:rPr>
        <w:t>1</w:t>
      </w:r>
      <w:r>
        <w:rPr/>
        <w:t>）资本溢价本期增加</w:t>
      </w:r>
      <w:r>
        <w:rPr>
          <w:rFonts w:ascii="Times New Roman" w:hAnsi="Times New Roman" w:cs="Times New Roman" w:eastAsia="Times New Roman" w:hint="default"/>
        </w:rPr>
        <w:t>4,775,654.40</w:t>
      </w:r>
      <w:r>
        <w:rPr/>
        <w:t>元，系第二期期限制性股票解禁原计入股份支付资本公积</w:t>
      </w:r>
      <w:r>
        <w:rPr>
          <w:rFonts w:ascii="Times New Roman" w:hAnsi="Times New Roman" w:cs="Times New Roman" w:eastAsia="Times New Roman" w:hint="default"/>
        </w:rPr>
        <w:t>- </w:t>
      </w:r>
      <w:r>
        <w:rPr>
          <w:spacing w:val="-4"/>
        </w:rPr>
        <w:t>其他资本公积的成本转入资本公积</w:t>
      </w:r>
      <w:r>
        <w:rPr>
          <w:rFonts w:ascii="Times New Roman" w:hAnsi="Times New Roman" w:cs="Times New Roman" w:eastAsia="Times New Roman" w:hint="default"/>
          <w:spacing w:val="-4"/>
        </w:rPr>
        <w:t>-</w:t>
      </w:r>
      <w:r>
        <w:rPr>
          <w:spacing w:val="-4"/>
        </w:rPr>
        <w:t>资本溢价所致；资本溢价本期减少合计</w:t>
      </w:r>
      <w:r>
        <w:rPr>
          <w:rFonts w:ascii="Times New Roman" w:hAnsi="Times New Roman" w:cs="Times New Roman" w:eastAsia="Times New Roman" w:hint="default"/>
          <w:spacing w:val="-4"/>
        </w:rPr>
        <w:t>7,958,323.44</w:t>
      </w:r>
      <w:r>
        <w:rPr>
          <w:spacing w:val="-4"/>
        </w:rPr>
        <w:t>元，其中</w:t>
      </w:r>
      <w:r>
        <w:rPr>
          <w:rFonts w:ascii="Times New Roman" w:hAnsi="Times New Roman" w:cs="Times New Roman" w:eastAsia="Times New Roman" w:hint="default"/>
          <w:spacing w:val="-4"/>
        </w:rPr>
        <w:t>4,982,237.06</w:t>
      </w:r>
      <w:r>
        <w:rPr>
          <w:rFonts w:ascii="Times New Roman" w:hAnsi="Times New Roman" w:cs="Times New Roman" w:eastAsia="Times New Roman" w:hint="default"/>
          <w:spacing w:val="-9"/>
        </w:rPr>
        <w:t> </w:t>
      </w:r>
      <w:r>
        <w:rPr/>
        <w:t>元系本期注销回购限制性股票</w:t>
      </w:r>
      <w:r>
        <w:rPr>
          <w:rFonts w:ascii="Times New Roman" w:hAnsi="Times New Roman" w:cs="Times New Roman" w:eastAsia="Times New Roman" w:hint="default"/>
        </w:rPr>
        <w:t>653,410</w:t>
      </w:r>
      <w:r>
        <w:rPr/>
        <w:t>股所致；其中</w:t>
      </w:r>
      <w:r>
        <w:rPr>
          <w:rFonts w:ascii="Times New Roman" w:hAnsi="Times New Roman" w:cs="Times New Roman" w:eastAsia="Times New Roman" w:hint="default"/>
        </w:rPr>
        <w:t>2,976,086.38</w:t>
      </w:r>
      <w:r>
        <w:rPr/>
        <w:t>元系本期收购维恩贝特少数股东权益冲减 的资本溢价。</w:t>
      </w:r>
    </w:p>
    <w:p>
      <w:pPr>
        <w:pStyle w:val="BodyText"/>
        <w:spacing w:line="240" w:lineRule="auto" w:before="22"/>
        <w:ind w:left="574" w:right="0"/>
        <w:jc w:val="left"/>
      </w:pPr>
      <w:r>
        <w:rPr/>
        <w:t>（</w:t>
      </w:r>
      <w:r>
        <w:rPr>
          <w:rFonts w:ascii="Times New Roman" w:hAnsi="Times New Roman" w:cs="Times New Roman" w:eastAsia="Times New Roman" w:hint="default"/>
        </w:rPr>
        <w:t>2</w:t>
      </w:r>
      <w:r>
        <w:rPr/>
        <w:t>）其他资本公积本期增加</w:t>
      </w:r>
      <w:r>
        <w:rPr>
          <w:rFonts w:ascii="Times New Roman" w:hAnsi="Times New Roman" w:cs="Times New Roman" w:eastAsia="Times New Roman" w:hint="default"/>
        </w:rPr>
        <w:t>2,289,101.94</w:t>
      </w:r>
      <w:r>
        <w:rPr/>
        <w:t>系本报告期确认限制性股票股份支付成本所致；本期减少</w:t>
      </w:r>
    </w:p>
    <w:p>
      <w:pPr>
        <w:pStyle w:val="BodyText"/>
        <w:spacing w:line="240" w:lineRule="auto" w:before="21"/>
        <w:ind w:right="0"/>
        <w:jc w:val="left"/>
      </w:pPr>
      <w:r>
        <w:rPr>
          <w:rFonts w:ascii="Times New Roman" w:hAnsi="Times New Roman" w:cs="Times New Roman" w:eastAsia="Times New Roman" w:hint="default"/>
        </w:rPr>
        <w:t>4,775,654.40</w:t>
      </w:r>
      <w:r>
        <w:rPr/>
        <w:t>元系系第二期期限制性股票解禁原计入股份支付资本公积</w:t>
      </w:r>
      <w:r>
        <w:rPr>
          <w:rFonts w:ascii="Times New Roman" w:hAnsi="Times New Roman" w:cs="Times New Roman" w:eastAsia="Times New Roman" w:hint="default"/>
        </w:rPr>
        <w:t>-</w:t>
      </w:r>
      <w:r>
        <w:rPr/>
        <w:t>其他资本公积的成本转入资本公积</w:t>
      </w:r>
    </w:p>
    <w:p>
      <w:pPr>
        <w:pStyle w:val="BodyText"/>
        <w:spacing w:line="240" w:lineRule="auto" w:before="21"/>
        <w:ind w:right="1972"/>
        <w:jc w:val="left"/>
      </w:pPr>
      <w:r>
        <w:rPr>
          <w:rFonts w:ascii="Times New Roman" w:hAnsi="Times New Roman" w:cs="Times New Roman" w:eastAsia="Times New Roman" w:hint="default"/>
        </w:rPr>
        <w:t>-</w:t>
      </w:r>
      <w:r>
        <w:rPr/>
        <w:t>资本溢价所致。</w:t>
      </w:r>
    </w:p>
    <w:p>
      <w:pPr>
        <w:spacing w:line="240" w:lineRule="auto" w:before="8"/>
        <w:rPr>
          <w:rFonts w:ascii="宋体" w:hAnsi="宋体" w:cs="宋体" w:eastAsia="宋体" w:hint="default"/>
          <w:sz w:val="24"/>
          <w:szCs w:val="24"/>
        </w:rPr>
      </w:pPr>
    </w:p>
    <w:p>
      <w:pPr>
        <w:pStyle w:val="Heading5"/>
        <w:spacing w:line="240" w:lineRule="auto"/>
        <w:ind w:right="1972"/>
        <w:jc w:val="left"/>
        <w:rPr>
          <w:b w:val="0"/>
          <w:bCs w:val="0"/>
        </w:rPr>
      </w:pPr>
      <w:bookmarkStart w:name="47、库存股" w:id="355"/>
      <w:bookmarkEnd w:id="355"/>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股权激励回购股份</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2,634,017.80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4,296,954.98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5,635,337.73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1,295,635.05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2,634,017.80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4,296,954.98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5,635,337.73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1,295,635.05</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footerReference w:type="default" r:id="rId23"/>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48、其他综合收益" w:id="356"/>
      <w:bookmarkEnd w:id="356"/>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49、专项储备" w:id="357"/>
      <w:bookmarkEnd w:id="357"/>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50、盈余公积" w:id="358"/>
      <w:bookmarkEnd w:id="358"/>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69,641,144.99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9,364,381.30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79,005,526.29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69,641,144.99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9,364,381.30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79,005,526.29</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51、未分配利润" w:id="359"/>
      <w:bookmarkEnd w:id="359"/>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637,749,133.72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501,876,949.04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637,749,133.72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501,876,949.04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215,542,694.97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155,932,941.08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9,364,381.30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7,532,321.72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15,989,344.30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12,528,434.68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827,938,103.09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637,749,133.72</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after="0"/>
        <w:jc w:val="left"/>
        <w:rPr>
          <w:rFonts w:ascii="宋体" w:hAnsi="宋体" w:cs="宋体" w:eastAsia="宋体" w:hint="default"/>
          <w:sz w:val="18"/>
          <w:szCs w:val="18"/>
        </w:rPr>
        <w:sectPr>
          <w:footerReference w:type="default" r:id="rId24"/>
          <w:pgSz w:w="11910" w:h="16840"/>
          <w:pgMar w:footer="979" w:header="747" w:top="1060" w:bottom="1160" w:left="980" w:right="0"/>
          <w:pgNumType w:start="201"/>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52、营业收入和营业成本" w:id="360"/>
      <w:bookmarkEnd w:id="360"/>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3,766,064,718.10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2,992,512,782.47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2,963,058,965.15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2,383,331,832.34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761,724.75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258,718.56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3,766,826,442.85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2,992,771,501.03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2,963,058,965.15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2,383,331,832.34</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53、税金及附加" w:id="361"/>
      <w:bookmarkEnd w:id="361"/>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4,302,178.48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3,325,098.65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3,075,776.13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2,151,068.29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3,922,763.39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3,136,185.94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11,300,718.00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8,612,352.88</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54、销售费用" w:id="362"/>
      <w:bookmarkEnd w:id="362"/>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9" w:space="0" w:color="D2D2D2"/>
            </w:tcBorders>
            <w:shd w:val="clear" w:color="auto" w:fill="D6D6D6"/>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64,188,011.13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50,875,935.08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17,489,238.43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12,523,981.80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15,004,228.13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10,183,936.16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11,887,878.70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9,218,964.74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8,363,123.84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6,796,522.49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6,707,763.46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4,651,046.02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5,203,882.34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5,700,497.95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4,453,271.62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1,727,635.22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2,991,453.94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3,888,381.39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2,482,468.31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2,198,712.99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1,168,692.98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1,493,327.34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1,956,752.65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3,350,096.77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141,896,765.53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112,609,037.95</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55、管理费用" w:id="363"/>
      <w:bookmarkEnd w:id="363"/>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74,127,950.42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62,466,746.39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20,304,532.99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18,453,597.49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19,647,548.10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16,052,782.62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8,270,307.51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8,185,001.12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10,414,830.47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8,134,382.95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4,058,716.09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4,362,993.10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4,592,663.83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3,037,629.68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6,616,726.63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7,481,420.32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2,289,101.94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6,393,066.04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10,215,487.91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9,395,694.99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160,537,865.89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143,963,314.70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56、研发费用" w:id="364"/>
      <w:bookmarkEnd w:id="364"/>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168,878,709.62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126,894,789.90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4,927,996.43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6,196,094.92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4,740,833.94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3,864,879.26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4,005,806.55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1,250,655.29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2,971,878.70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3,237,274.39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185,525,225.24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141,443,693.76</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57、财务费用" w:id="365"/>
      <w:bookmarkEnd w:id="365"/>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46,325,139.19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34,290,310.31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1,328,181.54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1,375,428.63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-1,846,313.70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338,913.62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561,603.06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656,483.42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43,712,247.01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33,910,278.72</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58、资产减值损失" w:id="366"/>
      <w:bookmarkEnd w:id="366"/>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22,302,621.59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10,723,785.84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22,302,621.59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10,723,785.84</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59、其他收益" w:id="367"/>
      <w:bookmarkEnd w:id="367"/>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25,638,749.17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23,196,919.25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基于云技术的企业级</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运营 平台项目验收通过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0612-1240B0110124/1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专题政府补助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20150026:</w:t>
            </w:r>
            <w:r>
              <w:rPr>
                <w:rFonts w:ascii="宋体" w:hAnsi="宋体" w:cs="宋体" w:eastAsia="宋体" w:hint="default"/>
                <w:sz w:val="18"/>
                <w:szCs w:val="18"/>
              </w:rPr>
              <w:t>跨平台互联网移动应用开发 平台关键技术研发 项目验收通过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年研究开发项目资助款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研发后补助款项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码上淘互动应用平台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项目验收通过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公安大数据智能研判分析作战系统应用 示范项目验收通过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年度自贸区专项资金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产业扶持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科技金融信贷贴息支持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中小企业创新基金通过验收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天河区支撑软件业发展和企业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 入专项补助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中华人民共和国国家金库合肥市中心支 库</w:t>
            </w:r>
            <w:r>
              <w:rPr>
                <w:rFonts w:ascii="Times New Roman" w:hAnsi="Times New Roman" w:cs="Times New Roman" w:eastAsia="Times New Roman" w:hint="default"/>
                <w:sz w:val="18"/>
                <w:szCs w:val="18"/>
              </w:rPr>
              <w:t>-</w:t>
            </w:r>
            <w:r>
              <w:rPr>
                <w:rFonts w:ascii="宋体" w:hAnsi="宋体" w:cs="宋体" w:eastAsia="宋体" w:hint="default"/>
                <w:sz w:val="18"/>
                <w:szCs w:val="18"/>
              </w:rPr>
              <w:t>具体项目补助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人才培训项目资助款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用工补贴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高新区人事局技能培训补贴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高新区科技局科技小巨人首次过亿奖励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高层次创新型人才实训基地项目资助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合肥就业见习补贴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政府贴息项目补助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管委会装修补贴资金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339,999.96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56,666.66</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天河软件园产业政策专项</w:t>
            </w:r>
            <w:r>
              <w:rPr>
                <w:rFonts w:ascii="Times New Roman" w:hAnsi="Times New Roman" w:cs="Times New Roman" w:eastAsia="Times New Roman" w:hint="default"/>
                <w:sz w:val="18"/>
                <w:szCs w:val="18"/>
              </w:rPr>
              <w:t>--</w:t>
            </w:r>
            <w:r>
              <w:rPr>
                <w:rFonts w:ascii="宋体" w:hAnsi="宋体" w:cs="宋体" w:eastAsia="宋体" w:hint="default"/>
                <w:sz w:val="18"/>
                <w:szCs w:val="18"/>
              </w:rPr>
              <w:t>创新载体奖 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天河软件园产业政策专项奖励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面向服务的制造执行系统中间件平台 </w:t>
            </w:r>
            <w:r>
              <w:rPr>
                <w:rFonts w:ascii="Times New Roman" w:hAnsi="Times New Roman" w:cs="Times New Roman" w:eastAsia="Times New Roman" w:hint="default"/>
                <w:sz w:val="18"/>
                <w:szCs w:val="18"/>
              </w:rPr>
              <w:t>SOMES"</w:t>
            </w:r>
            <w:r>
              <w:rPr>
                <w:rFonts w:ascii="宋体" w:hAnsi="宋体" w:cs="宋体" w:eastAsia="宋体" w:hint="default"/>
                <w:sz w:val="18"/>
                <w:szCs w:val="18"/>
              </w:rPr>
              <w:t>项目验收合格（项目编号： </w:t>
            </w:r>
            <w:r>
              <w:rPr>
                <w:rFonts w:ascii="Times New Roman" w:hAnsi="Times New Roman" w:cs="Times New Roman" w:eastAsia="Times New Roman" w:hint="default"/>
                <w:sz w:val="18"/>
                <w:szCs w:val="18"/>
              </w:rPr>
              <w:t>2013B090500064</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面向服务的制造执行系统中间 件平台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SOMES"</w:t>
            </w:r>
            <w:r>
              <w:rPr>
                <w:rFonts w:ascii="宋体" w:hAnsi="宋体" w:cs="宋体" w:eastAsia="宋体" w:hint="default"/>
                <w:sz w:val="18"/>
                <w:szCs w:val="18"/>
              </w:rPr>
              <w:t>项目验收合格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面向金融服务的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服务云平台系统 的关键技术研发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238,120.00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年信息化补贴扶持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深圳市南山区人力资源局转人才实训基 地计划资助款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443,400.00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面向金融服务的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服务云平台系统 的关键技术研发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163,333.32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32,166.67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企业发展专项资金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中小企业大数据分析 服务平台项目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深圳市南山区经济促进局，名牌商标奖 励项目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管委会财政局座席扶持资金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高新区经贸局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年度安徽省外 经贸政策资金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天河软件园产业政策专项</w:t>
            </w:r>
            <w:r>
              <w:rPr>
                <w:rFonts w:ascii="Times New Roman" w:hAnsi="Times New Roman" w:cs="Times New Roman" w:eastAsia="Times New Roman" w:hint="default"/>
                <w:sz w:val="18"/>
                <w:szCs w:val="18"/>
              </w:rPr>
              <w:t>-CMMI3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级资</w:t>
            </w:r>
            <w:r>
              <w:rPr>
                <w:rFonts w:ascii="宋体" w:hAnsi="宋体" w:cs="宋体" w:eastAsia="宋体" w:hint="default"/>
                <w:w w:val="99"/>
                <w:sz w:val="18"/>
                <w:szCs w:val="18"/>
              </w:rPr>
              <w:t> </w:t>
            </w:r>
            <w:r>
              <w:rPr>
                <w:rFonts w:ascii="宋体" w:hAnsi="宋体" w:cs="宋体" w:eastAsia="宋体" w:hint="default"/>
                <w:sz w:val="18"/>
                <w:szCs w:val="18"/>
              </w:rPr>
              <w:t>质奖励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高新经贸局产业转型发展转型资金</w:t>
            </w:r>
            <w:r>
              <w:rPr>
                <w:rFonts w:ascii="Times New Roman" w:hAnsi="Times New Roman" w:cs="Times New Roman" w:eastAsia="Times New Roman" w:hint="default"/>
                <w:sz w:val="18"/>
                <w:szCs w:val="18"/>
              </w:rPr>
              <w:t>-</w:t>
            </w:r>
            <w:r>
              <w:rPr>
                <w:rFonts w:ascii="宋体" w:hAnsi="宋体" w:cs="宋体" w:eastAsia="宋体" w:hint="default"/>
                <w:sz w:val="18"/>
                <w:szCs w:val="18"/>
              </w:rPr>
              <w:t>支持 服务外包产业发展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增值税扶持补贴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合肥高新区关于合肥天源迪科研发基地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借转补</w:t>
            </w:r>
            <w:r>
              <w:rPr>
                <w:rFonts w:ascii="Times New Roman" w:hAnsi="Times New Roman" w:cs="Times New Roman" w:eastAsia="Times New Roman" w:hint="default"/>
                <w:sz w:val="18"/>
                <w:szCs w:val="18"/>
              </w:rPr>
              <w:t>"</w:t>
            </w:r>
            <w:r>
              <w:rPr>
                <w:rFonts w:ascii="宋体" w:hAnsi="宋体" w:cs="宋体" w:eastAsia="宋体" w:hint="default"/>
                <w:sz w:val="18"/>
                <w:szCs w:val="18"/>
              </w:rPr>
              <w:t>专项财政扶持资金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56,860.37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56,860.32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高新区管委会固定资产投资项目补助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47,260.27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47,260.32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天河软件园产业政策专项</w:t>
            </w:r>
            <w:r>
              <w:rPr>
                <w:rFonts w:ascii="Times New Roman" w:hAnsi="Times New Roman" w:cs="Times New Roman" w:eastAsia="Times New Roman" w:hint="default"/>
                <w:sz w:val="18"/>
                <w:szCs w:val="18"/>
              </w:rPr>
              <w:t>--ISO27001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 质奖励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面向现代商业银行的多维度，多视图金 融产品管理软件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软件著作权资质奖励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广州市科创委科技创新券补助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知识产权证书奖励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年深圳市企业研究开发资助计划第 二批资助款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5,366,000.00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年度市软件产业和集成电路设计产 业专项资助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深圳财政委员会高新区处科研费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2,956,000.00</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面向电信行业大数据的新一代数据仓 库架构枢综合业务运营支撑平台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 验收合格通过</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高新区人事局促进就业奖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02400100954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服务外包</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合肥市科学技术局省创新型省份建设专 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技术合同奖励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企业标准化体系奖励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企业研发机构建设专项款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年度天河区科技计划项目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年度天河区科技计划项目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广州市科技创新委员科技项目补贴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广州市创新基金补助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广州市先进制造业创新发展基金补助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广州市版权保护中心版权登记资助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广州市天河区创业带动就业补助项目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53,542,828.09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42,928,523.22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972"/>
        <w:jc w:val="left"/>
        <w:rPr>
          <w:b w:val="0"/>
          <w:bCs w:val="0"/>
        </w:rPr>
      </w:pPr>
      <w:bookmarkStart w:name="60、投资收益" w:id="368"/>
      <w:bookmarkEnd w:id="368"/>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1,479,266.20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3,817,961.79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3,793.22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取得的现金股利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13,290.00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购买理财产品取得的收益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3,506,999.02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1,504,056.20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7,328,754.03</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61、公允价值变动收益" w:id="369"/>
      <w:bookmarkEnd w:id="369"/>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-1,387,476.00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-297,696.00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-1,387,476.00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-297,696.00</w:t>
            </w:r>
            <w:r>
              <w:rPr>
                <w:rFonts w:ascii="Times New Roman"/>
                <w:sz w:val="18"/>
              </w:rPr>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62、资产处置收益" w:id="370"/>
      <w:bookmarkEnd w:id="370"/>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-8,992.48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-351,607.15</w:t>
            </w:r>
            <w:r>
              <w:rPr>
                <w:rFonts w:ascii="Times New Roman"/>
                <w:sz w:val="18"/>
              </w:rPr>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63、营业外收入" w:id="371"/>
      <w:bookmarkEnd w:id="371"/>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3,146,127.62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3,719,004.86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3,146,127.62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409,856.66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229,415.64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409,856.66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3,555,984.28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3,948,420.50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3,555,984.28</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产业转型升 级专项政府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19" w:right="0"/>
              <w:jc w:val="left"/>
              <w:rPr>
                <w:rFonts w:ascii="Times New Roman" w:hAnsi="Times New Roman" w:cs="Times New Roman" w:eastAsia="Times New Roman" w:hint="default"/>
                <w:sz w:val="18"/>
                <w:szCs w:val="18"/>
              </w:rPr>
            </w:pPr>
            <w:r>
              <w:rPr>
                <w:rFonts w:ascii="Times New Roman"/>
                <w:sz w:val="18"/>
              </w:rPr>
              <w:t>920,000.00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合肥市财政 局 、深圳市 社会保险基 金管理局 、 广州市社会 保障基金管 </w:t>
            </w:r>
            <w:r>
              <w:rPr>
                <w:rFonts w:ascii="宋体" w:hAnsi="宋体" w:cs="宋体" w:eastAsia="宋体" w:hint="default"/>
                <w:spacing w:val="-13"/>
                <w:sz w:val="18"/>
                <w:szCs w:val="18"/>
              </w:rPr>
              <w:t>理中心、北京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市海淀区社 会保险基金 </w:t>
            </w:r>
            <w:r>
              <w:rPr>
                <w:rFonts w:ascii="宋体" w:hAnsi="宋体" w:cs="宋体" w:eastAsia="宋体" w:hint="default"/>
                <w:spacing w:val="-13"/>
                <w:sz w:val="18"/>
                <w:szCs w:val="18"/>
              </w:rPr>
              <w:t>管理局、上海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市社保局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549,824.29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446,082.00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深圳市社会 保险基金管 </w:t>
            </w:r>
            <w:r>
              <w:rPr>
                <w:rFonts w:ascii="宋体" w:hAnsi="宋体" w:cs="宋体" w:eastAsia="宋体" w:hint="default"/>
                <w:spacing w:val="-13"/>
                <w:sz w:val="18"/>
                <w:szCs w:val="18"/>
              </w:rPr>
              <w:t>理局、北京市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社会保险基 </w:t>
            </w:r>
            <w:r>
              <w:rPr>
                <w:rFonts w:ascii="宋体" w:hAnsi="宋体" w:cs="宋体" w:eastAsia="宋体" w:hint="default"/>
                <w:spacing w:val="-13"/>
                <w:sz w:val="18"/>
                <w:szCs w:val="18"/>
              </w:rPr>
              <w:t>金管理局、广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州市社会保 险基金管理 </w:t>
            </w:r>
            <w:r>
              <w:rPr>
                <w:rFonts w:ascii="宋体" w:hAnsi="宋体" w:cs="宋体" w:eastAsia="宋体" w:hint="default"/>
                <w:spacing w:val="-13"/>
                <w:sz w:val="18"/>
                <w:szCs w:val="18"/>
              </w:rPr>
              <w:t>中心、南京市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社会保险基 金管理中心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158,207.89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22,922.86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浦东张江十 二五计划扶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上海市浦东 新区世博地 区开发管理 委员会专项 资金专户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42"/>
              <w:jc w:val="left"/>
              <w:rPr>
                <w:rFonts w:ascii="宋体" w:hAnsi="宋体" w:cs="宋体" w:eastAsia="宋体" w:hint="default"/>
                <w:sz w:val="18"/>
                <w:szCs w:val="18"/>
              </w:rPr>
            </w:pPr>
            <w:r>
              <w:rPr>
                <w:rFonts w:ascii="宋体" w:hAnsi="宋体" w:cs="宋体" w:eastAsia="宋体" w:hint="default"/>
                <w:sz w:val="18"/>
                <w:szCs w:val="18"/>
              </w:rPr>
              <w:t>合肥市科学 技术局政策 兑现第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 技术合同</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科技发展创</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上海市科学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239998pt;margin-top:309.739990pt;width:52.65pt;height:23.4pt;mso-position-horizontal-relative:page;mso-position-vertical-relative:page;z-index:-1440184" coordorigin="2205,6195" coordsize="1053,468">
            <v:shape style="position:absolute;left:2205;top:6195;width:1053;height:468" coordorigin="2205,6195" coordsize="1053,468" path="m2205,6663l3257,6663,3257,6195,2205,6195,2205,666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新基金奖励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业倍增支持 计划项目资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高新区经贸 局张粉玉报 第二期普惠 </w:t>
            </w:r>
            <w:r>
              <w:rPr>
                <w:rFonts w:ascii="宋体" w:hAnsi="宋体" w:cs="宋体" w:eastAsia="宋体" w:hint="default"/>
                <w:spacing w:val="-12"/>
                <w:sz w:val="18"/>
                <w:szCs w:val="18"/>
              </w:rPr>
              <w:t>兑现（企业技</w:t>
            </w:r>
            <w:r>
              <w:rPr>
                <w:rFonts w:ascii="宋体" w:hAnsi="宋体" w:cs="宋体" w:eastAsia="宋体" w:hint="default"/>
                <w:sz w:val="18"/>
                <w:szCs w:val="18"/>
              </w:rPr>
              <w:t> 术中心补贴）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年福田</w:t>
            </w:r>
          </w:p>
          <w:p>
            <w:pPr>
              <w:pStyle w:val="TableParagraph"/>
              <w:spacing w:line="302" w:lineRule="auto" w:before="61"/>
              <w:ind w:left="22" w:right="42"/>
              <w:jc w:val="left"/>
              <w:rPr>
                <w:rFonts w:ascii="宋体" w:hAnsi="宋体" w:cs="宋体" w:eastAsia="宋体" w:hint="default"/>
                <w:sz w:val="18"/>
                <w:szCs w:val="18"/>
              </w:rPr>
            </w:pPr>
            <w:r>
              <w:rPr>
                <w:rFonts w:ascii="宋体" w:hAnsi="宋体" w:cs="宋体" w:eastAsia="宋体" w:hint="default"/>
                <w:sz w:val="18"/>
                <w:szCs w:val="18"/>
              </w:rPr>
              <w:t>区第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批岗 前补贴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深圳市高技 能人才公共 实训管理服 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高新区经贸 局陆忠报第 二次政策兑 </w:t>
            </w:r>
            <w:r>
              <w:rPr>
                <w:rFonts w:ascii="宋体" w:hAnsi="宋体" w:cs="宋体" w:eastAsia="宋体" w:hint="default"/>
                <w:spacing w:val="-12"/>
                <w:sz w:val="18"/>
                <w:szCs w:val="18"/>
              </w:rPr>
              <w:t>现（产值过亿</w:t>
            </w:r>
            <w:r>
              <w:rPr>
                <w:rFonts w:ascii="宋体" w:hAnsi="宋体" w:cs="宋体" w:eastAsia="宋体" w:hint="default"/>
                <w:sz w:val="18"/>
                <w:szCs w:val="18"/>
              </w:rPr>
              <w:t>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71"/>
              <w:jc w:val="both"/>
              <w:rPr>
                <w:rFonts w:ascii="宋体" w:hAnsi="宋体" w:cs="宋体" w:eastAsia="宋体" w:hint="default"/>
                <w:sz w:val="18"/>
                <w:szCs w:val="18"/>
              </w:rPr>
            </w:pPr>
            <w:r>
              <w:rPr>
                <w:rFonts w:ascii="宋体" w:hAnsi="宋体" w:cs="宋体" w:eastAsia="宋体" w:hint="default"/>
                <w:sz w:val="18"/>
                <w:szCs w:val="18"/>
              </w:rPr>
              <w:t>高新区人事 局政策兑现 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人才引 进补贴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16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四上</w:t>
            </w:r>
            <w:r>
              <w:rPr>
                <w:rFonts w:ascii="Times New Roman" w:hAnsi="Times New Roman" w:cs="Times New Roman" w:eastAsia="Times New Roman" w:hint="default"/>
                <w:sz w:val="18"/>
                <w:szCs w:val="18"/>
              </w:rPr>
              <w:t>"</w:t>
            </w:r>
            <w:r>
              <w:rPr>
                <w:rFonts w:ascii="宋体" w:hAnsi="宋体" w:cs="宋体" w:eastAsia="宋体" w:hint="default"/>
                <w:sz w:val="18"/>
                <w:szCs w:val="18"/>
              </w:rPr>
              <w:t>企业 经费补贴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信用报告专 项补贴专项 奖金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4,800.00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合肥市地方 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4,214.38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广州科技创 新券补助款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广州市科技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17,820.00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招用高校毕 业生补助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广州市劳动 就业服务管 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2,661.06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深圳市科技 创新委员会 付配套奖励 资金</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20170158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合肥高新区 经贸局 </w:t>
            </w:r>
            <w:r>
              <w:rPr>
                <w:rFonts w:ascii="Times New Roman" w:hAnsi="Times New Roman" w:cs="Times New Roman" w:eastAsia="Times New Roman" w:hint="default"/>
                <w:sz w:val="18"/>
                <w:szCs w:val="18"/>
              </w:rPr>
              <w:t>00500100140</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经济会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议达标</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合肥高新区 科技局 </w:t>
            </w:r>
            <w:r>
              <w:rPr>
                <w:rFonts w:ascii="Times New Roman" w:hAnsi="Times New Roman" w:cs="Times New Roman" w:eastAsia="Times New Roman" w:hint="default"/>
                <w:sz w:val="18"/>
                <w:szCs w:val="18"/>
              </w:rPr>
              <w:t>02400101135</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资质认定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合肥高新经 贸局 </w:t>
            </w:r>
            <w:r>
              <w:rPr>
                <w:rFonts w:ascii="Times New Roman" w:hAnsi="Times New Roman" w:cs="Times New Roman" w:eastAsia="Times New Roman" w:hint="default"/>
                <w:sz w:val="18"/>
                <w:szCs w:val="18"/>
              </w:rPr>
              <w:t>00500100460</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经贸局报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业培育入库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高新区经贸 局规上企业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广州市科技 小巨人项目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浦东财政局 科技发展基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上海市浦东 新区科创委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71"/>
              <w:jc w:val="left"/>
              <w:rPr>
                <w:rFonts w:ascii="宋体" w:hAnsi="宋体" w:cs="宋体" w:eastAsia="宋体" w:hint="default"/>
                <w:sz w:val="18"/>
                <w:szCs w:val="18"/>
              </w:rPr>
            </w:pPr>
            <w:r>
              <w:rPr>
                <w:rFonts w:ascii="宋体" w:hAnsi="宋体" w:cs="宋体" w:eastAsia="宋体" w:hint="default"/>
                <w:sz w:val="18"/>
                <w:szCs w:val="18"/>
              </w:rPr>
              <w:t>科技创新</w:t>
            </w:r>
            <w:r>
              <w:rPr>
                <w:rFonts w:ascii="Times New Roman" w:hAnsi="Times New Roman" w:cs="Times New Roman" w:eastAsia="Times New Roman" w:hint="default"/>
                <w:sz w:val="18"/>
                <w:szCs w:val="18"/>
              </w:rPr>
              <w:t>-</w:t>
            </w:r>
            <w:r>
              <w:rPr>
                <w:rFonts w:ascii="宋体" w:hAnsi="宋体" w:cs="宋体" w:eastAsia="宋体" w:hint="default"/>
                <w:sz w:val="18"/>
                <w:szCs w:val="18"/>
              </w:rPr>
              <w:t>科 技计划配套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0"/>
              <w:jc w:val="left"/>
              <w:rPr>
                <w:rFonts w:ascii="宋体" w:hAnsi="宋体" w:cs="宋体" w:eastAsia="宋体" w:hint="default"/>
                <w:sz w:val="18"/>
                <w:szCs w:val="18"/>
              </w:rPr>
            </w:pPr>
            <w:r>
              <w:rPr>
                <w:rFonts w:ascii="宋体" w:hAnsi="宋体" w:cs="宋体" w:eastAsia="宋体" w:hint="default"/>
                <w:spacing w:val="-13"/>
                <w:sz w:val="18"/>
                <w:szCs w:val="18"/>
              </w:rPr>
              <w:t>深圳市、福田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区科创委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3,146,127.62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3,719,004.86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64、营业外支出" w:id="372"/>
      <w:bookmarkEnd w:id="372"/>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68,441.54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68,441.54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4,018.10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4,018.10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10,240.73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394,700.37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394,700.37</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65、所得税费用" w:id="373"/>
      <w:bookmarkEnd w:id="373"/>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所得税费用表" w:id="374"/>
      <w:bookmarkEnd w:id="37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23,211,792.07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10,543,382.34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-2,058,781.55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-7,974,678.65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21,153,010.52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2,568,703.69</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会计利润与所得税费用调整过程" w:id="375"/>
      <w:bookmarkEnd w:id="37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265,591,198.28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39,838,679.74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283,269.45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-873,422.70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-240,352.29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2,172,387.54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-1,265,146.83</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3,745,609.76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本期纳税调减影响（研发加计扣除、残疾人工资等）</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-22,508,014.15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21,153,010.52</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66、其他综合收益" w:id="376"/>
      <w:bookmarkEnd w:id="376"/>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67、现金流量表项目" w:id="377"/>
      <w:bookmarkEnd w:id="377"/>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收到的其他与经营活动有关的现金" w:id="378"/>
      <w:bookmarkEnd w:id="37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20,640,132.62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25,418,853.42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1,328,181.54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3,084,390.09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28,994,424.21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31,177,036.31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17,330,736.57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63,057,579.19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68,293,474.94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122,737,859.01</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支付的其他与经营活动有关的现金" w:id="379"/>
      <w:bookmarkEnd w:id="37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50,111,836.16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25,966,293.84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87,680,708.92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28,555,556.56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47,160,135.87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17,489,000.91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6,633,678.50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38,381,169.85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191,586,359.45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110,392,021.16</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收到的其他与投资活动有关的现金" w:id="380"/>
      <w:bookmarkEnd w:id="38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结构性存款及银行理财</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583,500,000.00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4）支付的其他与投资活动有关的现金" w:id="381"/>
      <w:bookmarkEnd w:id="38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11,027,000.00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334,527,000.00</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5）收到的其他与筹资活动有关的现金" w:id="382"/>
      <w:bookmarkEnd w:id="38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合并前与维恩贝特的资金往来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78.48999pt;width:151.25pt;height:20.7pt;mso-position-horizontal-relative:page;mso-position-vertical-relative:page;z-index:-1440112" coordorigin="4467,13570" coordsize="3025,414">
            <v:group style="position:absolute;left:4478;top:13581;width:2;height:392" coordorigin="4478,13581" coordsize="2,392">
              <v:shape style="position:absolute;left:4478;top:13581;width:2;height:392" coordorigin="4478,13581" coordsize="0,392" path="m4478,13581l4478,13972e" filled="false" stroked="true" strokeweight="1.140pt" strokecolor="#ffffff">
                <v:path arrowok="t"/>
              </v:shape>
            </v:group>
            <v:group style="position:absolute;left:4490;top:13581;width:3002;height:392" coordorigin="4490,13581" coordsize="3002,392">
              <v:shape style="position:absolute;left:4490;top:13581;width:3002;height:392" coordorigin="4490,13581" coordsize="3002,392" path="m4490,13972l7491,13972,7491,13581,4490,13581,4490,1397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13,456,495.77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37,439,516.35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130,896,012.12</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6）支付的其他与筹资活动有关的现金" w:id="383"/>
      <w:bookmarkEnd w:id="38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16,837,645.65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4,308,239.37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5,423,531.14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58,908,239.37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22,261,176.79</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68、现金流量表补充资料" w:id="384"/>
      <w:bookmarkEnd w:id="384"/>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现金流量表补充资料" w:id="385"/>
      <w:bookmarkEnd w:id="38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244,438,187.76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179,340,089.09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22,302,621.59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10,723,785.84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22,168,335.17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13,167,140.32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96,742,913.03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89,724,688.23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3,036,701.77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1,651,138.30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348,288.76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68,441.54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1,387,476.00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792,122.00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46,325,139.19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14,659,009.89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-1,504,056.20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-7,328,754.03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-2,058,781.55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-7,974,678.65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-326,432,120.22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51,347,007.78</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-252,135,195.78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-35,567,314.74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51,649,066.01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-233,788,047.32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-94,002,279.21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77,094,475.47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241,324,422.44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327,188,130.11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327,188,130.11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142,748,864.61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-85,863,707.67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184,439,265.50</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本期支付的取得子公司的现金净额" w:id="386"/>
      <w:bookmarkEnd w:id="38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本期收到的处置子公司的现金净额" w:id="387"/>
      <w:bookmarkEnd w:id="38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4）现金和现金等价物的构成" w:id="388"/>
      <w:bookmarkEnd w:id="38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241,324,422.44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327,188,130.11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223,676.69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480,874.43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240,012,543.87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322,924,729.22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1,088,201.88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3,782,526.46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241,324,422.44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327,188,130.11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0" w:right="0"/>
              <w:jc w:val="left"/>
              <w:rPr>
                <w:rFonts w:ascii="Times New Roman" w:hAnsi="Times New Roman" w:cs="Times New Roman" w:eastAsia="Times New Roman" w:hint="default"/>
                <w:sz w:val="18"/>
                <w:szCs w:val="18"/>
              </w:rPr>
            </w:pPr>
            <w:r>
              <w:rPr>
                <w:rFonts w:ascii="Times New Roman"/>
                <w:sz w:val="18"/>
              </w:rPr>
              <w:t>62,260,495.57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18,224,278.89</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89"/>
      <w:bookmarkEnd w:id="389"/>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90"/>
      <w:bookmarkEnd w:id="390"/>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62,260,495.57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462,260,495.57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71、外币货币性项目" w:id="391"/>
      <w:bookmarkEnd w:id="391"/>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外币货币性项目" w:id="392"/>
      <w:bookmarkEnd w:id="39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16,156,618.51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14,156,429.14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2,156,507.16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0.8523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1,837,991.05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22,022.29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151,143.38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22,449,533.53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19,670,281.28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6,742,415.66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0.8523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5,746,560.87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59" w:lineRule="auto"/>
        <w:ind w:right="0"/>
        <w:jc w:val="left"/>
        <w:rPr>
          <w:b w:val="0"/>
          <w:bCs w:val="0"/>
        </w:rPr>
      </w:pPr>
      <w:bookmarkStart w:name="（2）境外经营实体说明，包括对于重要的境外经营实体，应披露其境外主要经营地、记账" w:id="393"/>
      <w:bookmarkEnd w:id="39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72、套期" w:id="394"/>
      <w:bookmarkEnd w:id="394"/>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73、政府补助" w:id="395"/>
      <w:bookmarkEnd w:id="395"/>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政府补助基本情况" w:id="396"/>
      <w:bookmarkEnd w:id="396"/>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政府补助退回情况" w:id="397"/>
      <w:bookmarkEnd w:id="397"/>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line="240" w:lineRule="auto" w:before="3"/>
        <w:rPr>
          <w:rFonts w:ascii="宋体" w:hAnsi="宋体" w:cs="宋体" w:eastAsia="宋体" w:hint="default"/>
          <w:sz w:val="21"/>
          <w:szCs w:val="21"/>
        </w:rPr>
      </w:pPr>
    </w:p>
    <w:p>
      <w:pPr>
        <w:spacing w:line="487" w:lineRule="auto" w:before="0"/>
        <w:ind w:left="154" w:right="8328" w:firstLine="0"/>
        <w:jc w:val="left"/>
        <w:rPr>
          <w:rFonts w:ascii="宋体" w:hAnsi="宋体" w:cs="宋体" w:eastAsia="宋体" w:hint="default"/>
          <w:sz w:val="21"/>
          <w:szCs w:val="21"/>
        </w:rPr>
      </w:pPr>
      <w:bookmarkStart w:name="74、其他" w:id="398"/>
      <w:bookmarkEnd w:id="398"/>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9"/>
      <w:bookmarkEnd w:id="399"/>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0"/>
      <w:bookmarkEnd w:id="4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right="1972"/>
        <w:jc w:val="left"/>
        <w:rPr>
          <w:b w:val="0"/>
          <w:bCs w:val="0"/>
        </w:rPr>
      </w:pPr>
      <w:bookmarkStart w:name="（1）本期发生的非同一控制下企业合并" w:id="401"/>
      <w:bookmarkEnd w:id="40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合并成本及商誉" w:id="402"/>
      <w:bookmarkEnd w:id="40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3）被购买方于购买日可辨认资产、负债" w:id="403"/>
      <w:bookmarkEnd w:id="40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5"/>
        <w:spacing w:line="240" w:lineRule="auto"/>
        <w:ind w:right="0"/>
        <w:jc w:val="both"/>
        <w:rPr>
          <w:b w:val="0"/>
          <w:bCs w:val="0"/>
        </w:rPr>
      </w:pPr>
      <w:bookmarkStart w:name="（4）购买日之前持有的股权按照公允价值重新计量产生的利得或损失" w:id="404"/>
      <w:bookmarkEnd w:id="40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5）购买日或合并当期期末无法合理确定合并对价或被购买方可辨认资产、负债公允价值" w:id="405"/>
      <w:bookmarkEnd w:id="40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6）其他说明" w:id="406"/>
      <w:bookmarkEnd w:id="40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同一控制下企业合并" w:id="407"/>
      <w:bookmarkEnd w:id="40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本期发生的同一控制下企业合并" w:id="408"/>
      <w:bookmarkEnd w:id="40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2）合并成本" w:id="409"/>
      <w:bookmarkEnd w:id="40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4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4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9"/>
          <w:szCs w:val="19"/>
        </w:rPr>
      </w:pPr>
    </w:p>
    <w:p>
      <w:pPr>
        <w:pStyle w:val="Heading5"/>
        <w:spacing w:line="240" w:lineRule="auto"/>
        <w:ind w:right="1972"/>
        <w:jc w:val="left"/>
        <w:rPr>
          <w:b w:val="0"/>
          <w:bCs w:val="0"/>
        </w:rPr>
      </w:pPr>
      <w:bookmarkStart w:name="（3）合并日被合并方资产、负债的账面价值" w:id="410"/>
      <w:bookmarkEnd w:id="41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181;height:2" coordorigin="10,413" coordsize="3181,2">
              <v:shape style="position:absolute;left:10;top:413;width:3181;height:2" coordorigin="10,413" coordsize="3181,0" path="m10,413l3190,413e" filled="false" stroked="true" strokeweight=".48004pt" strokecolor="#000000">
                <v:path arrowok="t"/>
              </v:shape>
            </v:group>
            <v:group style="position:absolute;left:3195;top:5;width:2;height:413" coordorigin="3195,5" coordsize="2,413">
              <v:shape style="position:absolute;left:3195;top:5;width:2;height:413" coordorigin="3195,5" coordsize="0,413" path="m3195,5l3195,418e" filled="false" stroked="true" strokeweight=".48001pt" strokecolor="#000000">
                <v:path arrowok="t"/>
              </v:shape>
            </v:group>
            <v:group style="position:absolute;left:3200;top:413;width:6372;height:2" coordorigin="3200,413" coordsize="6372,2">
              <v:shape style="position:absolute;left:3200;top:413;width:6372;height:2" coordorigin="3200,413" coordsize="6372,0" path="m3200,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004pt" strokecolor="#000000">
                <v:path arrowok="t"/>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上期期末</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2"/>
        <w:rPr>
          <w:rFonts w:ascii="宋体" w:hAnsi="宋体" w:cs="宋体" w:eastAsia="宋体" w:hint="default"/>
          <w:sz w:val="19"/>
          <w:szCs w:val="19"/>
        </w:rPr>
      </w:pPr>
    </w:p>
    <w:p>
      <w:pPr>
        <w:pStyle w:val="Heading5"/>
        <w:spacing w:line="240" w:lineRule="auto"/>
        <w:ind w:right="1972"/>
        <w:jc w:val="left"/>
        <w:rPr>
          <w:b w:val="0"/>
          <w:bCs w:val="0"/>
        </w:rPr>
      </w:pPr>
      <w:bookmarkStart w:name="3、反向购买" w:id="411"/>
      <w:bookmarkEnd w:id="41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3"/>
        <w:rPr>
          <w:rFonts w:ascii="宋体" w:hAnsi="宋体" w:cs="宋体" w:eastAsia="宋体" w:hint="default"/>
          <w:sz w:val="22"/>
          <w:szCs w:val="22"/>
        </w:rPr>
      </w:pPr>
    </w:p>
    <w:p>
      <w:pPr>
        <w:pStyle w:val="Heading5"/>
        <w:spacing w:line="240" w:lineRule="auto"/>
        <w:ind w:right="1972"/>
        <w:jc w:val="left"/>
        <w:rPr>
          <w:b w:val="0"/>
          <w:bCs w:val="0"/>
        </w:rPr>
      </w:pPr>
      <w:bookmarkStart w:name="4、处置子公司" w:id="412"/>
      <w:bookmarkEnd w:id="41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深圳市 前海吉 源供应 链有限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10,001,4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53.49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 市场监 督管理 局准予 注销登 记通知 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10,001,4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53.49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10,001,4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53.49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161"/>
              <w:jc w:val="left"/>
              <w:rPr>
                <w:rFonts w:ascii="宋体" w:hAnsi="宋体" w:cs="宋体" w:eastAsia="宋体" w:hint="default"/>
                <w:sz w:val="18"/>
                <w:szCs w:val="18"/>
              </w:rPr>
            </w:pPr>
            <w:r>
              <w:rPr>
                <w:rFonts w:ascii="宋体" w:hAnsi="宋体" w:cs="宋体" w:eastAsia="宋体" w:hint="default"/>
                <w:sz w:val="18"/>
                <w:szCs w:val="18"/>
              </w:rPr>
              <w:t>账面净 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spacing w:line="360" w:lineRule="auto" w:before="51"/>
        <w:ind w:left="154" w:right="4992"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6"/>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5、其他原因的合并范围变动" w:id="413"/>
      <w:bookmarkEnd w:id="41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90"/>
        <w:ind w:right="1972"/>
        <w:jc w:val="left"/>
      </w:pPr>
      <w:r>
        <w:rPr/>
        <w:t>本期新设孙公司合肥迪科数金，注销子公司深圳市前海吉源供应链有限公司。</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6、其他" w:id="414"/>
      <w:bookmarkEnd w:id="41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5"/>
      <w:bookmarkEnd w:id="41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6"/>
      <w:bookmarkEnd w:id="41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1972"/>
        <w:jc w:val="left"/>
        <w:rPr>
          <w:b w:val="0"/>
          <w:bCs w:val="0"/>
        </w:rPr>
      </w:pPr>
      <w:bookmarkStart w:name="（1）企业集团的构成" w:id="417"/>
      <w:bookmarkEnd w:id="41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合肥英泽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广州天源迪科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pacing w:val="-8"/>
                <w:sz w:val="18"/>
                <w:szCs w:val="18"/>
              </w:rPr>
              <w:t>深圳金华威</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9</w:t>
            </w:r>
            <w:r>
              <w:rPr>
                <w:rFonts w:ascii="宋体" w:hAnsi="宋体" w:cs="宋体" w:eastAsia="宋体" w:hint="default"/>
                <w:spacing w:val="-8"/>
                <w:sz w:val="18"/>
                <w:szCs w:val="18"/>
              </w:rPr>
              <w:t>）</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p>
            <w:pPr>
              <w:pStyle w:val="TableParagraph"/>
              <w:spacing w:line="414" w:lineRule="exact"/>
              <w:ind w:right="-14"/>
              <w:jc w:val="left"/>
              <w:rPr>
                <w:rFonts w:ascii="宋体" w:hAnsi="宋体" w:cs="宋体" w:eastAsia="宋体" w:hint="default"/>
                <w:sz w:val="20"/>
                <w:szCs w:val="20"/>
              </w:rPr>
            </w:pPr>
            <w:r>
              <w:rPr>
                <w:rFonts w:ascii="宋体" w:hAnsi="宋体" w:cs="宋体" w:eastAsia="宋体" w:hint="default"/>
                <w:position w:val="-7"/>
                <w:sz w:val="20"/>
                <w:szCs w:val="20"/>
              </w:rPr>
              <w:pict>
                <v:group style="width:66.7pt;height:20.7pt;mso-position-horizontal-relative:char;mso-position-vertical-relative:line" coordorigin="0,0" coordsize="1334,414">
                  <v:group style="position:absolute;left:11;top:11;width:2;height:392" coordorigin="11,11" coordsize="2,392">
                    <v:shape style="position:absolute;left:11;top:11;width:2;height:392" coordorigin="11,11" coordsize="0,392" path="m11,11l11,403e" filled="false" stroked="true" strokeweight="1.140pt" strokecolor="#ffffff">
                      <v:path arrowok="t"/>
                    </v:shape>
                  </v:group>
                  <v:group style="position:absolute;left:23;top:11;width:1311;height:392" coordorigin="23,11" coordsize="1311,392">
                    <v:shape style="position:absolute;left:23;top:11;width:1311;height:392" coordorigin="23,11" coordsize="1311,392" path="m23,403l1333,403,1333,11,23,11,23,403xe" filled="true" fillcolor="#ffffff" stroked="false">
                      <v:path arrowok="t"/>
                      <v:fill type="solid"/>
                    </v:shape>
                  </v:group>
                </v:group>
              </w:pict>
            </w:r>
            <w:r>
              <w:rPr>
                <w:rFonts w:ascii="宋体" w:hAnsi="宋体" w:cs="宋体" w:eastAsia="宋体" w:hint="default"/>
                <w:position w:val="-7"/>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华为设备代理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广西驿途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深圳宝贝团</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合肥科技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租赁物业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安徽迪科数金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亳州迪科数金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合肥迪科数金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维恩贝特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北京维恩贝特</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上海维恩孛特</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前海维恩贝特</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澳门维恩贝特</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pStyle w:val="BodyText"/>
        <w:spacing w:line="256" w:lineRule="auto" w:before="90"/>
        <w:ind w:right="1131" w:firstLine="420"/>
        <w:jc w:val="both"/>
      </w:pP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月，本公司通过收购上海天源迪科其他股东持有</w:t>
      </w:r>
      <w:r>
        <w:rPr>
          <w:rFonts w:ascii="Times New Roman" w:hAnsi="Times New Roman" w:cs="Times New Roman" w:eastAsia="Times New Roman" w:hint="default"/>
          <w:spacing w:val="-2"/>
        </w:rPr>
        <w:t>20%</w:t>
      </w:r>
      <w:r>
        <w:rPr>
          <w:spacing w:val="-2"/>
        </w:rPr>
        <w:t>股权后该公司成为本公司之全资子</w:t>
      </w:r>
      <w:r>
        <w:rPr/>
        <w:t> </w:t>
      </w:r>
      <w:r>
        <w:rPr>
          <w:spacing w:val="-1"/>
        </w:rPr>
        <w:t>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月，本公司对该公司增资</w:t>
      </w:r>
      <w:r>
        <w:rPr>
          <w:rFonts w:ascii="Times New Roman" w:hAnsi="Times New Roman" w:cs="Times New Roman" w:eastAsia="Times New Roman" w:hint="default"/>
          <w:spacing w:val="-1"/>
        </w:rPr>
        <w:t>1,200</w:t>
      </w:r>
      <w:r>
        <w:rPr>
          <w:spacing w:val="-1"/>
        </w:rPr>
        <w:t>万元，增资完成后该公司注册资本变更为</w:t>
      </w:r>
      <w:r>
        <w:rPr>
          <w:rFonts w:ascii="Times New Roman" w:hAnsi="Times New Roman" w:cs="Times New Roman" w:eastAsia="Times New Roman" w:hint="default"/>
          <w:spacing w:val="-1"/>
        </w:rPr>
        <w:t>2,400</w:t>
      </w:r>
      <w:r>
        <w:rPr>
          <w:spacing w:val="-1"/>
        </w:rPr>
        <w:t>万元，本公司</w:t>
      </w:r>
      <w:r>
        <w:rPr>
          <w:spacing w:val="-82"/>
        </w:rPr>
        <w:t> </w:t>
      </w:r>
      <w:r>
        <w:rPr>
          <w:spacing w:val="-82"/>
        </w:rPr>
      </w:r>
      <w:r>
        <w:rPr/>
        <w:t>累计出资</w:t>
      </w:r>
      <w:r>
        <w:rPr>
          <w:rFonts w:ascii="Times New Roman" w:hAnsi="Times New Roman" w:cs="Times New Roman" w:eastAsia="Times New Roman" w:hint="default"/>
        </w:rPr>
        <w:t>2,400</w:t>
      </w:r>
      <w:r>
        <w:rPr/>
        <w:t>万元，占注册资本</w:t>
      </w:r>
      <w:r>
        <w:rPr>
          <w:rFonts w:ascii="Times New Roman" w:hAnsi="Times New Roman" w:cs="Times New Roman" w:eastAsia="Times New Roman" w:hint="default"/>
        </w:rPr>
        <w:t>100%</w:t>
      </w:r>
      <w:r>
        <w:rPr/>
        <w:t>。</w:t>
      </w:r>
    </w:p>
    <w:p>
      <w:pPr>
        <w:pStyle w:val="BodyText"/>
        <w:spacing w:line="256" w:lineRule="auto" w:before="5"/>
        <w:ind w:right="1133" w:firstLine="420"/>
        <w:jc w:val="both"/>
      </w:pPr>
      <w:r>
        <w:rPr>
          <w:rFonts w:ascii="Times New Roman" w:hAnsi="Times New Roman" w:cs="Times New Roman" w:eastAsia="Times New Roman" w:hint="default"/>
          <w:spacing w:val="10"/>
        </w:rPr>
        <w:t>*</w:t>
      </w:r>
      <w:r>
        <w:rPr>
          <w:spacing w:val="10"/>
        </w:rPr>
        <w:t>（</w:t>
      </w:r>
      <w:r>
        <w:rPr>
          <w:spacing w:val="-84"/>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w:t>
      </w:r>
      <w:r>
        <w:rPr>
          <w:spacing w:val="-84"/>
        </w:rPr>
        <w:t> </w:t>
      </w:r>
      <w:r>
        <w:rPr>
          <w:spacing w:val="17"/>
        </w:rPr>
        <w:t>合肥天源迪科于</w:t>
      </w:r>
      <w:r>
        <w:rPr>
          <w:spacing w:val="-8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w:t>
      </w:r>
      <w:r>
        <w:rPr>
          <w:spacing w:val="-84"/>
        </w:rPr>
        <w:t> </w:t>
      </w:r>
      <w:r>
        <w:rPr>
          <w:rFonts w:ascii="Times New Roman" w:hAnsi="Times New Roman" w:cs="Times New Roman" w:eastAsia="Times New Roman" w:hint="default"/>
        </w:rPr>
        <w:t>11</w:t>
      </w:r>
      <w:r>
        <w:rPr>
          <w:rFonts w:ascii="Times New Roman" w:hAnsi="Times New Roman" w:cs="Times New Roman" w:eastAsia="Times New Roman" w:hint="default"/>
          <w:spacing w:val="-31"/>
        </w:rPr>
        <w:t> </w:t>
      </w:r>
      <w:r>
        <w:rPr>
          <w:spacing w:val="15"/>
        </w:rPr>
        <w:t>月成立，</w:t>
      </w:r>
      <w:r>
        <w:rPr>
          <w:spacing w:val="-83"/>
        </w:rPr>
        <w:t> </w:t>
      </w:r>
      <w:r>
        <w:rPr>
          <w:spacing w:val="19"/>
        </w:rPr>
        <w:t>取得合肥市工商行政管理局颁发的统一信用代码为</w:t>
      </w:r>
      <w:r>
        <w:rPr/>
        <w:t> </w:t>
      </w:r>
      <w:r>
        <w:rPr>
          <w:rFonts w:ascii="Times New Roman" w:hAnsi="Times New Roman" w:cs="Times New Roman" w:eastAsia="Times New Roman" w:hint="default"/>
        </w:rPr>
        <w:t>913401005649667670</w:t>
      </w:r>
      <w:r>
        <w:rPr/>
        <w:t>企业法人营业执照，</w:t>
      </w:r>
      <w:r>
        <w:rPr>
          <w:rFonts w:ascii="Times New Roman" w:hAnsi="Times New Roman" w:cs="Times New Roman" w:eastAsia="Times New Roman" w:hint="default"/>
        </w:rPr>
        <w:t>2015</w:t>
      </w:r>
      <w:r>
        <w:rPr/>
        <w:t>年本公司对该公司增资</w:t>
      </w:r>
      <w:r>
        <w:rPr>
          <w:rFonts w:ascii="Times New Roman" w:hAnsi="Times New Roman" w:cs="Times New Roman" w:eastAsia="Times New Roman" w:hint="default"/>
        </w:rPr>
        <w:t>8,550</w:t>
      </w:r>
      <w:r>
        <w:rPr/>
        <w:t>万元，</w:t>
      </w:r>
      <w:r>
        <w:rPr>
          <w:rFonts w:ascii="Times New Roman" w:hAnsi="Times New Roman" w:cs="Times New Roman" w:eastAsia="Times New Roman" w:hint="default"/>
        </w:rPr>
        <w:t>2016</w:t>
      </w:r>
      <w:r>
        <w:rPr/>
        <w:t>年本公司对其增资</w:t>
      </w:r>
    </w:p>
    <w:p>
      <w:pPr>
        <w:pStyle w:val="BodyText"/>
        <w:spacing w:line="256" w:lineRule="auto" w:before="5"/>
        <w:ind w:right="0"/>
        <w:jc w:val="left"/>
      </w:pPr>
      <w:r>
        <w:rPr>
          <w:rFonts w:ascii="Times New Roman" w:hAnsi="Times New Roman" w:cs="Times New Roman" w:eastAsia="Times New Roman" w:hint="default"/>
        </w:rPr>
        <w:t>1,450</w:t>
      </w:r>
      <w:r>
        <w:rPr/>
        <w:t>万元，增资完成后，该公司的注册资本变更为</w:t>
      </w:r>
      <w:r>
        <w:rPr>
          <w:rFonts w:ascii="Times New Roman" w:hAnsi="Times New Roman" w:cs="Times New Roman" w:eastAsia="Times New Roman" w:hint="default"/>
        </w:rPr>
        <w:t>22,000</w:t>
      </w:r>
      <w:r>
        <w:rPr/>
        <w:t>万元，本公司累计实际出资人民币</w:t>
      </w:r>
      <w:r>
        <w:rPr>
          <w:rFonts w:ascii="Times New Roman" w:hAnsi="Times New Roman" w:cs="Times New Roman" w:eastAsia="Times New Roman" w:hint="default"/>
        </w:rPr>
        <w:t>22,000</w:t>
      </w:r>
      <w:r>
        <w:rPr/>
        <w:t>万元，</w:t>
      </w:r>
      <w:r>
        <w:rPr>
          <w:spacing w:val="-79"/>
        </w:rPr>
        <w:t> </w:t>
      </w:r>
      <w:r>
        <w:rPr/>
        <w:t>占注册资本</w:t>
      </w:r>
      <w:r>
        <w:rPr>
          <w:rFonts w:ascii="Times New Roman" w:hAnsi="Times New Roman" w:cs="Times New Roman" w:eastAsia="Times New Roman" w:hint="default"/>
        </w:rPr>
        <w:t>100%</w:t>
      </w:r>
      <w:r>
        <w:rPr/>
        <w:t>。</w:t>
      </w:r>
    </w:p>
    <w:p>
      <w:pPr>
        <w:pStyle w:val="BodyText"/>
        <w:spacing w:line="256" w:lineRule="auto" w:before="5"/>
        <w:ind w:right="1130" w:firstLine="42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3</w:t>
      </w:r>
      <w:r>
        <w:rPr/>
        <w:t>）北京天源迪科于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月成立，取得北京市工商行政管理局海淀分局颁发的统一信用代码为 </w:t>
      </w:r>
      <w:r>
        <w:rPr>
          <w:rFonts w:ascii="Times New Roman" w:hAnsi="Times New Roman" w:cs="Times New Roman" w:eastAsia="Times New Roman" w:hint="default"/>
        </w:rPr>
        <w:t>91110108571295930R</w:t>
      </w:r>
      <w:r>
        <w:rPr/>
        <w:t>企业法人营业执照，注册资本人民币</w:t>
      </w:r>
      <w:r>
        <w:rPr>
          <w:rFonts w:ascii="Times New Roman" w:hAnsi="Times New Roman" w:cs="Times New Roman" w:eastAsia="Times New Roman" w:hint="default"/>
        </w:rPr>
        <w:t>2,000</w:t>
      </w:r>
      <w:r>
        <w:rPr/>
        <w:t>万元，本公司实际出资人民币</w:t>
      </w:r>
      <w:r>
        <w:rPr>
          <w:rFonts w:ascii="Times New Roman" w:hAnsi="Times New Roman" w:cs="Times New Roman" w:eastAsia="Times New Roman" w:hint="default"/>
        </w:rPr>
        <w:t>2,000</w:t>
      </w:r>
      <w:r>
        <w:rPr/>
        <w:t>万元，</w:t>
      </w:r>
      <w:r>
        <w:rPr>
          <w:spacing w:val="-62"/>
        </w:rPr>
        <w:t> </w:t>
      </w:r>
      <w:r>
        <w:rPr/>
        <w:t>占注册资本</w:t>
      </w:r>
      <w:r>
        <w:rPr>
          <w:rFonts w:ascii="Times New Roman" w:hAnsi="Times New Roman" w:cs="Times New Roman" w:eastAsia="Times New Roman" w:hint="default"/>
        </w:rPr>
        <w:t>100%</w:t>
      </w:r>
      <w:r>
        <w:rPr/>
        <w:t>。</w:t>
      </w:r>
    </w:p>
    <w:p>
      <w:pPr>
        <w:pStyle w:val="BodyText"/>
        <w:spacing w:line="256" w:lineRule="auto" w:before="5"/>
        <w:ind w:right="1130"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w:t>
      </w:r>
      <w:r>
        <w:rPr>
          <w:spacing w:val="-72"/>
        </w:rPr>
        <w:t> </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w:t>
      </w:r>
      <w:r>
        <w:rPr>
          <w:spacing w:val="-73"/>
        </w:rPr>
        <w:t> </w:t>
      </w:r>
      <w:r>
        <w:rPr/>
        <w:t>合</w:t>
      </w:r>
      <w:r>
        <w:rPr>
          <w:spacing w:val="-73"/>
        </w:rPr>
        <w:t> </w:t>
      </w:r>
      <w:r>
        <w:rPr/>
        <w:t>肥</w:t>
      </w:r>
      <w:r>
        <w:rPr>
          <w:spacing w:val="-72"/>
        </w:rPr>
        <w:t> </w:t>
      </w:r>
      <w:r>
        <w:rPr/>
        <w:t>英</w:t>
      </w:r>
      <w:r>
        <w:rPr>
          <w:spacing w:val="-72"/>
        </w:rPr>
        <w:t> </w:t>
      </w:r>
      <w:r>
        <w:rPr/>
        <w:t>泽</w:t>
      </w:r>
      <w:r>
        <w:rPr>
          <w:spacing w:val="-72"/>
        </w:rPr>
        <w:t> </w:t>
      </w:r>
      <w:r>
        <w:rPr/>
        <w:t>于</w:t>
      </w:r>
      <w:r>
        <w:rPr>
          <w:spacing w:val="-7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w:t>
      </w:r>
      <w:r>
        <w:rPr>
          <w:spacing w:val="-73"/>
        </w:rPr>
        <w:t>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t>月</w:t>
      </w:r>
      <w:r>
        <w:rPr>
          <w:spacing w:val="-73"/>
        </w:rPr>
        <w:t> </w:t>
      </w:r>
      <w:r>
        <w:rPr/>
        <w:t>成</w:t>
      </w:r>
      <w:r>
        <w:rPr>
          <w:spacing w:val="-73"/>
        </w:rPr>
        <w:t> </w:t>
      </w:r>
      <w:r>
        <w:rPr/>
        <w:t>立</w:t>
      </w:r>
      <w:r>
        <w:rPr>
          <w:spacing w:val="-72"/>
        </w:rPr>
        <w:t> </w:t>
      </w:r>
      <w:r>
        <w:rPr/>
        <w:t>，</w:t>
      </w:r>
      <w:r>
        <w:rPr>
          <w:spacing w:val="-72"/>
        </w:rPr>
        <w:t> </w:t>
      </w:r>
      <w:r>
        <w:rPr/>
        <w:t>取</w:t>
      </w:r>
      <w:r>
        <w:rPr>
          <w:spacing w:val="-72"/>
        </w:rPr>
        <w:t> </w:t>
      </w:r>
      <w:r>
        <w:rPr/>
        <w:t>得</w:t>
      </w:r>
      <w:r>
        <w:rPr>
          <w:spacing w:val="-72"/>
        </w:rPr>
        <w:t> </w:t>
      </w:r>
      <w:r>
        <w:rPr/>
        <w:t>合</w:t>
      </w:r>
      <w:r>
        <w:rPr>
          <w:spacing w:val="-73"/>
        </w:rPr>
        <w:t> </w:t>
      </w:r>
      <w:r>
        <w:rPr/>
        <w:t>肥</w:t>
      </w:r>
      <w:r>
        <w:rPr>
          <w:spacing w:val="-72"/>
        </w:rPr>
        <w:t> </w:t>
      </w:r>
      <w:r>
        <w:rPr/>
        <w:t>市</w:t>
      </w:r>
      <w:r>
        <w:rPr>
          <w:spacing w:val="-72"/>
        </w:rPr>
        <w:t> </w:t>
      </w:r>
      <w:r>
        <w:rPr/>
        <w:t>工</w:t>
      </w:r>
      <w:r>
        <w:rPr>
          <w:spacing w:val="-72"/>
        </w:rPr>
        <w:t> </w:t>
      </w:r>
      <w:r>
        <w:rPr/>
        <w:t>商</w:t>
      </w:r>
      <w:r>
        <w:rPr>
          <w:spacing w:val="-72"/>
        </w:rPr>
        <w:t> </w:t>
      </w:r>
      <w:r>
        <w:rPr/>
        <w:t>行</w:t>
      </w:r>
      <w:r>
        <w:rPr>
          <w:spacing w:val="-73"/>
        </w:rPr>
        <w:t> </w:t>
      </w:r>
      <w:r>
        <w:rPr/>
        <w:t>政</w:t>
      </w:r>
      <w:r>
        <w:rPr>
          <w:spacing w:val="-72"/>
        </w:rPr>
        <w:t> </w:t>
      </w:r>
      <w:r>
        <w:rPr/>
        <w:t>管</w:t>
      </w:r>
      <w:r>
        <w:rPr>
          <w:spacing w:val="-72"/>
        </w:rPr>
        <w:t> </w:t>
      </w:r>
      <w:r>
        <w:rPr/>
        <w:t>理</w:t>
      </w:r>
      <w:r>
        <w:rPr>
          <w:spacing w:val="-72"/>
        </w:rPr>
        <w:t> </w:t>
      </w:r>
      <w:r>
        <w:rPr/>
        <w:t>局</w:t>
      </w:r>
      <w:r>
        <w:rPr>
          <w:spacing w:val="-72"/>
        </w:rPr>
        <w:t> </w:t>
      </w:r>
      <w:r>
        <w:rPr/>
        <w:t>颁</w:t>
      </w:r>
      <w:r>
        <w:rPr>
          <w:spacing w:val="-73"/>
        </w:rPr>
        <w:t> </w:t>
      </w:r>
      <w:r>
        <w:rPr/>
        <w:t>发</w:t>
      </w:r>
      <w:r>
        <w:rPr>
          <w:spacing w:val="-72"/>
        </w:rPr>
        <w:t> </w:t>
      </w:r>
      <w:r>
        <w:rPr/>
        <w:t>的</w:t>
      </w:r>
      <w:r>
        <w:rPr>
          <w:spacing w:val="-72"/>
        </w:rPr>
        <w:t> </w:t>
      </w:r>
      <w:r>
        <w:rPr/>
        <w:t>统</w:t>
      </w:r>
      <w:r>
        <w:rPr>
          <w:spacing w:val="-72"/>
        </w:rPr>
        <w:t> </w:t>
      </w:r>
      <w:r>
        <w:rPr/>
        <w:t>一</w:t>
      </w:r>
      <w:r>
        <w:rPr>
          <w:spacing w:val="-72"/>
        </w:rPr>
        <w:t> </w:t>
      </w:r>
      <w:r>
        <w:rPr/>
        <w:t>信</w:t>
      </w:r>
      <w:r>
        <w:rPr>
          <w:spacing w:val="-73"/>
        </w:rPr>
        <w:t> </w:t>
      </w:r>
      <w:r>
        <w:rPr/>
        <w:t>用</w:t>
      </w:r>
      <w:r>
        <w:rPr>
          <w:spacing w:val="-72"/>
        </w:rPr>
        <w:t> </w:t>
      </w:r>
      <w:r>
        <w:rPr/>
        <w:t>代</w:t>
      </w:r>
      <w:r>
        <w:rPr>
          <w:spacing w:val="-72"/>
        </w:rPr>
        <w:t> </w:t>
      </w:r>
      <w:r>
        <w:rPr/>
        <w:t>码</w:t>
      </w:r>
      <w:r>
        <w:rPr>
          <w:spacing w:val="-71"/>
        </w:rPr>
        <w:t> </w:t>
      </w:r>
      <w:r>
        <w:rPr/>
        <w:t>为</w:t>
      </w:r>
      <w:r>
        <w:rPr/>
        <w:t> </w:t>
      </w:r>
      <w:r>
        <w:rPr>
          <w:rFonts w:ascii="Times New Roman" w:hAnsi="Times New Roman" w:cs="Times New Roman" w:eastAsia="Times New Roman" w:hint="default"/>
        </w:rPr>
        <w:t>91340100057041807C</w:t>
      </w:r>
      <w:r>
        <w:rPr/>
        <w:t>企业法人营业执照，注册资本人民币</w:t>
      </w:r>
      <w:r>
        <w:rPr>
          <w:rFonts w:ascii="Times New Roman" w:hAnsi="Times New Roman" w:cs="Times New Roman" w:eastAsia="Times New Roman" w:hint="default"/>
        </w:rPr>
        <w:t>3,000</w:t>
      </w:r>
      <w:r>
        <w:rPr/>
        <w:t>万元，本公司实际出资人民币</w:t>
      </w:r>
      <w:r>
        <w:rPr>
          <w:rFonts w:ascii="Times New Roman" w:hAnsi="Times New Roman" w:cs="Times New Roman" w:eastAsia="Times New Roman" w:hint="default"/>
        </w:rPr>
        <w:t>2,400</w:t>
      </w:r>
      <w:r>
        <w:rPr/>
        <w:t>万元，</w:t>
      </w:r>
      <w:r>
        <w:rPr>
          <w:spacing w:val="-62"/>
        </w:rPr>
        <w:t> </w:t>
      </w:r>
      <w:r>
        <w:rPr/>
        <w:t>占注册资本</w:t>
      </w:r>
      <w:r>
        <w:rPr>
          <w:rFonts w:ascii="Times New Roman" w:hAnsi="Times New Roman" w:cs="Times New Roman" w:eastAsia="Times New Roman" w:hint="default"/>
        </w:rPr>
        <w:t>80%</w:t>
      </w:r>
      <w:r>
        <w:rPr/>
        <w:t>。</w:t>
      </w:r>
      <w:r>
        <w:rPr>
          <w:rFonts w:ascii="Times New Roman" w:hAnsi="Times New Roman" w:cs="Times New Roman" w:eastAsia="Times New Roman" w:hint="default"/>
        </w:rPr>
        <w:t>2017</w:t>
      </w:r>
      <w:r>
        <w:rPr/>
        <w:t>年，公司通过购买少数股东赵其峰股份，持股比例变为</w:t>
      </w:r>
      <w:r>
        <w:rPr>
          <w:rFonts w:ascii="Times New Roman" w:hAnsi="Times New Roman" w:cs="Times New Roman" w:eastAsia="Times New Roman" w:hint="default"/>
        </w:rPr>
        <w:t>88%</w:t>
      </w:r>
      <w:r>
        <w:rPr/>
        <w:t>。</w:t>
      </w:r>
    </w:p>
    <w:p>
      <w:pPr>
        <w:pStyle w:val="BodyText"/>
        <w:spacing w:line="256" w:lineRule="auto" w:before="5"/>
        <w:ind w:right="1129" w:firstLine="420"/>
        <w:jc w:val="both"/>
      </w:pPr>
      <w:r>
        <w:rPr>
          <w:rFonts w:ascii="Times New Roman" w:hAnsi="Times New Roman" w:cs="Times New Roman" w:eastAsia="Times New Roman" w:hint="default"/>
          <w:spacing w:val="10"/>
        </w:rPr>
        <w:t>*</w:t>
      </w:r>
      <w:r>
        <w:rPr>
          <w:spacing w:val="10"/>
        </w:rPr>
        <w:t>（</w:t>
      </w:r>
      <w:r>
        <w:rPr>
          <w:spacing w:val="-84"/>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w:t>
      </w:r>
      <w:r>
        <w:rPr>
          <w:spacing w:val="-84"/>
        </w:rPr>
        <w:t> </w:t>
      </w:r>
      <w:r>
        <w:rPr>
          <w:spacing w:val="17"/>
        </w:rPr>
        <w:t>武汉天源迪科于</w:t>
      </w:r>
      <w:r>
        <w:rPr>
          <w:spacing w:val="-8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0"/>
        </w:rPr>
        <w:t> </w:t>
      </w:r>
      <w:r>
        <w:rPr/>
        <w:t>年</w:t>
      </w:r>
      <w:r>
        <w:rPr>
          <w:spacing w:val="-84"/>
        </w:rPr>
        <w:t> </w:t>
      </w:r>
      <w:r>
        <w:rPr>
          <w:rFonts w:ascii="Times New Roman" w:hAnsi="Times New Roman" w:cs="Times New Roman" w:eastAsia="Times New Roman" w:hint="default"/>
        </w:rPr>
        <w:t>11</w:t>
      </w:r>
      <w:r>
        <w:rPr>
          <w:rFonts w:ascii="Times New Roman" w:hAnsi="Times New Roman" w:cs="Times New Roman" w:eastAsia="Times New Roman" w:hint="default"/>
          <w:spacing w:val="-31"/>
        </w:rPr>
        <w:t> </w:t>
      </w:r>
      <w:r>
        <w:rPr>
          <w:spacing w:val="15"/>
        </w:rPr>
        <w:t>月成立，</w:t>
      </w:r>
      <w:r>
        <w:rPr>
          <w:spacing w:val="-83"/>
        </w:rPr>
        <w:t> </w:t>
      </w:r>
      <w:r>
        <w:rPr>
          <w:spacing w:val="19"/>
        </w:rPr>
        <w:t>取得武汉市工商行政管理局颁发的统一信用代码为</w:t>
      </w:r>
      <w:r>
        <w:rPr/>
        <w:t> </w:t>
      </w:r>
      <w:r>
        <w:rPr>
          <w:rFonts w:ascii="Times New Roman" w:hAnsi="Times New Roman" w:cs="Times New Roman" w:eastAsia="Times New Roman" w:hint="default"/>
        </w:rPr>
        <w:t>91420100081954585H</w:t>
      </w:r>
      <w:r>
        <w:rPr/>
        <w:t>企业法人营业执照，成立时注册资本人民币</w:t>
      </w:r>
      <w:r>
        <w:rPr>
          <w:rFonts w:ascii="Times New Roman" w:hAnsi="Times New Roman" w:cs="Times New Roman" w:eastAsia="Times New Roman" w:hint="default"/>
        </w:rPr>
        <w:t>3,000</w:t>
      </w:r>
      <w:r>
        <w:rPr/>
        <w:t>万元，实收资本</w:t>
      </w:r>
      <w:r>
        <w:rPr>
          <w:rFonts w:ascii="Times New Roman" w:hAnsi="Times New Roman" w:cs="Times New Roman" w:eastAsia="Times New Roman" w:hint="default"/>
        </w:rPr>
        <w:t>3,000</w:t>
      </w:r>
      <w:r>
        <w:rPr/>
        <w:t>万元。</w:t>
      </w:r>
      <w:r>
        <w:rPr>
          <w:rFonts w:ascii="Times New Roman" w:hAnsi="Times New Roman" w:cs="Times New Roman" w:eastAsia="Times New Roman" w:hint="default"/>
        </w:rPr>
        <w:t>2017</w:t>
      </w:r>
      <w:r>
        <w:rPr/>
        <w:t>年</w:t>
      </w:r>
      <w:r>
        <w:rPr>
          <w:spacing w:val="-73"/>
        </w:rPr>
        <w:t> </w:t>
      </w:r>
      <w:r>
        <w:rPr/>
        <w:t>本公司对其增资</w:t>
      </w:r>
      <w:r>
        <w:rPr>
          <w:rFonts w:ascii="Times New Roman" w:hAnsi="Times New Roman" w:cs="Times New Roman" w:eastAsia="Times New Roman" w:hint="default"/>
        </w:rPr>
        <w:t>7,000</w:t>
      </w:r>
      <w:r>
        <w:rPr/>
        <w:t>万元，增资完成后，本公司实际出资人民币</w:t>
      </w:r>
      <w:r>
        <w:rPr>
          <w:rFonts w:ascii="Times New Roman" w:hAnsi="Times New Roman" w:cs="Times New Roman" w:eastAsia="Times New Roman" w:hint="default"/>
        </w:rPr>
        <w:t>10,000</w:t>
      </w:r>
      <w:r>
        <w:rPr/>
        <w:t>万元，占注册资本</w:t>
      </w:r>
      <w:r>
        <w:rPr>
          <w:rFonts w:ascii="Times New Roman" w:hAnsi="Times New Roman" w:cs="Times New Roman" w:eastAsia="Times New Roman" w:hint="default"/>
        </w:rPr>
        <w:t>100%</w:t>
      </w:r>
      <w:r>
        <w:rPr/>
        <w:t>。</w:t>
      </w:r>
    </w:p>
    <w:p>
      <w:pPr>
        <w:pStyle w:val="BodyText"/>
        <w:spacing w:line="256" w:lineRule="auto" w:before="5"/>
        <w:ind w:right="1131" w:firstLine="420"/>
        <w:jc w:val="both"/>
      </w:pPr>
      <w:r>
        <w:rPr>
          <w:rFonts w:ascii="Times New Roman" w:hAnsi="Times New Roman" w:cs="Times New Roman" w:eastAsia="Times New Roman" w:hint="default"/>
          <w:spacing w:val="10"/>
        </w:rPr>
        <w:t>*</w:t>
      </w:r>
      <w:r>
        <w:rPr>
          <w:spacing w:val="10"/>
        </w:rPr>
        <w:t>（</w:t>
      </w:r>
      <w:r>
        <w:rPr>
          <w:spacing w:val="-84"/>
        </w:rPr>
        <w:t> </w:t>
      </w: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w:t>
      </w:r>
      <w:r>
        <w:rPr>
          <w:spacing w:val="-84"/>
        </w:rPr>
        <w:t> </w:t>
      </w:r>
      <w:r>
        <w:rPr>
          <w:spacing w:val="17"/>
        </w:rPr>
        <w:t>广州天源迪科于</w:t>
      </w:r>
      <w:r>
        <w:rPr>
          <w:spacing w:val="-8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0"/>
        </w:rPr>
        <w:t> </w:t>
      </w:r>
      <w:r>
        <w:rPr/>
        <w:t>年</w:t>
      </w:r>
      <w:r>
        <w:rPr>
          <w:spacing w:val="-84"/>
        </w:rPr>
        <w:t> </w:t>
      </w:r>
      <w:r>
        <w:rPr>
          <w:rFonts w:ascii="Times New Roman" w:hAnsi="Times New Roman" w:cs="Times New Roman" w:eastAsia="Times New Roman" w:hint="default"/>
        </w:rPr>
        <w:t>10</w:t>
      </w:r>
      <w:r>
        <w:rPr>
          <w:rFonts w:ascii="Times New Roman" w:hAnsi="Times New Roman" w:cs="Times New Roman" w:eastAsia="Times New Roman" w:hint="default"/>
          <w:spacing w:val="-31"/>
        </w:rPr>
        <w:t> </w:t>
      </w:r>
      <w:r>
        <w:rPr>
          <w:spacing w:val="15"/>
        </w:rPr>
        <w:t>月成立，</w:t>
      </w:r>
      <w:r>
        <w:rPr>
          <w:spacing w:val="-83"/>
        </w:rPr>
        <w:t> </w:t>
      </w:r>
      <w:r>
        <w:rPr>
          <w:spacing w:val="19"/>
        </w:rPr>
        <w:t>取得广州市工商行政管理局颁发的统一信用代码为</w:t>
      </w:r>
      <w:r>
        <w:rPr/>
        <w:t> </w:t>
      </w:r>
      <w:r>
        <w:rPr>
          <w:rFonts w:ascii="Times New Roman" w:hAnsi="Times New Roman" w:cs="Times New Roman" w:eastAsia="Times New Roman" w:hint="default"/>
          <w:spacing w:val="-5"/>
        </w:rPr>
        <w:t>91440101320926507W</w:t>
      </w:r>
      <w:r>
        <w:rPr>
          <w:spacing w:val="-5"/>
        </w:rPr>
        <w:t>企业法人营业执照，注册资本</w:t>
      </w:r>
      <w:r>
        <w:rPr>
          <w:rFonts w:ascii="Times New Roman" w:hAnsi="Times New Roman" w:cs="Times New Roman" w:eastAsia="Times New Roman" w:hint="default"/>
          <w:spacing w:val="-5"/>
        </w:rPr>
        <w:t>1,000</w:t>
      </w:r>
      <w:r>
        <w:rPr>
          <w:spacing w:val="-5"/>
        </w:rPr>
        <w:t>万元，实收资本</w:t>
      </w:r>
      <w:r>
        <w:rPr>
          <w:rFonts w:ascii="Times New Roman" w:hAnsi="Times New Roman" w:cs="Times New Roman" w:eastAsia="Times New Roman" w:hint="default"/>
          <w:spacing w:val="-5"/>
        </w:rPr>
        <w:t>1,000</w:t>
      </w:r>
      <w:r>
        <w:rPr>
          <w:spacing w:val="-5"/>
        </w:rPr>
        <w:t>万元，本公司实际出资本</w:t>
      </w:r>
      <w:r>
        <w:rPr>
          <w:rFonts w:ascii="Times New Roman" w:hAnsi="Times New Roman" w:cs="Times New Roman" w:eastAsia="Times New Roman" w:hint="default"/>
          <w:spacing w:val="-5"/>
        </w:rPr>
        <w:t>1,000</w:t>
      </w:r>
      <w:r>
        <w:rPr>
          <w:rFonts w:ascii="Times New Roman" w:hAnsi="Times New Roman" w:cs="Times New Roman" w:eastAsia="Times New Roman" w:hint="default"/>
          <w:spacing w:val="-14"/>
        </w:rPr>
        <w:t> </w:t>
      </w:r>
      <w:r>
        <w:rPr/>
        <w:t>万元，占注册资本</w:t>
      </w:r>
      <w:r>
        <w:rPr>
          <w:rFonts w:ascii="Times New Roman" w:hAnsi="Times New Roman" w:cs="Times New Roman" w:eastAsia="Times New Roman" w:hint="default"/>
        </w:rPr>
        <w:t>100%</w:t>
      </w:r>
      <w:r>
        <w:rPr/>
        <w:t>。</w:t>
      </w:r>
    </w:p>
    <w:p>
      <w:pPr>
        <w:pStyle w:val="BodyText"/>
        <w:spacing w:line="256" w:lineRule="auto" w:before="5"/>
        <w:ind w:right="1130" w:firstLine="420"/>
        <w:jc w:val="both"/>
      </w:pP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7</w:t>
      </w:r>
      <w:r>
        <w:rPr>
          <w:spacing w:val="-2"/>
        </w:rPr>
        <w:t>）广州易杰：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月，本公司受让原股东毛琼持有的广州易杰</w:t>
      </w:r>
      <w:r>
        <w:rPr>
          <w:rFonts w:ascii="Times New Roman" w:hAnsi="Times New Roman" w:cs="Times New Roman" w:eastAsia="Times New Roman" w:hint="default"/>
          <w:spacing w:val="-2"/>
        </w:rPr>
        <w:t>30%</w:t>
      </w:r>
      <w:r>
        <w:rPr>
          <w:spacing w:val="-2"/>
        </w:rPr>
        <w:t>股权，本次受让完成后本公</w:t>
      </w:r>
      <w:r>
        <w:rPr/>
        <w:t> 司持有广州易杰</w:t>
      </w:r>
      <w:r>
        <w:rPr>
          <w:rFonts w:ascii="Times New Roman" w:hAnsi="Times New Roman" w:cs="Times New Roman" w:eastAsia="Times New Roman" w:hint="default"/>
        </w:rPr>
        <w:t>100%</w:t>
      </w:r>
      <w:r>
        <w:rPr/>
        <w:t>的股权。</w:t>
      </w:r>
    </w:p>
    <w:p>
      <w:pPr>
        <w:pStyle w:val="BodyText"/>
        <w:spacing w:line="256" w:lineRule="auto" w:before="5"/>
        <w:ind w:right="1130" w:firstLine="420"/>
        <w:jc w:val="both"/>
      </w:pP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8</w:t>
      </w:r>
      <w:r>
        <w:rPr>
          <w:spacing w:val="-1"/>
        </w:rPr>
        <w:t>）广州易星：</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月，本公司受让陶小敏等四位股东共计持有的广州易星</w:t>
      </w:r>
      <w:r>
        <w:rPr>
          <w:rFonts w:ascii="Times New Roman" w:hAnsi="Times New Roman" w:cs="Times New Roman" w:eastAsia="Times New Roman" w:hint="default"/>
          <w:spacing w:val="-1"/>
        </w:rPr>
        <w:t>6.70%</w:t>
      </w:r>
      <w:r>
        <w:rPr>
          <w:spacing w:val="-1"/>
        </w:rPr>
        <w:t>股权，受让股</w:t>
      </w:r>
      <w:r>
        <w:rPr/>
        <w:t> 权及增资完成后，本公司合计持有广州易星</w:t>
      </w:r>
      <w:r>
        <w:rPr>
          <w:rFonts w:ascii="Times New Roman" w:hAnsi="Times New Roman" w:cs="Times New Roman" w:eastAsia="Times New Roman" w:hint="default"/>
        </w:rPr>
        <w:t>57.70%</w:t>
      </w:r>
      <w:r>
        <w:rPr/>
        <w:t>的股权。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月，本公司受让上述陶小敏等四位股</w:t>
      </w:r>
      <w:r>
        <w:rPr>
          <w:spacing w:val="-50"/>
        </w:rPr>
        <w:t> </w:t>
      </w:r>
      <w:r>
        <w:rPr>
          <w:spacing w:val="-50"/>
        </w:rPr>
      </w:r>
      <w:r>
        <w:rPr/>
        <w:t>东共持有的广州易星</w:t>
      </w:r>
      <w:r>
        <w:rPr>
          <w:rFonts w:ascii="Times New Roman" w:hAnsi="Times New Roman" w:cs="Times New Roman" w:eastAsia="Times New Roman" w:hint="default"/>
        </w:rPr>
        <w:t>9%</w:t>
      </w:r>
      <w:r>
        <w:rPr/>
        <w:t>股权，本公司合计持有广州易星</w:t>
      </w:r>
      <w:r>
        <w:rPr>
          <w:rFonts w:ascii="Times New Roman" w:hAnsi="Times New Roman" w:cs="Times New Roman" w:eastAsia="Times New Roman" w:hint="default"/>
        </w:rPr>
        <w:t>66.7%</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月，本公司受让赵欣、周</w:t>
      </w:r>
      <w:r>
        <w:rPr>
          <w:spacing w:val="-23"/>
        </w:rPr>
        <w:t> </w:t>
      </w:r>
      <w:r>
        <w:rPr>
          <w:spacing w:val="-23"/>
        </w:rPr>
      </w:r>
      <w:r>
        <w:rPr>
          <w:spacing w:val="2"/>
        </w:rPr>
        <w:t>朝华两位股东共持有的</w:t>
      </w:r>
      <w:r>
        <w:rPr>
          <w:rFonts w:ascii="Times New Roman" w:hAnsi="Times New Roman" w:cs="Times New Roman" w:eastAsia="Times New Roman" w:hint="default"/>
          <w:spacing w:val="2"/>
        </w:rPr>
        <w:t>10.65%</w:t>
      </w:r>
      <w:r>
        <w:rPr>
          <w:spacing w:val="2"/>
        </w:rPr>
        <w:t>的股权，股权转让完成后，本公司合计持有广州易星</w:t>
      </w:r>
      <w:r>
        <w:rPr>
          <w:rFonts w:ascii="Times New Roman" w:hAnsi="Times New Roman" w:cs="Times New Roman" w:eastAsia="Times New Roman" w:hint="default"/>
          <w:spacing w:val="2"/>
        </w:rPr>
        <w:t>77.35%</w:t>
      </w:r>
      <w:r>
        <w:rPr>
          <w:spacing w:val="2"/>
        </w:rPr>
        <w:t>的股权。</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30"/>
        </w:rPr>
        <w:t> </w:t>
      </w:r>
      <w:r>
        <w:rPr/>
        <w:t>年，公司转让</w:t>
      </w:r>
      <w:r>
        <w:rPr>
          <w:rFonts w:ascii="Times New Roman" w:hAnsi="Times New Roman" w:cs="Times New Roman" w:eastAsia="Times New Roman" w:hint="default"/>
        </w:rPr>
        <w:t>4%</w:t>
      </w:r>
      <w:r>
        <w:rPr/>
        <w:t>股份，持股比例变为</w:t>
      </w:r>
      <w:r>
        <w:rPr>
          <w:rFonts w:ascii="Times New Roman" w:hAnsi="Times New Roman" w:cs="Times New Roman" w:eastAsia="Times New Roman" w:hint="default"/>
        </w:rPr>
        <w:t>73.35%</w:t>
      </w:r>
      <w:r>
        <w:rPr/>
        <w:t>。</w:t>
      </w:r>
    </w:p>
    <w:p>
      <w:pPr>
        <w:pStyle w:val="BodyText"/>
        <w:spacing w:line="256" w:lineRule="auto" w:before="5"/>
        <w:ind w:right="1129" w:firstLine="420"/>
        <w:jc w:val="both"/>
      </w:pP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9</w:t>
      </w:r>
      <w:r>
        <w:rPr>
          <w:spacing w:val="-7"/>
        </w:rPr>
        <w:t>）深圳金华威：</w:t>
      </w:r>
      <w:r>
        <w:rPr>
          <w:rFonts w:ascii="Times New Roman" w:hAnsi="Times New Roman" w:cs="Times New Roman" w:eastAsia="Times New Roman" w:hint="default"/>
          <w:spacing w:val="-7"/>
        </w:rPr>
        <w:t>2011</w:t>
      </w:r>
      <w:r>
        <w:rPr>
          <w:spacing w:val="-7"/>
        </w:rPr>
        <w:t>年</w:t>
      </w:r>
      <w:r>
        <w:rPr>
          <w:rFonts w:ascii="Times New Roman" w:hAnsi="Times New Roman" w:cs="Times New Roman" w:eastAsia="Times New Roman" w:hint="default"/>
          <w:spacing w:val="-7"/>
        </w:rPr>
        <w:t>8</w:t>
      </w:r>
      <w:r>
        <w:rPr>
          <w:spacing w:val="-7"/>
        </w:rPr>
        <w:t>月，本公司受让深圳齐普生信息科技有限公司持有的深圳金华威</w:t>
      </w:r>
      <w:r>
        <w:rPr>
          <w:rFonts w:ascii="Times New Roman" w:hAnsi="Times New Roman" w:cs="Times New Roman" w:eastAsia="Times New Roman" w:hint="default"/>
          <w:spacing w:val="-7"/>
        </w:rPr>
        <w:t>45%</w:t>
      </w:r>
      <w:r>
        <w:rPr>
          <w:spacing w:val="-7"/>
        </w:rPr>
        <w:t>股权；</w:t>
      </w:r>
      <w:r>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月，本公司受让王磊持有的深圳金华威公司</w:t>
      </w:r>
      <w:r>
        <w:rPr>
          <w:rFonts w:ascii="Times New Roman" w:hAnsi="Times New Roman" w:cs="Times New Roman" w:eastAsia="Times New Roman" w:hint="default"/>
          <w:spacing w:val="-2"/>
        </w:rPr>
        <w:t>10%</w:t>
      </w:r>
      <w:r>
        <w:rPr>
          <w:spacing w:val="-2"/>
        </w:rPr>
        <w:t>股权，本次受让完成后合计持有深圳金华威</w:t>
      </w:r>
      <w:r>
        <w:rPr>
          <w:rFonts w:ascii="Times New Roman" w:hAnsi="Times New Roman" w:cs="Times New Roman" w:eastAsia="Times New Roman" w:hint="default"/>
          <w:spacing w:val="-2"/>
        </w:rPr>
        <w:t>55%</w:t>
      </w:r>
      <w:r>
        <w:rPr>
          <w:spacing w:val="-2"/>
        </w:rPr>
        <w:t>的</w:t>
      </w:r>
      <w:r>
        <w:rPr>
          <w:spacing w:val="-63"/>
        </w:rPr>
        <w:t> </w:t>
      </w:r>
      <w:r>
        <w:rPr/>
        <w:t>股权，并取得实际控制。</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月，深圳金华威申请增加注册资本人民币</w:t>
      </w:r>
      <w:r>
        <w:rPr>
          <w:rFonts w:ascii="Times New Roman" w:hAnsi="Times New Roman" w:cs="Times New Roman" w:eastAsia="Times New Roman" w:hint="default"/>
        </w:rPr>
        <w:t>3,000</w:t>
      </w:r>
      <w:r>
        <w:rPr/>
        <w:t>万元，由股东分期缴足，</w:t>
      </w:r>
      <w:r>
        <w:rPr>
          <w:spacing w:val="-78"/>
        </w:rPr>
        <w:t> </w:t>
      </w:r>
      <w:r>
        <w:rPr>
          <w:spacing w:val="-78"/>
        </w:rPr>
      </w:r>
      <w:r>
        <w:rPr/>
        <w:t>注册资本变更为</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2018</w:t>
      </w:r>
      <w:r>
        <w:rPr/>
        <w:t>年，深圳金华威增加注册资本</w:t>
      </w:r>
      <w:r>
        <w:rPr>
          <w:rFonts w:ascii="Times New Roman" w:hAnsi="Times New Roman" w:cs="Times New Roman" w:eastAsia="Times New Roman" w:hint="default"/>
        </w:rPr>
        <w:t>7,000</w:t>
      </w:r>
      <w:r>
        <w:rPr/>
        <w:t>万元，由股东按持股比例缴纳，增资</w:t>
      </w:r>
      <w:r>
        <w:rPr>
          <w:spacing w:val="-32"/>
        </w:rPr>
        <w:t> </w:t>
      </w:r>
      <w:r>
        <w:rPr>
          <w:spacing w:val="-32"/>
        </w:rPr>
      </w:r>
      <w:r>
        <w:rPr/>
        <w:t>完成后，注册资本变为</w:t>
      </w:r>
      <w:r>
        <w:rPr>
          <w:rFonts w:ascii="Times New Roman" w:hAnsi="Times New Roman" w:cs="Times New Roman" w:eastAsia="Times New Roman" w:hint="default"/>
        </w:rPr>
        <w:t>12,000</w:t>
      </w:r>
      <w:r>
        <w:rPr/>
        <w:t>万元。截止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日，深圳金华威实收资本为</w:t>
      </w:r>
      <w:r>
        <w:rPr>
          <w:rFonts w:ascii="Times New Roman" w:hAnsi="Times New Roman" w:cs="Times New Roman" w:eastAsia="Times New Roman" w:hint="default"/>
        </w:rPr>
        <w:t>12,000</w:t>
      </w:r>
      <w:r>
        <w:rPr/>
        <w:t>万元，本公司累</w:t>
      </w:r>
      <w:r>
        <w:rPr>
          <w:spacing w:val="-31"/>
        </w:rPr>
        <w:t> </w:t>
      </w:r>
      <w:r>
        <w:rPr>
          <w:spacing w:val="-31"/>
        </w:rPr>
      </w:r>
      <w:r>
        <w:rPr/>
        <w:t>计出资</w:t>
      </w:r>
      <w:r>
        <w:rPr>
          <w:rFonts w:ascii="Times New Roman" w:hAnsi="Times New Roman" w:cs="Times New Roman" w:eastAsia="Times New Roman" w:hint="default"/>
        </w:rPr>
        <w:t>6,600</w:t>
      </w:r>
      <w:r>
        <w:rPr/>
        <w:t>万元，占注册资本</w:t>
      </w:r>
      <w:r>
        <w:rPr>
          <w:rFonts w:ascii="Times New Roman" w:hAnsi="Times New Roman" w:cs="Times New Roman" w:eastAsia="Times New Roman" w:hint="default"/>
        </w:rPr>
        <w:t>55%</w:t>
      </w:r>
      <w:r>
        <w:rPr/>
        <w:t>。</w:t>
      </w:r>
    </w:p>
    <w:p>
      <w:pPr>
        <w:pStyle w:val="BodyText"/>
        <w:spacing w:line="256" w:lineRule="auto" w:before="5"/>
        <w:ind w:right="1133" w:firstLine="420"/>
        <w:jc w:val="both"/>
      </w:pPr>
      <w:r>
        <w:rPr>
          <w:rFonts w:ascii="Times New Roman" w:hAnsi="Times New Roman" w:cs="Times New Roman" w:eastAsia="Times New Roman" w:hint="default"/>
        </w:rPr>
        <w:t>*</w:t>
      </w:r>
      <w:r>
        <w:rPr/>
        <w:t>（</w:t>
      </w:r>
      <w:r>
        <w:rPr>
          <w:rFonts w:ascii="Times New Roman" w:hAnsi="Times New Roman" w:cs="Times New Roman" w:eastAsia="Times New Roman" w:hint="default"/>
        </w:rPr>
        <w:t>10</w:t>
      </w:r>
      <w:r>
        <w:rPr/>
        <w:t>）广西驿途：</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月，本公司受让覃杰持有的广西驿途</w:t>
      </w:r>
      <w:r>
        <w:rPr>
          <w:rFonts w:ascii="Times New Roman" w:hAnsi="Times New Roman" w:cs="Times New Roman" w:eastAsia="Times New Roman" w:hint="default"/>
        </w:rPr>
        <w:t>45.02%</w:t>
      </w:r>
      <w:r>
        <w:rPr/>
        <w:t>股权，并同时向广西驿途增 资</w:t>
      </w:r>
      <w:r>
        <w:rPr>
          <w:rFonts w:ascii="Times New Roman" w:hAnsi="Times New Roman" w:cs="Times New Roman" w:eastAsia="Times New Roman" w:hint="default"/>
        </w:rPr>
        <w:t>61</w:t>
      </w:r>
      <w:r>
        <w:rPr/>
        <w:t>万元，受让股权及增资完成后，本公司合计持有广西驿途</w:t>
      </w:r>
      <w:r>
        <w:rPr>
          <w:rFonts w:ascii="Times New Roman" w:hAnsi="Times New Roman" w:cs="Times New Roman" w:eastAsia="Times New Roman" w:hint="default"/>
        </w:rPr>
        <w:t>51%</w:t>
      </w:r>
      <w:r>
        <w:rPr/>
        <w:t>的股权。</w:t>
      </w:r>
    </w:p>
    <w:p>
      <w:pPr>
        <w:pStyle w:val="BodyText"/>
        <w:spacing w:line="256" w:lineRule="auto" w:before="5"/>
        <w:ind w:right="1022" w:firstLine="420"/>
        <w:jc w:val="left"/>
        <w:rPr>
          <w:rFonts w:ascii="Times New Roman" w:hAnsi="Times New Roman" w:cs="Times New Roman" w:eastAsia="Times New Roman" w:hint="default"/>
        </w:rPr>
      </w:pPr>
      <w:r>
        <w:rPr>
          <w:rFonts w:ascii="Times New Roman" w:hAnsi="Times New Roman" w:cs="Times New Roman" w:eastAsia="Times New Roman" w:hint="default"/>
        </w:rPr>
        <w:t>*</w:t>
      </w:r>
      <w:r>
        <w:rPr/>
        <w:t>（</w:t>
      </w:r>
      <w:r>
        <w:rPr>
          <w:rFonts w:ascii="Times New Roman" w:hAnsi="Times New Roman" w:cs="Times New Roman" w:eastAsia="Times New Roman" w:hint="default"/>
        </w:rPr>
        <w:t>11</w:t>
      </w:r>
      <w:r>
        <w:rPr/>
        <w:t>）深圳宝贝团：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月，本公司受让袁夫捷、詹宏智共同持有的深圳宝贝团</w:t>
      </w:r>
      <w:r>
        <w:rPr>
          <w:rFonts w:ascii="Times New Roman" w:hAnsi="Times New Roman" w:cs="Times New Roman" w:eastAsia="Times New Roman" w:hint="default"/>
        </w:rPr>
        <w:t>47.5%</w:t>
      </w:r>
      <w:r>
        <w:rPr/>
        <w:t>股权，并 同时向深圳宝贝团增资</w:t>
      </w:r>
      <w:r>
        <w:rPr>
          <w:rFonts w:ascii="Times New Roman" w:hAnsi="Times New Roman" w:cs="Times New Roman" w:eastAsia="Times New Roman" w:hint="default"/>
        </w:rPr>
        <w:t>100</w:t>
      </w:r>
      <w:r>
        <w:rPr/>
        <w:t>万，受让股权及增资完成后，本公司合计持有深圳宝贝团</w:t>
      </w:r>
      <w:r>
        <w:rPr>
          <w:rFonts w:ascii="Times New Roman" w:hAnsi="Times New Roman" w:cs="Times New Roman" w:eastAsia="Times New Roman" w:hint="default"/>
        </w:rPr>
        <w:t>51%</w:t>
      </w:r>
      <w:r>
        <w:rPr/>
        <w:t>的股权。</w:t>
      </w:r>
      <w:r>
        <w:rPr>
          <w:rFonts w:ascii="Times New Roman" w:hAnsi="Times New Roman" w:cs="Times New Roman" w:eastAsia="Times New Roman" w:hint="default"/>
        </w:rPr>
        <w:t>2017</w:t>
      </w:r>
      <w:r>
        <w:rPr/>
        <w:t>年，</w:t>
      </w:r>
      <w:r>
        <w:rPr>
          <w:spacing w:val="-95"/>
        </w:rPr>
        <w:t> </w:t>
      </w:r>
      <w:r>
        <w:rPr/>
        <w:t>公司购买其他股东</w:t>
      </w:r>
      <w:r>
        <w:rPr>
          <w:rFonts w:ascii="Times New Roman" w:hAnsi="Times New Roman" w:cs="Times New Roman" w:eastAsia="Times New Roman" w:hint="default"/>
        </w:rPr>
        <w:t>10.40%</w:t>
      </w:r>
      <w:r>
        <w:rPr/>
        <w:t>的股份，持股比例变为</w:t>
      </w:r>
      <w:r>
        <w:rPr>
          <w:rFonts w:ascii="Times New Roman" w:hAnsi="Times New Roman" w:cs="Times New Roman" w:eastAsia="Times New Roman" w:hint="default"/>
        </w:rPr>
        <w:t>61.40%</w:t>
      </w:r>
    </w:p>
    <w:p>
      <w:pPr>
        <w:pStyle w:val="BodyText"/>
        <w:spacing w:line="240" w:lineRule="auto" w:before="5"/>
        <w:ind w:left="57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w:t>
      </w:r>
      <w:r>
        <w:rPr>
          <w:spacing w:val="-77"/>
        </w:rPr>
        <w:t> </w:t>
      </w:r>
      <w:r>
        <w:rPr/>
        <w:t>合</w:t>
      </w:r>
      <w:r>
        <w:rPr>
          <w:spacing w:val="-77"/>
        </w:rPr>
        <w:t> </w:t>
      </w:r>
      <w:r>
        <w:rPr/>
        <w:t>肥</w:t>
      </w:r>
      <w:r>
        <w:rPr>
          <w:spacing w:val="-75"/>
        </w:rPr>
        <w:t> </w:t>
      </w:r>
      <w:r>
        <w:rPr/>
        <w:t>科</w:t>
      </w:r>
      <w:r>
        <w:rPr>
          <w:spacing w:val="-75"/>
        </w:rPr>
        <w:t> </w:t>
      </w:r>
      <w:r>
        <w:rPr/>
        <w:t>技</w:t>
      </w:r>
      <w:r>
        <w:rPr>
          <w:spacing w:val="-77"/>
        </w:rPr>
        <w:t> </w:t>
      </w:r>
      <w:r>
        <w:rPr/>
        <w:t>于</w:t>
      </w:r>
      <w:r>
        <w:rPr>
          <w:spacing w:val="-7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3"/>
        </w:rPr>
        <w:t> </w:t>
      </w:r>
      <w:r>
        <w:rPr/>
        <w:t>年</w:t>
      </w:r>
      <w:r>
        <w:rPr>
          <w:spacing w:val="-75"/>
        </w:rPr>
        <w:t>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月</w:t>
      </w:r>
      <w:r>
        <w:rPr>
          <w:spacing w:val="-75"/>
        </w:rPr>
        <w:t> </w:t>
      </w:r>
      <w:r>
        <w:rPr/>
        <w:t>成</w:t>
      </w:r>
      <w:r>
        <w:rPr>
          <w:spacing w:val="-77"/>
        </w:rPr>
        <w:t> </w:t>
      </w:r>
      <w:r>
        <w:rPr/>
        <w:t>立</w:t>
      </w:r>
      <w:r>
        <w:rPr>
          <w:spacing w:val="-75"/>
        </w:rPr>
        <w:t> </w:t>
      </w:r>
      <w:r>
        <w:rPr/>
        <w:t>，</w:t>
      </w:r>
      <w:r>
        <w:rPr>
          <w:spacing w:val="-75"/>
        </w:rPr>
        <w:t> </w:t>
      </w:r>
      <w:r>
        <w:rPr/>
        <w:t>取</w:t>
      </w:r>
      <w:r>
        <w:rPr>
          <w:spacing w:val="-77"/>
        </w:rPr>
        <w:t> </w:t>
      </w:r>
      <w:r>
        <w:rPr/>
        <w:t>得</w:t>
      </w:r>
      <w:r>
        <w:rPr>
          <w:spacing w:val="-75"/>
        </w:rPr>
        <w:t> </w:t>
      </w:r>
      <w:r>
        <w:rPr/>
        <w:t>合</w:t>
      </w:r>
      <w:r>
        <w:rPr>
          <w:spacing w:val="-77"/>
        </w:rPr>
        <w:t> </w:t>
      </w:r>
      <w:r>
        <w:rPr/>
        <w:t>肥</w:t>
      </w:r>
      <w:r>
        <w:rPr>
          <w:spacing w:val="-75"/>
        </w:rPr>
        <w:t> </w:t>
      </w:r>
      <w:r>
        <w:rPr/>
        <w:t>市</w:t>
      </w:r>
      <w:r>
        <w:rPr>
          <w:spacing w:val="-75"/>
        </w:rPr>
        <w:t> </w:t>
      </w:r>
      <w:r>
        <w:rPr/>
        <w:t>工</w:t>
      </w:r>
      <w:r>
        <w:rPr>
          <w:spacing w:val="-77"/>
        </w:rPr>
        <w:t> </w:t>
      </w:r>
      <w:r>
        <w:rPr/>
        <w:t>商</w:t>
      </w:r>
      <w:r>
        <w:rPr>
          <w:spacing w:val="-75"/>
        </w:rPr>
        <w:t> </w:t>
      </w:r>
      <w:r>
        <w:rPr/>
        <w:t>行</w:t>
      </w:r>
      <w:r>
        <w:rPr>
          <w:spacing w:val="-77"/>
        </w:rPr>
        <w:t> </w:t>
      </w:r>
      <w:r>
        <w:rPr/>
        <w:t>政</w:t>
      </w:r>
      <w:r>
        <w:rPr>
          <w:spacing w:val="-75"/>
        </w:rPr>
        <w:t> </w:t>
      </w:r>
      <w:r>
        <w:rPr/>
        <w:t>管</w:t>
      </w:r>
      <w:r>
        <w:rPr>
          <w:spacing w:val="-75"/>
        </w:rPr>
        <w:t> </w:t>
      </w:r>
      <w:r>
        <w:rPr/>
        <w:t>理</w:t>
      </w:r>
      <w:r>
        <w:rPr>
          <w:spacing w:val="-77"/>
        </w:rPr>
        <w:t> </w:t>
      </w:r>
      <w:r>
        <w:rPr/>
        <w:t>局</w:t>
      </w:r>
      <w:r>
        <w:rPr>
          <w:spacing w:val="-75"/>
        </w:rPr>
        <w:t> </w:t>
      </w:r>
      <w:r>
        <w:rPr/>
        <w:t>颁</w:t>
      </w:r>
      <w:r>
        <w:rPr>
          <w:spacing w:val="-77"/>
        </w:rPr>
        <w:t> </w:t>
      </w:r>
      <w:r>
        <w:rPr/>
        <w:t>发</w:t>
      </w:r>
      <w:r>
        <w:rPr>
          <w:spacing w:val="-75"/>
        </w:rPr>
        <w:t> </w:t>
      </w:r>
      <w:r>
        <w:rPr/>
        <w:t>的</w:t>
      </w:r>
      <w:r>
        <w:rPr>
          <w:spacing w:val="-75"/>
        </w:rPr>
        <w:t> </w:t>
      </w:r>
      <w:r>
        <w:rPr/>
        <w:t>统</w:t>
      </w:r>
      <w:r>
        <w:rPr>
          <w:spacing w:val="-77"/>
        </w:rPr>
        <w:t> </w:t>
      </w:r>
      <w:r>
        <w:rPr/>
        <w:t>一</w:t>
      </w:r>
      <w:r>
        <w:rPr>
          <w:spacing w:val="-75"/>
        </w:rPr>
        <w:t> </w:t>
      </w:r>
      <w:r>
        <w:rPr/>
        <w:t>信</w:t>
      </w:r>
      <w:r>
        <w:rPr>
          <w:spacing w:val="-77"/>
        </w:rPr>
        <w:t> </w:t>
      </w:r>
      <w:r>
        <w:rPr/>
        <w:t>用</w:t>
      </w:r>
      <w:r>
        <w:rPr>
          <w:spacing w:val="-75"/>
        </w:rPr>
        <w:t> </w:t>
      </w:r>
      <w:r>
        <w:rPr/>
        <w:t>代</w:t>
      </w:r>
      <w:r>
        <w:rPr>
          <w:spacing w:val="-75"/>
        </w:rPr>
        <w:t> </w:t>
      </w:r>
      <w:r>
        <w:rPr/>
        <w:t>码</w:t>
      </w:r>
      <w:r>
        <w:rPr>
          <w:spacing w:val="-77"/>
        </w:rPr>
        <w:t> </w:t>
      </w:r>
      <w:r>
        <w:rPr/>
        <w:t>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rFonts w:ascii="Times New Roman" w:hAnsi="Times New Roman" w:cs="Times New Roman" w:eastAsia="Times New Roman" w:hint="default"/>
          <w:spacing w:val="2"/>
        </w:rPr>
        <w:t>91340100MA2MQH535N</w:t>
      </w:r>
      <w:r>
        <w:rPr>
          <w:spacing w:val="2"/>
        </w:rPr>
        <w:t>企业法人营业执照，注册资本人民币</w:t>
      </w:r>
      <w:r>
        <w:rPr>
          <w:rFonts w:ascii="Times New Roman" w:hAnsi="Times New Roman" w:cs="Times New Roman" w:eastAsia="Times New Roman" w:hint="default"/>
          <w:spacing w:val="2"/>
        </w:rPr>
        <w:t>100</w:t>
      </w:r>
      <w:r>
        <w:rPr>
          <w:spacing w:val="2"/>
        </w:rPr>
        <w:t>万元，本公司之子公司合肥天源迪科于</w:t>
      </w:r>
    </w:p>
    <w:p>
      <w:pPr>
        <w:pStyle w:val="BodyText"/>
        <w:spacing w:line="240" w:lineRule="auto" w:before="21"/>
        <w:ind w:right="197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月实际出资人民币</w:t>
      </w:r>
      <w:r>
        <w:rPr>
          <w:rFonts w:ascii="Times New Roman" w:hAnsi="Times New Roman" w:cs="Times New Roman" w:eastAsia="Times New Roman" w:hint="default"/>
        </w:rPr>
        <w:t>100</w:t>
      </w:r>
      <w:r>
        <w:rPr/>
        <w:t>万元，占注册资本</w:t>
      </w:r>
      <w:r>
        <w:rPr>
          <w:rFonts w:ascii="Times New Roman" w:hAnsi="Times New Roman" w:cs="Times New Roman" w:eastAsia="Times New Roman" w:hint="default"/>
        </w:rPr>
        <w:t>100%</w:t>
      </w:r>
      <w:r>
        <w:rPr/>
        <w:t>。</w:t>
      </w:r>
    </w:p>
    <w:p>
      <w:pPr>
        <w:pStyle w:val="BodyText"/>
        <w:spacing w:line="256" w:lineRule="auto" w:before="21"/>
        <w:ind w:right="1130" w:firstLine="420"/>
        <w:jc w:val="both"/>
      </w:pP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13</w:t>
      </w:r>
      <w:r>
        <w:rPr>
          <w:spacing w:val="-1"/>
        </w:rPr>
        <w:t>）安徽迪科数金：安徽迪科数金于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月成立，取得合肥市高新开发区市场监督管理局颁发</w:t>
      </w:r>
      <w:r>
        <w:rPr/>
        <w:t> 的统一信用代码为</w:t>
      </w:r>
      <w:r>
        <w:rPr>
          <w:rFonts w:ascii="Times New Roman" w:hAnsi="Times New Roman" w:cs="Times New Roman" w:eastAsia="Times New Roman" w:hint="default"/>
        </w:rPr>
        <w:t>91340100MA2NLTGC53</w:t>
      </w:r>
      <w:r>
        <w:rPr/>
        <w:t>企业法人营业执照，注册资本人民币</w:t>
      </w:r>
      <w:r>
        <w:rPr>
          <w:rFonts w:ascii="Times New Roman" w:hAnsi="Times New Roman" w:cs="Times New Roman" w:eastAsia="Times New Roman" w:hint="default"/>
        </w:rPr>
        <w:t>2,000</w:t>
      </w:r>
      <w:r>
        <w:rPr/>
        <w:t>万元，本公司持股比</w:t>
      </w:r>
      <w:r>
        <w:rPr>
          <w:spacing w:val="-70"/>
        </w:rPr>
        <w:t> </w:t>
      </w:r>
      <w:r>
        <w:rPr/>
        <w:t>例为</w:t>
      </w:r>
      <w:r>
        <w:rPr>
          <w:rFonts w:ascii="Times New Roman" w:hAnsi="Times New Roman" w:cs="Times New Roman" w:eastAsia="Times New Roman" w:hint="default"/>
        </w:rPr>
        <w:t>84%</w:t>
      </w:r>
      <w:r>
        <w:rPr/>
        <w:t>。</w:t>
      </w:r>
    </w:p>
    <w:p>
      <w:pPr>
        <w:pStyle w:val="BodyText"/>
        <w:spacing w:line="256" w:lineRule="auto" w:before="5"/>
        <w:ind w:right="1132" w:firstLine="420"/>
        <w:jc w:val="both"/>
      </w:pP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14</w:t>
      </w:r>
      <w:r>
        <w:rPr>
          <w:spacing w:val="-1"/>
        </w:rPr>
        <w:t>）亳州迪科数金：亳州迪科数金于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月成立，取得亳州市工商行政管理局颁发的统一信用</w:t>
      </w:r>
      <w:r>
        <w:rPr/>
        <w:t> </w:t>
      </w:r>
      <w:r>
        <w:rPr>
          <w:spacing w:val="-1"/>
        </w:rPr>
        <w:t>代码为</w:t>
      </w:r>
      <w:r>
        <w:rPr>
          <w:rFonts w:ascii="Times New Roman" w:hAnsi="Times New Roman" w:cs="Times New Roman" w:eastAsia="Times New Roman" w:hint="default"/>
          <w:spacing w:val="-1"/>
        </w:rPr>
        <w:t>91341600MA2NP4XRX3</w:t>
      </w:r>
      <w:r>
        <w:rPr>
          <w:spacing w:val="-1"/>
        </w:rPr>
        <w:t>企业法人营业执照，注册资本人民币</w:t>
      </w:r>
      <w:r>
        <w:rPr>
          <w:rFonts w:ascii="Times New Roman" w:hAnsi="Times New Roman" w:cs="Times New Roman" w:eastAsia="Times New Roman" w:hint="default"/>
          <w:spacing w:val="-1"/>
        </w:rPr>
        <w:t>500</w:t>
      </w:r>
      <w:r>
        <w:rPr>
          <w:spacing w:val="-1"/>
        </w:rPr>
        <w:t>万元。亳州迪科数金系安徽迪科数</w:t>
      </w:r>
      <w:r>
        <w:rPr>
          <w:spacing w:val="-78"/>
        </w:rPr>
        <w:t> </w:t>
      </w:r>
      <w:r>
        <w:rPr>
          <w:spacing w:val="-78"/>
        </w:rPr>
      </w:r>
      <w:r>
        <w:rPr/>
        <w:t>金的全资子公司。</w:t>
      </w:r>
    </w:p>
    <w:p>
      <w:pPr>
        <w:pStyle w:val="BodyText"/>
        <w:spacing w:line="256" w:lineRule="auto" w:before="22"/>
        <w:ind w:right="1131" w:firstLine="420"/>
        <w:jc w:val="both"/>
      </w:pP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15</w:t>
      </w:r>
      <w:r>
        <w:rPr>
          <w:spacing w:val="-1"/>
        </w:rPr>
        <w:t>）合肥迪科数金：合肥迪科数金于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月成立，取得合肥市工商行政管理局颁发的统一信用</w:t>
      </w:r>
      <w:r>
        <w:rPr/>
        <w:t> 代码为</w:t>
      </w:r>
      <w:r>
        <w:rPr>
          <w:rFonts w:ascii="Times New Roman" w:hAnsi="Times New Roman" w:cs="Times New Roman" w:eastAsia="Times New Roman" w:hint="default"/>
        </w:rPr>
        <w:t>91340100MA2RGB9J5X</w:t>
      </w:r>
      <w:r>
        <w:rPr/>
        <w:t>企业法人营业执照，注册资本人民币</w:t>
      </w:r>
      <w:r>
        <w:rPr>
          <w:rFonts w:ascii="Times New Roman" w:hAnsi="Times New Roman" w:cs="Times New Roman" w:eastAsia="Times New Roman" w:hint="default"/>
        </w:rPr>
        <w:t>300</w:t>
      </w:r>
      <w:r>
        <w:rPr/>
        <w:t>万元。合肥迪科数金系安徽迪科数</w:t>
      </w:r>
      <w:r>
        <w:rPr>
          <w:spacing w:val="-86"/>
        </w:rPr>
        <w:t> </w:t>
      </w:r>
      <w:r>
        <w:rPr>
          <w:spacing w:val="-86"/>
        </w:rPr>
      </w:r>
      <w:r>
        <w:rPr/>
        <w:t>金的全资子公司。</w:t>
      </w:r>
    </w:p>
    <w:p>
      <w:pPr>
        <w:pStyle w:val="BodyText"/>
        <w:spacing w:line="256" w:lineRule="auto" w:before="22"/>
        <w:ind w:right="1132" w:firstLine="420"/>
        <w:jc w:val="both"/>
      </w:pP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16</w:t>
      </w:r>
      <w:r>
        <w:rPr>
          <w:spacing w:val="-1"/>
        </w:rPr>
        <w:t>）维恩贝特：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月，本公司取得维恩贝特控制权，持股比例为</w:t>
      </w:r>
      <w:r>
        <w:rPr>
          <w:rFonts w:ascii="Times New Roman" w:hAnsi="Times New Roman" w:cs="Times New Roman" w:eastAsia="Times New Roman" w:hint="default"/>
          <w:spacing w:val="-1"/>
        </w:rPr>
        <w:t>99.4494%</w:t>
      </w:r>
      <w:r>
        <w:rPr>
          <w:spacing w:val="-1"/>
        </w:rPr>
        <w:t>。</w:t>
      </w:r>
      <w:r>
        <w:rPr>
          <w:rFonts w:ascii="Times New Roman" w:hAnsi="Times New Roman" w:cs="Times New Roman" w:eastAsia="Times New Roman" w:hint="default"/>
          <w:spacing w:val="-1"/>
        </w:rPr>
        <w:t>2018</w:t>
      </w:r>
      <w:r>
        <w:rPr>
          <w:spacing w:val="-1"/>
        </w:rPr>
        <w:t>年，本公司</w:t>
      </w:r>
      <w:r>
        <w:rPr/>
        <w:t> 陆续又收购维恩贝特少数股权，</w:t>
      </w:r>
      <w:r>
        <w:rPr>
          <w:rFonts w:ascii="Times New Roman" w:hAnsi="Times New Roman" w:cs="Times New Roman" w:eastAsia="Times New Roman" w:hint="default"/>
        </w:rPr>
        <w:t>2018</w:t>
      </w:r>
      <w:r>
        <w:rPr/>
        <w:t>年末持股比例为</w:t>
      </w:r>
      <w:r>
        <w:rPr>
          <w:rFonts w:ascii="Times New Roman" w:hAnsi="Times New Roman" w:cs="Times New Roman" w:eastAsia="Times New Roman" w:hint="default"/>
        </w:rPr>
        <w:t>99.9595%</w:t>
      </w:r>
      <w:r>
        <w:rPr/>
        <w:t>。</w:t>
      </w:r>
    </w:p>
    <w:p>
      <w:pPr>
        <w:pStyle w:val="BodyText"/>
        <w:spacing w:line="240" w:lineRule="auto" w:before="5"/>
        <w:ind w:left="574" w:right="0"/>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17</w:t>
      </w:r>
      <w:r>
        <w:rPr/>
        <w:t>）上海维恩孛特：上海维恩孛特系维恩贝特的子公司，维恩贝特持有上海维恩孛特</w:t>
      </w:r>
      <w:r>
        <w:rPr>
          <w:rFonts w:ascii="Times New Roman" w:hAnsi="Times New Roman" w:cs="Times New Roman" w:eastAsia="Times New Roman" w:hint="default"/>
        </w:rPr>
        <w:t>51%</w:t>
      </w:r>
      <w:r>
        <w:rPr/>
        <w:t>的股份。</w:t>
      </w:r>
    </w:p>
    <w:p>
      <w:pPr>
        <w:pStyle w:val="BodyText"/>
        <w:spacing w:line="240" w:lineRule="auto" w:before="21"/>
        <w:ind w:left="574" w:right="0"/>
        <w:jc w:val="left"/>
      </w:pP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18</w:t>
      </w:r>
      <w:r>
        <w:rPr>
          <w:spacing w:val="-5"/>
        </w:rPr>
        <w:t>）北京维恩贝特：北京维恩贝特系维恩贝特的子公司，维恩贝特持有北京维恩贝特</w:t>
      </w:r>
      <w:r>
        <w:rPr>
          <w:rFonts w:ascii="Times New Roman" w:hAnsi="Times New Roman" w:cs="Times New Roman" w:eastAsia="Times New Roman" w:hint="default"/>
          <w:spacing w:val="-5"/>
        </w:rPr>
        <w:t>100%</w:t>
      </w:r>
      <w:r>
        <w:rPr>
          <w:spacing w:val="-5"/>
        </w:rPr>
        <w:t>的股份。</w:t>
      </w:r>
    </w:p>
    <w:p>
      <w:pPr>
        <w:pStyle w:val="BodyText"/>
        <w:spacing w:line="240" w:lineRule="auto" w:before="21"/>
        <w:ind w:left="574" w:right="0"/>
        <w:jc w:val="left"/>
      </w:pP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19</w:t>
      </w:r>
      <w:r>
        <w:rPr>
          <w:spacing w:val="-5"/>
        </w:rPr>
        <w:t>）前海维恩贝特：前海维恩贝特系维恩贝特的子公司，维恩贝特持有前海维恩贝特</w:t>
      </w:r>
      <w:r>
        <w:rPr>
          <w:rFonts w:ascii="Times New Roman" w:hAnsi="Times New Roman" w:cs="Times New Roman" w:eastAsia="Times New Roman" w:hint="default"/>
          <w:spacing w:val="-5"/>
        </w:rPr>
        <w:t>100%</w:t>
      </w:r>
      <w:r>
        <w:rPr>
          <w:spacing w:val="-5"/>
        </w:rPr>
        <w:t>的股份。</w:t>
      </w:r>
    </w:p>
    <w:p>
      <w:pPr>
        <w:pStyle w:val="BodyText"/>
        <w:spacing w:line="240" w:lineRule="auto" w:before="21"/>
        <w:ind w:left="574" w:right="0"/>
        <w:jc w:val="left"/>
      </w:pPr>
      <w:r>
        <w:rPr>
          <w:rFonts w:ascii="Times New Roman" w:hAnsi="Times New Roman" w:cs="Times New Roman" w:eastAsia="Times New Roman" w:hint="default"/>
        </w:rPr>
        <w:t>*</w:t>
      </w:r>
      <w:r>
        <w:rPr/>
        <w:t>（</w:t>
      </w:r>
      <w:r>
        <w:rPr>
          <w:rFonts w:ascii="Times New Roman" w:hAnsi="Times New Roman" w:cs="Times New Roman" w:eastAsia="Times New Roman" w:hint="default"/>
        </w:rPr>
        <w:t>20</w:t>
      </w:r>
      <w:r>
        <w:rPr/>
        <w:t>）澳门维恩贝特：澳门维恩贝特系维恩贝特的子公司，维恩贝特持有澳门维恩贝特</w:t>
      </w:r>
      <w:r>
        <w:rPr>
          <w:rFonts w:ascii="Times New Roman" w:hAnsi="Times New Roman" w:cs="Times New Roman" w:eastAsia="Times New Roman" w:hint="default"/>
        </w:rPr>
        <w:t>99%</w:t>
      </w:r>
      <w:r>
        <w:rPr/>
        <w:t>的股份。</w:t>
      </w:r>
    </w:p>
    <w:p>
      <w:pPr>
        <w:spacing w:line="240" w:lineRule="auto" w:before="0"/>
        <w:rPr>
          <w:rFonts w:ascii="宋体" w:hAnsi="宋体" w:cs="宋体" w:eastAsia="宋体" w:hint="default"/>
          <w:sz w:val="22"/>
          <w:szCs w:val="22"/>
        </w:rPr>
      </w:pPr>
    </w:p>
    <w:p>
      <w:pPr>
        <w:spacing w:line="357" w:lineRule="auto" w:before="152"/>
        <w:ind w:left="154" w:right="2832"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60" w:lineRule="auto" w:before="28"/>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pStyle w:val="Heading5"/>
        <w:spacing w:line="240" w:lineRule="auto"/>
        <w:ind w:right="1972"/>
        <w:jc w:val="left"/>
        <w:rPr>
          <w:b w:val="0"/>
          <w:bCs w:val="0"/>
        </w:rPr>
      </w:pPr>
      <w:bookmarkStart w:name="（2）重要的非全资子公司" w:id="418"/>
      <w:bookmarkEnd w:id="41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692,965.51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5,370,700.05</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-1,687,661.81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3,313,383.22</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25,303,284.50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31,500,000.00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91,027,252.86</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1,009,774.11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1,832,110.18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1,332,468.77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4,309,259.95</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维恩贝特</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-1,535,701.33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127,835.94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安徽迪科数金</w:t>
            </w:r>
            <w:r>
              <w:rPr>
                <w:rFonts w:ascii="Times New Roman" w:hAnsi="Times New Roman" w:cs="Times New Roman" w:eastAsia="Times New Roman" w:hint="default"/>
                <w:sz w:val="18"/>
                <w:szCs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3,780,363.04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5,810,827.41</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w:t>
      </w:r>
    </w:p>
    <w:p>
      <w:pPr>
        <w:pStyle w:val="BodyText"/>
        <w:spacing w:line="256" w:lineRule="auto" w:before="90"/>
        <w:ind w:right="0" w:firstLine="420"/>
        <w:jc w:val="left"/>
      </w:pPr>
      <w:r>
        <w:rPr/>
        <w:t>说明</w:t>
      </w:r>
      <w:r>
        <w:rPr>
          <w:rFonts w:ascii="Times New Roman" w:hAnsi="Times New Roman" w:cs="Times New Roman" w:eastAsia="Times New Roman" w:hint="default"/>
        </w:rPr>
        <w:t>1</w:t>
      </w:r>
      <w:r>
        <w:rPr/>
        <w:t>：本表列示的少数股东损益为维恩贝特合并其子公司数据，期末少数股东权益余额系维恩贝特 合并其子公司期末余额。</w:t>
      </w:r>
    </w:p>
    <w:p>
      <w:pPr>
        <w:pStyle w:val="BodyText"/>
        <w:spacing w:line="256" w:lineRule="auto" w:before="22"/>
        <w:ind w:right="0" w:firstLine="420"/>
        <w:jc w:val="left"/>
      </w:pPr>
      <w:r>
        <w:rPr/>
        <w:t>说明</w:t>
      </w:r>
      <w:r>
        <w:rPr>
          <w:rFonts w:ascii="Times New Roman" w:hAnsi="Times New Roman" w:cs="Times New Roman" w:eastAsia="Times New Roman" w:hint="default"/>
        </w:rPr>
        <w:t>2</w:t>
      </w:r>
      <w:r>
        <w:rPr/>
        <w:t>：本表列示的少数股东损益为安徽迪科数金合并其子公司数据，期末少数股东权益余额系安徽 迪科数金合并其子公司期末余额。</w:t>
      </w:r>
    </w:p>
    <w:p>
      <w:pPr>
        <w:spacing w:after="0" w:line="256"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3）重要非全资子公司的主要财务信息" w:id="419"/>
      <w:bookmarkEnd w:id="41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合肥英 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55,980,5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29.73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56,313,1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11,557,2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68.56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11,557,2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50,881,2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51,022,5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11,151,4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30.92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12,041,4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30.92</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广州易 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14,164,8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64.38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14,546,7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2,013,75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2,113,75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20,213,3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366,268.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20,579,5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1,813,92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1,813,92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4.43</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深圳金 华威</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1,063.34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10,865,8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18.30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1,590,86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6,881.64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1,388,58</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4,097.53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1,388,58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4,097.53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1,172,87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9,489.81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9,342,62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1,182,22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2,117.86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1,036,16</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8,854.85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1,036,16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8,854.85</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广西驿 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4,859,24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4,956,40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1,217,40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0.42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1,217,40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1,918,61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133,598.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2,052,21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13,566,2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70.94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13,601,3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42.98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1,637,45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2,437,45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9,604,93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9,847.84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9,614,78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1,102,89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1,902,89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维恩贝 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313,332,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193.62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33,891,3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72.25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347,223,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565.87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25,133,4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29.27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25,361,0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268,191,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889.00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28,922,8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center"/>
              <w:rPr>
                <w:rFonts w:ascii="Times New Roman" w:hAnsi="Times New Roman" w:cs="Times New Roman" w:eastAsia="Times New Roman" w:hint="default"/>
                <w:sz w:val="18"/>
                <w:szCs w:val="18"/>
              </w:rPr>
            </w:pPr>
            <w:r>
              <w:rPr>
                <w:rFonts w:ascii="Times New Roman"/>
                <w:sz w:val="18"/>
              </w:rPr>
              <w:t>297,114,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705.64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37,764,4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63.46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38,411,0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83.45</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安徽迪 科数金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25,209,6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22.33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22,137,5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47,347,1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38.68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9,277,63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1,751,83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11,029,4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13,988,2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7,537,41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21,525,6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6,626,44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2,208,83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8,835,27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7.94</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48,748,306.4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5,774,712.60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5,774,712.60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4,229,407.51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51,431,693.3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1,369,278.00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1,369,278.00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-254,179.67</w:t>
            </w:r>
            <w:r>
              <w:rPr>
                <w:rFonts w:ascii="Times New Roman"/>
                <w:sz w:val="18"/>
              </w:rPr>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17,166,844.5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-6,332,689.68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-6,332,689.68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-2,172,212.53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22,588,978.0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4,177,853.27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4,177,853.27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-2,426,077.91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2,238,069,19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56,229,521.1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56,229,521.1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-210,661,745.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1,842,701,49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46,421,906.1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46,421,906.1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-78,004,586.1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8,098,131.38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2,060,763.48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2,060,763.48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2,772,904.88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1,708,533.65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-1,820,766.17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-1,820,766.17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-602,668.67</w:t>
            </w:r>
            <w:r>
              <w:rPr>
                <w:rFonts w:ascii="Times New Roman"/>
                <w:sz w:val="18"/>
              </w:rPr>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25,762,632.3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3,451,991.66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3,451,991.66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1,394,346.76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20,643,642.5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2,592,698.44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2,592,698.44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2,328,810.65</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232,637,378.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63,158,847.7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63,158,847.7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53,011,987.6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72,980,688.4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32,341,131.6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32,341,131.6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58,872,304.2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安徽迪科数 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172,594,416.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23,627,269.0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23,627,269.0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15,107,995.0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52,672,264.0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2,690,402.33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2,690,402.33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-2,233,422.91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4）使用企业集团资产和清偿企业集团债务的重大限制" w:id="420"/>
      <w:bookmarkEnd w:id="42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5）向纳入合并财务报表范围的结构化主体提供的财务支持或其他支持" w:id="421"/>
      <w:bookmarkEnd w:id="42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2、在子公司的所有者权益份额发生变化且仍控制子公司的交易" w:id="422"/>
      <w:bookmarkEnd w:id="42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在子公司所有者权益份额发生变化的情况说明" w:id="423"/>
      <w:bookmarkEnd w:id="42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2）交易对于少数股东权益及归属于母公司所有者权益的影响" w:id="424"/>
      <w:bookmarkEnd w:id="42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spacing w:before="46"/>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在合营安排或联营企业中的权益" w:id="425"/>
      <w:bookmarkEnd w:id="42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重要的合营企业或联营企业" w:id="426"/>
      <w:bookmarkEnd w:id="42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深圳市汇巨信息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北京信邦安达信 息科技股份有限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广州天源信息科 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1972"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2）重要合营企业的主要财务信息" w:id="427"/>
      <w:bookmarkEnd w:id="427"/>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972"/>
        <w:jc w:val="left"/>
        <w:rPr>
          <w:b w:val="0"/>
          <w:bCs w:val="0"/>
        </w:rPr>
      </w:pPr>
      <w:bookmarkStart w:name="（3）重要联营企业的主要财务信息" w:id="428"/>
      <w:bookmarkEnd w:id="428"/>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2" w:right="47" w:hanging="90"/>
              <w:jc w:val="left"/>
              <w:rPr>
                <w:rFonts w:ascii="宋体" w:hAnsi="宋体" w:cs="宋体" w:eastAsia="宋体" w:hint="default"/>
                <w:sz w:val="18"/>
                <w:szCs w:val="18"/>
              </w:rPr>
            </w:pPr>
            <w:r>
              <w:rPr>
                <w:rFonts w:ascii="宋体" w:hAnsi="宋体" w:cs="宋体" w:eastAsia="宋体" w:hint="default"/>
                <w:sz w:val="18"/>
                <w:szCs w:val="18"/>
              </w:rPr>
              <w:t>深圳市汇巨信息 技术有限公司</w:t>
            </w:r>
          </w:p>
        </w:tc>
        <w:tc>
          <w:tcPr>
            <w:tcW w:w="136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9" w:right="47"/>
              <w:jc w:val="center"/>
              <w:rPr>
                <w:rFonts w:ascii="宋体" w:hAnsi="宋体" w:cs="宋体" w:eastAsia="宋体" w:hint="default"/>
                <w:sz w:val="18"/>
                <w:szCs w:val="18"/>
              </w:rPr>
            </w:pPr>
            <w:r>
              <w:rPr>
                <w:rFonts w:ascii="宋体" w:hAnsi="宋体" w:cs="宋体" w:eastAsia="宋体" w:hint="default"/>
                <w:sz w:val="18"/>
                <w:szCs w:val="18"/>
              </w:rPr>
              <w:t>北京信邦安达信 息科技股份有限 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 w:right="47"/>
              <w:jc w:val="left"/>
              <w:rPr>
                <w:rFonts w:ascii="宋体" w:hAnsi="宋体" w:cs="宋体" w:eastAsia="宋体" w:hint="default"/>
                <w:sz w:val="18"/>
                <w:szCs w:val="18"/>
              </w:rPr>
            </w:pPr>
            <w:r>
              <w:rPr>
                <w:rFonts w:ascii="宋体" w:hAnsi="宋体" w:cs="宋体" w:eastAsia="宋体" w:hint="default"/>
                <w:sz w:val="18"/>
                <w:szCs w:val="18"/>
              </w:rPr>
              <w:t>广州天源信息科 技股份有限公司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7" w:right="47" w:hanging="90"/>
              <w:jc w:val="left"/>
              <w:rPr>
                <w:rFonts w:ascii="宋体" w:hAnsi="宋体" w:cs="宋体" w:eastAsia="宋体" w:hint="default"/>
                <w:sz w:val="18"/>
                <w:szCs w:val="18"/>
              </w:rPr>
            </w:pPr>
            <w:r>
              <w:rPr>
                <w:rFonts w:ascii="宋体" w:hAnsi="宋体" w:cs="宋体" w:eastAsia="宋体" w:hint="default"/>
                <w:sz w:val="18"/>
                <w:szCs w:val="18"/>
              </w:rPr>
              <w:t>深圳市汇巨信息 技术有限公司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北京信邦安达信 息科技股份有限 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广州天源信息科 技股份有限公司</w:t>
            </w:r>
          </w:p>
        </w:tc>
      </w:tr>
      <w:tr>
        <w:trPr>
          <w:trHeight w:val="391"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1378" w:type="dxa"/>
            <w:vMerge/>
            <w:tcBorders>
              <w:left w:val="single" w:sz="9" w:space="0" w:color="D2D2D2"/>
              <w:right w:val="single" w:sz="4" w:space="0" w:color="000000"/>
            </w:tcBorders>
            <w:shd w:val="clear" w:color="auto" w:fill="E0FFFF"/>
          </w:tcPr>
          <w:p>
            <w:pPr/>
          </w:p>
        </w:tc>
        <w:tc>
          <w:tcPr>
            <w:tcW w:w="1368"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r>
      <w:tr>
        <w:trPr>
          <w:trHeight w:val="317"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9" w:space="0" w:color="D2D2D2"/>
              <w:bottom w:val="single" w:sz="4" w:space="0" w:color="000000"/>
              <w:right w:val="single" w:sz="4" w:space="0" w:color="000000"/>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42,184,709.95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11,564,851.38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43,791,294.97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43,230,878.10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15,937,169.89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41,058,326.24</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337,683.26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2,827,845.18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4,043,094.34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291,067.74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1,868,009.93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4,414,136.88</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42,522,393.21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14,392,696.56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47,834,389.31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43,521,945.84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17,805,179.82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45,472,463.12</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2,382,461.53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5,410,078.64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5,963,364.89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3,022,184.90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5,793,578.36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6,789,078.67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3,382,461.53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5,410,078.64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8,363,364.89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5,022,184.90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5,793,578.36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9,189,078.67</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39,139,931.68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8,982,617.92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39,471,024.42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38,499,760.94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12,011,601.46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33,322,357.70</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15,655,972.67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2,176,488.32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12,563,627.07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15,399,904.38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2,910,411.03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10,606,506.46</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42,177,208.80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5,598,971.15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23,871,991.56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41,921,140.50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6,332,893.86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21,914,870.95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12,705,989.06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14,562,615.47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39,883,265.65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21,316,685.39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14,701,815.45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31,207,612.74</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640,170.74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-3,028,983.54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6,148,666.72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3,917,735.09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-2,997,919.90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9,022,014.36</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640,170.74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-3,028,983.54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6,148,666.72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3,917,735.09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-2,997,919.90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9,022,014.36</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4）不重要的合营企业和联营企业的汇总财务信息" w:id="429"/>
      <w:bookmarkEnd w:id="429"/>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5）合营企业或联营企业向本公司转移资金的能力存在重大限制的说明" w:id="430"/>
      <w:bookmarkEnd w:id="430"/>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6）合营企业或联营企业发生的超额亏损" w:id="431"/>
      <w:bookmarkEnd w:id="431"/>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7）与合营企业投资相关的未确认承诺" w:id="432"/>
      <w:bookmarkEnd w:id="432"/>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8）与合营企业或联营企业投资相关的或有负债" w:id="433"/>
      <w:bookmarkEnd w:id="433"/>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4、重要的共同经营" w:id="434"/>
      <w:bookmarkEnd w:id="434"/>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4" w:right="553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bookmarkStart w:name="5、在未纳入合并财务报表范围的结构化主体中的权益" w:id="435"/>
      <w:bookmarkEnd w:id="435"/>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bookmarkStart w:name="6、其他" w:id="436"/>
      <w:bookmarkEnd w:id="436"/>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both"/>
        <w:rPr>
          <w:b w:val="0"/>
          <w:bCs w:val="0"/>
        </w:rPr>
      </w:pPr>
      <w:bookmarkStart w:name="十、与金融工具相关的风险" w:id="437"/>
      <w:bookmarkEnd w:id="437"/>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本公司在经营过程中面临各种金融风险：信用风险、市场风险和流动性风险。公司董事会全面负责风</w:t>
      </w:r>
      <w:r>
        <w:rPr/>
        <w:t> </w:t>
      </w:r>
      <w:r>
        <w:rPr>
          <w:spacing w:val="-1"/>
        </w:rPr>
        <w:t>险管理目标和政策的确定，并对风险管理目标和政策承担最终责任，但是董事会已授权本公司风险管理部</w:t>
      </w:r>
      <w:r>
        <w:rPr>
          <w:spacing w:val="-81"/>
        </w:rPr>
        <w:t> </w:t>
      </w:r>
      <w:r>
        <w:rPr>
          <w:spacing w:val="-81"/>
        </w:rPr>
      </w:r>
      <w:r>
        <w:rPr>
          <w:spacing w:val="-1"/>
        </w:rPr>
        <w:t>门设计和实施能确保风险管理目标和政策得以有效执行的程序。董事会通过风险管理主管递交的月度报告</w:t>
      </w:r>
      <w:r>
        <w:rPr>
          <w:spacing w:val="-81"/>
        </w:rPr>
        <w:t> </w:t>
      </w:r>
      <w:r>
        <w:rPr>
          <w:spacing w:val="-81"/>
        </w:rPr>
      </w:r>
      <w:r>
        <w:rPr>
          <w:spacing w:val="-1"/>
        </w:rPr>
        <w:t>来审查已执行程序的有效性以及风险管理目标和政策的合理性。本公司的内部审计师也会审计风险管理的</w:t>
      </w:r>
      <w:r>
        <w:rPr>
          <w:spacing w:val="-81"/>
        </w:rPr>
        <w:t> </w:t>
      </w:r>
      <w:r>
        <w:rPr>
          <w:spacing w:val="-81"/>
        </w:rPr>
      </w:r>
      <w:r>
        <w:rPr/>
        <w:t>政策和程序，并且将有关发现汇报给审计委员会。</w:t>
      </w:r>
    </w:p>
    <w:p>
      <w:pPr>
        <w:pStyle w:val="BodyText"/>
        <w:spacing w:line="273" w:lineRule="auto"/>
        <w:ind w:right="0" w:firstLine="420"/>
        <w:jc w:val="left"/>
      </w:pPr>
      <w:r>
        <w:rPr>
          <w:spacing w:val="-1"/>
        </w:rPr>
        <w:t>本公司风险管理的总体目标是在不过度影响公司竞争力和应变力的情况下，制定尽可能降低风险的风</w:t>
      </w:r>
      <w:r>
        <w:rPr/>
        <w:t> 险管理政策。</w:t>
      </w:r>
    </w:p>
    <w:p>
      <w:pPr>
        <w:pStyle w:val="BodyText"/>
        <w:spacing w:line="256" w:lineRule="auto"/>
        <w:ind w:left="574" w:right="0" w:firstLine="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14"/>
        </w:rPr>
        <w:t> </w:t>
      </w:r>
      <w:r>
        <w:rPr>
          <w:rFonts w:ascii="宋体" w:hAnsi="宋体" w:cs="宋体" w:eastAsia="宋体" w:hint="default"/>
          <w:b/>
          <w:bCs/>
        </w:rPr>
        <w:t>信用风险</w:t>
      </w:r>
      <w:r>
        <w:rPr>
          <w:rFonts w:ascii="宋体" w:hAnsi="宋体" w:cs="宋体" w:eastAsia="宋体" w:hint="default"/>
          <w:b/>
          <w:bCs/>
          <w:spacing w:val="1"/>
          <w:w w:val="99"/>
        </w:rPr>
        <w:t> </w:t>
      </w:r>
      <w:r>
        <w:rPr>
          <w:spacing w:val="-1"/>
        </w:rPr>
        <w:t>信用风险是指金融工具的一方不履行义务，造成另一方发生财务损失的风险。本公司主要面临赊销导</w:t>
      </w:r>
    </w:p>
    <w:p>
      <w:pPr>
        <w:pStyle w:val="BodyText"/>
        <w:spacing w:line="273" w:lineRule="auto" w:before="22"/>
        <w:ind w:right="1131"/>
        <w:jc w:val="both"/>
      </w:pP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pStyle w:val="BodyText"/>
        <w:spacing w:line="268" w:lineRule="auto"/>
        <w:ind w:right="1116" w:firstLine="420"/>
        <w:jc w:val="left"/>
      </w:pPr>
      <w:r>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 </w:t>
      </w:r>
      <w:r>
        <w:rPr>
          <w:spacing w:val="-1"/>
        </w:rPr>
        <w:t>客户会放在受限制客户名单里，并且只有在额外批准的前提下，公司才可在未来期间内对其赊销，否则必</w:t>
      </w:r>
      <w:r>
        <w:rPr>
          <w:spacing w:val="-83"/>
        </w:rPr>
        <w:t> </w:t>
      </w:r>
      <w:r>
        <w:rPr>
          <w:spacing w:val="-83"/>
        </w:rPr>
      </w:r>
      <w:r>
        <w:rPr/>
        <w:t>须要求其提前支付相应款项。</w:t>
      </w:r>
    </w:p>
    <w:p>
      <w:pPr>
        <w:spacing w:line="240" w:lineRule="auto" w:before="10"/>
        <w:rPr>
          <w:rFonts w:ascii="宋体" w:hAnsi="宋体" w:cs="宋体" w:eastAsia="宋体" w:hint="default"/>
          <w:sz w:val="24"/>
          <w:szCs w:val="24"/>
        </w:rPr>
      </w:pPr>
    </w:p>
    <w:p>
      <w:pPr>
        <w:pStyle w:val="BodyText"/>
        <w:spacing w:line="256" w:lineRule="auto" w:before="0"/>
        <w:ind w:left="574" w:right="0" w:firstLine="2"/>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14"/>
        </w:rPr>
        <w:t> </w:t>
      </w:r>
      <w:r>
        <w:rPr>
          <w:rFonts w:ascii="宋体" w:hAnsi="宋体" w:cs="宋体" w:eastAsia="宋体" w:hint="default"/>
          <w:b/>
          <w:bCs/>
        </w:rPr>
        <w:t>市场风险</w:t>
      </w:r>
      <w:r>
        <w:rPr>
          <w:rFonts w:ascii="宋体" w:hAnsi="宋体" w:cs="宋体" w:eastAsia="宋体" w:hint="default"/>
          <w:b/>
          <w:bCs/>
          <w:spacing w:val="1"/>
          <w:w w:val="99"/>
        </w:rPr>
        <w:t> </w:t>
      </w:r>
      <w:r>
        <w:rPr/>
        <w:t>金融工具的市场风险，是指金融工具的公允价值或未来现金流量因市场价格变动而发生波动的风险，</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包括汇率风险、利率风险和其他价格风险。</w:t>
      </w:r>
    </w:p>
    <w:p>
      <w:pPr>
        <w:pStyle w:val="BodyText"/>
        <w:spacing w:line="256" w:lineRule="auto" w:before="37"/>
        <w:ind w:left="574" w:right="0"/>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w:t>
      </w:r>
    </w:p>
    <w:p>
      <w:pPr>
        <w:pStyle w:val="BodyText"/>
        <w:spacing w:line="240" w:lineRule="auto" w:before="22"/>
        <w:ind w:right="0"/>
        <w:jc w:val="both"/>
      </w:pPr>
      <w:r>
        <w:rPr/>
        <w:t>的利率风险主要来源于银行长期借款以及应付债券。公司目前的政策是固定利率借款占外部借款的</w:t>
      </w:r>
    </w:p>
    <w:p>
      <w:pPr>
        <w:pStyle w:val="BodyText"/>
        <w:spacing w:line="264" w:lineRule="auto" w:before="37"/>
        <w:ind w:right="1131"/>
        <w:jc w:val="both"/>
      </w:pPr>
      <w:r>
        <w:rPr>
          <w:rFonts w:ascii="Times New Roman" w:hAnsi="Times New Roman" w:cs="Times New Roman" w:eastAsia="Times New Roman" w:hint="default"/>
          <w:spacing w:val="-1"/>
        </w:rPr>
        <w:t>70%-80%</w:t>
      </w:r>
      <w:r>
        <w:rPr>
          <w:spacing w:val="-1"/>
        </w:rPr>
        <w:t>。为维持该比例，本公司可能运用利率互换以实现预期的利率结构。尽管该政策不能使本公司完</w:t>
      </w:r>
      <w:r>
        <w:rPr>
          <w:spacing w:val="-83"/>
        </w:rPr>
        <w:t> </w:t>
      </w:r>
      <w:r>
        <w:rPr>
          <w:spacing w:val="-83"/>
        </w:rPr>
      </w:r>
      <w:r>
        <w:rPr>
          <w:spacing w:val="-1"/>
        </w:rPr>
        <w:t>全避免支付的利率超出现行市场利率的风险，也不能完全消除与利息支付波动相关的现金流量风险，但是</w:t>
      </w:r>
      <w:r>
        <w:rPr>
          <w:spacing w:val="-82"/>
        </w:rPr>
        <w:t> </w:t>
      </w:r>
      <w:r>
        <w:rPr>
          <w:spacing w:val="-82"/>
        </w:rPr>
      </w:r>
      <w:r>
        <w:rPr/>
        <w:t>管理层认为该政策实现了这些风险之间的合理平衡。</w:t>
      </w:r>
    </w:p>
    <w:p>
      <w:pPr>
        <w:pStyle w:val="BodyText"/>
        <w:spacing w:line="256" w:lineRule="auto" w:before="16"/>
        <w:ind w:right="1214" w:firstLine="42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100 </w:t>
      </w:r>
      <w:r>
        <w:rPr/>
        <w:t>个基点，则本公司的净利润将减少或增加</w:t>
      </w:r>
      <w:r>
        <w:rPr>
          <w:rFonts w:ascii="Times New Roman" w:hAnsi="Times New Roman" w:cs="Times New Roman" w:eastAsia="Times New Roman" w:hint="default"/>
        </w:rPr>
        <w:t>6,980,000.00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4,236,324.82</w:t>
      </w:r>
      <w:r>
        <w:rPr/>
        <w:t>元）。管理层认 为</w:t>
      </w:r>
      <w:r>
        <w:rPr>
          <w:rFonts w:ascii="Times New Roman" w:hAnsi="Times New Roman" w:cs="Times New Roman" w:eastAsia="Times New Roman" w:hint="default"/>
        </w:rPr>
        <w:t>100</w:t>
      </w:r>
      <w:r>
        <w:rPr/>
        <w:t>个基点合理反映了下一年度利率可能发生变动的合理范围。</w:t>
      </w:r>
    </w:p>
    <w:p>
      <w:pPr>
        <w:pStyle w:val="BodyText"/>
        <w:spacing w:line="256" w:lineRule="auto" w:before="5"/>
        <w:ind w:left="574" w:right="0"/>
        <w:jc w:val="left"/>
      </w:pPr>
      <w:r>
        <w:rPr/>
        <w:t>（</w:t>
      </w:r>
      <w:r>
        <w:rPr>
          <w:rFonts w:ascii="Times New Roman" w:hAnsi="Times New Roman" w:cs="Times New Roman" w:eastAsia="Times New Roman" w:hint="default"/>
        </w:rPr>
        <w:t>2</w:t>
      </w:r>
      <w:r>
        <w:rPr/>
        <w:t>）汇率风险 </w:t>
      </w:r>
      <w:r>
        <w:rPr>
          <w:spacing w:val="-1"/>
        </w:rPr>
        <w:t>汇率风险，是指金融工具的公允价值或未来现金流量因外汇汇率变动而发生波动的风险。本公司主要</w:t>
      </w:r>
    </w:p>
    <w:p>
      <w:pPr>
        <w:pStyle w:val="BodyText"/>
        <w:spacing w:line="240" w:lineRule="auto" w:before="22"/>
        <w:ind w:right="0"/>
        <w:jc w:val="both"/>
      </w:pPr>
      <w:r>
        <w:rPr/>
        <w:t>业务在境内，境外业务占比较小，外汇汇率变动不会对本公司的净利润产生重大影响。</w:t>
      </w:r>
    </w:p>
    <w:p>
      <w:pPr>
        <w:pStyle w:val="BodyText"/>
        <w:spacing w:line="256" w:lineRule="auto" w:before="37"/>
        <w:ind w:left="574" w:right="6552"/>
        <w:jc w:val="left"/>
      </w:pPr>
      <w:r>
        <w:rPr/>
        <w:t>（</w:t>
      </w:r>
      <w:r>
        <w:rPr>
          <w:rFonts w:ascii="Times New Roman" w:hAnsi="Times New Roman" w:cs="Times New Roman" w:eastAsia="Times New Roman" w:hint="default"/>
        </w:rPr>
        <w:t>3</w:t>
      </w:r>
      <w:r>
        <w:rPr/>
        <w:t>）其他价格风险 本公司未持有其他上市公司的权益投资。</w:t>
      </w:r>
    </w:p>
    <w:p>
      <w:pPr>
        <w:spacing w:line="240" w:lineRule="auto" w:before="7"/>
        <w:rPr>
          <w:rFonts w:ascii="宋体" w:hAnsi="宋体" w:cs="宋体" w:eastAsia="宋体" w:hint="default"/>
          <w:sz w:val="25"/>
          <w:szCs w:val="25"/>
        </w:rPr>
      </w:pPr>
    </w:p>
    <w:p>
      <w:pPr>
        <w:pStyle w:val="BodyText"/>
        <w:spacing w:line="256" w:lineRule="auto" w:before="0"/>
        <w:ind w:left="574" w:right="0" w:firstLine="2"/>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13"/>
        </w:rPr>
        <w:t> </w:t>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w:t>
      </w:r>
    </w:p>
    <w:p>
      <w:pPr>
        <w:pStyle w:val="BodyText"/>
        <w:spacing w:line="264" w:lineRule="auto" w:before="22"/>
        <w:ind w:right="113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pStyle w:val="BodyText"/>
        <w:spacing w:line="240" w:lineRule="auto" w:before="16"/>
        <w:ind w:left="574" w:right="1972"/>
        <w:jc w:val="left"/>
      </w:pPr>
      <w:r>
        <w:rPr/>
        <w:t>本公司各项金融负债以未折现的合同现金流量按到期日列示如下：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753" w:type="dxa"/>
        <w:tblLayout w:type="fixed"/>
        <w:tblCellMar>
          <w:top w:w="0" w:type="dxa"/>
          <w:left w:w="0" w:type="dxa"/>
          <w:bottom w:w="0" w:type="dxa"/>
          <w:right w:w="0" w:type="dxa"/>
        </w:tblCellMar>
        <w:tblLook w:val="01E0"/>
      </w:tblPr>
      <w:tblGrid>
        <w:gridCol w:w="1378"/>
        <w:gridCol w:w="1560"/>
        <w:gridCol w:w="1278"/>
        <w:gridCol w:w="1134"/>
        <w:gridCol w:w="1275"/>
        <w:gridCol w:w="1567"/>
      </w:tblGrid>
      <w:tr>
        <w:trPr>
          <w:trHeight w:val="329" w:hRule="exact"/>
        </w:trPr>
        <w:tc>
          <w:tcPr>
            <w:tcW w:w="1378" w:type="dxa"/>
            <w:vMerge w:val="restart"/>
            <w:tcBorders>
              <w:top w:val="single" w:sz="6" w:space="0" w:color="000000"/>
              <w:left w:val="single" w:sz="6" w:space="0" w:color="000000"/>
              <w:right w:val="single" w:sz="6" w:space="0" w:color="000000"/>
            </w:tcBorders>
            <w:shd w:val="clear" w:color="auto" w:fill="D6D6D6"/>
          </w:tcPr>
          <w:p>
            <w:pPr>
              <w:pStyle w:val="TableParagraph"/>
              <w:spacing w:line="265" w:lineRule="exact"/>
              <w:ind w:left="387"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6814" w:type="dxa"/>
            <w:gridSpan w:val="5"/>
            <w:tcBorders>
              <w:top w:val="single" w:sz="6" w:space="0" w:color="000000"/>
              <w:left w:val="single" w:sz="6" w:space="0" w:color="000000"/>
              <w:bottom w:val="single" w:sz="12" w:space="0" w:color="000000"/>
              <w:right w:val="nil" w:sz="6" w:space="0" w:color="auto"/>
            </w:tcBorders>
            <w:shd w:val="clear" w:color="auto" w:fill="D6D6D6"/>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77" w:hRule="exact"/>
        </w:trPr>
        <w:tc>
          <w:tcPr>
            <w:tcW w:w="1378" w:type="dxa"/>
            <w:vMerge/>
            <w:tcBorders>
              <w:left w:val="single" w:sz="6" w:space="0" w:color="000000"/>
              <w:bottom w:val="single" w:sz="12" w:space="0" w:color="000000"/>
              <w:right w:val="single" w:sz="6" w:space="0" w:color="000000"/>
            </w:tcBorders>
            <w:shd w:val="clear" w:color="auto" w:fill="D6D6D6"/>
          </w:tcPr>
          <w:p>
            <w:pPr/>
          </w:p>
        </w:tc>
        <w:tc>
          <w:tcPr>
            <w:tcW w:w="1560"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40" w:lineRule="auto" w:before="5"/>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78"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40" w:lineRule="auto" w:before="5"/>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134"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40" w:lineRule="auto" w:before="5"/>
              <w:ind w:left="1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27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40" w:lineRule="auto" w:before="5"/>
              <w:ind w:left="314" w:right="0"/>
              <w:jc w:val="left"/>
              <w:rPr>
                <w:rFonts w:ascii="宋体" w:hAnsi="宋体" w:cs="宋体" w:eastAsia="宋体" w:hint="default"/>
                <w:sz w:val="21"/>
                <w:szCs w:val="21"/>
              </w:rPr>
            </w:pPr>
            <w:r>
              <w:rPr>
                <w:rFonts w:ascii="宋体" w:hAnsi="宋体" w:cs="宋体" w:eastAsia="宋体" w:hint="default"/>
                <w:sz w:val="21"/>
                <w:szCs w:val="21"/>
              </w:rPr>
              <w:t>无期限</w:t>
            </w:r>
          </w:p>
        </w:tc>
        <w:tc>
          <w:tcPr>
            <w:tcW w:w="1567" w:type="dxa"/>
            <w:tcBorders>
              <w:top w:val="single" w:sz="12" w:space="0" w:color="000000"/>
              <w:left w:val="single" w:sz="6" w:space="0" w:color="000000"/>
              <w:bottom w:val="single" w:sz="12" w:space="0" w:color="000000"/>
              <w:right w:val="nil" w:sz="6" w:space="0" w:color="auto"/>
            </w:tcBorders>
            <w:shd w:val="clear" w:color="auto" w:fill="D6D6D6"/>
          </w:tcPr>
          <w:p>
            <w:pPr>
              <w:pStyle w:val="TableParagraph"/>
              <w:spacing w:line="240" w:lineRule="auto" w:before="5"/>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67" w:hRule="exact"/>
        </w:trPr>
        <w:tc>
          <w:tcPr>
            <w:tcW w:w="1378"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1"/>
                <w:szCs w:val="21"/>
              </w:rPr>
            </w:pPr>
            <w:r>
              <w:rPr>
                <w:rFonts w:ascii="Times New Roman"/>
                <w:spacing w:val="-1"/>
                <w:sz w:val="21"/>
              </w:rPr>
              <w:t>966,000,000.00</w:t>
            </w:r>
          </w:p>
        </w:tc>
        <w:tc>
          <w:tcPr>
            <w:tcW w:w="1278"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275" w:type="dxa"/>
            <w:tcBorders>
              <w:top w:val="single" w:sz="12" w:space="0" w:color="000000"/>
              <w:left w:val="single" w:sz="6" w:space="0" w:color="000000"/>
              <w:bottom w:val="single" w:sz="12" w:space="0" w:color="000000"/>
              <w:right w:val="single" w:sz="6" w:space="0" w:color="000000"/>
            </w:tcBorders>
          </w:tcPr>
          <w:p>
            <w:pPr/>
          </w:p>
        </w:tc>
        <w:tc>
          <w:tcPr>
            <w:tcW w:w="15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right="4"/>
              <w:jc w:val="right"/>
              <w:rPr>
                <w:rFonts w:ascii="Times New Roman" w:hAnsi="Times New Roman" w:cs="Times New Roman" w:eastAsia="Times New Roman" w:hint="default"/>
                <w:sz w:val="21"/>
                <w:szCs w:val="21"/>
              </w:rPr>
            </w:pPr>
            <w:r>
              <w:rPr>
                <w:rFonts w:ascii="Times New Roman"/>
                <w:spacing w:val="-1"/>
                <w:sz w:val="21"/>
              </w:rPr>
              <w:t>966,000,000.00</w:t>
            </w:r>
          </w:p>
        </w:tc>
      </w:tr>
      <w:tr>
        <w:trPr>
          <w:trHeight w:val="665" w:hRule="exact"/>
        </w:trPr>
        <w:tc>
          <w:tcPr>
            <w:tcW w:w="1378"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应付账款及应</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付票据</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59,909,773.86</w:t>
            </w:r>
          </w:p>
        </w:tc>
        <w:tc>
          <w:tcPr>
            <w:tcW w:w="12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8,380,869.57</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88,000.00</w:t>
            </w:r>
          </w:p>
        </w:tc>
        <w:tc>
          <w:tcPr>
            <w:tcW w:w="1275" w:type="dxa"/>
            <w:tcBorders>
              <w:top w:val="single" w:sz="12" w:space="0" w:color="000000"/>
              <w:left w:val="single" w:sz="6" w:space="0" w:color="000000"/>
              <w:bottom w:val="single" w:sz="12" w:space="0" w:color="000000"/>
              <w:right w:val="single" w:sz="6" w:space="0" w:color="000000"/>
            </w:tcBorders>
          </w:tcPr>
          <w:p>
            <w:pPr/>
          </w:p>
        </w:tc>
        <w:tc>
          <w:tcPr>
            <w:tcW w:w="15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68,378,643.43</w:t>
            </w:r>
          </w:p>
        </w:tc>
      </w:tr>
      <w:tr>
        <w:trPr>
          <w:trHeight w:val="352" w:hRule="exact"/>
        </w:trPr>
        <w:tc>
          <w:tcPr>
            <w:tcW w:w="1378"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30,961,070.31</w:t>
            </w:r>
          </w:p>
        </w:tc>
        <w:tc>
          <w:tcPr>
            <w:tcW w:w="12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3,851,769.96</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126,700.99</w:t>
            </w:r>
          </w:p>
        </w:tc>
        <w:tc>
          <w:tcPr>
            <w:tcW w:w="1275" w:type="dxa"/>
            <w:tcBorders>
              <w:top w:val="single" w:sz="12" w:space="0" w:color="000000"/>
              <w:left w:val="single" w:sz="6" w:space="0" w:color="000000"/>
              <w:bottom w:val="single" w:sz="12" w:space="0" w:color="000000"/>
              <w:right w:val="single" w:sz="6" w:space="0" w:color="000000"/>
            </w:tcBorders>
          </w:tcPr>
          <w:p>
            <w:pPr/>
          </w:p>
        </w:tc>
        <w:tc>
          <w:tcPr>
            <w:tcW w:w="15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34,939,541.26</w:t>
            </w:r>
          </w:p>
        </w:tc>
      </w:tr>
      <w:tr>
        <w:trPr>
          <w:trHeight w:val="664" w:hRule="exact"/>
        </w:trPr>
        <w:tc>
          <w:tcPr>
            <w:tcW w:w="1378"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229,900,156.79</w:t>
            </w:r>
          </w:p>
        </w:tc>
        <w:tc>
          <w:tcPr>
            <w:tcW w:w="1278"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275" w:type="dxa"/>
            <w:tcBorders>
              <w:top w:val="single" w:sz="12" w:space="0" w:color="000000"/>
              <w:left w:val="single" w:sz="6" w:space="0" w:color="000000"/>
              <w:bottom w:val="single" w:sz="12" w:space="0" w:color="000000"/>
              <w:right w:val="single" w:sz="6" w:space="0" w:color="000000"/>
            </w:tcBorders>
          </w:tcPr>
          <w:p>
            <w:pPr/>
          </w:p>
        </w:tc>
        <w:tc>
          <w:tcPr>
            <w:tcW w:w="15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229,900,156.79</w:t>
            </w:r>
          </w:p>
        </w:tc>
      </w:tr>
      <w:tr>
        <w:trPr>
          <w:trHeight w:val="353" w:hRule="exact"/>
        </w:trPr>
        <w:tc>
          <w:tcPr>
            <w:tcW w:w="1378"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1,286,771,000.96</w:t>
            </w:r>
          </w:p>
        </w:tc>
        <w:tc>
          <w:tcPr>
            <w:tcW w:w="12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12,232,639.53</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214,700.99</w:t>
            </w:r>
          </w:p>
        </w:tc>
        <w:tc>
          <w:tcPr>
            <w:tcW w:w="1275" w:type="dxa"/>
            <w:tcBorders>
              <w:top w:val="single" w:sz="12" w:space="0" w:color="000000"/>
              <w:left w:val="single" w:sz="6" w:space="0" w:color="000000"/>
              <w:bottom w:val="single" w:sz="12" w:space="0" w:color="000000"/>
              <w:right w:val="single" w:sz="6" w:space="0" w:color="000000"/>
            </w:tcBorders>
          </w:tcPr>
          <w:p>
            <w:pPr/>
          </w:p>
        </w:tc>
        <w:tc>
          <w:tcPr>
            <w:tcW w:w="15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1,299,218,341.48</w:t>
            </w:r>
          </w:p>
        </w:tc>
      </w:tr>
    </w:tbl>
    <w:p>
      <w:pPr>
        <w:spacing w:line="240" w:lineRule="auto" w:before="3"/>
        <w:rPr>
          <w:rFonts w:ascii="宋体" w:hAnsi="宋体" w:cs="宋体" w:eastAsia="宋体" w:hint="default"/>
          <w:sz w:val="24"/>
          <w:szCs w:val="24"/>
        </w:rPr>
      </w:pPr>
    </w:p>
    <w:tbl>
      <w:tblPr>
        <w:tblW w:w="0" w:type="auto"/>
        <w:jc w:val="left"/>
        <w:tblInd w:w="753" w:type="dxa"/>
        <w:tblLayout w:type="fixed"/>
        <w:tblCellMar>
          <w:top w:w="0" w:type="dxa"/>
          <w:left w:w="0" w:type="dxa"/>
          <w:bottom w:w="0" w:type="dxa"/>
          <w:right w:w="0" w:type="dxa"/>
        </w:tblCellMar>
        <w:tblLook w:val="01E0"/>
      </w:tblPr>
      <w:tblGrid>
        <w:gridCol w:w="1235"/>
        <w:gridCol w:w="1561"/>
        <w:gridCol w:w="1422"/>
        <w:gridCol w:w="1272"/>
        <w:gridCol w:w="994"/>
        <w:gridCol w:w="1694"/>
      </w:tblGrid>
      <w:tr>
        <w:trPr>
          <w:trHeight w:val="329" w:hRule="exact"/>
        </w:trPr>
        <w:tc>
          <w:tcPr>
            <w:tcW w:w="1235" w:type="dxa"/>
            <w:vMerge w:val="restart"/>
            <w:tcBorders>
              <w:top w:val="single" w:sz="6" w:space="0" w:color="000000"/>
              <w:left w:val="single" w:sz="6" w:space="0" w:color="000000"/>
              <w:right w:val="single" w:sz="6" w:space="0" w:color="000000"/>
            </w:tcBorders>
            <w:shd w:val="clear" w:color="auto" w:fill="D6D6D6"/>
          </w:tcPr>
          <w:p>
            <w:pPr>
              <w:pStyle w:val="TableParagraph"/>
              <w:spacing w:line="265" w:lineRule="exact"/>
              <w:ind w:left="315"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6944" w:type="dxa"/>
            <w:gridSpan w:val="5"/>
            <w:tcBorders>
              <w:top w:val="single" w:sz="6" w:space="0" w:color="000000"/>
              <w:left w:val="single" w:sz="6" w:space="0" w:color="000000"/>
              <w:bottom w:val="single" w:sz="12" w:space="0" w:color="000000"/>
              <w:right w:val="nil" w:sz="6" w:space="0" w:color="auto"/>
            </w:tcBorders>
            <w:shd w:val="clear" w:color="auto" w:fill="D6D6D6"/>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67" w:hRule="exact"/>
        </w:trPr>
        <w:tc>
          <w:tcPr>
            <w:tcW w:w="1235" w:type="dxa"/>
            <w:vMerge/>
            <w:tcBorders>
              <w:left w:val="single" w:sz="6" w:space="0" w:color="000000"/>
              <w:bottom w:val="single" w:sz="12" w:space="0" w:color="000000"/>
              <w:right w:val="single" w:sz="6" w:space="0" w:color="000000"/>
            </w:tcBorders>
            <w:shd w:val="clear" w:color="auto" w:fill="D6D6D6"/>
          </w:tcPr>
          <w:p>
            <w:pPr/>
          </w:p>
        </w:tc>
        <w:tc>
          <w:tcPr>
            <w:tcW w:w="1561"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40" w:lineRule="auto" w:before="5"/>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22"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40" w:lineRule="auto" w:before="5"/>
              <w:ind w:left="4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272"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40" w:lineRule="auto" w:before="5"/>
              <w:ind w:left="2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994"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40" w:lineRule="auto" w:before="5"/>
              <w:ind w:left="173" w:right="0"/>
              <w:jc w:val="left"/>
              <w:rPr>
                <w:rFonts w:ascii="宋体" w:hAnsi="宋体" w:cs="宋体" w:eastAsia="宋体" w:hint="default"/>
                <w:sz w:val="21"/>
                <w:szCs w:val="21"/>
              </w:rPr>
            </w:pPr>
            <w:r>
              <w:rPr>
                <w:rFonts w:ascii="宋体" w:hAnsi="宋体" w:cs="宋体" w:eastAsia="宋体" w:hint="default"/>
                <w:sz w:val="21"/>
                <w:szCs w:val="21"/>
              </w:rPr>
              <w:t>无期限</w:t>
            </w:r>
          </w:p>
        </w:tc>
        <w:tc>
          <w:tcPr>
            <w:tcW w:w="1694" w:type="dxa"/>
            <w:tcBorders>
              <w:top w:val="single" w:sz="12" w:space="0" w:color="000000"/>
              <w:left w:val="single" w:sz="6" w:space="0" w:color="000000"/>
              <w:bottom w:val="single" w:sz="12" w:space="0" w:color="000000"/>
              <w:right w:val="nil" w:sz="6" w:space="0" w:color="auto"/>
            </w:tcBorders>
            <w:shd w:val="clear" w:color="auto" w:fill="D6D6D6"/>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8" w:hRule="exact"/>
        </w:trPr>
        <w:tc>
          <w:tcPr>
            <w:tcW w:w="123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长短期借款</w:t>
            </w:r>
          </w:p>
        </w:tc>
        <w:tc>
          <w:tcPr>
            <w:tcW w:w="1561"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681,000,000.00</w:t>
            </w:r>
          </w:p>
        </w:tc>
        <w:tc>
          <w:tcPr>
            <w:tcW w:w="1422"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30,000,000.00</w:t>
            </w:r>
          </w:p>
        </w:tc>
        <w:tc>
          <w:tcPr>
            <w:tcW w:w="1272" w:type="dxa"/>
            <w:tcBorders>
              <w:top w:val="single" w:sz="16" w:space="0" w:color="000000"/>
              <w:left w:val="single" w:sz="6" w:space="0" w:color="000000"/>
              <w:bottom w:val="single" w:sz="12" w:space="0" w:color="000000"/>
              <w:right w:val="single" w:sz="6" w:space="0" w:color="000000"/>
            </w:tcBorders>
          </w:tcPr>
          <w:p>
            <w:pPr/>
          </w:p>
        </w:tc>
        <w:tc>
          <w:tcPr>
            <w:tcW w:w="994" w:type="dxa"/>
            <w:tcBorders>
              <w:top w:val="single" w:sz="16" w:space="0" w:color="000000"/>
              <w:left w:val="single" w:sz="6" w:space="0" w:color="000000"/>
              <w:bottom w:val="single" w:sz="12" w:space="0" w:color="000000"/>
              <w:right w:val="single" w:sz="6" w:space="0" w:color="000000"/>
            </w:tcBorders>
          </w:tcPr>
          <w:p>
            <w:pPr/>
          </w:p>
        </w:tc>
        <w:tc>
          <w:tcPr>
            <w:tcW w:w="1694" w:type="dxa"/>
            <w:tcBorders>
              <w:top w:val="single" w:sz="16" w:space="0" w:color="000000"/>
              <w:left w:val="single" w:sz="6" w:space="0" w:color="000000"/>
              <w:bottom w:val="single" w:sz="12" w:space="0" w:color="000000"/>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711,000,000.00</w:t>
            </w:r>
          </w:p>
        </w:tc>
      </w:tr>
      <w:tr>
        <w:trPr>
          <w:trHeight w:val="664" w:hRule="exact"/>
        </w:trPr>
        <w:tc>
          <w:tcPr>
            <w:tcW w:w="123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应付账款及</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18,724,203.17</w:t>
            </w:r>
          </w:p>
        </w:tc>
        <w:tc>
          <w:tcPr>
            <w:tcW w:w="14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9,977,924.20</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620,798.02</w:t>
            </w:r>
          </w:p>
        </w:tc>
        <w:tc>
          <w:tcPr>
            <w:tcW w:w="994"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29,322,925.39</w:t>
            </w:r>
          </w:p>
        </w:tc>
      </w:tr>
      <w:tr>
        <w:trPr>
          <w:trHeight w:val="352" w:hRule="exact"/>
        </w:trPr>
        <w:tc>
          <w:tcPr>
            <w:tcW w:w="123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7,949,770.46</w:t>
            </w:r>
          </w:p>
        </w:tc>
        <w:tc>
          <w:tcPr>
            <w:tcW w:w="14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2,341,071.83</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48,464.50</w:t>
            </w:r>
          </w:p>
        </w:tc>
        <w:tc>
          <w:tcPr>
            <w:tcW w:w="994"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10,339,306.79</w:t>
            </w:r>
          </w:p>
        </w:tc>
      </w:tr>
      <w:tr>
        <w:trPr>
          <w:trHeight w:val="353" w:hRule="exact"/>
        </w:trPr>
        <w:tc>
          <w:tcPr>
            <w:tcW w:w="1235" w:type="dxa"/>
            <w:tcBorders>
              <w:top w:val="single" w:sz="12" w:space="0" w:color="000000"/>
              <w:left w:val="single" w:sz="6" w:space="0" w:color="000000"/>
              <w:bottom w:val="single" w:sz="12" w:space="0" w:color="000000"/>
              <w:right w:val="single" w:sz="6" w:space="0" w:color="000000"/>
            </w:tcBorders>
            <w:shd w:val="clear" w:color="auto" w:fill="D6D6D6"/>
          </w:tcPr>
          <w:p>
            <w:pPr>
              <w:pStyle w:val="TableParagraph"/>
              <w:spacing w:line="260" w:lineRule="exact"/>
              <w:ind w:left="35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707,673,973.63</w:t>
            </w:r>
          </w:p>
        </w:tc>
        <w:tc>
          <w:tcPr>
            <w:tcW w:w="14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42,318,996.03</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669,262.52</w:t>
            </w:r>
          </w:p>
        </w:tc>
        <w:tc>
          <w:tcPr>
            <w:tcW w:w="994"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750,662,232.18</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1972"/>
        <w:jc w:val="left"/>
        <w:rPr>
          <w:b w:val="0"/>
          <w:bCs w:val="0"/>
        </w:rPr>
      </w:pPr>
      <w:bookmarkStart w:name="十一、公允价值的披露" w:id="438"/>
      <w:bookmarkEnd w:id="438"/>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以公允价值计量的资产和负债的期末公允价值" w:id="439"/>
      <w:bookmarkEnd w:id="439"/>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2、持续和非持续第一层次公允价值计量项目市价的确定依据" w:id="440"/>
      <w:bookmarkEnd w:id="440"/>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3、持续和非持续第二层次公允价值计量项目，采用的估值技术和重要参数的定性及定量信" w:id="441"/>
      <w:bookmarkEnd w:id="441"/>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4、持续和非持续第三层次公允价值计量项目，采用的估值技术和重要参数的定性及定量信" w:id="442"/>
      <w:bookmarkEnd w:id="442"/>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持续的第三层次公允价值计量项目，期初与期末账面价值间的调节信息及不可观察参数" w:id="443"/>
      <w:bookmarkEnd w:id="443"/>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持续的公允价值计量项目，本期内发生各层级之间转换的，转换的原因及确定转换时点" w:id="444"/>
      <w:bookmarkEnd w:id="444"/>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7、本期内发生的估值技术变更及变更原因" w:id="445"/>
      <w:bookmarkEnd w:id="445"/>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8、不以公允价值计量的金融资产和金融负债的公允价值情况" w:id="446"/>
      <w:bookmarkEnd w:id="446"/>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47"/>
      <w:bookmarkEnd w:id="447"/>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8"/>
      <w:bookmarkEnd w:id="44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9"/>
      <w:bookmarkEnd w:id="44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73" w:lineRule="auto" w:before="90"/>
        <w:ind w:left="868" w:right="1218"/>
        <w:jc w:val="left"/>
      </w:pPr>
      <w:r>
        <w:rPr/>
        <w:t>本公司股权结构较为分散，不存在控股股东和实际控制人，亦不存在多人共同拥有公司控制权的 情形。</w:t>
      </w:r>
    </w:p>
    <w:p>
      <w:pPr>
        <w:spacing w:line="240" w:lineRule="auto" w:before="7"/>
        <w:rPr>
          <w:rFonts w:ascii="宋体" w:hAnsi="宋体" w:cs="宋体" w:eastAsia="宋体" w:hint="default"/>
          <w:sz w:val="29"/>
          <w:szCs w:val="29"/>
        </w:rPr>
      </w:pPr>
    </w:p>
    <w:p>
      <w:pPr>
        <w:spacing w:line="357"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本企业最终控制方是。 其他说明：</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4" w:right="6092" w:firstLine="0"/>
        <w:jc w:val="left"/>
        <w:rPr>
          <w:rFonts w:ascii="宋体" w:hAnsi="宋体" w:cs="宋体" w:eastAsia="宋体" w:hint="default"/>
          <w:sz w:val="21"/>
          <w:szCs w:val="21"/>
        </w:rPr>
      </w:pPr>
      <w:bookmarkStart w:name="2、本企业的子公司情况" w:id="450"/>
      <w:bookmarkEnd w:id="45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51"/>
      <w:bookmarkEnd w:id="45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51"/>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东南亚电信集团股份有限公司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本公司投资的其他企业，本公司持股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3.1527%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陈友、汪东升、杨文庆、谢晓宾、李谦益、陈鲁康、陈兵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张媛、梁凌琳、代静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梁金华、郑飞、盛宝军、张卫华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陈秀琴、林容、管四新、代峰、罗赞、钱文胜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本公司董事陈兵担任董事的公司，维恩贝特持股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深圳爱淘苗电子商务科技有限公司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本公司独立董事张卫华担任董事长的公司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深圳迅销科技股份有限公司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本公司子公司维恩贝特所持股公司，持其股份为：</w:t>
            </w:r>
            <w:r>
              <w:rPr>
                <w:rFonts w:ascii="Times New Roman" w:hAnsi="Times New Roman" w:cs="Times New Roman" w:eastAsia="Times New Roman" w:hint="default"/>
                <w:sz w:val="18"/>
                <w:szCs w:val="18"/>
              </w:rPr>
              <w:t>1.749%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中电达通数据技术股份有限公司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本公司子公司维恩贝特所持股公司，持其股份为：</w:t>
            </w:r>
            <w:r>
              <w:rPr>
                <w:rFonts w:ascii="Times New Roman" w:hAnsi="Times New Roman" w:cs="Times New Roman" w:eastAsia="Times New Roman" w:hint="default"/>
                <w:sz w:val="18"/>
                <w:szCs w:val="18"/>
              </w:rPr>
              <w:t>0.9887%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潍坊市云支付科技有限公司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本公司子公司维恩贝特所持股公司，持其股份为：</w:t>
            </w:r>
            <w:r>
              <w:rPr>
                <w:rFonts w:ascii="Times New Roman" w:hAnsi="Times New Roman" w:cs="Times New Roman" w:eastAsia="Times New Roman" w:hint="default"/>
                <w:sz w:val="18"/>
                <w:szCs w:val="18"/>
              </w:rPr>
              <w:t>10.00%</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深圳市科陆电子科技股份有限公司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本公司独立董事梁金华先生和盛宝军先生同时担任科陆电子 独立董事</w:t>
            </w:r>
          </w:p>
        </w:tc>
      </w:tr>
    </w:tbl>
    <w:p>
      <w:pPr>
        <w:spacing w:before="68"/>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4、其他关联方情况" w:id="452"/>
      <w:bookmarkEnd w:id="45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东南亚电信集团股份有限公司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本公司投资的其他企业，本公司持股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3.1527%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陈友、汪东升、杨文庆、谢晓宾、李谦益、陈鲁康、陈兵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张媛、梁凌琳、代静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梁金华、郑飞、盛宝军、张卫华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陈秀琴、林容、管四新、代峰、罗赞、钱文胜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本公司董事陈兵担任董事的公司，维恩贝特持股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深圳爱淘苗电子商务科技有限公司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本公司独立董事张卫华担任董事长的公司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深圳迅销科技股份有限公司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本公司子公司维恩贝特所持股公司，持其股份为：</w:t>
            </w:r>
            <w:r>
              <w:rPr>
                <w:rFonts w:ascii="Times New Roman" w:hAnsi="Times New Roman" w:cs="Times New Roman" w:eastAsia="Times New Roman" w:hint="default"/>
                <w:sz w:val="18"/>
                <w:szCs w:val="18"/>
              </w:rPr>
              <w:t>1.749%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中电达通数据技术股份有限公司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本公司子公司维恩贝特所持股公司，持其股份为：</w:t>
            </w:r>
            <w:r>
              <w:rPr>
                <w:rFonts w:ascii="Times New Roman" w:hAnsi="Times New Roman" w:cs="Times New Roman" w:eastAsia="Times New Roman" w:hint="default"/>
                <w:sz w:val="18"/>
                <w:szCs w:val="18"/>
              </w:rPr>
              <w:t>0.9887%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潍坊市云支付科技有限公司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本公司子公司维恩贝特所持股公司，持其股份为：</w:t>
            </w:r>
            <w:r>
              <w:rPr>
                <w:rFonts w:ascii="Times New Roman" w:hAnsi="Times New Roman" w:cs="Times New Roman" w:eastAsia="Times New Roman" w:hint="default"/>
                <w:sz w:val="18"/>
                <w:szCs w:val="18"/>
              </w:rPr>
              <w:t>10.00%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深圳市科陆电子科技股份有限公司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本公司独立董事梁金华先生和盛宝军先生同时担任科陆电子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62" w:hRule="exact"/>
        </w:trPr>
        <w:tc>
          <w:tcPr>
            <w:tcW w:w="4783" w:type="dxa"/>
            <w:tcBorders>
              <w:top w:val="single" w:sz="4" w:space="0" w:color="000000"/>
              <w:left w:val="single" w:sz="4" w:space="0" w:color="000000"/>
              <w:bottom w:val="single" w:sz="4" w:space="0" w:color="000000"/>
              <w:right w:val="single" w:sz="4" w:space="0" w:color="000000"/>
            </w:tcBorders>
          </w:tcPr>
          <w:p>
            <w:pP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广州天源互联网有限公司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广州天源信息科技股份有限公司之子公司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深圳市优课在线教育有限公司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本公司投资的其他企业，本公司持股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5、关联交易情况" w:id="453"/>
      <w:bookmarkEnd w:id="45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购销商品、提供和接受劳务的关联交易" w:id="454"/>
      <w:bookmarkEnd w:id="45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广州天源信息科技 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6,329,700.71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2,569,000.00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广州天源互联网有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3,549,528.30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北京信邦安达信息 科技股份有限公司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2,272,207.52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1,039,900.00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深州市汇巨信息技 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884,171.06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620,689.65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技术服务、房屋租赁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4,357,323.02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9,510,842.80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深圳市科陆电子科技股份有限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481,632.07</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2）关联受托管理/承包及委托管理/出包情况" w:id="455"/>
      <w:bookmarkEnd w:id="45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7"/>
        <w:gridCol w:w="1367"/>
        <w:gridCol w:w="1355"/>
      </w:tblGrid>
      <w:tr>
        <w:trPr>
          <w:trHeight w:val="3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8" w:right="0"/>
              <w:jc w:val="left"/>
              <w:rPr>
                <w:rFonts w:ascii="宋体" w:hAnsi="宋体" w:cs="宋体" w:eastAsia="宋体" w:hint="default"/>
                <w:sz w:val="18"/>
                <w:szCs w:val="18"/>
              </w:rPr>
            </w:pPr>
            <w:r>
              <w:rPr>
                <w:rFonts w:ascii="宋体" w:hAnsi="宋体" w:cs="宋体" w:eastAsia="宋体" w:hint="default"/>
                <w:sz w:val="18"/>
                <w:szCs w:val="18"/>
              </w:rPr>
              <w:t>本期确认的托管</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08" w:right="0"/>
              <w:jc w:val="left"/>
              <w:rPr>
                <w:rFonts w:ascii="宋体" w:hAnsi="宋体" w:cs="宋体" w:eastAsia="宋体" w:hint="default"/>
                <w:sz w:val="18"/>
                <w:szCs w:val="18"/>
              </w:rPr>
            </w:pPr>
            <w:r>
              <w:rPr>
                <w:rFonts w:ascii="宋体" w:hAnsi="宋体" w:cs="宋体" w:eastAsia="宋体" w:hint="default"/>
                <w:sz w:val="18"/>
                <w:szCs w:val="18"/>
              </w:rPr>
              <w:t>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2" w:right="0"/>
              <w:jc w:val="left"/>
              <w:rPr>
                <w:rFonts w:ascii="宋体" w:hAnsi="宋体" w:cs="宋体" w:eastAsia="宋体" w:hint="default"/>
                <w:sz w:val="18"/>
                <w:szCs w:val="18"/>
              </w:rPr>
            </w:pP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3）关联租赁情况" w:id="456"/>
      <w:bookmarkEnd w:id="45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4）关联担保情况" w:id="457"/>
      <w:bookmarkEnd w:id="45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深圳市金华威数码科技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5）关联方资金拆借" w:id="458"/>
      <w:bookmarkEnd w:id="45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6）关联方资产转让、债务重组情况" w:id="459"/>
      <w:bookmarkEnd w:id="45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7）关键管理人员报酬" w:id="460"/>
      <w:bookmarkEnd w:id="46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14,190,800.00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1972"/>
        <w:jc w:val="left"/>
        <w:rPr>
          <w:b w:val="0"/>
          <w:bCs w:val="0"/>
        </w:rPr>
      </w:pPr>
      <w:bookmarkStart w:name="（8）其他关联交易" w:id="461"/>
      <w:bookmarkEnd w:id="46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6、关联方应收应付款项" w:id="462"/>
      <w:bookmarkEnd w:id="46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1）应收项目" w:id="463"/>
      <w:bookmarkEnd w:id="46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北京江融信科技有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10,244,344.95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684,255.63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9,174,285.75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283,868.88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深圳市科陆电子科 技股份有限公司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1,770,549.06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53,116.47</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潍坊市云支付科技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139.69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北京江融信科技有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应付项目" w:id="464"/>
      <w:bookmarkEnd w:id="46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深圳市汇巨信息技术有限公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246,240.00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广州天源信息科技股份有限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6,902,311.32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1,005,850.00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广州天源互联网有限公司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3,549,528.30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北京信邦安达信息科技股份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1,772,266.04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676,950.00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155,907.07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69,964.76</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7、关联方承诺" w:id="465"/>
      <w:bookmarkEnd w:id="46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以下为本公司于资产负债表日，已签约而尚不必在资产负债表上列示的与关联方有关的承诺事项：</w:t>
      </w:r>
    </w:p>
    <w:p>
      <w:pPr>
        <w:pStyle w:val="BodyText"/>
        <w:spacing w:line="266" w:lineRule="auto" w:before="37"/>
        <w:ind w:right="1131"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日，公司第四届董事会第十九次会议审议通过《关于对金华威提供财务资助及向银行</w:t>
      </w:r>
      <w:r>
        <w:rPr/>
        <w:t> </w:t>
      </w:r>
      <w:r>
        <w:rPr>
          <w:spacing w:val="-1"/>
        </w:rPr>
        <w:t>申请流动资金贷款并提供担保的议案》。由于子公司金华威向银行申请贷款的资金成本高于公司的贷款成</w:t>
      </w:r>
      <w:r>
        <w:rPr>
          <w:spacing w:val="-81"/>
        </w:rPr>
        <w:t> </w:t>
      </w:r>
      <w:r>
        <w:rPr>
          <w:spacing w:val="-81"/>
        </w:rPr>
      </w:r>
      <w:r>
        <w:rPr>
          <w:spacing w:val="-1"/>
        </w:rPr>
        <w:t>本，为了保证资金需求，同时降低融资成本，金华威向银行申请使用流动资金贷款和公司为金华威提供财</w:t>
      </w:r>
      <w:r>
        <w:rPr>
          <w:spacing w:val="-83"/>
        </w:rPr>
        <w:t> </w:t>
      </w:r>
      <w:r>
        <w:rPr>
          <w:spacing w:val="-83"/>
        </w:rPr>
      </w:r>
      <w:r>
        <w:rPr/>
        <w:t>务资助合计额度不超过</w:t>
      </w:r>
      <w:r>
        <w:rPr>
          <w:rFonts w:ascii="Times New Roman" w:hAnsi="Times New Roman" w:cs="Times New Roman" w:eastAsia="Times New Roman" w:hint="default"/>
        </w:rPr>
        <w:t>120,000</w:t>
      </w:r>
      <w:r>
        <w:rPr/>
        <w:t>万元。公司为其申请的流动资金贷款提供担保，担保和财务资助期限</w:t>
      </w:r>
      <w:r>
        <w:rPr>
          <w:rFonts w:ascii="Times New Roman" w:hAnsi="Times New Roman" w:cs="Times New Roman" w:eastAsia="Times New Roman" w:hint="default"/>
        </w:rPr>
        <w:t>2</w:t>
      </w:r>
      <w:r>
        <w:rPr/>
        <w:t>年。</w:t>
      </w:r>
    </w:p>
    <w:p>
      <w:pPr>
        <w:spacing w:after="0" w:line="26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487" w:lineRule="auto" w:before="35"/>
        <w:ind w:left="154" w:right="8750" w:firstLine="0"/>
        <w:jc w:val="left"/>
        <w:rPr>
          <w:rFonts w:ascii="宋体" w:hAnsi="宋体" w:cs="宋体" w:eastAsia="宋体" w:hint="default"/>
          <w:sz w:val="21"/>
          <w:szCs w:val="21"/>
        </w:rPr>
      </w:pPr>
      <w:bookmarkStart w:name="8、其他" w:id="466"/>
      <w:bookmarkEnd w:id="46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7"/>
      <w:bookmarkEnd w:id="467"/>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8"/>
      <w:bookmarkEnd w:id="46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3,391,800.00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498,900.00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8.66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90"/>
        <w:ind w:left="574" w:right="11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、股票期权激励计划的基本情况</w:t>
      </w:r>
      <w:r>
        <w:rPr>
          <w:rFonts w:ascii="宋体" w:hAnsi="宋体" w:cs="宋体" w:eastAsia="宋体" w:hint="default"/>
          <w:b/>
          <w:bCs/>
          <w:w w:val="99"/>
          <w:sz w:val="21"/>
          <w:szCs w:val="21"/>
        </w:rPr>
        <w:t> </w:t>
      </w:r>
      <w:r>
        <w:rPr>
          <w:rFonts w:ascii="宋体" w:hAnsi="宋体" w:cs="宋体" w:eastAsia="宋体" w:hint="default"/>
          <w:sz w:val="21"/>
          <w:szCs w:val="21"/>
        </w:rPr>
        <w:t>根据</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年度第二次临时股东大会审议通过的《</w:t>
      </w:r>
      <w:r>
        <w:rPr>
          <w:rFonts w:ascii="Times New Roman" w:hAnsi="Times New Roman" w:cs="Times New Roman" w:eastAsia="Times New Roman" w:hint="default"/>
          <w:sz w:val="21"/>
          <w:szCs w:val="21"/>
        </w:rPr>
        <w:t>2016</w:t>
      </w:r>
      <w:r>
        <w:rPr>
          <w:rFonts w:ascii="宋体" w:hAnsi="宋体" w:cs="宋体" w:eastAsia="宋体" w:hint="default"/>
          <w:sz w:val="21"/>
          <w:szCs w:val="21"/>
        </w:rPr>
        <w:t>年限制性股票激励计划（草案）》及</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p>
    <w:p>
      <w:pPr>
        <w:pStyle w:val="BodyText"/>
        <w:spacing w:line="264" w:lineRule="auto" w:before="5"/>
        <w:ind w:right="0"/>
        <w:jc w:val="left"/>
      </w:pPr>
      <w:r>
        <w:rPr>
          <w:rFonts w:ascii="Times New Roman" w:hAnsi="Times New Roman" w:cs="Times New Roman" w:eastAsia="Times New Roman" w:hint="default"/>
        </w:rPr>
        <w:t>16</w:t>
      </w:r>
      <w:r>
        <w:rPr/>
        <w:t>日召开的第三届董事会第二十三次会议决议，公司以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日为授予日，通过定向增发的形式对 </w:t>
      </w:r>
      <w:r>
        <w:rPr>
          <w:spacing w:val="-1"/>
        </w:rPr>
        <w:t>公司的部分董事、高级管理人员以及公司董事会认为需要进行激励的中层管理人员、核心技术及业务人员</w:t>
      </w:r>
      <w:r>
        <w:rPr>
          <w:spacing w:val="-81"/>
        </w:rPr>
        <w:t> </w:t>
      </w:r>
      <w:r>
        <w:rPr>
          <w:spacing w:val="-81"/>
        </w:rPr>
      </w:r>
      <w:r>
        <w:rPr/>
        <w:t>共</w:t>
      </w:r>
      <w:r>
        <w:rPr>
          <w:rFonts w:ascii="Times New Roman" w:hAnsi="Times New Roman" w:cs="Times New Roman" w:eastAsia="Times New Roman" w:hint="default"/>
        </w:rPr>
        <w:t>459</w:t>
      </w:r>
      <w:r>
        <w:rPr/>
        <w:t>位人员授予限制性股票</w:t>
      </w:r>
      <w:r>
        <w:rPr>
          <w:rFonts w:ascii="Times New Roman" w:hAnsi="Times New Roman" w:cs="Times New Roman" w:eastAsia="Times New Roman" w:hint="default"/>
        </w:rPr>
        <w:t>12,630,000</w:t>
      </w:r>
      <w:r>
        <w:rPr/>
        <w:t>股。实际认购</w:t>
      </w:r>
      <w:r>
        <w:rPr>
          <w:rFonts w:ascii="Times New Roman" w:hAnsi="Times New Roman" w:cs="Times New Roman" w:eastAsia="Times New Roman" w:hint="default"/>
        </w:rPr>
        <w:t>12,589,000</w:t>
      </w:r>
      <w:r>
        <w:rPr/>
        <w:t>股。</w:t>
      </w:r>
    </w:p>
    <w:p>
      <w:pPr>
        <w:pStyle w:val="BodyText"/>
        <w:spacing w:line="264" w:lineRule="auto" w:before="0"/>
        <w:ind w:right="0"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日，公司第四届董事会第二次会议、第四届监事会第二次会议审议通过了《关于调整限 </w:t>
      </w:r>
      <w:r>
        <w:rPr>
          <w:spacing w:val="-1"/>
        </w:rPr>
        <w:t>制性股票授予价格的议案》，根据《限制性股票激励计划（草案）》的规定，公司对本次授予的限制性股</w:t>
      </w:r>
      <w:r>
        <w:rPr>
          <w:spacing w:val="-85"/>
        </w:rPr>
        <w:t> </w:t>
      </w:r>
      <w:r>
        <w:rPr>
          <w:spacing w:val="-85"/>
        </w:rPr>
      </w:r>
      <w:r>
        <w:rPr/>
        <w:t>票的授予价格由</w:t>
      </w:r>
      <w:r>
        <w:rPr>
          <w:rFonts w:ascii="Times New Roman" w:hAnsi="Times New Roman" w:cs="Times New Roman" w:eastAsia="Times New Roman" w:hint="default"/>
        </w:rPr>
        <w:t>8.68</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8.66</w:t>
      </w:r>
      <w:r>
        <w:rPr/>
        <w:t>元</w:t>
      </w:r>
      <w:r>
        <w:rPr>
          <w:rFonts w:ascii="Times New Roman" w:hAnsi="Times New Roman" w:cs="Times New Roman" w:eastAsia="Times New Roman" w:hint="default"/>
        </w:rPr>
        <w:t>/</w:t>
      </w:r>
      <w:r>
        <w:rPr/>
        <w:t>股。</w:t>
      </w:r>
    </w:p>
    <w:p>
      <w:pPr>
        <w:pStyle w:val="BodyText"/>
        <w:spacing w:line="256" w:lineRule="auto" w:before="0"/>
        <w:ind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日，公司第四届董事会第十次会议、第四届监事会第七次会议决议，公司回购注销已不 </w:t>
      </w:r>
      <w:r>
        <w:rPr>
          <w:spacing w:val="-1"/>
        </w:rPr>
        <w:t>符合激励条件的激励对象已获授但尚未解锁的限制性股票</w:t>
      </w:r>
      <w:r>
        <w:rPr>
          <w:rFonts w:ascii="Times New Roman" w:hAnsi="Times New Roman" w:cs="Times New Roman" w:eastAsia="Times New Roman" w:hint="default"/>
          <w:spacing w:val="-1"/>
        </w:rPr>
        <w:t>222,000</w:t>
      </w:r>
      <w:r>
        <w:rPr>
          <w:spacing w:val="-1"/>
        </w:rPr>
        <w:t>股，回购价格为原授予价格即每股</w:t>
      </w:r>
      <w:r>
        <w:rPr>
          <w:rFonts w:ascii="Times New Roman" w:hAnsi="Times New Roman" w:cs="Times New Roman" w:eastAsia="Times New Roman" w:hint="default"/>
          <w:spacing w:val="-1"/>
        </w:rPr>
        <w:t>8.66</w:t>
      </w:r>
      <w:r>
        <w:rPr>
          <w:spacing w:val="-1"/>
        </w:rPr>
        <w:t>元，</w:t>
      </w:r>
      <w:r>
        <w:rPr>
          <w:spacing w:val="-76"/>
        </w:rPr>
        <w:t> </w:t>
      </w:r>
      <w:r>
        <w:rPr/>
        <w:t>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日完成回购注销。</w:t>
      </w:r>
    </w:p>
    <w:p>
      <w:pPr>
        <w:pStyle w:val="BodyText"/>
        <w:spacing w:line="256" w:lineRule="auto" w:before="5"/>
        <w:ind w:right="1118"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日，公司第四届董事会第十三次会议、第四届监事会第十次会议决议，公司回购注销已 </w:t>
      </w:r>
      <w:r>
        <w:rPr>
          <w:spacing w:val="-1"/>
        </w:rPr>
        <w:t>不符合激励条件的激励对象已获授但尚未解锁的限制性股票</w:t>
      </w:r>
      <w:r>
        <w:rPr>
          <w:rFonts w:ascii="Times New Roman" w:hAnsi="Times New Roman" w:cs="Times New Roman" w:eastAsia="Times New Roman" w:hint="default"/>
          <w:spacing w:val="-1"/>
        </w:rPr>
        <w:t>147,300</w:t>
      </w:r>
      <w:r>
        <w:rPr>
          <w:spacing w:val="-1"/>
        </w:rPr>
        <w:t>股，回购价格为原授予价格即每股</w:t>
      </w:r>
      <w:r>
        <w:rPr>
          <w:rFonts w:ascii="Times New Roman" w:hAnsi="Times New Roman" w:cs="Times New Roman" w:eastAsia="Times New Roman" w:hint="default"/>
          <w:spacing w:val="-1"/>
        </w:rPr>
        <w:t>8.66</w:t>
      </w:r>
      <w:r>
        <w:rPr>
          <w:rFonts w:ascii="Times New Roman" w:hAnsi="Times New Roman" w:cs="Times New Roman" w:eastAsia="Times New Roman" w:hint="default"/>
          <w:spacing w:val="-25"/>
        </w:rPr>
        <w:t> </w:t>
      </w:r>
      <w:r>
        <w:rPr/>
        <w:t>元。</w:t>
      </w:r>
    </w:p>
    <w:p>
      <w:pPr>
        <w:spacing w:line="240" w:lineRule="auto" w:before="7"/>
        <w:rPr>
          <w:rFonts w:ascii="宋体" w:hAnsi="宋体" w:cs="宋体" w:eastAsia="宋体" w:hint="default"/>
          <w:sz w:val="25"/>
          <w:szCs w:val="25"/>
        </w:rPr>
      </w:pPr>
    </w:p>
    <w:p>
      <w:pPr>
        <w:pStyle w:val="BodyText"/>
        <w:spacing w:line="256" w:lineRule="auto" w:before="0"/>
        <w:ind w:right="1130"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日，公司第四届董事会第十五次会议、第四届监事会第十二次会议决议通过，同意</w:t>
      </w:r>
      <w:r>
        <w:rPr>
          <w:rFonts w:ascii="Times New Roman" w:hAnsi="Times New Roman" w:cs="Times New Roman" w:eastAsia="Times New Roman" w:hint="default"/>
          <w:spacing w:val="-1"/>
        </w:rPr>
        <w:t>402</w:t>
      </w:r>
      <w:r>
        <w:rPr>
          <w:spacing w:val="-1"/>
        </w:rPr>
        <w:t>名</w:t>
      </w:r>
      <w:r>
        <w:rPr/>
        <w:t> 激励对象在限制性股票激励计划第一个解锁期共计解锁</w:t>
      </w:r>
      <w:r>
        <w:rPr>
          <w:rFonts w:ascii="Times New Roman" w:hAnsi="Times New Roman" w:cs="Times New Roman" w:eastAsia="Times New Roman" w:hint="default"/>
        </w:rPr>
        <w:t>3,665,910</w:t>
      </w:r>
      <w:r>
        <w:rPr/>
        <w:t>股限制性股票，占公司股本总额</w:t>
      </w:r>
      <w:r>
        <w:rPr>
          <w:rFonts w:ascii="Times New Roman" w:hAnsi="Times New Roman" w:cs="Times New Roman" w:eastAsia="Times New Roman" w:hint="default"/>
        </w:rPr>
        <w:t>1.02%</w:t>
      </w:r>
      <w:r>
        <w:rPr/>
        <w:t>， 实际可上市流通</w:t>
      </w:r>
      <w:r>
        <w:rPr>
          <w:rFonts w:ascii="Times New Roman" w:hAnsi="Times New Roman" w:cs="Times New Roman" w:eastAsia="Times New Roman" w:hint="default"/>
        </w:rPr>
        <w:t>3,491,085</w:t>
      </w:r>
      <w:r>
        <w:rPr/>
        <w:t>股，占公司股本总数的</w:t>
      </w:r>
      <w:r>
        <w:rPr>
          <w:rFonts w:ascii="Times New Roman" w:hAnsi="Times New Roman" w:cs="Times New Roman" w:eastAsia="Times New Roman" w:hint="default"/>
        </w:rPr>
        <w:t>0.98%</w:t>
      </w:r>
      <w:r>
        <w:rPr/>
        <w:t>。</w:t>
      </w:r>
    </w:p>
    <w:p>
      <w:pPr>
        <w:pStyle w:val="BodyText"/>
        <w:spacing w:line="240" w:lineRule="auto" w:before="5"/>
        <w:ind w:left="574" w:right="197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日，第一个解锁期解锁的</w:t>
      </w:r>
      <w:r>
        <w:rPr>
          <w:rFonts w:ascii="Times New Roman" w:hAnsi="Times New Roman" w:cs="Times New Roman" w:eastAsia="Times New Roman" w:hint="default"/>
        </w:rPr>
        <w:t>3,665,910</w:t>
      </w:r>
      <w:r>
        <w:rPr/>
        <w:t>股限制性股票上市流通。</w:t>
      </w:r>
    </w:p>
    <w:p>
      <w:pPr>
        <w:pStyle w:val="BodyText"/>
        <w:spacing w:line="256" w:lineRule="auto" w:before="21"/>
        <w:ind w:right="1130"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9</w:t>
      </w:r>
      <w:r>
        <w:rPr>
          <w:spacing w:val="-1"/>
        </w:rPr>
        <w:t>日第四届董事会第十六次会议、第四届监事会第十三次会议决议，公司回购注销已不符合</w:t>
      </w:r>
      <w:r>
        <w:rPr/>
        <w:t> </w:t>
      </w:r>
      <w:r>
        <w:rPr>
          <w:spacing w:val="-1"/>
        </w:rPr>
        <w:t>激励条件的激励对象已获授但尚未解锁的限制性股票</w:t>
      </w:r>
      <w:r>
        <w:rPr>
          <w:rFonts w:ascii="Times New Roman" w:hAnsi="Times New Roman" w:cs="Times New Roman" w:eastAsia="Times New Roman" w:hint="default"/>
          <w:spacing w:val="-1"/>
        </w:rPr>
        <w:t>62,510</w:t>
      </w:r>
      <w:r>
        <w:rPr>
          <w:spacing w:val="-1"/>
        </w:rPr>
        <w:t>股，回购价格为每股</w:t>
      </w:r>
      <w:r>
        <w:rPr>
          <w:rFonts w:ascii="Times New Roman" w:hAnsi="Times New Roman" w:cs="Times New Roman" w:eastAsia="Times New Roman" w:hint="default"/>
          <w:spacing w:val="-1"/>
        </w:rPr>
        <w:t>8.6249783</w:t>
      </w:r>
      <w:r>
        <w:rPr>
          <w:spacing w:val="-1"/>
        </w:rPr>
        <w:t>元（因</w:t>
      </w:r>
      <w:r>
        <w:rPr>
          <w:rFonts w:ascii="Times New Roman" w:hAnsi="Times New Roman" w:cs="Times New Roman" w:eastAsia="Times New Roman" w:hint="default"/>
          <w:spacing w:val="-1"/>
        </w:rPr>
        <w:t>2016</w:t>
      </w:r>
      <w:r>
        <w:rPr>
          <w:spacing w:val="-1"/>
        </w:rPr>
        <w:t>年度</w:t>
      </w:r>
      <w:r>
        <w:rPr>
          <w:spacing w:val="-75"/>
        </w:rPr>
        <w:t> </w:t>
      </w:r>
      <w:r>
        <w:rPr/>
        <w:t>利润分配为派发现金红利每股</w:t>
      </w:r>
      <w:r>
        <w:rPr>
          <w:rFonts w:ascii="Times New Roman" w:hAnsi="Times New Roman" w:cs="Times New Roman" w:eastAsia="Times New Roman" w:hint="default"/>
        </w:rPr>
        <w:t>0.0350217</w:t>
      </w:r>
      <w:r>
        <w:rPr/>
        <w:t>元，故对回购价格进行调整）。</w:t>
      </w:r>
    </w:p>
    <w:p>
      <w:pPr>
        <w:pStyle w:val="BodyText"/>
        <w:spacing w:line="256" w:lineRule="auto" w:before="5"/>
        <w:ind w:right="0" w:firstLine="42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27</w:t>
      </w:r>
      <w:r>
        <w:rPr>
          <w:spacing w:val="-1"/>
        </w:rPr>
        <w:t>日第四届董事会第十七次会议、第四届监事会第十四次会议决议，公司回购注销已不符</w:t>
      </w:r>
      <w:r>
        <w:rPr/>
        <w:t> 合激励条件的激励对象已获授但尚未解锁的限制性股票</w:t>
      </w:r>
      <w:r>
        <w:rPr>
          <w:rFonts w:ascii="Times New Roman" w:hAnsi="Times New Roman" w:cs="Times New Roman" w:eastAsia="Times New Roman" w:hint="default"/>
        </w:rPr>
        <w:t>95,620</w:t>
      </w:r>
      <w:r>
        <w:rPr/>
        <w:t>股，回购价格为每股</w:t>
      </w:r>
      <w:r>
        <w:rPr>
          <w:rFonts w:ascii="Times New Roman" w:hAnsi="Times New Roman" w:cs="Times New Roman" w:eastAsia="Times New Roman" w:hint="default"/>
        </w:rPr>
        <w:t>8.6249783</w:t>
      </w:r>
      <w:r>
        <w:rPr/>
        <w:t>元。</w:t>
      </w:r>
    </w:p>
    <w:p>
      <w:pPr>
        <w:pStyle w:val="BodyText"/>
        <w:spacing w:line="256" w:lineRule="auto" w:before="5"/>
        <w:ind w:right="1197"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日第四届董事会第十九次会议、第四届监事会第十六次会议决议，公司回购注销已不符 合激励条件的激励对象已获授但尚未解锁的限制性股票</w:t>
      </w:r>
      <w:r>
        <w:rPr>
          <w:rFonts w:ascii="Times New Roman" w:hAnsi="Times New Roman" w:cs="Times New Roman" w:eastAsia="Times New Roman" w:hint="default"/>
        </w:rPr>
        <w:t>347,980</w:t>
      </w:r>
      <w:r>
        <w:rPr/>
        <w:t>股，回购价格为每股</w:t>
      </w:r>
      <w:r>
        <w:rPr>
          <w:rFonts w:ascii="Times New Roman" w:hAnsi="Times New Roman" w:cs="Times New Roman" w:eastAsia="Times New Roman" w:hint="default"/>
        </w:rPr>
        <w:t>8.6249783</w:t>
      </w:r>
      <w:r>
        <w:rPr/>
        <w:t>元。</w:t>
      </w:r>
    </w:p>
    <w:p>
      <w:pPr>
        <w:pStyle w:val="BodyText"/>
        <w:spacing w:line="240" w:lineRule="auto" w:before="5"/>
        <w:ind w:left="57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日第四届董事会第二十一次会议、第四届监事会第十八次会议决议，公司回购注销已不</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868" w:right="1113" w:hanging="715"/>
        <w:jc w:val="left"/>
      </w:pPr>
      <w:r>
        <w:rPr/>
        <w:t>符合激励条件的激励对象已获授但尚未解锁的限制性股票</w:t>
      </w:r>
      <w:r>
        <w:rPr>
          <w:rFonts w:ascii="Times New Roman" w:hAnsi="Times New Roman" w:cs="Times New Roman" w:eastAsia="Times New Roman" w:hint="default"/>
        </w:rPr>
        <w:t>81,480</w:t>
      </w:r>
      <w:r>
        <w:rPr/>
        <w:t>股，回购价格为每股</w:t>
      </w:r>
      <w:r>
        <w:rPr>
          <w:rFonts w:ascii="Times New Roman" w:hAnsi="Times New Roman" w:cs="Times New Roman" w:eastAsia="Times New Roman" w:hint="default"/>
        </w:rPr>
        <w:t>8.5849129</w:t>
      </w:r>
      <w:r>
        <w:rPr/>
        <w:t>元。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日，第四届董事会第二十一次会议和第四届监事会第十八次会议审议通过了《关于限 制性股票激励计划第二个解锁期解锁条件成就的议案》，同意</w:t>
      </w:r>
      <w:r>
        <w:rPr>
          <w:rFonts w:ascii="Times New Roman" w:hAnsi="Times New Roman" w:cs="Times New Roman" w:eastAsia="Times New Roman" w:hint="default"/>
        </w:rPr>
        <w:t>365</w:t>
      </w:r>
      <w:r>
        <w:rPr/>
        <w:t>名激励对象在限制性股票激励计 划第二个解锁期解锁限制性股票</w:t>
      </w:r>
      <w:r>
        <w:rPr>
          <w:rFonts w:ascii="Times New Roman" w:hAnsi="Times New Roman" w:cs="Times New Roman" w:eastAsia="Times New Roman" w:hint="default"/>
        </w:rPr>
        <w:t>3,391,800</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日，第二个解锁期解锁的限制性股票数 量为</w:t>
      </w:r>
      <w:r>
        <w:rPr>
          <w:rFonts w:ascii="Times New Roman" w:hAnsi="Times New Roman" w:cs="Times New Roman" w:eastAsia="Times New Roman" w:hint="default"/>
        </w:rPr>
        <w:t>3,391,800</w:t>
      </w:r>
      <w:r>
        <w:rPr/>
        <w:t>股，实际可上市流通数量为</w:t>
      </w:r>
      <w:r>
        <w:rPr>
          <w:rFonts w:ascii="Times New Roman" w:hAnsi="Times New Roman" w:cs="Times New Roman" w:eastAsia="Times New Roman" w:hint="default"/>
        </w:rPr>
        <w:t>3,179,325</w:t>
      </w:r>
      <w:r>
        <w:rPr/>
        <w:t>股。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日第四届董事会第二十四次会议、第四届监事会第二十一次会议决议，公司回购注 销已不符合激励条件的激励对象已获授但尚未解锁的限制性股票</w:t>
      </w:r>
      <w:r>
        <w:rPr>
          <w:rFonts w:ascii="Times New Roman" w:hAnsi="Times New Roman" w:cs="Times New Roman" w:eastAsia="Times New Roman" w:hint="default"/>
        </w:rPr>
        <w:t>69,440</w:t>
      </w:r>
      <w:r>
        <w:rPr/>
        <w:t>股，回购价格为每股 </w:t>
      </w:r>
      <w:r>
        <w:rPr>
          <w:rFonts w:ascii="Times New Roman" w:hAnsi="Times New Roman" w:cs="Times New Roman" w:eastAsia="Times New Roman" w:hint="default"/>
        </w:rPr>
        <w:t>8.5849129</w:t>
      </w:r>
      <w:r>
        <w:rPr/>
        <w:t>元。</w:t>
      </w:r>
    </w:p>
    <w:p>
      <w:pPr>
        <w:spacing w:line="240" w:lineRule="auto" w:before="3"/>
        <w:rPr>
          <w:rFonts w:ascii="宋体" w:hAnsi="宋体" w:cs="宋体" w:eastAsia="宋体" w:hint="default"/>
          <w:sz w:val="24"/>
          <w:szCs w:val="24"/>
        </w:rPr>
      </w:pPr>
    </w:p>
    <w:p>
      <w:pPr>
        <w:pStyle w:val="Heading5"/>
        <w:spacing w:line="240" w:lineRule="auto"/>
        <w:ind w:left="868" w:right="1972"/>
        <w:jc w:val="left"/>
        <w:rPr>
          <w:b w:val="0"/>
          <w:bCs w:val="0"/>
        </w:rPr>
      </w:pPr>
      <w:r>
        <w:rPr>
          <w:rFonts w:ascii="Times New Roman" w:hAnsi="Times New Roman" w:cs="Times New Roman" w:eastAsia="Times New Roman" w:hint="default"/>
        </w:rPr>
        <w:t>2</w:t>
      </w:r>
      <w:r>
        <w:rPr/>
        <w:t>、其他情况</w:t>
      </w:r>
      <w:r>
        <w:rPr>
          <w:b w:val="0"/>
          <w:bCs w:val="0"/>
        </w:rPr>
      </w:r>
    </w:p>
    <w:p>
      <w:pPr>
        <w:pStyle w:val="BodyText"/>
        <w:spacing w:line="261" w:lineRule="auto" w:before="21"/>
        <w:ind w:left="868" w:right="0"/>
        <w:jc w:val="left"/>
      </w:pPr>
      <w:r>
        <w:rPr/>
        <w:t>（</w:t>
      </w:r>
      <w:r>
        <w:rPr>
          <w:rFonts w:ascii="Times New Roman" w:hAnsi="Times New Roman" w:cs="Times New Roman" w:eastAsia="Times New Roman" w:hint="default"/>
        </w:rPr>
        <w:t>1</w:t>
      </w:r>
      <w:r>
        <w:rPr/>
        <w:t>）主要行权条件 考核期内，各会计年度归属于上市公司股东扣除非经常性损益后的净利润需满足</w:t>
      </w:r>
      <w:r>
        <w:rPr>
          <w:rFonts w:ascii="Times New Roman" w:hAnsi="Times New Roman" w:cs="Times New Roman" w:eastAsia="Times New Roman" w:hint="default"/>
        </w:rPr>
        <w:t>2016</w:t>
      </w:r>
      <w:r>
        <w:rPr/>
        <w:t>年不低于 </w:t>
      </w:r>
      <w:r>
        <w:rPr>
          <w:rFonts w:ascii="Times New Roman" w:hAnsi="Times New Roman" w:cs="Times New Roman" w:eastAsia="Times New Roman" w:hint="default"/>
          <w:spacing w:val="-2"/>
        </w:rPr>
        <w:t>9,000</w:t>
      </w:r>
      <w:r>
        <w:rPr>
          <w:spacing w:val="-2"/>
        </w:rPr>
        <w:t>万元，</w:t>
      </w:r>
      <w:r>
        <w:rPr>
          <w:rFonts w:ascii="Times New Roman" w:hAnsi="Times New Roman" w:cs="Times New Roman" w:eastAsia="Times New Roman" w:hint="default"/>
          <w:spacing w:val="-2"/>
        </w:rPr>
        <w:t>2017</w:t>
      </w:r>
      <w:r>
        <w:rPr>
          <w:spacing w:val="-2"/>
        </w:rPr>
        <w:t>年不低于</w:t>
      </w:r>
      <w:r>
        <w:rPr>
          <w:rFonts w:ascii="Times New Roman" w:hAnsi="Times New Roman" w:cs="Times New Roman" w:eastAsia="Times New Roman" w:hint="default"/>
          <w:spacing w:val="-2"/>
        </w:rPr>
        <w:t>13,000</w:t>
      </w:r>
      <w:r>
        <w:rPr>
          <w:spacing w:val="-2"/>
        </w:rPr>
        <w:t>万元，</w:t>
      </w:r>
      <w:r>
        <w:rPr>
          <w:rFonts w:ascii="Times New Roman" w:hAnsi="Times New Roman" w:cs="Times New Roman" w:eastAsia="Times New Roman" w:hint="default"/>
          <w:spacing w:val="-2"/>
        </w:rPr>
        <w:t>2018</w:t>
      </w:r>
      <w:r>
        <w:rPr>
          <w:spacing w:val="-2"/>
        </w:rPr>
        <w:t>年不低于</w:t>
      </w:r>
      <w:r>
        <w:rPr>
          <w:rFonts w:ascii="Times New Roman" w:hAnsi="Times New Roman" w:cs="Times New Roman" w:eastAsia="Times New Roman" w:hint="default"/>
          <w:spacing w:val="-2"/>
        </w:rPr>
        <w:t>18,500</w:t>
      </w:r>
      <w:r>
        <w:rPr>
          <w:spacing w:val="-2"/>
        </w:rPr>
        <w:t>万元。限制性股票锁定期内，各会计年</w:t>
      </w:r>
      <w:r>
        <w:rPr>
          <w:spacing w:val="-55"/>
        </w:rPr>
        <w:t> </w:t>
      </w:r>
      <w:r>
        <w:rPr>
          <w:spacing w:val="-55"/>
        </w:rPr>
      </w:r>
      <w:r>
        <w:rPr/>
        <w:t>度归属于上市公司股东的净利润及归属于上市公司股东扣除非经常性损益后的净利润均不得低于 授予日前最近三个会计年度的平均水平且不得为负。</w:t>
      </w:r>
    </w:p>
    <w:p>
      <w:pPr>
        <w:pStyle w:val="BodyText"/>
        <w:spacing w:line="264" w:lineRule="auto" w:before="18"/>
        <w:ind w:left="868" w:right="1130"/>
        <w:jc w:val="left"/>
      </w:pPr>
      <w:r>
        <w:rPr/>
        <w:t>（</w:t>
      </w:r>
      <w:r>
        <w:rPr>
          <w:rFonts w:ascii="Times New Roman" w:hAnsi="Times New Roman" w:cs="Times New Roman" w:eastAsia="Times New Roman" w:hint="default"/>
        </w:rPr>
        <w:t>2</w:t>
      </w:r>
      <w:r>
        <w:rPr/>
        <w:t>）期权价值的计算方法 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金融工具确认和计量》中关于公允价值确定的相关规定，需要选 择适当的估值模型对股票期权的公允价值进行计算。股票期权的价值指的是股票期权价格中反映 行权价格与市场价格之间的关系的那部分价值，即一定时期内股票价格波动因素与期权收益的内 在联系。公司采用国际通行的</w:t>
      </w:r>
      <w:r>
        <w:rPr>
          <w:rFonts w:ascii="Times New Roman" w:hAnsi="Times New Roman" w:cs="Times New Roman" w:eastAsia="Times New Roman" w:hint="default"/>
        </w:rPr>
        <w:t>Black-Scholes</w:t>
      </w:r>
      <w:r>
        <w:rPr/>
        <w:t>模型计算公司股票期权的价值，具体计算公式如下：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1680" w:lineRule="exact"/>
        <w:ind w:left="154" w:right="0" w:firstLine="0"/>
        <w:rPr>
          <w:rFonts w:ascii="宋体" w:hAnsi="宋体" w:cs="宋体" w:eastAsia="宋体" w:hint="default"/>
          <w:sz w:val="20"/>
          <w:szCs w:val="20"/>
        </w:rPr>
      </w:pPr>
      <w:r>
        <w:rPr>
          <w:rFonts w:ascii="宋体" w:hAnsi="宋体" w:cs="宋体" w:eastAsia="宋体" w:hint="default"/>
          <w:position w:val="-33"/>
          <w:sz w:val="20"/>
          <w:szCs w:val="20"/>
        </w:rPr>
        <w:drawing>
          <wp:inline distT="0" distB="0" distL="0" distR="0">
            <wp:extent cx="5276850" cy="10668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5" cstate="print"/>
                    <a:stretch>
                      <a:fillRect/>
                    </a:stretch>
                  </pic:blipFill>
                  <pic:spPr>
                    <a:xfrm>
                      <a:off x="0" y="0"/>
                      <a:ext cx="5276850" cy="1066800"/>
                    </a:xfrm>
                    <a:prstGeom prst="rect">
                      <a:avLst/>
                    </a:prstGeom>
                  </pic:spPr>
                </pic:pic>
              </a:graphicData>
            </a:graphic>
          </wp:inline>
        </w:drawing>
      </w:r>
      <w:r>
        <w:rPr>
          <w:rFonts w:ascii="宋体" w:hAnsi="宋体" w:cs="宋体" w:eastAsia="宋体" w:hint="default"/>
          <w:position w:val="-33"/>
          <w:sz w:val="20"/>
          <w:szCs w:val="20"/>
        </w:rPr>
      </w:r>
    </w:p>
    <w:p>
      <w:pPr>
        <w:pStyle w:val="BodyText"/>
        <w:spacing w:line="256" w:lineRule="auto" w:before="82"/>
        <w:ind w:left="868" w:right="0"/>
        <w:jc w:val="left"/>
      </w:pPr>
      <w:r>
        <w:rPr>
          <w:rFonts w:ascii="Times New Roman" w:hAnsi="Times New Roman" w:cs="Times New Roman" w:eastAsia="Times New Roman" w:hint="default"/>
          <w:spacing w:val="-3"/>
        </w:rPr>
        <w:t>C</w:t>
      </w:r>
      <w:r>
        <w:rPr>
          <w:spacing w:val="-3"/>
        </w:rPr>
        <w:t>为期权的理论价值；</w:t>
      </w:r>
      <w:r>
        <w:rPr>
          <w:rFonts w:ascii="Times New Roman" w:hAnsi="Times New Roman" w:cs="Times New Roman" w:eastAsia="Times New Roman" w:hint="default"/>
          <w:spacing w:val="-3"/>
        </w:rPr>
        <w:t>S</w:t>
      </w:r>
      <w:r>
        <w:rPr>
          <w:spacing w:val="-3"/>
        </w:rPr>
        <w:t>为标的股票目前的价格；</w:t>
      </w:r>
      <w:r>
        <w:rPr>
          <w:rFonts w:ascii="Times New Roman" w:hAnsi="Times New Roman" w:cs="Times New Roman" w:eastAsia="Times New Roman" w:hint="default"/>
          <w:spacing w:val="-3"/>
        </w:rPr>
        <w:t>K</w:t>
      </w:r>
      <w:r>
        <w:rPr>
          <w:spacing w:val="-3"/>
        </w:rPr>
        <w:t>为期权的行权价格；</w:t>
      </w:r>
      <w:r>
        <w:rPr>
          <w:rFonts w:ascii="Times New Roman" w:hAnsi="Times New Roman" w:cs="Times New Roman" w:eastAsia="Times New Roman" w:hint="default"/>
          <w:spacing w:val="-3"/>
        </w:rPr>
        <w:t>Rf</w:t>
      </w:r>
      <w:r>
        <w:rPr>
          <w:spacing w:val="-3"/>
        </w:rPr>
        <w:t>为无风险收益率的连续复</w:t>
      </w:r>
      <w:r>
        <w:rPr>
          <w:spacing w:val="-68"/>
        </w:rPr>
        <w:t> </w:t>
      </w:r>
      <w:r>
        <w:rPr/>
        <w:t>利率；</w:t>
      </w:r>
      <w:r>
        <w:rPr>
          <w:rFonts w:ascii="Times New Roman" w:hAnsi="Times New Roman" w:cs="Times New Roman" w:eastAsia="Times New Roman" w:hint="default"/>
        </w:rPr>
        <w:t>T</w:t>
      </w:r>
      <w:r>
        <w:rPr/>
        <w:t>为期权的有效期；</w:t>
      </w:r>
      <w:r>
        <w:rPr>
          <w:rFonts w:ascii="Times New Roman" w:hAnsi="Times New Roman" w:cs="Times New Roman" w:eastAsia="Times New Roman" w:hint="default"/>
        </w:rPr>
        <w:t>σ</w:t>
      </w:r>
      <w:r>
        <w:rPr/>
        <w:t>为期权标的股票价格的波动率；</w:t>
      </w:r>
      <w:r>
        <w:rPr>
          <w:rFonts w:ascii="Times New Roman" w:hAnsi="Times New Roman" w:cs="Times New Roman" w:eastAsia="Times New Roman" w:hint="default"/>
        </w:rPr>
        <w:t>N(..)</w:t>
      </w:r>
      <w:r>
        <w:rPr/>
        <w:t>是累计正态分布函数；</w:t>
      </w:r>
      <w:r>
        <w:rPr>
          <w:rFonts w:ascii="Times New Roman" w:hAnsi="Times New Roman" w:cs="Times New Roman" w:eastAsia="Times New Roman" w:hint="default"/>
        </w:rPr>
        <w:t>In(..)</w:t>
      </w:r>
      <w:r>
        <w:rPr/>
        <w:t>是自</w:t>
      </w:r>
      <w:r>
        <w:rPr>
          <w:w w:val="99"/>
        </w:rPr>
        <w:t> </w:t>
      </w:r>
      <w:r>
        <w:rPr/>
        <w:t>然对数函数。</w:t>
      </w:r>
    </w:p>
    <w:p>
      <w:pPr>
        <w:pStyle w:val="BodyText"/>
        <w:spacing w:line="240" w:lineRule="auto" w:before="22"/>
        <w:ind w:left="868" w:right="1972"/>
        <w:jc w:val="left"/>
      </w:pPr>
      <w:r>
        <w:rPr>
          <w:rFonts w:ascii="Times New Roman" w:hAnsi="Times New Roman" w:cs="Times New Roman" w:eastAsia="Times New Roman" w:hint="default"/>
        </w:rPr>
        <w:t>(3)</w:t>
      </w:r>
      <w:r>
        <w:rPr/>
        <w:t>股份支付费用的估算及分摊</w:t>
      </w:r>
    </w:p>
    <w:p>
      <w:pPr>
        <w:pStyle w:val="BodyText"/>
        <w:spacing w:line="271" w:lineRule="auto" w:before="21"/>
        <w:ind w:left="868" w:right="1148"/>
        <w:jc w:val="left"/>
      </w:pPr>
      <w:r>
        <w:rPr/>
        <w:t>根据《企业会计准则第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股份支付》的有关规定，公司将在等待期的每个资产负债表日，根据 最新取得的可行权人数变动、业绩指标完成情况等后续信息，修正预计可行权的股票期权数量， 并按照股票期权授权日的公允价值，将当期取得的服务计入相关成本或费用和资本公积。 基于第一个行权期实际的可行权人数和期权份数的变动、实际行权情况，以及行权价格的调整等 信息，并假设全部有效激励对象均符合本计划规定的行权条件且在剩余行权期内全部行权，以经 修正计算的每份期权价值进行测算，得出本次股权激励在各行权期内的费用估算如下： 计算过程说明如下：</w:t>
      </w:r>
    </w:p>
    <w:p>
      <w:pPr>
        <w:pStyle w:val="BodyText"/>
        <w:spacing w:line="256" w:lineRule="auto" w:before="10"/>
        <w:ind w:left="868" w:right="5478"/>
        <w:jc w:val="left"/>
        <w:rPr>
          <w:rFonts w:ascii="Times New Roman" w:hAnsi="Times New Roman" w:cs="Times New Roman" w:eastAsia="Times New Roman" w:hint="default"/>
        </w:rPr>
      </w:pPr>
      <w:r>
        <w:rPr>
          <w:position w:val="-4"/>
        </w:rPr>
        <w:drawing>
          <wp:inline distT="0" distB="0" distL="0" distR="0">
            <wp:extent cx="266700" cy="147828"/>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6" cstate="print"/>
                    <a:stretch>
                      <a:fillRect/>
                    </a:stretch>
                  </pic:blipFill>
                  <pic:spPr>
                    <a:xfrm>
                      <a:off x="0" y="0"/>
                      <a:ext cx="266700" cy="147828"/>
                    </a:xfrm>
                    <a:prstGeom prst="rect">
                      <a:avLst/>
                    </a:prstGeom>
                  </pic:spPr>
                </pic:pic>
              </a:graphicData>
            </a:graphic>
          </wp:inline>
        </w:drawing>
      </w:r>
      <w:r>
        <w:rPr>
          <w:position w:val="-4"/>
        </w:rPr>
      </w:r>
      <w:r>
        <w:rPr>
          <w:rFonts w:ascii="Times New Roman" w:hAnsi="Times New Roman" w:cs="Times New Roman" w:eastAsia="Times New Roman" w:hint="default"/>
          <w:sz w:val="20"/>
          <w:szCs w:val="20"/>
        </w:rPr>
        <w:t>  </w:t>
      </w:r>
      <w:r>
        <w:rPr>
          <w:spacing w:val="-1"/>
        </w:rPr>
        <w:t>历史波动率：</w:t>
      </w:r>
      <w:r>
        <w:rPr>
          <w:rFonts w:ascii="Times New Roman" w:hAnsi="Times New Roman" w:cs="Times New Roman" w:eastAsia="Times New Roman" w:hint="default"/>
          <w:spacing w:val="-1"/>
        </w:rPr>
        <w:t>83.55%</w:t>
      </w:r>
      <w:r>
        <w:rPr>
          <w:spacing w:val="-1"/>
        </w:rPr>
        <w:t>、</w:t>
      </w:r>
      <w:r>
        <w:rPr>
          <w:rFonts w:ascii="Times New Roman" w:hAnsi="Times New Roman" w:cs="Times New Roman" w:eastAsia="Times New Roman" w:hint="default"/>
          <w:spacing w:val="-1"/>
        </w:rPr>
        <w:t>67.28%</w:t>
      </w:r>
      <w:r>
        <w:rPr>
          <w:spacing w:val="-1"/>
        </w:rPr>
        <w:t>、</w:t>
      </w:r>
      <w:r>
        <w:rPr>
          <w:rFonts w:ascii="Times New Roman" w:hAnsi="Times New Roman" w:cs="Times New Roman" w:eastAsia="Times New Roman" w:hint="default"/>
          <w:spacing w:val="-1"/>
        </w:rPr>
        <w:t>62.74%</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rFonts w:ascii="Times New Roman" w:hAnsi="Times New Roman" w:cs="Times New Roman" w:eastAsia="Times New Roman" w:hint="default"/>
          <w:spacing w:val="-29"/>
          <w:position w:val="-4"/>
        </w:rPr>
        <w:drawing>
          <wp:inline distT="0" distB="0" distL="0" distR="0">
            <wp:extent cx="266700" cy="147827"/>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6" cstate="print"/>
                    <a:stretch>
                      <a:fillRect/>
                    </a:stretch>
                  </pic:blipFill>
                  <pic:spPr>
                    <a:xfrm>
                      <a:off x="0" y="0"/>
                      <a:ext cx="266700" cy="147827"/>
                    </a:xfrm>
                    <a:prstGeom prst="rect">
                      <a:avLst/>
                    </a:prstGeom>
                  </pic:spPr>
                </pic:pic>
              </a:graphicData>
            </a:graphic>
          </wp:inline>
        </w:drawing>
      </w:r>
      <w:r>
        <w:rPr>
          <w:rFonts w:ascii="Times New Roman" w:hAnsi="Times New Roman" w:cs="Times New Roman" w:eastAsia="Times New Roman" w:hint="default"/>
          <w:spacing w:val="-29"/>
          <w:position w:val="-4"/>
        </w:rPr>
      </w:r>
      <w:r>
        <w:rPr>
          <w:rFonts w:ascii="Times New Roman" w:hAnsi="Times New Roman" w:cs="Times New Roman" w:eastAsia="Times New Roman" w:hint="default"/>
          <w:spacing w:val="-29"/>
        </w:rPr>
      </w:r>
      <w:r>
        <w:rPr/>
        <w:t>无风险利率：</w:t>
      </w:r>
      <w:r>
        <w:rPr>
          <w:rFonts w:ascii="Times New Roman" w:hAnsi="Times New Roman" w:cs="Times New Roman" w:eastAsia="Times New Roman" w:hint="default"/>
        </w:rPr>
        <w:t>1.5%</w:t>
      </w:r>
      <w:r>
        <w:rPr/>
        <w:t>、</w:t>
      </w:r>
      <w:r>
        <w:rPr>
          <w:rFonts w:ascii="Times New Roman" w:hAnsi="Times New Roman" w:cs="Times New Roman" w:eastAsia="Times New Roman" w:hint="default"/>
        </w:rPr>
        <w:t>2.1%</w:t>
      </w:r>
      <w:r>
        <w:rPr/>
        <w:t>、</w:t>
      </w:r>
      <w:r>
        <w:rPr>
          <w:rFonts w:ascii="Times New Roman" w:hAnsi="Times New Roman" w:cs="Times New Roman" w:eastAsia="Times New Roman" w:hint="default"/>
        </w:rPr>
        <w:t>2.75%</w:t>
      </w:r>
    </w:p>
    <w:p>
      <w:pPr>
        <w:pStyle w:val="BodyText"/>
        <w:spacing w:line="256" w:lineRule="auto" w:before="5"/>
        <w:ind w:left="868" w:right="7629"/>
        <w:jc w:val="left"/>
      </w:pPr>
      <w:r>
        <w:rPr>
          <w:position w:val="-4"/>
        </w:rPr>
        <w:drawing>
          <wp:inline distT="0" distB="0" distL="0" distR="0">
            <wp:extent cx="266700" cy="147827"/>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26" cstate="print"/>
                    <a:stretch>
                      <a:fillRect/>
                    </a:stretch>
                  </pic:blipFill>
                  <pic:spPr>
                    <a:xfrm>
                      <a:off x="0" y="0"/>
                      <a:ext cx="266700" cy="147827"/>
                    </a:xfrm>
                    <a:prstGeom prst="rect">
                      <a:avLst/>
                    </a:prstGeom>
                  </pic:spPr>
                </pic:pic>
              </a:graphicData>
            </a:graphic>
          </wp:inline>
        </w:drawing>
      </w:r>
      <w:r>
        <w:rPr>
          <w:position w:val="-4"/>
        </w:rPr>
      </w:r>
      <w:r>
        <w:rPr>
          <w:rFonts w:ascii="Times New Roman" w:hAnsi="Times New Roman" w:cs="Times New Roman" w:eastAsia="Times New Roman" w:hint="default"/>
          <w:sz w:val="20"/>
          <w:szCs w:val="20"/>
        </w:rPr>
        <w:t>  </w:t>
      </w:r>
      <w:r>
        <w:rPr>
          <w:spacing w:val="-1"/>
        </w:rPr>
        <w:t>有效期限：</w:t>
      </w:r>
      <w:r>
        <w:rPr>
          <w:rFonts w:ascii="Times New Roman" w:hAnsi="Times New Roman" w:cs="Times New Roman" w:eastAsia="Times New Roman" w:hint="default"/>
          <w:spacing w:val="-1"/>
        </w:rPr>
        <w:t>3</w:t>
      </w:r>
      <w:r>
        <w:rPr>
          <w:spacing w:val="-1"/>
        </w:rPr>
        <w:t>年</w:t>
      </w:r>
      <w:r>
        <w:rPr>
          <w:spacing w:val="6"/>
        </w:rPr>
        <w:t> </w:t>
      </w:r>
      <w:r>
        <w:rPr>
          <w:position w:val="-4"/>
        </w:rPr>
        <w:drawing>
          <wp:inline distT="0" distB="0" distL="0" distR="0">
            <wp:extent cx="266700" cy="147828"/>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26" cstate="print"/>
                    <a:stretch>
                      <a:fillRect/>
                    </a:stretch>
                  </pic:blipFill>
                  <pic:spPr>
                    <a:xfrm>
                      <a:off x="0" y="0"/>
                      <a:ext cx="266700" cy="147828"/>
                    </a:xfrm>
                    <a:prstGeom prst="rect">
                      <a:avLst/>
                    </a:prstGeom>
                  </pic:spPr>
                </pic:pic>
              </a:graphicData>
            </a:graphic>
          </wp:inline>
        </w:drawing>
      </w:r>
      <w:r>
        <w:rPr>
          <w:position w:val="-4"/>
        </w:rPr>
      </w:r>
      <w:r>
        <w:rPr>
          <w:rFonts w:ascii="Times New Roman" w:hAnsi="Times New Roman" w:cs="Times New Roman" w:eastAsia="Times New Roman" w:hint="default"/>
        </w:rPr>
        <w:t> </w:t>
      </w:r>
      <w:r>
        <w:rPr/>
        <w:t>市场股价：</w:t>
      </w:r>
      <w:r>
        <w:rPr>
          <w:rFonts w:ascii="Times New Roman" w:hAnsi="Times New Roman" w:cs="Times New Roman" w:eastAsia="Times New Roman" w:hint="default"/>
        </w:rPr>
        <w:t>17.01</w:t>
      </w:r>
      <w:r>
        <w:rPr/>
        <w:t>元</w:t>
      </w:r>
    </w:p>
    <w:p>
      <w:pPr>
        <w:pStyle w:val="BodyText"/>
        <w:spacing w:line="256" w:lineRule="auto" w:before="5"/>
        <w:ind w:left="868" w:right="4525"/>
        <w:jc w:val="left"/>
      </w:pPr>
      <w:r>
        <w:rPr>
          <w:position w:val="-4"/>
        </w:rPr>
        <w:drawing>
          <wp:inline distT="0" distB="0" distL="0" distR="0">
            <wp:extent cx="266700" cy="147828"/>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26" cstate="print"/>
                    <a:stretch>
                      <a:fillRect/>
                    </a:stretch>
                  </pic:blipFill>
                  <pic:spPr>
                    <a:xfrm>
                      <a:off x="0" y="0"/>
                      <a:ext cx="266700" cy="147828"/>
                    </a:xfrm>
                    <a:prstGeom prst="rect">
                      <a:avLst/>
                    </a:prstGeom>
                  </pic:spPr>
                </pic:pic>
              </a:graphicData>
            </a:graphic>
          </wp:inline>
        </w:drawing>
      </w:r>
      <w:r>
        <w:rPr>
          <w:position w:val="-4"/>
        </w:rPr>
      </w:r>
      <w:r>
        <w:rPr>
          <w:rFonts w:ascii="Times New Roman" w:hAnsi="Times New Roman" w:cs="Times New Roman" w:eastAsia="Times New Roman" w:hint="default"/>
          <w:sz w:val="20"/>
          <w:szCs w:val="20"/>
        </w:rPr>
        <w:t>  </w:t>
      </w:r>
      <w:r>
        <w:rPr/>
        <w:t>修正后的授予价格：</w:t>
      </w:r>
      <w:r>
        <w:rPr>
          <w:rFonts w:ascii="Times New Roman" w:hAnsi="Times New Roman" w:cs="Times New Roman" w:eastAsia="Times New Roman" w:hint="default"/>
        </w:rPr>
        <w:t>8.66</w:t>
      </w:r>
      <w:r>
        <w:rPr/>
        <w:t>元 通过以上数据测算，修正后的每份股票期权价值为</w:t>
      </w:r>
      <w:r>
        <w:rPr>
          <w:rFonts w:ascii="Times New Roman" w:hAnsi="Times New Roman" w:cs="Times New Roman" w:eastAsia="Times New Roman" w:hint="default"/>
        </w:rPr>
        <w:t>1.408</w:t>
      </w:r>
      <w:r>
        <w:rPr/>
        <w:t>元。</w:t>
      </w:r>
    </w:p>
    <w:p>
      <w:pPr>
        <w:spacing w:after="0" w:line="256"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1153"/>
        <w:gridCol w:w="1066"/>
        <w:gridCol w:w="1331"/>
        <w:gridCol w:w="1066"/>
        <w:gridCol w:w="1066"/>
        <w:gridCol w:w="1067"/>
        <w:gridCol w:w="1066"/>
      </w:tblGrid>
      <w:tr>
        <w:trPr>
          <w:trHeight w:val="667" w:hRule="exact"/>
        </w:trPr>
        <w:tc>
          <w:tcPr>
            <w:tcW w:w="115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期权份额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（份）</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期权价值</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33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期权成本</w:t>
            </w:r>
          </w:p>
          <w:p>
            <w:pPr>
              <w:pStyle w:val="TableParagraph"/>
              <w:spacing w:line="240" w:lineRule="auto" w:before="37"/>
              <w:ind w:left="237"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067"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066"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p>
            <w:pPr>
              <w:pStyle w:val="TableParagraph"/>
              <w:spacing w:line="240" w:lineRule="auto" w:before="21"/>
              <w:ind w:right="5"/>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352" w:hRule="exact"/>
        </w:trPr>
        <w:tc>
          <w:tcPr>
            <w:tcW w:w="11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6" w:right="0"/>
              <w:jc w:val="left"/>
              <w:rPr>
                <w:rFonts w:ascii="Times New Roman" w:hAnsi="Times New Roman" w:cs="Times New Roman" w:eastAsia="Times New Roman" w:hint="default"/>
                <w:sz w:val="21"/>
                <w:szCs w:val="21"/>
              </w:rPr>
            </w:pPr>
            <w:r>
              <w:rPr>
                <w:rFonts w:ascii="Times New Roman"/>
                <w:sz w:val="21"/>
              </w:rPr>
              <w:t>11,562,670</w:t>
            </w:r>
          </w:p>
        </w:tc>
        <w:tc>
          <w:tcPr>
            <w:tcW w:w="10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89" w:right="0"/>
              <w:jc w:val="left"/>
              <w:rPr>
                <w:rFonts w:ascii="Times New Roman" w:hAnsi="Times New Roman" w:cs="Times New Roman" w:eastAsia="Times New Roman" w:hint="default"/>
                <w:sz w:val="21"/>
                <w:szCs w:val="21"/>
              </w:rPr>
            </w:pPr>
            <w:r>
              <w:rPr>
                <w:rFonts w:ascii="Times New Roman"/>
                <w:sz w:val="21"/>
              </w:rPr>
              <w:t>1.408</w:t>
            </w:r>
          </w:p>
        </w:tc>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90" w:right="0"/>
              <w:jc w:val="left"/>
              <w:rPr>
                <w:rFonts w:ascii="Times New Roman" w:hAnsi="Times New Roman" w:cs="Times New Roman" w:eastAsia="Times New Roman" w:hint="default"/>
                <w:sz w:val="21"/>
                <w:szCs w:val="21"/>
              </w:rPr>
            </w:pPr>
            <w:r>
              <w:rPr>
                <w:rFonts w:ascii="Times New Roman"/>
                <w:sz w:val="21"/>
              </w:rPr>
              <w:t>1,628.01</w:t>
            </w:r>
          </w:p>
        </w:tc>
        <w:tc>
          <w:tcPr>
            <w:tcW w:w="10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36" w:right="0"/>
              <w:jc w:val="left"/>
              <w:rPr>
                <w:rFonts w:ascii="Times New Roman" w:hAnsi="Times New Roman" w:cs="Times New Roman" w:eastAsia="Times New Roman" w:hint="default"/>
                <w:sz w:val="21"/>
                <w:szCs w:val="21"/>
              </w:rPr>
            </w:pPr>
            <w:r>
              <w:rPr>
                <w:rFonts w:ascii="Times New Roman"/>
                <w:sz w:val="21"/>
              </w:rPr>
              <w:t>689.32</w:t>
            </w:r>
          </w:p>
        </w:tc>
        <w:tc>
          <w:tcPr>
            <w:tcW w:w="10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36" w:right="0"/>
              <w:jc w:val="left"/>
              <w:rPr>
                <w:rFonts w:ascii="Times New Roman" w:hAnsi="Times New Roman" w:cs="Times New Roman" w:eastAsia="Times New Roman" w:hint="default"/>
                <w:sz w:val="21"/>
                <w:szCs w:val="21"/>
              </w:rPr>
            </w:pPr>
            <w:r>
              <w:rPr>
                <w:rFonts w:ascii="Times New Roman"/>
                <w:sz w:val="21"/>
              </w:rPr>
              <w:t>639.31</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37" w:right="0"/>
              <w:jc w:val="left"/>
              <w:rPr>
                <w:rFonts w:ascii="Times New Roman" w:hAnsi="Times New Roman" w:cs="Times New Roman" w:eastAsia="Times New Roman" w:hint="default"/>
                <w:sz w:val="21"/>
                <w:szCs w:val="21"/>
              </w:rPr>
            </w:pPr>
            <w:r>
              <w:rPr>
                <w:rFonts w:ascii="Times New Roman"/>
                <w:sz w:val="21"/>
              </w:rPr>
              <w:t>228.91</w:t>
            </w:r>
          </w:p>
        </w:tc>
        <w:tc>
          <w:tcPr>
            <w:tcW w:w="10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89" w:right="0"/>
              <w:jc w:val="left"/>
              <w:rPr>
                <w:rFonts w:ascii="Times New Roman" w:hAnsi="Times New Roman" w:cs="Times New Roman" w:eastAsia="Times New Roman" w:hint="default"/>
                <w:sz w:val="21"/>
                <w:szCs w:val="21"/>
              </w:rPr>
            </w:pPr>
            <w:r>
              <w:rPr>
                <w:rFonts w:ascii="Times New Roman"/>
                <w:sz w:val="21"/>
              </w:rPr>
              <w:t>70.47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5"/>
        <w:ind w:right="1972"/>
        <w:jc w:val="left"/>
        <w:rPr>
          <w:b w:val="0"/>
          <w:bCs w:val="0"/>
        </w:rPr>
      </w:pPr>
      <w:bookmarkStart w:name="2、以权益结算的股份支付情况" w:id="469"/>
      <w:bookmarkEnd w:id="46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227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股票期权的授予价格修正为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8.66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股，确定方法是根据本</w:t>
            </w:r>
          </w:p>
          <w:p>
            <w:pPr>
              <w:pStyle w:val="TableParagraph"/>
              <w:spacing w:line="240" w:lineRule="auto" w:before="61"/>
              <w:ind w:left="23" w:right="0"/>
              <w:jc w:val="both"/>
              <w:rPr>
                <w:rFonts w:ascii="宋体" w:hAnsi="宋体" w:cs="宋体" w:eastAsia="宋体" w:hint="default"/>
                <w:sz w:val="18"/>
                <w:szCs w:val="18"/>
              </w:rPr>
            </w:pPr>
            <w:r>
              <w:rPr>
                <w:rFonts w:ascii="宋体" w:hAnsi="宋体" w:cs="宋体" w:eastAsia="宋体" w:hint="default"/>
                <w:spacing w:val="-4"/>
                <w:sz w:val="18"/>
                <w:szCs w:val="18"/>
              </w:rPr>
              <w:t>激励计划（草案）摘要首次公告日前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w:t>
            </w:r>
          </w:p>
          <w:p>
            <w:pPr>
              <w:pStyle w:val="TableParagraph"/>
              <w:spacing w:line="304" w:lineRule="auto" w:before="63"/>
              <w:ind w:left="23" w:right="20"/>
              <w:jc w:val="both"/>
              <w:rPr>
                <w:rFonts w:ascii="宋体" w:hAnsi="宋体" w:cs="宋体" w:eastAsia="宋体" w:hint="default"/>
                <w:sz w:val="18"/>
                <w:szCs w:val="18"/>
              </w:rPr>
            </w:pPr>
            <w:r>
              <w:rPr>
                <w:rFonts w:ascii="宋体" w:hAnsi="宋体" w:cs="宋体" w:eastAsia="宋体" w:hint="default"/>
                <w:spacing w:val="-6"/>
                <w:sz w:val="18"/>
                <w:szCs w:val="18"/>
              </w:rPr>
              <w:t>均价（前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个交易日股票交易总额</w:t>
            </w:r>
            <w:r>
              <w:rPr>
                <w:rFonts w:ascii="Times New Roman" w:hAnsi="Times New Roman" w:cs="Times New Roman" w:eastAsia="Times New Roman" w:hint="default"/>
                <w:sz w:val="18"/>
                <w:szCs w:val="18"/>
              </w:rPr>
              <w:t>/</w:t>
            </w: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个交易日股票交 </w:t>
            </w:r>
            <w:r>
              <w:rPr>
                <w:rFonts w:ascii="宋体" w:hAnsi="宋体" w:cs="宋体" w:eastAsia="宋体" w:hint="default"/>
                <w:spacing w:val="-8"/>
                <w:sz w:val="18"/>
                <w:szCs w:val="18"/>
              </w:rPr>
              <w:t>易总量）的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确定，即授予价格＝定价基准日前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 </w:t>
            </w:r>
            <w:r>
              <w:rPr>
                <w:rFonts w:ascii="宋体" w:hAnsi="宋体" w:cs="宋体" w:eastAsia="宋体" w:hint="default"/>
                <w:spacing w:val="-2"/>
                <w:sz w:val="18"/>
                <w:szCs w:val="18"/>
              </w:rPr>
              <w:t>易日公司股票均价</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。若在行权前有派息、资本公积转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增股本、派送股票红利、股票拆细、配股或缩股等事项， 应对行权价格进行相应的调整。</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按各解锁期的业绩条件估计，并根据最新取得的可行权职 工人数变动等后续信息作出最佳估计，修正预计可行权的 权益工具数量。</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股票激励对象人数及对应的期权份额调减，以及行权价格 调整所致。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15,575,344.86</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2,289,101.94</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3、以现金结算的股份支付情况" w:id="470"/>
      <w:bookmarkEnd w:id="47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71"/>
      <w:bookmarkEnd w:id="47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4" w:right="8412" w:firstLine="0"/>
        <w:jc w:val="left"/>
        <w:rPr>
          <w:rFonts w:ascii="宋体" w:hAnsi="宋体" w:cs="宋体" w:eastAsia="宋体" w:hint="default"/>
          <w:sz w:val="21"/>
          <w:szCs w:val="21"/>
        </w:rPr>
      </w:pPr>
      <w:bookmarkStart w:name="5、其他" w:id="472"/>
      <w:bookmarkEnd w:id="4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3"/>
      <w:bookmarkEnd w:id="47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74"/>
      <w:bookmarkEnd w:id="474"/>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1972"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0"/>
        <w:ind w:left="1430" w:right="1972"/>
        <w:jc w:val="left"/>
      </w:pPr>
      <w:r>
        <w:rPr/>
        <w:t>本公司开具的保函金额如下：</w:t>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572" w:type="dxa"/>
        <w:tblLayout w:type="fixed"/>
        <w:tblCellMar>
          <w:top w:w="0" w:type="dxa"/>
          <w:left w:w="0" w:type="dxa"/>
          <w:bottom w:w="0" w:type="dxa"/>
          <w:right w:w="0" w:type="dxa"/>
        </w:tblCellMar>
        <w:tblLook w:val="01E0"/>
      </w:tblPr>
      <w:tblGrid>
        <w:gridCol w:w="1702"/>
        <w:gridCol w:w="852"/>
        <w:gridCol w:w="1560"/>
        <w:gridCol w:w="1272"/>
        <w:gridCol w:w="1566"/>
        <w:gridCol w:w="1134"/>
      </w:tblGrid>
      <w:tr>
        <w:trPr>
          <w:trHeight w:val="667" w:hRule="exact"/>
        </w:trPr>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24" w:right="0"/>
              <w:jc w:val="left"/>
              <w:rPr>
                <w:rFonts w:ascii="宋体" w:hAnsi="宋体" w:cs="宋体" w:eastAsia="宋体" w:hint="default"/>
                <w:sz w:val="21"/>
                <w:szCs w:val="21"/>
              </w:rPr>
            </w:pPr>
            <w:r>
              <w:rPr>
                <w:rFonts w:ascii="宋体" w:hAnsi="宋体" w:cs="宋体" w:eastAsia="宋体" w:hint="default"/>
                <w:sz w:val="21"/>
                <w:szCs w:val="21"/>
              </w:rPr>
              <w:t>开立银行</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206"/>
              <w:jc w:val="right"/>
              <w:rPr>
                <w:rFonts w:ascii="宋体" w:hAnsi="宋体" w:cs="宋体" w:eastAsia="宋体" w:hint="default"/>
                <w:sz w:val="21"/>
                <w:szCs w:val="21"/>
              </w:rPr>
            </w:pPr>
            <w:r>
              <w:rPr>
                <w:rFonts w:ascii="宋体" w:hAnsi="宋体" w:cs="宋体" w:eastAsia="宋体" w:hint="default"/>
                <w:sz w:val="21"/>
                <w:szCs w:val="21"/>
              </w:rPr>
              <w:t>主体</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保函编号</w:t>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08" w:right="0"/>
              <w:jc w:val="left"/>
              <w:rPr>
                <w:rFonts w:ascii="宋体" w:hAnsi="宋体" w:cs="宋体" w:eastAsia="宋体" w:hint="default"/>
                <w:sz w:val="21"/>
                <w:szCs w:val="21"/>
              </w:rPr>
            </w:pPr>
            <w:r>
              <w:rPr>
                <w:rFonts w:ascii="宋体" w:hAnsi="宋体" w:cs="宋体" w:eastAsia="宋体" w:hint="default"/>
                <w:sz w:val="21"/>
                <w:szCs w:val="21"/>
              </w:rPr>
              <w:t>保函金额</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56"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134"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243" w:right="251" w:firstLine="105"/>
              <w:jc w:val="left"/>
              <w:rPr>
                <w:rFonts w:ascii="宋体" w:hAnsi="宋体" w:cs="宋体" w:eastAsia="宋体" w:hint="default"/>
                <w:sz w:val="21"/>
                <w:szCs w:val="21"/>
              </w:rPr>
            </w:pPr>
            <w:r>
              <w:rPr>
                <w:rFonts w:ascii="宋体" w:hAnsi="宋体" w:cs="宋体" w:eastAsia="宋体" w:hint="default"/>
                <w:sz w:val="21"/>
                <w:szCs w:val="21"/>
              </w:rPr>
              <w:t>保函 到期日</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招行深纺支行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年深字第</w:t>
            </w:r>
          </w:p>
          <w:p>
            <w:pPr>
              <w:pStyle w:val="TableParagraph"/>
              <w:spacing w:line="240" w:lineRule="auto" w:before="21"/>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5113951030</w:t>
            </w:r>
            <w:r>
              <w:rPr>
                <w:rFonts w:ascii="宋体" w:hAnsi="宋体" w:cs="宋体" w:eastAsia="宋体" w:hint="default"/>
                <w:sz w:val="21"/>
                <w:szCs w:val="21"/>
              </w:rPr>
              <w:t>号</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800,000.00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限公司</w:t>
            </w:r>
            <w:r>
              <w:rPr>
                <w:rFonts w:ascii="Times New Roman" w:hAnsi="Times New Roman" w:cs="Times New Roman" w:eastAsia="Times New Roman" w:hint="default"/>
                <w:sz w:val="21"/>
                <w:szCs w:val="21"/>
              </w:rPr>
              <w:t>/????????</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2050/12/31</w:t>
            </w:r>
          </w:p>
        </w:tc>
      </w:tr>
      <w:tr>
        <w:trPr>
          <w:trHeight w:val="665"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招行深纺支行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年深字第</w:t>
            </w:r>
          </w:p>
          <w:p>
            <w:pPr>
              <w:pStyle w:val="TableParagraph"/>
              <w:spacing w:line="240" w:lineRule="auto" w:before="21"/>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5113951032</w:t>
            </w:r>
            <w:r>
              <w:rPr>
                <w:rFonts w:ascii="宋体" w:hAnsi="宋体" w:cs="宋体" w:eastAsia="宋体" w:hint="default"/>
                <w:sz w:val="21"/>
                <w:szCs w:val="21"/>
              </w:rPr>
              <w:t>号</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280,000.00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限公司</w:t>
            </w:r>
            <w:r>
              <w:rPr>
                <w:rFonts w:ascii="Times New Roman" w:hAnsi="Times New Roman" w:cs="Times New Roman" w:eastAsia="Times New Roman" w:hint="default"/>
                <w:sz w:val="21"/>
                <w:szCs w:val="21"/>
              </w:rPr>
              <w:t>/????????</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2050/12/31</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招行深纺支行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年深字第</w:t>
            </w:r>
          </w:p>
          <w:p>
            <w:pPr>
              <w:pStyle w:val="TableParagraph"/>
              <w:spacing w:line="240" w:lineRule="auto" w:before="21"/>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5114951006</w:t>
            </w:r>
            <w:r>
              <w:rPr>
                <w:rFonts w:ascii="宋体" w:hAnsi="宋体" w:cs="宋体" w:eastAsia="宋体" w:hint="default"/>
                <w:sz w:val="21"/>
                <w:szCs w:val="21"/>
              </w:rPr>
              <w:t>号</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70,000.00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限公司</w:t>
            </w:r>
            <w:r>
              <w:rPr>
                <w:rFonts w:ascii="Times New Roman" w:hAnsi="Times New Roman" w:cs="Times New Roman" w:eastAsia="Times New Roman" w:hint="default"/>
                <w:sz w:val="21"/>
                <w:szCs w:val="21"/>
              </w:rPr>
              <w:t>/????????</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9999/12/31</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07300BH201780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44</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27,000.00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2019/3/31</w:t>
            </w:r>
          </w:p>
        </w:tc>
      </w:tr>
      <w:tr>
        <w:trPr>
          <w:trHeight w:val="665"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07300BH201780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45</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1,222,088.00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2019/3/31</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07300BH201780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46</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841,834.00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2019/3/31</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07300BH201780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47</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1,547,253.00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2019/3/31</w:t>
            </w:r>
          </w:p>
        </w:tc>
      </w:tr>
      <w:tr>
        <w:trPr>
          <w:trHeight w:val="977"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07300BH201780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65</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252,439.00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天翼电子商务有</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限公司上海分公 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2019/4/23</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07300BH201780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64</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546,532.70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2019/3/5</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07300BH201781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11</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358,280.00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联通系统集成有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2019/5/7</w:t>
            </w:r>
          </w:p>
        </w:tc>
      </w:tr>
      <w:tr>
        <w:trPr>
          <w:trHeight w:val="977"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07300BH201781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49</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97,732.00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限公司云计算分 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2019/8/25</w:t>
            </w:r>
          </w:p>
        </w:tc>
      </w:tr>
      <w:tr>
        <w:trPr>
          <w:trHeight w:val="976"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700002</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157,569.00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联通系统集成有</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限公司广东省分 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2020/8/2</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07300BH201781</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97</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1,695,000.00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广东省公安厅</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2019/2/5</w:t>
            </w:r>
          </w:p>
        </w:tc>
      </w:tr>
      <w:tr>
        <w:trPr>
          <w:trHeight w:val="665"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800001</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5,377,500.00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中山市公安局</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2020/6/28</w:t>
            </w:r>
          </w:p>
        </w:tc>
      </w:tr>
      <w:tr>
        <w:trPr>
          <w:trHeight w:val="976"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800002</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38,160.00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中国联合网络通</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信有限公司安徽 省分公司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2020/12/31</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800004</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556,753.40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2020/3/8</w:t>
            </w:r>
          </w:p>
        </w:tc>
      </w:tr>
      <w:tr>
        <w:trPr>
          <w:trHeight w:val="977"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800005</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203,944.00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天翼电子商务有</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限公司上海分公 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2019/3/8</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3"/>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CGBSZHFLGN1</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337,080.00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天翼电子商务有</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2019/4/13</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572" w:type="dxa"/>
        <w:tblLayout w:type="fixed"/>
        <w:tblCellMar>
          <w:top w:w="0" w:type="dxa"/>
          <w:left w:w="0" w:type="dxa"/>
          <w:bottom w:w="0" w:type="dxa"/>
          <w:right w:w="0" w:type="dxa"/>
        </w:tblCellMar>
        <w:tblLook w:val="01E0"/>
      </w:tblPr>
      <w:tblGrid>
        <w:gridCol w:w="1702"/>
        <w:gridCol w:w="852"/>
        <w:gridCol w:w="1560"/>
        <w:gridCol w:w="1272"/>
        <w:gridCol w:w="1566"/>
        <w:gridCol w:w="1134"/>
      </w:tblGrid>
      <w:tr>
        <w:trPr>
          <w:trHeight w:val="667" w:hRule="exact"/>
        </w:trPr>
        <w:tc>
          <w:tcPr>
            <w:tcW w:w="1702" w:type="dxa"/>
            <w:tcBorders>
              <w:top w:val="single" w:sz="6" w:space="0" w:color="000000"/>
              <w:left w:val="single" w:sz="6" w:space="0" w:color="000000"/>
              <w:bottom w:val="single" w:sz="12" w:space="0" w:color="000000"/>
              <w:right w:val="single" w:sz="6" w:space="0" w:color="000000"/>
            </w:tcBorders>
          </w:tcPr>
          <w:p>
            <w:pPr/>
          </w:p>
        </w:tc>
        <w:tc>
          <w:tcPr>
            <w:tcW w:w="852"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457" w:right="0"/>
              <w:jc w:val="left"/>
              <w:rPr>
                <w:rFonts w:ascii="Times New Roman" w:hAnsi="Times New Roman" w:cs="Times New Roman" w:eastAsia="Times New Roman" w:hint="default"/>
                <w:sz w:val="21"/>
                <w:szCs w:val="21"/>
              </w:rPr>
            </w:pPr>
            <w:r>
              <w:rPr>
                <w:rFonts w:ascii="Times New Roman"/>
                <w:sz w:val="21"/>
              </w:rPr>
              <w:t>800006</w:t>
            </w:r>
          </w:p>
        </w:tc>
        <w:tc>
          <w:tcPr>
            <w:tcW w:w="1272" w:type="dxa"/>
            <w:tcBorders>
              <w:top w:val="single" w:sz="6" w:space="0" w:color="000000"/>
              <w:left w:val="single" w:sz="6" w:space="0" w:color="000000"/>
              <w:bottom w:val="single" w:sz="12" w:space="0" w:color="000000"/>
              <w:right w:val="single" w:sz="6" w:space="0" w:color="000000"/>
            </w:tcBorders>
          </w:tcPr>
          <w:p>
            <w:pP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 w:right="76"/>
              <w:jc w:val="left"/>
              <w:rPr>
                <w:rFonts w:ascii="宋体" w:hAnsi="宋体" w:cs="宋体" w:eastAsia="宋体" w:hint="default"/>
                <w:sz w:val="21"/>
                <w:szCs w:val="21"/>
              </w:rPr>
            </w:pPr>
            <w:r>
              <w:rPr>
                <w:rFonts w:ascii="宋体" w:hAnsi="宋体" w:cs="宋体" w:eastAsia="宋体" w:hint="default"/>
                <w:sz w:val="21"/>
                <w:szCs w:val="21"/>
              </w:rPr>
              <w:t>限公司上海分公 司</w:t>
            </w:r>
          </w:p>
        </w:tc>
        <w:tc>
          <w:tcPr>
            <w:tcW w:w="1134" w:type="dxa"/>
            <w:tcBorders>
              <w:top w:val="single" w:sz="6" w:space="0" w:color="000000"/>
              <w:left w:val="single" w:sz="6" w:space="0" w:color="000000"/>
              <w:bottom w:val="single" w:sz="12" w:space="0" w:color="000000"/>
              <w:right w:val="nil" w:sz="6" w:space="0" w:color="auto"/>
            </w:tcBorders>
          </w:tcPr>
          <w:p>
            <w:pP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800007</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179,860.00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航天新商务信息</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2020/12/31</w:t>
            </w:r>
          </w:p>
        </w:tc>
      </w:tr>
      <w:tr>
        <w:trPr>
          <w:trHeight w:val="665"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800010</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838,646.90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2020/8/7</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800011</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1,201,536.70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2020/8/6</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800012</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193,200.00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中移全通系统集</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成有限公司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2019/9/30</w:t>
            </w:r>
          </w:p>
        </w:tc>
      </w:tr>
      <w:tr>
        <w:trPr>
          <w:trHeight w:val="977"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510" w:right="48" w:hanging="461"/>
              <w:jc w:val="left"/>
              <w:rPr>
                <w:rFonts w:ascii="Times New Roman" w:hAnsi="Times New Roman" w:cs="Times New Roman" w:eastAsia="Times New Roman" w:hint="default"/>
                <w:sz w:val="21"/>
                <w:szCs w:val="21"/>
              </w:rPr>
            </w:pPr>
            <w:r>
              <w:rPr>
                <w:rFonts w:ascii="Times New Roman"/>
                <w:sz w:val="21"/>
              </w:rPr>
              <w:t>GBSZHFLGN18 00013</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100,000.00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中国联合网络通</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信有限公司海南 省分公司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2019/9/12</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800015</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295,000.00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广西壮族自治区</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粮食局</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2019/12/31</w:t>
            </w:r>
          </w:p>
        </w:tc>
      </w:tr>
      <w:tr>
        <w:trPr>
          <w:trHeight w:val="976"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510" w:right="48" w:hanging="461"/>
              <w:jc w:val="left"/>
              <w:rPr>
                <w:rFonts w:ascii="Times New Roman" w:hAnsi="Times New Roman" w:cs="Times New Roman" w:eastAsia="Times New Roman" w:hint="default"/>
                <w:sz w:val="21"/>
                <w:szCs w:val="21"/>
              </w:rPr>
            </w:pPr>
            <w:r>
              <w:rPr>
                <w:rFonts w:ascii="Times New Roman"/>
                <w:sz w:val="21"/>
              </w:rPr>
              <w:t>GBSZHFLGN18 00016</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14,204.00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联通系统集成有</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限公司广东省分 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2019/9/6</w:t>
            </w:r>
          </w:p>
        </w:tc>
      </w:tr>
      <w:tr>
        <w:trPr>
          <w:trHeight w:val="977"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510" w:right="48" w:hanging="461"/>
              <w:jc w:val="left"/>
              <w:rPr>
                <w:rFonts w:ascii="Times New Roman" w:hAnsi="Times New Roman" w:cs="Times New Roman" w:eastAsia="Times New Roman" w:hint="default"/>
                <w:sz w:val="21"/>
                <w:szCs w:val="21"/>
              </w:rPr>
            </w:pPr>
            <w:r>
              <w:rPr>
                <w:rFonts w:ascii="Times New Roman"/>
                <w:sz w:val="21"/>
              </w:rPr>
              <w:t>GBSZHFLGN18 00017</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37,100.00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联通系统集成有</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限公司广东省分 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2019/9/6</w:t>
            </w:r>
          </w:p>
        </w:tc>
      </w:tr>
      <w:tr>
        <w:trPr>
          <w:trHeight w:val="976"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510" w:right="48" w:hanging="461"/>
              <w:jc w:val="left"/>
              <w:rPr>
                <w:rFonts w:ascii="Times New Roman" w:hAnsi="Times New Roman" w:cs="Times New Roman" w:eastAsia="Times New Roman" w:hint="default"/>
                <w:sz w:val="21"/>
                <w:szCs w:val="21"/>
              </w:rPr>
            </w:pPr>
            <w:r>
              <w:rPr>
                <w:rFonts w:ascii="Times New Roman"/>
                <w:sz w:val="21"/>
              </w:rPr>
              <w:t>GBSZHFLGN18 00018</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27,666.00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联通系统集成有</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限公司广东省分 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2019/9/6</w:t>
            </w:r>
          </w:p>
        </w:tc>
      </w:tr>
      <w:tr>
        <w:trPr>
          <w:trHeight w:val="976"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510" w:right="48" w:hanging="461"/>
              <w:jc w:val="left"/>
              <w:rPr>
                <w:rFonts w:ascii="Times New Roman" w:hAnsi="Times New Roman" w:cs="Times New Roman" w:eastAsia="Times New Roman" w:hint="default"/>
                <w:sz w:val="21"/>
                <w:szCs w:val="21"/>
              </w:rPr>
            </w:pPr>
            <w:r>
              <w:rPr>
                <w:rFonts w:ascii="Times New Roman"/>
                <w:sz w:val="21"/>
              </w:rPr>
              <w:t>GBSZHFLGN18 00019</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42,612.00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联通系统集成有</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限公司广东省分 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2019/9/6</w:t>
            </w:r>
          </w:p>
        </w:tc>
      </w:tr>
      <w:tr>
        <w:trPr>
          <w:trHeight w:val="665"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34"/>
              <w:ind w:left="457" w:right="31" w:hanging="426"/>
              <w:jc w:val="left"/>
              <w:rPr>
                <w:rFonts w:ascii="Times New Roman" w:hAnsi="Times New Roman" w:cs="Times New Roman" w:eastAsia="Times New Roman" w:hint="default"/>
                <w:sz w:val="21"/>
                <w:szCs w:val="21"/>
              </w:rPr>
            </w:pPr>
            <w:r>
              <w:rPr>
                <w:rFonts w:ascii="Times New Roman"/>
                <w:sz w:val="21"/>
              </w:rPr>
              <w:t>CGBSZHFLGN1</w:t>
            </w:r>
            <w:r>
              <w:rPr>
                <w:rFonts w:ascii="Times New Roman"/>
                <w:w w:val="99"/>
                <w:sz w:val="21"/>
              </w:rPr>
              <w:t> </w:t>
            </w:r>
            <w:r>
              <w:rPr>
                <w:rFonts w:ascii="Times New Roman"/>
                <w:sz w:val="21"/>
              </w:rPr>
              <w:t>800020</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4,725,000.00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广东省公安厅</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2019/4/30</w:t>
            </w:r>
          </w:p>
        </w:tc>
      </w:tr>
      <w:tr>
        <w:trPr>
          <w:trHeight w:val="976"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交通银行科技园支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44320180000164</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82</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320,067.00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深圳市前海信息</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通信发展有限公 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2021/10/18</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07300BH201882</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49</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123,000.00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广州市公安局</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2020/12/26</w:t>
            </w:r>
          </w:p>
        </w:tc>
      </w:tr>
      <w:tr>
        <w:trPr>
          <w:trHeight w:val="665"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交通银行科技园支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44320180000180</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88</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737,099.30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2020/10/22</w:t>
            </w:r>
          </w:p>
        </w:tc>
      </w:tr>
      <w:tr>
        <w:trPr>
          <w:trHeight w:val="664"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交通银行科技园支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44320180000182</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45</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373,660.00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中国电信股份有</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2020/10/22</w:t>
            </w:r>
          </w:p>
        </w:tc>
      </w:tr>
      <w:tr>
        <w:trPr>
          <w:trHeight w:val="976"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宁波银行科技园支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07300BH201882</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65</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221,760.00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天翼电子商务有</w:t>
            </w:r>
          </w:p>
          <w:p>
            <w:pPr>
              <w:pStyle w:val="TableParagraph"/>
              <w:spacing w:line="273" w:lineRule="auto" w:before="37"/>
              <w:ind w:left="3" w:right="76"/>
              <w:jc w:val="left"/>
              <w:rPr>
                <w:rFonts w:ascii="宋体" w:hAnsi="宋体" w:cs="宋体" w:eastAsia="宋体" w:hint="default"/>
                <w:sz w:val="21"/>
                <w:szCs w:val="21"/>
              </w:rPr>
            </w:pPr>
            <w:r>
              <w:rPr>
                <w:rFonts w:ascii="宋体" w:hAnsi="宋体" w:cs="宋体" w:eastAsia="宋体" w:hint="default"/>
                <w:sz w:val="21"/>
                <w:szCs w:val="21"/>
              </w:rPr>
              <w:t>限公司上海分公 司</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2019/11/2</w:t>
            </w:r>
          </w:p>
        </w:tc>
      </w:tr>
      <w:tr>
        <w:trPr>
          <w:trHeight w:val="35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23,839,577.00</w:t>
            </w:r>
          </w:p>
        </w:tc>
        <w:tc>
          <w:tcPr>
            <w:tcW w:w="1566"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5"/>
        <w:spacing w:line="240" w:lineRule="auto" w:before="35"/>
        <w:ind w:right="1972"/>
        <w:jc w:val="left"/>
        <w:rPr>
          <w:b w:val="0"/>
          <w:bCs w:val="0"/>
        </w:rPr>
      </w:pPr>
      <w:bookmarkStart w:name="2、或有事项" w:id="475"/>
      <w:bookmarkEnd w:id="47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5"/>
        <w:spacing w:line="506" w:lineRule="auto"/>
        <w:ind w:right="7063"/>
        <w:jc w:val="left"/>
        <w:rPr>
          <w:rFonts w:ascii="宋体" w:hAnsi="宋体" w:cs="宋体" w:eastAsia="宋体" w:hint="default"/>
          <w:b w:val="0"/>
          <w:bCs w:val="0"/>
        </w:rPr>
      </w:pPr>
      <w:bookmarkStart w:name="（1）资产负债表日存在的重要或有事项" w:id="476"/>
      <w:bookmarkEnd w:id="476"/>
      <w:r>
        <w:rPr>
          <w:b w:val="0"/>
          <w:bCs w:val="0"/>
        </w:rPr>
      </w:r>
      <w:r>
        <w:rPr/>
        <w:t>（</w:t>
      </w:r>
      <w:r>
        <w:rPr>
          <w:rFonts w:ascii="Times New Roman" w:hAnsi="Times New Roman" w:cs="Times New Roman" w:eastAsia="Times New Roman" w:hint="default"/>
        </w:rPr>
        <w:t>1</w:t>
      </w:r>
      <w:r>
        <w:rPr/>
        <w:t>）资产负债表日存在的重要或有事项</w:t>
      </w:r>
      <w:r>
        <w:rPr>
          <w:w w:val="99"/>
        </w:rPr>
        <w:t> </w:t>
      </w:r>
      <w:r>
        <w:rPr>
          <w:rFonts w:ascii="宋体" w:hAnsi="宋体" w:cs="宋体" w:eastAsia="宋体" w:hint="default"/>
          <w:b w:val="0"/>
          <w:bCs w:val="0"/>
        </w:rPr>
        <w:t>无</w:t>
      </w:r>
    </w:p>
    <w:p>
      <w:pPr>
        <w:pStyle w:val="Heading5"/>
        <w:spacing w:line="240" w:lineRule="auto" w:before="105"/>
        <w:ind w:right="1972"/>
        <w:jc w:val="left"/>
        <w:rPr>
          <w:b w:val="0"/>
          <w:bCs w:val="0"/>
        </w:rPr>
      </w:pPr>
      <w:bookmarkStart w:name="（2）公司没有需要披露的重要或有事项，也应予以说明" w:id="477"/>
      <w:bookmarkEnd w:id="47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78"/>
      <w:bookmarkEnd w:id="47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9"/>
      <w:bookmarkEnd w:id="47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0"/>
      <w:bookmarkEnd w:id="48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5"/>
        <w:ind w:right="1972"/>
        <w:jc w:val="left"/>
        <w:rPr>
          <w:b w:val="0"/>
          <w:bCs w:val="0"/>
        </w:rPr>
      </w:pPr>
      <w:bookmarkStart w:name="2、利润分配情况" w:id="481"/>
      <w:bookmarkEnd w:id="48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23,945,031.60</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销售退回" w:id="482"/>
      <w:bookmarkEnd w:id="48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4、其他资产负债表日后事项说明" w:id="483"/>
      <w:bookmarkEnd w:id="483"/>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5"/>
        <w:spacing w:line="240" w:lineRule="auto"/>
        <w:ind w:left="1005" w:right="1972"/>
        <w:jc w:val="left"/>
        <w:rPr>
          <w:b w:val="0"/>
          <w:bCs w:val="0"/>
        </w:rPr>
      </w:pPr>
      <w:r>
        <w:rPr/>
        <w:t>（一）、重要的非调整事项</w:t>
      </w:r>
      <w:r>
        <w:rPr>
          <w:b w:val="0"/>
          <w:bCs w:val="0"/>
        </w:rPr>
      </w:r>
    </w:p>
    <w:p>
      <w:pPr>
        <w:spacing w:line="240" w:lineRule="auto" w:before="9"/>
        <w:rPr>
          <w:rFonts w:ascii="宋体" w:hAnsi="宋体" w:cs="宋体" w:eastAsia="宋体" w:hint="default"/>
          <w:b/>
          <w:bCs/>
          <w:sz w:val="26"/>
          <w:szCs w:val="26"/>
        </w:rPr>
      </w:pPr>
    </w:p>
    <w:p>
      <w:pPr>
        <w:pStyle w:val="BodyText"/>
        <w:spacing w:line="261" w:lineRule="auto" w:before="0"/>
        <w:ind w:left="868" w:right="1113"/>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年面向合格投资者公开发行的公司债券（第一期）（债券简称“</w:t>
      </w:r>
      <w:r>
        <w:rPr>
          <w:rFonts w:ascii="Times New Roman" w:hAnsi="Times New Roman" w:cs="Times New Roman" w:eastAsia="Times New Roman" w:hint="default"/>
        </w:rPr>
        <w:t>16</w:t>
      </w:r>
      <w:r>
        <w:rPr/>
        <w:t>迪科</w:t>
      </w:r>
      <w:r>
        <w:rPr>
          <w:rFonts w:ascii="Times New Roman" w:hAnsi="Times New Roman" w:cs="Times New Roman" w:eastAsia="Times New Roman" w:hint="default"/>
        </w:rPr>
        <w:t>01</w:t>
      </w:r>
      <w:r>
        <w:rPr/>
        <w:t>”、债券代 码</w:t>
      </w:r>
      <w:r>
        <w:rPr>
          <w:rFonts w:ascii="Times New Roman" w:hAnsi="Times New Roman" w:cs="Times New Roman" w:eastAsia="Times New Roman" w:hint="default"/>
        </w:rPr>
        <w:t>112338</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日到期，公司按期支付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日期间的利息以及兑 付本金。本期债券于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日收盘后在深圳证券交易所交易系统终止交易。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日公司第四届董事会第二十六次会议决议，审议通过了《公司向银行申请使用综 合授信额度的议案》。为满足公司业务发展需要，公司拟向金融机构及类金融企业申请使用综合 授信额度不超过</w:t>
      </w:r>
      <w:r>
        <w:rPr>
          <w:rFonts w:ascii="Times New Roman" w:hAnsi="Times New Roman" w:cs="Times New Roman" w:eastAsia="Times New Roman" w:hint="default"/>
        </w:rPr>
        <w:t>200,000</w:t>
      </w:r>
      <w:r>
        <w:rPr/>
        <w:t>万元。其中深圳市金华威数码科技有限公司、合肥天源迪科信息技术有限 公司、上海天源迪科信息技术有限公司、维恩贝特科技有限公司，向金融机构及类金融企业申请 使用综合授信额度合计不超过</w:t>
      </w:r>
      <w:r>
        <w:rPr>
          <w:rFonts w:ascii="Times New Roman" w:hAnsi="Times New Roman" w:cs="Times New Roman" w:eastAsia="Times New Roman" w:hint="default"/>
        </w:rPr>
        <w:t>148,000</w:t>
      </w:r>
      <w:r>
        <w:rPr/>
        <w:t>万元。以上授信额度不等于公司的实际融资金额，实际融资 金额应在授信额度内以金融机构及类金融企业与公司实际发生的融资金额为准。</w:t>
      </w:r>
    </w:p>
    <w:p>
      <w:pPr>
        <w:spacing w:after="0" w:line="26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left="868" w:right="102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日公司第四届董事会第二十六次会议决议，审议通过了《公司向银行申请使用综 合授信额度的议案》。为满足公司业务发展需要，公司拟向金融机构及类金融企业申请使用综合 授信额度不超过</w:t>
      </w:r>
      <w:r>
        <w:rPr>
          <w:rFonts w:ascii="Times New Roman" w:hAnsi="Times New Roman" w:cs="Times New Roman" w:eastAsia="Times New Roman" w:hint="default"/>
        </w:rPr>
        <w:t>200,000</w:t>
      </w:r>
      <w:r>
        <w:rPr/>
        <w:t>万元。其中深圳市金华威数码科技有限公司、合肥天源迪科信息技术有限 公司、上海天源迪科信息技术有限公司、维恩贝特科技有限公司，向金融机构及类金融企业申请 使用综合授信额度合计不超过</w:t>
      </w:r>
      <w:r>
        <w:rPr>
          <w:rFonts w:ascii="Times New Roman" w:hAnsi="Times New Roman" w:cs="Times New Roman" w:eastAsia="Times New Roman" w:hint="default"/>
        </w:rPr>
        <w:t>148,000</w:t>
      </w:r>
      <w:r>
        <w:rPr/>
        <w:t>万元。以上授信额度不等于公司的实际融资金额，实际融资 金额应在授信额度内以金融机构及类金融企业与公司实际发生的融资金额为准。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日公司第四届董事会第二十六次会议决议，审议通过了《关于关于</w:t>
      </w:r>
      <w:r>
        <w:rPr>
          <w:rFonts w:ascii="Times New Roman" w:hAnsi="Times New Roman" w:cs="Times New Roman" w:eastAsia="Times New Roman" w:hint="default"/>
        </w:rPr>
        <w:t>2019</w:t>
      </w:r>
      <w:r>
        <w:rPr/>
        <w:t>年度为子 公司提供财务资助额度的议案》。控股子公司深圳金华威、合肥英泽、广西驿途因日常经营资金 需求，</w:t>
      </w:r>
      <w:r>
        <w:rPr>
          <w:rFonts w:ascii="Times New Roman" w:hAnsi="Times New Roman" w:cs="Times New Roman" w:eastAsia="Times New Roman" w:hint="default"/>
        </w:rPr>
        <w:t>2019</w:t>
      </w:r>
      <w:r>
        <w:rPr/>
        <w:t>年度计划需要使用流动资金</w:t>
      </w:r>
      <w:r>
        <w:rPr>
          <w:rFonts w:ascii="Times New Roman" w:hAnsi="Times New Roman" w:cs="Times New Roman" w:eastAsia="Times New Roman" w:hint="default"/>
        </w:rPr>
        <w:t>131,500</w:t>
      </w:r>
      <w:r>
        <w:rPr/>
        <w:t>万元。为降低融资成本，同时保证资金需求，上述 子公司向金融机构及类金融企业申请贷款的同时，公司为其提供财务资助，使用综合授信额度和 财务资助合计额度不超过</w:t>
      </w:r>
      <w:r>
        <w:rPr>
          <w:rFonts w:ascii="Times New Roman" w:hAnsi="Times New Roman" w:cs="Times New Roman" w:eastAsia="Times New Roman" w:hint="default"/>
        </w:rPr>
        <w:t>131,500</w:t>
      </w:r>
      <w:r>
        <w:rPr/>
        <w:t>万元。财务资助额度</w:t>
      </w:r>
      <w:r>
        <w:rPr>
          <w:rFonts w:ascii="Times New Roman" w:hAnsi="Times New Roman" w:cs="Times New Roman" w:eastAsia="Times New Roman" w:hint="default"/>
        </w:rPr>
        <w:t>131,500</w:t>
      </w:r>
      <w:r>
        <w:rPr/>
        <w:t>万元为最高额，该额度在有效期内可 循环使用。实际担保发生时，担保协议</w:t>
      </w:r>
      <w:r>
        <w:rPr>
          <w:rFonts w:ascii="Times New Roman" w:hAnsi="Times New Roman" w:cs="Times New Roman" w:eastAsia="Times New Roman" w:hint="default"/>
        </w:rPr>
        <w:t>/</w:t>
      </w:r>
      <w:r>
        <w:rPr/>
        <w:t>合同的主要内容包括但不限于担保金额、担保范围、担保 期限等条款由公司授权人与相关金融机构共同协商确定。在担保额度有效期内发生的每笔担保的 担保期限由公司授权代理人根据融资需要和风险评估综合确定。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日公司第四届董事会第二十六次会议决议，审议通过了《关于</w:t>
      </w:r>
      <w:r>
        <w:rPr>
          <w:rFonts w:ascii="Times New Roman" w:hAnsi="Times New Roman" w:cs="Times New Roman" w:eastAsia="Times New Roman" w:hint="default"/>
        </w:rPr>
        <w:t>2019</w:t>
      </w:r>
      <w:r>
        <w:rPr/>
        <w:t>年度为子公司 提供担保额度的议案》。公司及合并报表范围内子公司</w:t>
      </w:r>
      <w:r>
        <w:rPr>
          <w:rFonts w:ascii="Times New Roman" w:hAnsi="Times New Roman" w:cs="Times New Roman" w:eastAsia="Times New Roman" w:hint="default"/>
        </w:rPr>
        <w:t>2019</w:t>
      </w:r>
      <w:r>
        <w:rPr/>
        <w:t>年度拟向金融机构及类金融企业申请 使用综合授信额度最高不超过人民币</w:t>
      </w:r>
      <w:r>
        <w:rPr>
          <w:rFonts w:ascii="Times New Roman" w:hAnsi="Times New Roman" w:cs="Times New Roman" w:eastAsia="Times New Roman" w:hint="default"/>
        </w:rPr>
        <w:t>20</w:t>
      </w:r>
      <w:r>
        <w:rPr/>
        <w:t>亿元。为保证公司</w:t>
      </w:r>
      <w:r>
        <w:rPr>
          <w:rFonts w:ascii="Times New Roman" w:hAnsi="Times New Roman" w:cs="Times New Roman" w:eastAsia="Times New Roman" w:hint="default"/>
        </w:rPr>
        <w:t>2019</w:t>
      </w:r>
      <w:r>
        <w:rPr/>
        <w:t>年度融资计划的实施，公司拟为全 资子公司合肥天源迪科信息技术有限公司、全资子公司上海天源迪科信息技术有限公司、控股子 公司深圳市金华威数码科技有限公司、控股子公司维恩贝特科技有限公司，在本年度拟向金融机 构及类金融企业申请使用综合授信额度时提供担保，实际向金融机构及类金融企业使用担保额度 最高不超过人民币</w:t>
      </w:r>
      <w:r>
        <w:rPr>
          <w:rFonts w:ascii="Times New Roman" w:hAnsi="Times New Roman" w:cs="Times New Roman" w:eastAsia="Times New Roman" w:hint="default"/>
        </w:rPr>
        <w:t>148,000</w:t>
      </w:r>
      <w:r>
        <w:rPr/>
        <w:t>万元。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日公司第四届董事会第二十六次会议决议，审议通过了《关于</w:t>
      </w:r>
      <w:r>
        <w:rPr>
          <w:rFonts w:ascii="Times New Roman" w:hAnsi="Times New Roman" w:cs="Times New Roman" w:eastAsia="Times New Roman" w:hint="default"/>
        </w:rPr>
        <w:t>2019</w:t>
      </w:r>
      <w:r>
        <w:rPr/>
        <w:t>年度日常性关 联交易预计的议案》。</w:t>
      </w:r>
      <w:r>
        <w:rPr>
          <w:rFonts w:ascii="Times New Roman" w:hAnsi="Times New Roman" w:cs="Times New Roman" w:eastAsia="Times New Roman" w:hint="default"/>
        </w:rPr>
        <w:t>2019</w:t>
      </w:r>
      <w:r>
        <w:rPr/>
        <w:t>年度，因业务需要，公司拟与关联方深圳市汇巨信息技术有限公司、 广州天源信息科技股份有限公司、北京信邦安达科技有限公司、深圳市科陆电子科技股份有限公 司发生日常关联交易，控股子公司维恩贝特科技有限公司拟与关联法人北京江融信科技有限公司、 潍坊市云支付科技有限公司发生日常关联交易。基于公司与关联方业务需要，</w:t>
      </w:r>
      <w:r>
        <w:rPr>
          <w:rFonts w:ascii="Times New Roman" w:hAnsi="Times New Roman" w:cs="Times New Roman" w:eastAsia="Times New Roman" w:hint="default"/>
        </w:rPr>
        <w:t>2019</w:t>
      </w:r>
      <w:r>
        <w:rPr/>
        <w:t>年预计日常关 联交易情况如下：向上述关联方销售产品和提供劳务金额为</w:t>
      </w:r>
      <w:r>
        <w:rPr>
          <w:rFonts w:ascii="Times New Roman" w:hAnsi="Times New Roman" w:cs="Times New Roman" w:eastAsia="Times New Roman" w:hint="default"/>
        </w:rPr>
        <w:t>3,400</w:t>
      </w:r>
      <w:r>
        <w:rPr/>
        <w:t>万元，向上述关联方采购产品和 接受劳务金额为</w:t>
      </w:r>
      <w:r>
        <w:rPr>
          <w:rFonts w:ascii="Times New Roman" w:hAnsi="Times New Roman" w:cs="Times New Roman" w:eastAsia="Times New Roman" w:hint="default"/>
        </w:rPr>
        <w:t>3,000</w:t>
      </w:r>
      <w:r>
        <w:rPr/>
        <w:t>万元。公司与关联方的交易参照市场价格，以现金方式结算，以上交易期限 为</w:t>
      </w:r>
      <w:r>
        <w:rPr>
          <w:rFonts w:ascii="Times New Roman" w:hAnsi="Times New Roman" w:cs="Times New Roman" w:eastAsia="Times New Roman" w:hint="default"/>
        </w:rPr>
        <w:t>1</w:t>
      </w:r>
      <w:r>
        <w:rPr/>
        <w:t>年。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日公司第四届董事会第二十六次会议决议，审议通过了《关于维恩贝特科技有限 公司</w:t>
      </w:r>
      <w:r>
        <w:rPr>
          <w:rFonts w:ascii="Times New Roman" w:hAnsi="Times New Roman" w:cs="Times New Roman" w:eastAsia="Times New Roman" w:hint="default"/>
        </w:rPr>
        <w:t>2016-2018</w:t>
      </w:r>
      <w:r>
        <w:rPr/>
        <w:t>年度业绩承诺完成情况专项审核报告》。维恩贝特</w:t>
      </w:r>
      <w:r>
        <w:rPr>
          <w:rFonts w:ascii="Times New Roman" w:hAnsi="Times New Roman" w:cs="Times New Roman" w:eastAsia="Times New Roman" w:hint="default"/>
        </w:rPr>
        <w:t>2018</w:t>
      </w:r>
      <w:r>
        <w:rPr/>
        <w:t>年度经过调整后的净利润为 </w:t>
      </w:r>
      <w:r>
        <w:rPr>
          <w:rFonts w:ascii="Times New Roman" w:hAnsi="Times New Roman" w:cs="Times New Roman" w:eastAsia="Times New Roman" w:hint="default"/>
        </w:rPr>
        <w:t>6,472.01</w:t>
      </w:r>
      <w:r>
        <w:rPr/>
        <w:t>万元，</w:t>
      </w:r>
      <w:r>
        <w:rPr>
          <w:rFonts w:ascii="Times New Roman" w:hAnsi="Times New Roman" w:cs="Times New Roman" w:eastAsia="Times New Roman" w:hint="default"/>
        </w:rPr>
        <w:t>2016-2018</w:t>
      </w:r>
      <w:r>
        <w:rPr/>
        <w:t>年度合计净利润为</w:t>
      </w:r>
      <w:r>
        <w:rPr>
          <w:rFonts w:ascii="Times New Roman" w:hAnsi="Times New Roman" w:cs="Times New Roman" w:eastAsia="Times New Roman" w:hint="default"/>
        </w:rPr>
        <w:t>14,608.86</w:t>
      </w:r>
      <w:r>
        <w:rPr/>
        <w:t>万元，完成了业绩承诺的</w:t>
      </w:r>
      <w:r>
        <w:rPr>
          <w:rFonts w:ascii="Times New Roman" w:hAnsi="Times New Roman" w:cs="Times New Roman" w:eastAsia="Times New Roman" w:hint="default"/>
        </w:rPr>
        <w:t>14,490</w:t>
      </w:r>
      <w:r>
        <w:rPr/>
        <w:t>万元，不需要 进行业绩补偿。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日公司第四届董事会第二十六次会议决议，审议通过了《关于变更会计政策的议 </w:t>
      </w:r>
      <w:r>
        <w:rPr>
          <w:spacing w:val="-17"/>
        </w:rPr>
        <w:t>案》。财政部于 </w:t>
      </w:r>
      <w:r>
        <w:rPr>
          <w:rFonts w:ascii="Times New Roman" w:hAnsi="Times New Roman" w:cs="Times New Roman" w:eastAsia="Times New Roman" w:hint="default"/>
        </w:rPr>
        <w:t>2017  </w:t>
      </w:r>
      <w:r>
        <w:rPr>
          <w:spacing w:val="-4"/>
        </w:rPr>
        <w:t>年陆续发布了修订后的《企业会计准则第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spacing w:val="-5"/>
        </w:rPr>
        <w:t>号</w:t>
      </w:r>
      <w:r>
        <w:rPr>
          <w:rFonts w:ascii="Times New Roman" w:hAnsi="Times New Roman" w:cs="Times New Roman" w:eastAsia="Times New Roman" w:hint="default"/>
          <w:spacing w:val="-5"/>
        </w:rPr>
        <w:t>——</w:t>
      </w:r>
      <w:r>
        <w:rPr>
          <w:spacing w:val="-5"/>
        </w:rPr>
        <w:t>金融工具确认和计量》、</w:t>
      </w:r>
    </w:p>
    <w:p>
      <w:pPr>
        <w:pStyle w:val="BodyText"/>
        <w:spacing w:line="256" w:lineRule="auto" w:before="0"/>
        <w:ind w:left="868" w:right="1119"/>
        <w:jc w:val="left"/>
      </w:pPr>
      <w:r>
        <w:rPr/>
        <w:t>《企业会计准则第 </w:t>
      </w:r>
      <w:r>
        <w:rPr>
          <w:rFonts w:ascii="Times New Roman" w:hAnsi="Times New Roman" w:cs="Times New Roman" w:eastAsia="Times New Roman" w:hint="default"/>
        </w:rPr>
        <w:t>23 </w:t>
      </w:r>
      <w:r>
        <w:rPr/>
        <w:t>号</w:t>
      </w:r>
      <w:r>
        <w:rPr>
          <w:rFonts w:ascii="Times New Roman" w:hAnsi="Times New Roman" w:cs="Times New Roman" w:eastAsia="Times New Roman" w:hint="default"/>
        </w:rPr>
        <w:t>——</w:t>
      </w:r>
      <w:r>
        <w:rPr/>
        <w:t>金融资产转移》、《企业会计准则第</w:t>
      </w:r>
      <w:r>
        <w:rPr>
          <w:spacing w:val="-66"/>
        </w:rPr>
        <w:t> </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 会计准则第</w:t>
      </w:r>
      <w:r>
        <w:rPr>
          <w:spacing w:val="-44"/>
        </w:rPr>
        <w:t> </w:t>
      </w:r>
      <w:r>
        <w:rPr>
          <w:rFonts w:ascii="Times New Roman" w:hAnsi="Times New Roman" w:cs="Times New Roman" w:eastAsia="Times New Roman" w:hint="default"/>
        </w:rPr>
        <w:t>37</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金融工具列报》（以下统称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），要求在境内外同时上市的</w:t>
      </w:r>
    </w:p>
    <w:p>
      <w:pPr>
        <w:pStyle w:val="BodyText"/>
        <w:spacing w:line="240" w:lineRule="auto" w:before="5"/>
        <w:ind w:left="868" w:right="0"/>
        <w:jc w:val="left"/>
        <w:rPr>
          <w:rFonts w:ascii="Times New Roman" w:hAnsi="Times New Roman" w:cs="Times New Roman" w:eastAsia="Times New Roman" w:hint="default"/>
        </w:rPr>
      </w:pPr>
      <w:r>
        <w:rPr/>
        <w:t>企业以及在境外上市并采用国际财务报告准则或企业会计准则编制财务报告的企业，自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w:t>
      </w:r>
    </w:p>
    <w:p>
      <w:pPr>
        <w:pStyle w:val="BodyText"/>
        <w:spacing w:line="240" w:lineRule="auto" w:before="21"/>
        <w:ind w:left="868" w:right="0"/>
        <w:jc w:val="left"/>
      </w:pPr>
      <w:r>
        <w:rPr/>
        <w:t>月 </w:t>
      </w:r>
      <w:r>
        <w:rPr>
          <w:rFonts w:ascii="Times New Roman" w:hAnsi="Times New Roman" w:cs="Times New Roman" w:eastAsia="Times New Roman" w:hint="default"/>
        </w:rPr>
        <w:t>1 </w:t>
      </w:r>
      <w:r>
        <w:rPr/>
        <w:t>日起施行；其他境内上市企业自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w:t>
      </w:r>
      <w:r>
        <w:rPr/>
        <w:t>月 </w:t>
      </w:r>
      <w:r>
        <w:rPr>
          <w:rFonts w:ascii="Times New Roman" w:hAnsi="Times New Roman" w:cs="Times New Roman" w:eastAsia="Times New Roman" w:hint="default"/>
        </w:rPr>
        <w:t>1 </w:t>
      </w:r>
      <w:r>
        <w:rPr/>
        <w:t>日起施行。</w:t>
      </w:r>
      <w:r>
        <w:rPr>
          <w:spacing w:val="-11"/>
        </w:rPr>
        <w:t> </w:t>
      </w:r>
      <w:r>
        <w:rPr/>
        <w:t>公司将按照财政部相关规定于</w:t>
      </w:r>
    </w:p>
    <w:p>
      <w:pPr>
        <w:pStyle w:val="BodyText"/>
        <w:spacing w:line="240" w:lineRule="auto" w:before="21"/>
        <w:ind w:left="868" w:right="1972"/>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日起按照上述新金融工具准则的规定编制公司财务报表。</w:t>
      </w:r>
    </w:p>
    <w:p>
      <w:pPr>
        <w:pStyle w:val="BodyText"/>
        <w:spacing w:line="266" w:lineRule="auto" w:before="21"/>
        <w:ind w:left="868"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日公司第四届董事会第二十六次会议决议，审议通过了《关于回购注销已离职激 </w:t>
      </w:r>
      <w:r>
        <w:rPr>
          <w:spacing w:val="-3"/>
        </w:rPr>
        <w:t>励对象已获授但尚未解锁的限制性股票的议案》。因公司限制性股票激励计划激励对象（王榆棋、</w:t>
      </w:r>
      <w:r>
        <w:rPr>
          <w:spacing w:val="-81"/>
        </w:rPr>
        <w:t> </w:t>
      </w:r>
      <w:r>
        <w:rPr>
          <w:spacing w:val="-81"/>
        </w:rPr>
      </w:r>
      <w:r>
        <w:rPr>
          <w:spacing w:val="-3"/>
        </w:rPr>
        <w:t>陈小燕、贾志强、李伟、刘文钧、张自云、司磊、林浩、刘振奎、王超、郑智先、唐波、朱立智）</w:t>
      </w:r>
      <w:r>
        <w:rPr>
          <w:spacing w:val="-86"/>
        </w:rPr>
        <w:t> </w:t>
      </w:r>
      <w:r>
        <w:rPr>
          <w:spacing w:val="-86"/>
        </w:rPr>
      </w:r>
      <w:r>
        <w:rPr/>
        <w:t>共</w:t>
      </w:r>
      <w:r>
        <w:rPr>
          <w:rFonts w:ascii="Times New Roman" w:hAnsi="Times New Roman" w:cs="Times New Roman" w:eastAsia="Times New Roman" w:hint="default"/>
        </w:rPr>
        <w:t>13</w:t>
      </w:r>
      <w:r>
        <w:rPr/>
        <w:t>人因个人原因离职，已不符合激励条件，其已获授但尚未解锁的限制性股票合计</w:t>
      </w:r>
      <w:r>
        <w:rPr>
          <w:rFonts w:ascii="Times New Roman" w:hAnsi="Times New Roman" w:cs="Times New Roman" w:eastAsia="Times New Roman" w:hint="default"/>
        </w:rPr>
        <w:t>136,880</w:t>
      </w:r>
      <w:r>
        <w:rPr/>
        <w:t>股将</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left="868" w:right="1113"/>
        <w:jc w:val="left"/>
      </w:pPr>
      <w:r>
        <w:rPr/>
        <w:t>全部注销。经过本次调整，限制性股票激励计划授予的限制性股票数量（不含已解锁的第一期、 第二期）调整为</w:t>
      </w:r>
      <w:r>
        <w:rPr>
          <w:rFonts w:ascii="Times New Roman" w:hAnsi="Times New Roman" w:cs="Times New Roman" w:eastAsia="Times New Roman" w:hint="default"/>
        </w:rPr>
        <w:t>4,368,080</w:t>
      </w:r>
      <w:r>
        <w:rPr/>
        <w:t>股，授予对象调整为</w:t>
      </w:r>
      <w:r>
        <w:rPr>
          <w:rFonts w:ascii="Times New Roman" w:hAnsi="Times New Roman" w:cs="Times New Roman" w:eastAsia="Times New Roman" w:hint="default"/>
        </w:rPr>
        <w:t>348</w:t>
      </w:r>
      <w:r>
        <w:rPr/>
        <w:t>人。 </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日公司第四届董事会第二十六次会议决议，审议通过了《关于董事会换届选举的 议案》。公司第四届董事会任期将于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日届满，提名委员会提名以下被提名人组成公司 第五届董事会。第五届董事会由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名，任期自公司股东大会选举通过 </w:t>
      </w:r>
      <w:r>
        <w:rPr>
          <w:spacing w:val="-3"/>
        </w:rPr>
        <w:t>之日起三年。提名委员会决定推荐陈友先生、陈鲁康先生、苗逢源先生、陈兵先生、谢晓宾先生、</w:t>
      </w:r>
      <w:r>
        <w:rPr>
          <w:spacing w:val="-85"/>
        </w:rPr>
        <w:t> </w:t>
      </w:r>
      <w:r>
        <w:rPr>
          <w:spacing w:val="-85"/>
        </w:rPr>
      </w:r>
      <w:r>
        <w:rPr/>
        <w:t>汪东升先生为公司第五届董事会非独立董事候选人，推荐张卫华先生、谢波峰先生、戴昌久先生 为公司第五届董事会独立董事候选人。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日公司第四届董事会第二十六次会议决议，审议通过了《《关于召开</w:t>
      </w:r>
      <w:r>
        <w:rPr>
          <w:rFonts w:ascii="Times New Roman" w:hAnsi="Times New Roman" w:cs="Times New Roman" w:eastAsia="Times New Roman" w:hint="default"/>
        </w:rPr>
        <w:t>2018</w:t>
      </w:r>
      <w:r>
        <w:rPr/>
        <w:t>年度股 东大会的通知》。公司拟于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日上午</w:t>
      </w:r>
      <w:r>
        <w:rPr>
          <w:rFonts w:ascii="Times New Roman" w:hAnsi="Times New Roman" w:cs="Times New Roman" w:eastAsia="Times New Roman" w:hint="default"/>
        </w:rPr>
        <w:t>10:00</w:t>
      </w:r>
      <w:r>
        <w:rPr/>
        <w:t>于公司会议室召开</w:t>
      </w:r>
      <w:r>
        <w:rPr>
          <w:rFonts w:ascii="Times New Roman" w:hAnsi="Times New Roman" w:cs="Times New Roman" w:eastAsia="Times New Roman" w:hint="default"/>
        </w:rPr>
        <w:t>2018</w:t>
      </w:r>
      <w:r>
        <w:rPr/>
        <w:t>年年度股东大会。</w:t>
      </w:r>
    </w:p>
    <w:p>
      <w:pPr>
        <w:pStyle w:val="BodyText"/>
        <w:spacing w:line="261" w:lineRule="auto" w:before="0"/>
        <w:ind w:left="868" w:right="1112" w:firstLine="136"/>
        <w:jc w:val="left"/>
      </w:pPr>
      <w:r>
        <w:rPr>
          <w:rFonts w:ascii="宋体" w:hAnsi="宋体" w:cs="宋体" w:eastAsia="宋体" w:hint="default"/>
          <w:b/>
          <w:bCs/>
        </w:rPr>
        <w:t>（二）、利润分配情况</w:t>
      </w:r>
      <w:r>
        <w:rPr>
          <w:rFonts w:ascii="宋体" w:hAnsi="宋体" w:cs="宋体" w:eastAsia="宋体" w:hint="default"/>
          <w:b/>
          <w:bCs/>
          <w:w w:val="99"/>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日公司披露了</w:t>
      </w:r>
      <w:r>
        <w:rPr>
          <w:rFonts w:ascii="Times New Roman" w:hAnsi="Times New Roman" w:cs="Times New Roman" w:eastAsia="Times New Roman" w:hint="default"/>
        </w:rPr>
        <w:t>2018</w:t>
      </w:r>
      <w:r>
        <w:rPr/>
        <w:t>年度利润分配预案，拟以公司现有总股本</w:t>
      </w:r>
      <w:r>
        <w:rPr>
          <w:rFonts w:ascii="Times New Roman" w:hAnsi="Times New Roman" w:cs="Times New Roman" w:eastAsia="Times New Roman" w:hint="default"/>
        </w:rPr>
        <w:t>399,083,860</w:t>
      </w:r>
      <w:r>
        <w:rPr>
          <w:rFonts w:ascii="Times New Roman" w:hAnsi="Times New Roman" w:cs="Times New Roman" w:eastAsia="Times New Roman" w:hint="default"/>
          <w:spacing w:val="-10"/>
        </w:rPr>
        <w:t> </w:t>
      </w:r>
      <w:r>
        <w:rPr>
          <w:spacing w:val="-7"/>
        </w:rPr>
        <w:t>股为基数，向</w:t>
      </w:r>
      <w:r>
        <w:rPr/>
        <w:t> 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0.6</w:t>
      </w:r>
      <w:r>
        <w:rPr/>
        <w:t>元（含税），合计派发现金</w:t>
      </w:r>
      <w:r>
        <w:rPr>
          <w:rFonts w:ascii="Times New Roman" w:hAnsi="Times New Roman" w:cs="Times New Roman" w:eastAsia="Times New Roman" w:hint="default"/>
        </w:rPr>
        <w:t>23,945,031.60</w:t>
      </w:r>
      <w:r>
        <w:rPr/>
        <w:t>元，同时，以资 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股。该利润分配方案经过</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 董事会第二十六次会议审议通过。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ind w:right="1972"/>
        <w:jc w:val="left"/>
        <w:rPr>
          <w:b w:val="0"/>
          <w:bCs w:val="0"/>
        </w:rPr>
      </w:pPr>
      <w:bookmarkStart w:name="十六、其他重要事项" w:id="484"/>
      <w:bookmarkEnd w:id="484"/>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前期会计差错更正" w:id="485"/>
      <w:bookmarkEnd w:id="48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追溯重述法" w:id="486"/>
      <w:bookmarkEnd w:id="48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未来适用法" w:id="487"/>
      <w:bookmarkEnd w:id="487"/>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5"/>
        <w:spacing w:line="240" w:lineRule="auto" w:before="35"/>
        <w:ind w:right="1972"/>
        <w:jc w:val="left"/>
        <w:rPr>
          <w:b w:val="0"/>
          <w:bCs w:val="0"/>
        </w:rPr>
      </w:pPr>
      <w:bookmarkStart w:name="2、债务重组" w:id="488"/>
      <w:bookmarkEnd w:id="48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3、资产置换" w:id="489"/>
      <w:bookmarkEnd w:id="48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非货币性资产交换" w:id="490"/>
      <w:bookmarkEnd w:id="490"/>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2）其他资产置换" w:id="491"/>
      <w:bookmarkEnd w:id="491"/>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4、年金计划" w:id="492"/>
      <w:bookmarkEnd w:id="49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5、终止经营" w:id="493"/>
      <w:bookmarkEnd w:id="49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6、分部信息" w:id="494"/>
      <w:bookmarkEnd w:id="49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972"/>
        <w:jc w:val="left"/>
        <w:rPr>
          <w:b w:val="0"/>
          <w:bCs w:val="0"/>
        </w:rPr>
      </w:pPr>
      <w:bookmarkStart w:name="（1）报告分部的确定依据与会计政策" w:id="495"/>
      <w:bookmarkEnd w:id="49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2）报告分部的财务信息" w:id="496"/>
      <w:bookmarkEnd w:id="49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公司无报告分部的，或者不能披露各报告分部的资产总额和负债总额的，应说明原因" w:id="497"/>
      <w:bookmarkEnd w:id="49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4）其他说明" w:id="498"/>
      <w:bookmarkEnd w:id="49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7、其他对投资者决策有影响的重要交易和事项" w:id="499"/>
      <w:bookmarkEnd w:id="49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472" w:firstLine="0"/>
        <w:jc w:val="left"/>
        <w:rPr>
          <w:rFonts w:ascii="宋体" w:hAnsi="宋体" w:cs="宋体" w:eastAsia="宋体" w:hint="default"/>
          <w:sz w:val="21"/>
          <w:szCs w:val="21"/>
        </w:rPr>
      </w:pPr>
      <w:bookmarkStart w:name="8、其他" w:id="500"/>
      <w:bookmarkEnd w:id="50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1"/>
      <w:bookmarkEnd w:id="50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502"/>
      <w:bookmarkEnd w:id="502"/>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9,362,799.79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725,947,989.47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714,490,620.03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735,310,789.26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715,519,620.03</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1）应收票据" w:id="503"/>
      <w:bookmarkEnd w:id="503"/>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2,096,300.00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7,266,499.79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9,362,799.79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1,029,000.00</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2"/>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4)期末公司因出票人未履约而将其转应收账款的票据" w:id="504"/>
      <w:bookmarkEnd w:id="504"/>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2）应收账款" w:id="505"/>
      <w:bookmarkEnd w:id="505"/>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775,340,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840.44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49,392,8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725,947,9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89.47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754,844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,650.18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40,354,03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714,490,62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0.03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775,340,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840.44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49,392,8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6.37%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725,947,9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89.47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754,844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,650.18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40,354,03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714,490,62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0.03</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595,209,814.77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17,856,294.44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104,273,439.93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10,427,343.99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37,346,969.80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7,469,393.96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23,605,184.97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13,639,818.58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57.78%</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3,674,452.18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3,674,452.18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37" w:right="0"/>
              <w:jc w:val="left"/>
              <w:rPr>
                <w:rFonts w:ascii="Times New Roman" w:hAnsi="Times New Roman" w:cs="Times New Roman" w:eastAsia="Times New Roman" w:hint="default"/>
                <w:sz w:val="18"/>
                <w:szCs w:val="18"/>
              </w:rPr>
            </w:pPr>
            <w:r>
              <w:rPr>
                <w:rFonts w:ascii="Times New Roman"/>
                <w:sz w:val="18"/>
              </w:rPr>
              <w:t>760,435,409.47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49,392,850.97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360" w:lineRule="auto" w:before="51"/>
        <w:ind w:left="154" w:right="19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6"/>
        <w:ind w:left="154" w:right="23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2"/>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9,038,820.82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46" w:space="2384"/>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7"/>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3"/>
        <w:rPr>
          <w:rFonts w:ascii="宋体" w:hAnsi="宋体" w:cs="宋体" w:eastAsia="宋体" w:hint="default"/>
          <w:sz w:val="6"/>
          <w:szCs w:val="6"/>
        </w:rPr>
      </w:pPr>
    </w:p>
    <w:tbl>
      <w:tblPr>
        <w:tblW w:w="0" w:type="auto"/>
        <w:jc w:val="left"/>
        <w:tblInd w:w="753" w:type="dxa"/>
        <w:tblLayout w:type="fixed"/>
        <w:tblCellMar>
          <w:top w:w="0" w:type="dxa"/>
          <w:left w:w="0" w:type="dxa"/>
          <w:bottom w:w="0" w:type="dxa"/>
          <w:right w:w="0" w:type="dxa"/>
        </w:tblCellMar>
        <w:tblLook w:val="01E0"/>
      </w:tblPr>
      <w:tblGrid>
        <w:gridCol w:w="2938"/>
        <w:gridCol w:w="1679"/>
        <w:gridCol w:w="1483"/>
        <w:gridCol w:w="1714"/>
      </w:tblGrid>
      <w:tr>
        <w:trPr>
          <w:trHeight w:val="355" w:hRule="exact"/>
        </w:trPr>
        <w:tc>
          <w:tcPr>
            <w:tcW w:w="293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7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2938" w:type="dxa"/>
            <w:vMerge/>
            <w:tcBorders>
              <w:left w:val="single" w:sz="6" w:space="0" w:color="000000"/>
              <w:bottom w:val="single" w:sz="12" w:space="0" w:color="000000"/>
              <w:right w:val="single" w:sz="6" w:space="0" w:color="000000"/>
            </w:tcBorders>
          </w:tcPr>
          <w:p>
            <w:pP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28" w:right="13"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83,908,553.07</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10.82</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2,517,256.59</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45,338,503.18</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5.85</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1,913,466.43</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39,700,327.30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5.12</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1,191,009.82</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38,712,439.17</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4.99</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1,173,450.95</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37,815,344.20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4.88</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1,134,460.33</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245,475,166.92</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31.66</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7,929,644.12</w:t>
            </w:r>
          </w:p>
        </w:tc>
      </w:tr>
      <w:tr>
        <w:trPr>
          <w:trHeight w:val="352" w:hRule="exact"/>
        </w:trPr>
        <w:tc>
          <w:tcPr>
            <w:tcW w:w="2938" w:type="dxa"/>
            <w:tcBorders>
              <w:top w:val="single" w:sz="12" w:space="0" w:color="000000"/>
              <w:left w:val="single" w:sz="6" w:space="0" w:color="000000"/>
              <w:bottom w:val="single" w:sz="12" w:space="0" w:color="000000"/>
              <w:right w:val="nil" w:sz="6" w:space="0" w:color="auto"/>
            </w:tcBorders>
          </w:tcPr>
          <w:p>
            <w:pPr/>
          </w:p>
        </w:tc>
        <w:tc>
          <w:tcPr>
            <w:tcW w:w="4876" w:type="dxa"/>
            <w:gridSpan w:val="3"/>
            <w:tcBorders>
              <w:top w:val="single" w:sz="12" w:space="0" w:color="000000"/>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24"/>
          <w:szCs w:val="24"/>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pStyle w:val="Heading5"/>
        <w:spacing w:line="240" w:lineRule="auto"/>
        <w:ind w:right="1972"/>
        <w:jc w:val="left"/>
        <w:rPr>
          <w:b w:val="0"/>
          <w:bCs w:val="0"/>
        </w:rPr>
      </w:pPr>
      <w:bookmarkStart w:name="2、其他应收款" w:id="506"/>
      <w:bookmarkEnd w:id="50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1,072,716,931.10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796,776,720.81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1,072,716,931.10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796,776,720.81</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1）应收利息" w:id="507"/>
      <w:bookmarkEnd w:id="50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1972"/>
        <w:jc w:val="left"/>
        <w:rPr>
          <w:b w:val="0"/>
          <w:bCs w:val="0"/>
        </w:rPr>
      </w:pPr>
      <w:bookmarkStart w:name="（2）应收股利" w:id="508"/>
      <w:bookmarkEnd w:id="50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3）其他应收款" w:id="509"/>
      <w:bookmarkEnd w:id="50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1,074,78</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2,086.65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2,065,15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1,072,716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,931.10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798,550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,949.84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1,774,229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796,776,72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0.81</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1,074,78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2,086.65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2,065,15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1,072,716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,931.10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798,550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,949.84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1,774,229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0.22%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796,776,72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0.81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33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33,286,378.27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998,591.35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4,310,072.95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431,007.30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372,596.60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74,519.32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863,038.83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561,037.58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65.01%</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259,036.33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259,036.33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38,832,086.65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2,065,155.55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57" w:lineRule="auto" w:before="51"/>
        <w:ind w:left="154" w:right="163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4" w:right="1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16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154" w:right="16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2"/>
        <w:ind w:left="154"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290,926.52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11" w:space="2518"/>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1972"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1,035,950,000.00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770,534,650.00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9,711,512.52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11,212,240.16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24,555,042.42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13,881,691.69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4,472,325.09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2,851,566.87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93,206.62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70,801.12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1,074,782,086.65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798,550,949.84</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广西壮族自治区粮食 和物资储备局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10,860,360.10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325,810.80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1,038,810,360.10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325,810.80</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pStyle w:val="Heading5"/>
        <w:spacing w:line="240" w:lineRule="auto"/>
        <w:ind w:right="1972"/>
        <w:jc w:val="left"/>
        <w:rPr>
          <w:b w:val="0"/>
          <w:bCs w:val="0"/>
        </w:rPr>
      </w:pPr>
      <w:bookmarkStart w:name="3、长期股权投资" w:id="510"/>
      <w:bookmarkEnd w:id="51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1,492,570,217.95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1,492,570,217.95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1,459,783,067.95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1,459,783,067.95</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71,648,171.51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71,648,171.51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70,168,905.31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70,168,905.31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1,564,218,389.46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1,564,218,389.46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1,529,951,973.26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1,529,951,973.26</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1）对子公司投资" w:id="511"/>
      <w:bookmarkEnd w:id="51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130,093,016.00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130,093,016.00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8,354,882.68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8,354,882.68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33,276,560.64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71,776,560.64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前海吉源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广州天源迪科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深圳宝贝团</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9,694,958.63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9,694,958.63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835,855,650.00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4,287,150.00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840,142,800.00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1,459,783,067.95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42,787,150.00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1,492,570,217.95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2）对联营、合营企业投资" w:id="512"/>
      <w:bookmarkEnd w:id="51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深圳市汇 巨信息技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41,921,14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256,068.2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42,177,20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北京信邦 安达信息 科技股份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6,332,893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-733,922.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5,598,971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广州天源 信息科技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21,914,87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1,957,120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23,871,99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70,168,90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1,479,266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71,648,17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98"/>
        <w:gridCol w:w="798"/>
        <w:gridCol w:w="797"/>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70,168,90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1,479,266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71,648,17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3）其他说明" w:id="513"/>
      <w:bookmarkEnd w:id="51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972"/>
        <w:jc w:val="left"/>
        <w:rPr>
          <w:b w:val="0"/>
          <w:bCs w:val="0"/>
        </w:rPr>
      </w:pPr>
      <w:bookmarkStart w:name="4、营业收入和营业成本" w:id="514"/>
      <w:bookmarkEnd w:id="51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861,622,184.38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647,708,835.85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793,899,328.21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600,328,549.12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299,509.09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861,921,693.47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647,708,835.85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793,899,328.21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600,328,549.12</w:t>
            </w:r>
          </w:p>
        </w:tc>
      </w:tr>
    </w:tbl>
    <w:p>
      <w:pPr>
        <w:spacing w:before="51"/>
        <w:ind w:left="154" w:right="197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1972"/>
        <w:jc w:val="left"/>
        <w:rPr>
          <w:b w:val="0"/>
          <w:bCs w:val="0"/>
        </w:rPr>
      </w:pPr>
      <w:bookmarkStart w:name="5、投资收益" w:id="515"/>
      <w:bookmarkEnd w:id="51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1,479,266.20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3,817,961.79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224,381.68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购买理财产品取得的收益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3,493,516.81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39,980,719.69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7,535,860.28</w:t>
            </w:r>
          </w:p>
        </w:tc>
      </w:tr>
    </w:tbl>
    <w:p>
      <w:pPr>
        <w:spacing w:line="240" w:lineRule="auto" w:before="2"/>
        <w:rPr>
          <w:rFonts w:ascii="宋体" w:hAnsi="宋体" w:cs="宋体" w:eastAsia="宋体" w:hint="default"/>
          <w:sz w:val="19"/>
          <w:szCs w:val="19"/>
        </w:rPr>
      </w:pPr>
    </w:p>
    <w:p>
      <w:pPr>
        <w:pStyle w:val="Heading5"/>
        <w:spacing w:line="240" w:lineRule="auto" w:before="35"/>
        <w:ind w:right="1972"/>
        <w:jc w:val="left"/>
        <w:rPr>
          <w:b w:val="0"/>
          <w:bCs w:val="0"/>
        </w:rPr>
      </w:pPr>
      <w:bookmarkStart w:name="6、其他" w:id="516"/>
      <w:bookmarkEnd w:id="516"/>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1972"/>
        <w:jc w:val="left"/>
        <w:rPr>
          <w:b w:val="0"/>
          <w:bCs w:val="0"/>
        </w:rPr>
      </w:pPr>
      <w:bookmarkStart w:name="十八、补充资料" w:id="517"/>
      <w:bookmarkEnd w:id="517"/>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当期非经常性损益明细表" w:id="518"/>
      <w:bookmarkEnd w:id="51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-65,934.02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31,050,206.54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-1,387,476.00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29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1"/>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83,597.83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2,311,803.70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819,652.74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26,548,937.91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1972"/>
        <w:jc w:val="left"/>
        <w:rPr>
          <w:b w:val="0"/>
          <w:bCs w:val="0"/>
        </w:rPr>
      </w:pPr>
      <w:bookmarkStart w:name="2、净资产收益率及每股收益" w:id="519"/>
      <w:bookmarkEnd w:id="51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r>
    </w:tbl>
    <w:p>
      <w:pPr>
        <w:spacing w:line="240" w:lineRule="auto" w:before="2"/>
        <w:rPr>
          <w:rFonts w:ascii="宋体" w:hAnsi="宋体" w:cs="宋体" w:eastAsia="宋体" w:hint="default"/>
          <w:b/>
          <w:bCs/>
          <w:sz w:val="19"/>
          <w:szCs w:val="19"/>
        </w:rPr>
      </w:pPr>
    </w:p>
    <w:p>
      <w:pPr>
        <w:pStyle w:val="Heading5"/>
        <w:spacing w:line="240" w:lineRule="auto" w:before="35"/>
        <w:ind w:right="1972"/>
        <w:jc w:val="left"/>
        <w:rPr>
          <w:b w:val="0"/>
          <w:bCs w:val="0"/>
        </w:rPr>
      </w:pPr>
      <w:bookmarkStart w:name="3、境内外会计准则下会计数据差异" w:id="520"/>
      <w:bookmarkEnd w:id="52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1）同时按照国际会计准则与按中国会计准则披露的财务报告中净利润和净资产差异情况" w:id="521"/>
      <w:bookmarkEnd w:id="52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972"/>
        <w:jc w:val="left"/>
        <w:rPr>
          <w:b w:val="0"/>
          <w:bCs w:val="0"/>
        </w:rPr>
      </w:pPr>
      <w:bookmarkStart w:name="（2）同时按照境外会计准则与按中国会计准则披露的财务报告中净利润和净资产差异情况" w:id="522"/>
      <w:bookmarkEnd w:id="52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1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59" w:lineRule="auto"/>
        <w:ind w:right="0"/>
        <w:jc w:val="left"/>
        <w:rPr>
          <w:b w:val="0"/>
          <w:bCs w:val="0"/>
        </w:rPr>
      </w:pPr>
      <w:bookmarkStart w:name="（3）境内外会计准则下会计数据差异原因说明，对已经境外审计机构审计的数据进行差异" w:id="523"/>
      <w:bookmarkEnd w:id="52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972"/>
        <w:jc w:val="left"/>
        <w:rPr>
          <w:b w:val="0"/>
          <w:bCs w:val="0"/>
        </w:rPr>
      </w:pPr>
      <w:bookmarkStart w:name="4、其他" w:id="524"/>
      <w:bookmarkEnd w:id="52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972"/>
        <w:jc w:val="left"/>
        <w:rPr>
          <w:b w:val="0"/>
          <w:bCs w:val="0"/>
        </w:rPr>
      </w:pPr>
      <w:bookmarkStart w:name="第十二节 备查文件目录" w:id="525"/>
      <w:bookmarkEnd w:id="525"/>
      <w:r>
        <w:rPr>
          <w:b w:val="0"/>
          <w:bCs w:val="0"/>
        </w:rPr>
      </w:r>
      <w:bookmarkStart w:name="_bookmark10" w:id="526"/>
      <w:bookmarkEnd w:id="526"/>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spacing w:line="319" w:lineRule="auto" w:before="0"/>
        <w:ind w:left="154" w:right="3552" w:firstLine="0"/>
        <w:jc w:val="left"/>
        <w:rPr>
          <w:rFonts w:ascii="宋体" w:hAnsi="宋体" w:cs="宋体" w:eastAsia="宋体" w:hint="default"/>
          <w:sz w:val="18"/>
          <w:szCs w:val="18"/>
        </w:rPr>
      </w:pPr>
      <w:r>
        <w:rPr>
          <w:rFonts w:ascii="宋体" w:hAnsi="宋体" w:cs="宋体" w:eastAsia="宋体" w:hint="default"/>
          <w:sz w:val="18"/>
          <w:szCs w:val="18"/>
        </w:rPr>
        <w:t>一、载有公司法定代表人、主管会计工作负责人、会计机构负责人签名并盖章的财务报表。 二、载有会计师事务所盖章、注册会计师签名并盖章的审计报告原件。 三、报告期内在中国证监会指定网站、报纸上公开披露过的所有公司文件。 四、经公司法定代表人签名的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年年度报告文本原件。</w:t>
      </w:r>
    </w:p>
    <w:p>
      <w:pPr>
        <w:spacing w:line="316"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五、其他相关资料。 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1216" type="#_x0000_t75" stroked="false">
          <v:imagedata r:id="rId1" o:title=""/>
        </v:shape>
      </w:pict>
    </w:r>
    <w:r>
      <w:rPr/>
      <w:pict>
        <v:shape style="position:absolute;margin-left:533.179993pt;margin-top:795.517944pt;width:6.5pt;height:11pt;mso-position-horizontal-relative:page;mso-position-vertical-relative:page;z-index:-1441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1168" type="#_x0000_t75" stroked="false">
          <v:imagedata r:id="rId1" o:title=""/>
        </v:shape>
      </w:pict>
    </w:r>
    <w:r>
      <w:rPr/>
      <w:pict>
        <v:shape style="position:absolute;margin-left:527.679993pt;margin-top:781.957947pt;width:13pt;height:11pt;mso-position-horizontal-relative:page;mso-position-vertical-relative:page;z-index:-144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1120" type="#_x0000_t75" stroked="false">
          <v:imagedata r:id="rId1" o:title=""/>
        </v:shape>
      </w:pict>
    </w:r>
    <w:r>
      <w:rPr/>
      <w:pict>
        <v:shape style="position:absolute;margin-left:527.679993pt;margin-top:781.957947pt;width:13pt;height:11pt;mso-position-horizontal-relative:page;mso-position-vertical-relative:page;z-index:-1441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1072" type="#_x0000_t75" stroked="false">
          <v:imagedata r:id="rId1" o:title=""/>
        </v:shape>
      </w:pict>
    </w:r>
    <w:r>
      <w:rPr/>
      <w:pict>
        <v:shape style="position:absolute;margin-left:524.179993pt;margin-top:781.957947pt;width:15.5pt;height:11pt;mso-position-horizontal-relative:page;mso-position-vertical-relative:page;z-index:-14410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1024" type="#_x0000_t75" stroked="false">
          <v:imagedata r:id="rId1" o:title=""/>
        </v:shape>
      </w:pict>
    </w:r>
    <w:r>
      <w:rPr/>
      <w:pict>
        <v:shape style="position:absolute;margin-left:523.179993pt;margin-top:781.957947pt;width:17.5pt;height:11pt;mso-position-horizontal-relative:page;mso-position-vertical-relative:page;z-index:-1441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0976" type="#_x0000_t75" stroked="false">
          <v:imagedata r:id="rId1" o:title=""/>
        </v:shape>
      </w:pict>
    </w:r>
    <w:r>
      <w:rPr/>
      <w:pict>
        <v:shape style="position:absolute;margin-left:524.179993pt;margin-top:781.957947pt;width:15.5pt;height:11pt;mso-position-horizontal-relative:page;mso-position-vertical-relative:page;z-index:-14409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40928" type="#_x0000_t75" stroked="false">
          <v:imagedata r:id="rId1" o:title=""/>
        </v:shape>
      </w:pict>
    </w:r>
    <w:r>
      <w:rPr/>
      <w:pict>
        <v:shape style="position:absolute;margin-left:523.179993pt;margin-top:781.957947pt;width:17.5pt;height:11pt;mso-position-horizontal-relative:page;mso-position-vertical-relative:page;z-index:-1440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441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7"/>
      <w:ind w:left="154"/>
    </w:pPr>
    <w:rPr>
      <w:rFonts w:ascii="宋体" w:hAnsi="宋体" w:eastAsia="宋体"/>
      <w:sz w:val="21"/>
      <w:szCs w:val="21"/>
    </w:rPr>
  </w:style>
  <w:style w:styleId="Heading1" w:type="paragraph">
    <w:name w:val="Heading 1"/>
    <w:basedOn w:val="Normal"/>
    <w:uiPriority w:val="1"/>
    <w:qFormat/>
    <w:pPr>
      <w:spacing w:before="1"/>
      <w:ind w:left="2062"/>
      <w:outlineLvl w:val="1"/>
    </w:pPr>
    <w:rPr>
      <w:rFonts w:ascii="宋体" w:hAnsi="宋体" w:eastAsia="宋体"/>
      <w:b/>
      <w:bCs/>
      <w:sz w:val="32"/>
      <w:szCs w:val="32"/>
    </w:rPr>
  </w:style>
  <w:style w:styleId="Heading2" w:type="paragraph">
    <w:name w:val="Heading 2"/>
    <w:basedOn w:val="Normal"/>
    <w:uiPriority w:val="1"/>
    <w:qFormat/>
    <w:pPr>
      <w:ind w:left="716"/>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spacing w:before="24"/>
      <w:ind w:left="163"/>
      <w:outlineLvl w:val="4"/>
    </w:pPr>
    <w:rPr>
      <w:rFonts w:ascii="宋体" w:hAnsi="宋体" w:eastAsia="宋体"/>
      <w:sz w:val="22"/>
      <w:szCs w:val="22"/>
    </w:rPr>
  </w:style>
  <w:style w:styleId="Heading5" w:type="paragraph">
    <w:name w:val="Heading 5"/>
    <w:basedOn w:val="Normal"/>
    <w:uiPriority w:val="1"/>
    <w:qFormat/>
    <w:pPr>
      <w:ind w:left="15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aliyun.com/" TargetMode="External"/><Relationship Id="rId10" Type="http://schemas.openxmlformats.org/officeDocument/2006/relationships/hyperlink" Target="http://www.tydic.com/" TargetMode="External"/><Relationship Id="rId11" Type="http://schemas.openxmlformats.org/officeDocument/2006/relationships/hyperlink" Target="mailto:v-mailbox@tydic.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hyperlink" Target="http://www.cninfo.com.cn&#20844;&#21578;2018-20/" TargetMode="External"/><Relationship Id="rId16" Type="http://schemas.openxmlformats.org/officeDocument/2006/relationships/hyperlink" Target="http://www.cninfo.com.cn&#20844;&#21578;2018-66/" TargetMode="External"/><Relationship Id="rId17" Type="http://schemas.openxmlformats.org/officeDocument/2006/relationships/hyperlink" Target="http://www.cninfo.com.cn&#20844;&#21578;2018-68/" TargetMode="External"/><Relationship Id="rId18" Type="http://schemas.openxmlformats.org/officeDocument/2006/relationships/hyperlink" Target="http://www.cninfo.com.cn&#20844;&#21578;2018-16/" TargetMode="External"/><Relationship Id="rId19" Type="http://schemas.openxmlformats.org/officeDocument/2006/relationships/hyperlink" Target="http://www.cninfo.com.cn&#20844;&#21578;/" TargetMode="External"/><Relationship Id="rId20" Type="http://schemas.openxmlformats.org/officeDocument/2006/relationships/image" Target="media/image4.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image" Target="media/image5.jpeg"/><Relationship Id="rId26"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Z-2</dc:creator>
  <dcterms:created xsi:type="dcterms:W3CDTF">2020-05-04T20:55:45Z</dcterms:created>
  <dcterms:modified xsi:type="dcterms:W3CDTF">2020-05-04T20:55:45Z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Office Word 2007</vt:lpwstr>
  </property>
  <property fmtid="{D5CDD505-2E9C-101B-9397-08002B2CF9AE}" pid="4" name="LastSaved">
    <vt:filetime>2020-05-04T00:00:00Z</vt:filetime>
  </property>
</Properties>
</file>