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Default Extension="png" ContentType="image/png"/>
  <Override PartName="/word/header13.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6"/>
          <w:szCs w:val="26"/>
        </w:rPr>
      </w:pPr>
    </w:p>
    <w:p>
      <w:pPr>
        <w:spacing w:line="460" w:lineRule="exact" w:before="0"/>
        <w:ind w:left="818" w:right="1841" w:firstLine="0"/>
        <w:jc w:val="center"/>
        <w:rPr>
          <w:rFonts w:ascii="宋体" w:hAnsi="宋体" w:cs="宋体" w:eastAsia="宋体" w:hint="default"/>
          <w:sz w:val="36"/>
          <w:szCs w:val="36"/>
        </w:rPr>
      </w:pPr>
      <w:r>
        <w:rPr>
          <w:rFonts w:ascii="宋体" w:hAnsi="宋体" w:cs="宋体" w:eastAsia="宋体" w:hint="default"/>
          <w:b/>
          <w:bCs/>
          <w:sz w:val="36"/>
          <w:szCs w:val="36"/>
        </w:rPr>
        <w:t>深圳天源迪科信息技术股份有限公司</w:t>
      </w:r>
      <w:r>
        <w:rPr>
          <w:rFonts w:ascii="宋体" w:hAnsi="宋体" w:cs="宋体" w:eastAsia="宋体" w:hint="default"/>
          <w:sz w:val="36"/>
          <w:szCs w:val="36"/>
        </w:rPr>
      </w:r>
    </w:p>
    <w:p>
      <w:pPr>
        <w:spacing w:line="240" w:lineRule="auto" w:before="0"/>
        <w:rPr>
          <w:rFonts w:ascii="宋体" w:hAnsi="宋体" w:cs="宋体" w:eastAsia="宋体" w:hint="default"/>
          <w:b/>
          <w:bCs/>
          <w:sz w:val="31"/>
          <w:szCs w:val="31"/>
        </w:rPr>
      </w:pPr>
    </w:p>
    <w:p>
      <w:pPr>
        <w:spacing w:before="0"/>
        <w:ind w:left="818" w:right="183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8"/>
        <w:rPr>
          <w:rFonts w:ascii="宋体" w:hAnsi="宋体" w:cs="宋体" w:eastAsia="宋体" w:hint="default"/>
          <w:b/>
          <w:bCs/>
          <w:sz w:val="32"/>
          <w:szCs w:val="32"/>
        </w:rPr>
      </w:pPr>
    </w:p>
    <w:p>
      <w:pPr>
        <w:spacing w:before="0"/>
        <w:ind w:left="818" w:right="1846" w:firstLine="0"/>
        <w:jc w:val="center"/>
        <w:rPr>
          <w:rFonts w:ascii="Times New Roman" w:hAnsi="Times New Roman" w:cs="Times New Roman" w:eastAsia="Times New Roman" w:hint="default"/>
          <w:sz w:val="22"/>
          <w:szCs w:val="22"/>
        </w:rPr>
      </w:pPr>
      <w:r>
        <w:rPr>
          <w:rFonts w:ascii="Times New Roman"/>
          <w:b/>
          <w:spacing w:val="-5"/>
          <w:sz w:val="22"/>
        </w:rPr>
        <w:t>2020-11</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31"/>
        <w:ind w:left="818" w:right="183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4" w:footer="1022" w:top="1100" w:bottom="122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0"/>
          <w:szCs w:val="20"/>
        </w:rPr>
      </w:pPr>
    </w:p>
    <w:p>
      <w:pPr>
        <w:pStyle w:val="Heading1"/>
        <w:spacing w:line="240" w:lineRule="auto"/>
        <w:ind w:left="2845" w:right="1764"/>
        <w:jc w:val="left"/>
        <w:rPr>
          <w:b w:val="0"/>
          <w:bCs w:val="0"/>
        </w:rPr>
      </w:pPr>
      <w:bookmarkStart w:name="第一节重要提示、目录和释义" w:id="1"/>
      <w:bookmarkEnd w:id="1"/>
      <w:r>
        <w:rPr>
          <w:b w:val="0"/>
          <w:bCs w:val="0"/>
        </w:rPr>
      </w:r>
      <w:r>
        <w:rPr/>
        <w:t>第一节重要提示、目录和释义</w:t>
      </w:r>
      <w:r>
        <w:rPr>
          <w:b w:val="0"/>
          <w:bCs w:val="0"/>
        </w:rPr>
      </w:r>
    </w:p>
    <w:p>
      <w:pPr>
        <w:spacing w:line="240" w:lineRule="auto" w:before="12"/>
        <w:rPr>
          <w:rFonts w:ascii="宋体" w:hAnsi="宋体" w:cs="宋体" w:eastAsia="宋体" w:hint="default"/>
          <w:b/>
          <w:bCs/>
          <w:sz w:val="47"/>
          <w:szCs w:val="47"/>
        </w:rPr>
      </w:pPr>
    </w:p>
    <w:p>
      <w:pPr>
        <w:spacing w:line="408" w:lineRule="auto" w:before="0"/>
        <w:ind w:left="113" w:right="1141"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实、准确、完整，不存在虚假记载、误导性陈述或重大遗漏，并承担个别和连</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sz w:val="28"/>
          <w:szCs w:val="28"/>
        </w:rPr>
        <w:t>带的法律责任。</w:t>
      </w:r>
      <w:r>
        <w:rPr>
          <w:rFonts w:ascii="宋体" w:hAnsi="宋体" w:cs="宋体" w:eastAsia="宋体" w:hint="default"/>
          <w:spacing w:val="2"/>
          <w:sz w:val="28"/>
          <w:szCs w:val="28"/>
        </w:rPr>
      </w:r>
    </w:p>
    <w:p>
      <w:pPr>
        <w:spacing w:line="386" w:lineRule="auto" w:before="162"/>
        <w:ind w:left="113" w:right="1127" w:firstLine="561"/>
        <w:jc w:val="both"/>
        <w:rPr>
          <w:rFonts w:ascii="宋体" w:hAnsi="宋体" w:cs="宋体" w:eastAsia="宋体" w:hint="default"/>
          <w:sz w:val="28"/>
          <w:szCs w:val="28"/>
        </w:rPr>
      </w:pPr>
      <w:r>
        <w:rPr>
          <w:rFonts w:ascii="宋体" w:hAnsi="宋体" w:cs="宋体" w:eastAsia="宋体" w:hint="default"/>
          <w:b/>
          <w:bCs/>
          <w:spacing w:val="2"/>
          <w:w w:val="95"/>
          <w:sz w:val="28"/>
          <w:szCs w:val="28"/>
        </w:rPr>
        <w:t>公司负责人陈友、主管会计工作负责人钱文胜及会计机构负责人</w:t>
      </w:r>
      <w:r>
        <w:rPr>
          <w:rFonts w:ascii="Times New Roman" w:hAnsi="Times New Roman" w:cs="Times New Roman" w:eastAsia="Times New Roman" w:hint="default"/>
          <w:b/>
          <w:bCs/>
          <w:spacing w:val="2"/>
          <w:w w:val="95"/>
          <w:sz w:val="28"/>
          <w:szCs w:val="28"/>
        </w:rPr>
        <w:t>(</w:t>
      </w:r>
      <w:r>
        <w:rPr>
          <w:rFonts w:ascii="宋体" w:hAnsi="宋体" w:cs="宋体" w:eastAsia="宋体" w:hint="default"/>
          <w:b/>
          <w:bCs/>
          <w:spacing w:val="2"/>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pacing w:val="2"/>
          <w:sz w:val="28"/>
          <w:szCs w:val="28"/>
        </w:rPr>
        <w:t>人员</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章菁菁声明：保证年度报告中财务报告的真实、准确、完整。</w:t>
      </w:r>
      <w:r>
        <w:rPr>
          <w:rFonts w:ascii="宋体" w:hAnsi="宋体" w:cs="宋体" w:eastAsia="宋体" w:hint="default"/>
          <w:spacing w:val="2"/>
          <w:sz w:val="28"/>
          <w:szCs w:val="28"/>
        </w:rPr>
      </w:r>
    </w:p>
    <w:p>
      <w:pPr>
        <w:spacing w:line="475" w:lineRule="auto" w:before="148"/>
        <w:ind w:left="674" w:right="1764" w:firstLine="0"/>
        <w:jc w:val="left"/>
        <w:rPr>
          <w:rFonts w:ascii="宋体" w:hAnsi="宋体" w:cs="宋体" w:eastAsia="宋体" w:hint="default"/>
          <w:sz w:val="28"/>
          <w:szCs w:val="28"/>
        </w:rPr>
      </w:pPr>
      <w:r>
        <w:rPr>
          <w:rFonts w:ascii="宋体" w:hAnsi="宋体" w:cs="宋体" w:eastAsia="宋体" w:hint="default"/>
          <w:b/>
          <w:bCs/>
          <w:spacing w:val="2"/>
          <w:w w:val="95"/>
          <w:sz w:val="28"/>
          <w:szCs w:val="28"/>
        </w:rPr>
        <w:t>所有董事均已出席了审议本报告的董事会会议。</w:t>
      </w:r>
      <w:r>
        <w:rPr>
          <w:rFonts w:ascii="宋体" w:hAnsi="宋体" w:cs="宋体" w:eastAsia="宋体" w:hint="default"/>
          <w:b/>
          <w:bCs/>
          <w:spacing w:val="106"/>
          <w:w w:val="95"/>
          <w:sz w:val="28"/>
          <w:szCs w:val="28"/>
        </w:rPr>
        <w:t> </w:t>
      </w:r>
      <w:r>
        <w:rPr>
          <w:rFonts w:ascii="宋体" w:hAnsi="宋体" w:cs="宋体" w:eastAsia="宋体" w:hint="default"/>
          <w:b/>
          <w:bCs/>
          <w:spacing w:val="106"/>
          <w:w w:val="95"/>
          <w:sz w:val="28"/>
          <w:szCs w:val="28"/>
        </w:rPr>
      </w:r>
      <w:r>
        <w:rPr>
          <w:rFonts w:ascii="宋体" w:hAnsi="宋体" w:cs="宋体" w:eastAsia="宋体" w:hint="default"/>
          <w:b/>
          <w:bCs/>
          <w:spacing w:val="2"/>
          <w:sz w:val="28"/>
          <w:szCs w:val="28"/>
        </w:rPr>
        <w:t>请特别注意以下风险：</w:t>
      </w:r>
      <w:r>
        <w:rPr>
          <w:rFonts w:ascii="宋体" w:hAnsi="宋体" w:cs="宋体" w:eastAsia="宋体" w:hint="default"/>
          <w:spacing w:val="2"/>
          <w:sz w:val="28"/>
          <w:szCs w:val="28"/>
        </w:rPr>
      </w:r>
    </w:p>
    <w:p>
      <w:pPr>
        <w:spacing w:before="79"/>
        <w:ind w:left="674" w:right="1764"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w:t>
      </w:r>
      <w:r>
        <w:rPr>
          <w:rFonts w:ascii="Times New Roman" w:hAnsi="Times New Roman" w:cs="Times New Roman" w:eastAsia="Times New Roman" w:hint="default"/>
          <w:b/>
          <w:bCs/>
          <w:sz w:val="28"/>
          <w:szCs w:val="28"/>
        </w:rPr>
        <w:t>5G</w:t>
      </w:r>
      <w:r>
        <w:rPr>
          <w:rFonts w:ascii="Times New Roman" w:hAnsi="Times New Roman" w:cs="Times New Roman" w:eastAsia="Times New Roman" w:hint="default"/>
          <w:b/>
          <w:bCs/>
          <w:spacing w:val="-28"/>
          <w:sz w:val="28"/>
          <w:szCs w:val="28"/>
        </w:rPr>
        <w:t> </w:t>
      </w:r>
      <w:r>
        <w:rPr>
          <w:rFonts w:ascii="宋体" w:hAnsi="宋体" w:cs="宋体" w:eastAsia="宋体" w:hint="default"/>
          <w:b/>
          <w:bCs/>
          <w:spacing w:val="2"/>
          <w:sz w:val="28"/>
          <w:szCs w:val="28"/>
        </w:rPr>
        <w:t>业务市场机会与挑战并存</w:t>
      </w:r>
      <w:r>
        <w:rPr>
          <w:rFonts w:ascii="宋体" w:hAnsi="宋体" w:cs="宋体" w:eastAsia="宋体" w:hint="default"/>
          <w:spacing w:val="2"/>
          <w:sz w:val="28"/>
          <w:szCs w:val="28"/>
        </w:rPr>
      </w:r>
    </w:p>
    <w:p>
      <w:pPr>
        <w:spacing w:line="240" w:lineRule="auto" w:before="10"/>
        <w:rPr>
          <w:rFonts w:ascii="宋体" w:hAnsi="宋体" w:cs="宋体" w:eastAsia="宋体" w:hint="default"/>
          <w:b/>
          <w:bCs/>
          <w:sz w:val="25"/>
          <w:szCs w:val="25"/>
        </w:rPr>
      </w:pPr>
    </w:p>
    <w:p>
      <w:pPr>
        <w:spacing w:line="400" w:lineRule="auto" w:before="0"/>
        <w:ind w:left="113" w:right="1122" w:firstLine="561"/>
        <w:jc w:val="both"/>
        <w:rPr>
          <w:rFonts w:ascii="宋体" w:hAnsi="宋体" w:cs="宋体" w:eastAsia="宋体" w:hint="default"/>
          <w:sz w:val="28"/>
          <w:szCs w:val="28"/>
        </w:rPr>
      </w:pPr>
      <w:r>
        <w:rPr>
          <w:rFonts w:ascii="Times New Roman" w:hAnsi="Times New Roman" w:cs="Times New Roman" w:eastAsia="Times New Roman" w:hint="default"/>
          <w:sz w:val="28"/>
          <w:szCs w:val="28"/>
        </w:rPr>
        <w:t>5G </w:t>
      </w:r>
      <w:r>
        <w:rPr>
          <w:rFonts w:ascii="宋体" w:hAnsi="宋体" w:cs="宋体" w:eastAsia="宋体" w:hint="default"/>
          <w:sz w:val="28"/>
          <w:szCs w:val="28"/>
        </w:rPr>
        <w:t>商用带来</w:t>
      </w:r>
      <w:r>
        <w:rPr>
          <w:rFonts w:ascii="宋体" w:hAnsi="宋体" w:cs="宋体" w:eastAsia="宋体" w:hint="default"/>
          <w:spacing w:val="-70"/>
          <w:sz w:val="28"/>
          <w:szCs w:val="28"/>
        </w:rPr>
        <w:t> </w:t>
      </w:r>
      <w:r>
        <w:rPr>
          <w:rFonts w:ascii="Times New Roman" w:hAnsi="Times New Roman" w:cs="Times New Roman" w:eastAsia="Times New Roman" w:hint="default"/>
          <w:sz w:val="28"/>
          <w:szCs w:val="28"/>
        </w:rPr>
        <w:t>2B </w:t>
      </w:r>
      <w:r>
        <w:rPr>
          <w:rFonts w:ascii="宋体" w:hAnsi="宋体" w:cs="宋体" w:eastAsia="宋体" w:hint="default"/>
          <w:sz w:val="28"/>
          <w:szCs w:val="28"/>
        </w:rPr>
        <w:t>业务场景升级，</w:t>
      </w:r>
      <w:r>
        <w:rPr>
          <w:rFonts w:ascii="Times New Roman" w:hAnsi="Times New Roman" w:cs="Times New Roman" w:eastAsia="Times New Roman" w:hint="default"/>
          <w:sz w:val="28"/>
          <w:szCs w:val="28"/>
        </w:rPr>
        <w:t>5G+</w:t>
      </w:r>
      <w:r>
        <w:rPr>
          <w:rFonts w:ascii="宋体" w:hAnsi="宋体" w:cs="宋体" w:eastAsia="宋体" w:hint="default"/>
          <w:sz w:val="28"/>
          <w:szCs w:val="28"/>
        </w:rPr>
        <w:t>大数据、</w:t>
      </w:r>
      <w:r>
        <w:rPr>
          <w:rFonts w:ascii="Times New Roman" w:hAnsi="Times New Roman" w:cs="Times New Roman" w:eastAsia="Times New Roman" w:hint="default"/>
          <w:sz w:val="28"/>
          <w:szCs w:val="28"/>
        </w:rPr>
        <w:t>+</w:t>
      </w:r>
      <w:r>
        <w:rPr>
          <w:rFonts w:ascii="宋体" w:hAnsi="宋体" w:cs="宋体" w:eastAsia="宋体" w:hint="default"/>
          <w:sz w:val="28"/>
          <w:szCs w:val="28"/>
        </w:rPr>
        <w:t>云计算、</w:t>
      </w:r>
      <w:r>
        <w:rPr>
          <w:rFonts w:ascii="Times New Roman" w:hAnsi="Times New Roman" w:cs="Times New Roman" w:eastAsia="Times New Roman" w:hint="default"/>
          <w:sz w:val="28"/>
          <w:szCs w:val="28"/>
        </w:rPr>
        <w:t>+AI</w:t>
      </w:r>
      <w:r>
        <w:rPr>
          <w:rFonts w:ascii="Times New Roman" w:hAnsi="Times New Roman" w:cs="Times New Roman" w:eastAsia="Times New Roman" w:hint="default"/>
          <w:spacing w:val="2"/>
          <w:sz w:val="28"/>
          <w:szCs w:val="28"/>
        </w:rPr>
        <w:t> </w:t>
      </w:r>
      <w:r>
        <w:rPr>
          <w:rFonts w:ascii="宋体" w:hAnsi="宋体" w:cs="宋体" w:eastAsia="宋体" w:hint="default"/>
          <w:sz w:val="28"/>
          <w:szCs w:val="28"/>
        </w:rPr>
        <w:t>的融合，衍生</w:t>
      </w:r>
      <w:r>
        <w:rPr>
          <w:rFonts w:ascii="宋体" w:hAnsi="宋体" w:cs="宋体" w:eastAsia="宋体" w:hint="default"/>
          <w:w w:val="99"/>
          <w:sz w:val="28"/>
          <w:szCs w:val="28"/>
        </w:rPr>
        <w:t> </w:t>
      </w:r>
      <w:r>
        <w:rPr>
          <w:rFonts w:ascii="宋体" w:hAnsi="宋体" w:cs="宋体" w:eastAsia="宋体" w:hint="default"/>
          <w:spacing w:val="4"/>
          <w:w w:val="95"/>
          <w:sz w:val="28"/>
          <w:szCs w:val="28"/>
        </w:rPr>
        <w:t>出丰富复杂的业务需求场景和创新应用，面对全新的云网融合一体化运营支撑</w:t>
      </w:r>
      <w:r>
        <w:rPr>
          <w:rFonts w:ascii="宋体" w:hAnsi="宋体" w:cs="宋体" w:eastAsia="宋体" w:hint="default"/>
          <w:spacing w:val="23"/>
          <w:w w:val="95"/>
          <w:sz w:val="28"/>
          <w:szCs w:val="28"/>
        </w:rPr>
        <w:t> </w:t>
      </w:r>
      <w:r>
        <w:rPr>
          <w:rFonts w:ascii="宋体" w:hAnsi="宋体" w:cs="宋体" w:eastAsia="宋体" w:hint="default"/>
          <w:spacing w:val="23"/>
          <w:w w:val="95"/>
          <w:sz w:val="28"/>
          <w:szCs w:val="28"/>
        </w:rPr>
      </w:r>
      <w:r>
        <w:rPr>
          <w:rFonts w:ascii="宋体" w:hAnsi="宋体" w:cs="宋体" w:eastAsia="宋体" w:hint="default"/>
          <w:spacing w:val="4"/>
          <w:w w:val="95"/>
          <w:sz w:val="28"/>
          <w:szCs w:val="28"/>
        </w:rPr>
        <w:t>系统架构和应用需求，给运营支撑系统厂商带来全新的挑战。公司作为电信运</w:t>
      </w:r>
      <w:r>
        <w:rPr>
          <w:rFonts w:ascii="宋体" w:hAnsi="宋体" w:cs="宋体" w:eastAsia="宋体" w:hint="default"/>
          <w:spacing w:val="19"/>
          <w:w w:val="95"/>
          <w:sz w:val="28"/>
          <w:szCs w:val="28"/>
        </w:rPr>
        <w:t> </w:t>
      </w:r>
      <w:r>
        <w:rPr>
          <w:rFonts w:ascii="宋体" w:hAnsi="宋体" w:cs="宋体" w:eastAsia="宋体" w:hint="default"/>
          <w:spacing w:val="19"/>
          <w:w w:val="95"/>
          <w:sz w:val="28"/>
          <w:szCs w:val="28"/>
        </w:rPr>
      </w:r>
      <w:r>
        <w:rPr>
          <w:rFonts w:ascii="宋体" w:hAnsi="宋体" w:cs="宋体" w:eastAsia="宋体" w:hint="default"/>
          <w:spacing w:val="4"/>
          <w:w w:val="95"/>
          <w:sz w:val="28"/>
          <w:szCs w:val="28"/>
        </w:rPr>
        <w:t>营支撑软件核心厂商，伴随电信运营商企业信息化发展成长全过程，具备强大</w:t>
      </w:r>
      <w:r>
        <w:rPr>
          <w:rFonts w:ascii="宋体" w:hAnsi="宋体" w:cs="宋体" w:eastAsia="宋体" w:hint="default"/>
          <w:spacing w:val="19"/>
          <w:w w:val="95"/>
          <w:sz w:val="28"/>
          <w:szCs w:val="28"/>
        </w:rPr>
        <w:t> </w:t>
      </w:r>
      <w:r>
        <w:rPr>
          <w:rFonts w:ascii="宋体" w:hAnsi="宋体" w:cs="宋体" w:eastAsia="宋体" w:hint="default"/>
          <w:spacing w:val="19"/>
          <w:w w:val="95"/>
          <w:sz w:val="28"/>
          <w:szCs w:val="28"/>
        </w:rPr>
      </w:r>
      <w:r>
        <w:rPr>
          <w:rFonts w:ascii="宋体" w:hAnsi="宋体" w:cs="宋体" w:eastAsia="宋体" w:hint="default"/>
          <w:spacing w:val="-4"/>
          <w:sz w:val="28"/>
          <w:szCs w:val="28"/>
        </w:rPr>
        <w:t>的行业理解和技术支撑能力，引入大数据、云计算及</w:t>
      </w:r>
      <w:r>
        <w:rPr>
          <w:rFonts w:ascii="宋体" w:hAnsi="宋体" w:cs="宋体" w:eastAsia="宋体" w:hint="default"/>
          <w:spacing w:val="-73"/>
          <w:sz w:val="28"/>
          <w:szCs w:val="28"/>
        </w:rPr>
        <w:t> </w:t>
      </w:r>
      <w:r>
        <w:rPr>
          <w:rFonts w:ascii="Times New Roman" w:hAnsi="Times New Roman" w:cs="Times New Roman" w:eastAsia="Times New Roman" w:hint="default"/>
          <w:spacing w:val="-3"/>
          <w:sz w:val="28"/>
          <w:szCs w:val="28"/>
        </w:rPr>
        <w:t>AI</w:t>
      </w:r>
      <w:r>
        <w:rPr>
          <w:rFonts w:ascii="Times New Roman" w:hAnsi="Times New Roman" w:cs="Times New Roman" w:eastAsia="Times New Roman" w:hint="default"/>
          <w:spacing w:val="-12"/>
          <w:sz w:val="28"/>
          <w:szCs w:val="28"/>
        </w:rPr>
        <w:t> </w:t>
      </w:r>
      <w:r>
        <w:rPr>
          <w:rFonts w:ascii="宋体" w:hAnsi="宋体" w:cs="宋体" w:eastAsia="宋体" w:hint="default"/>
          <w:spacing w:val="-6"/>
          <w:sz w:val="28"/>
          <w:szCs w:val="28"/>
        </w:rPr>
        <w:t>等新技术，全力支撑</w:t>
      </w:r>
      <w:r>
        <w:rPr>
          <w:rFonts w:ascii="宋体" w:hAnsi="宋体" w:cs="宋体" w:eastAsia="宋体" w:hint="default"/>
          <w:spacing w:val="-79"/>
          <w:sz w:val="28"/>
          <w:szCs w:val="28"/>
        </w:rPr>
        <w:t> </w:t>
      </w:r>
      <w:r>
        <w:rPr>
          <w:rFonts w:ascii="Times New Roman" w:hAnsi="Times New Roman" w:cs="Times New Roman" w:eastAsia="Times New Roman" w:hint="default"/>
          <w:spacing w:val="4"/>
          <w:sz w:val="28"/>
          <w:szCs w:val="28"/>
        </w:rPr>
        <w:t>5G</w:t>
      </w:r>
      <w:r>
        <w:rPr>
          <w:rFonts w:ascii="Times New Roman" w:hAnsi="Times New Roman" w:cs="Times New Roman" w:eastAsia="Times New Roman" w:hint="default"/>
          <w:spacing w:val="4"/>
          <w:w w:val="99"/>
          <w:sz w:val="28"/>
          <w:szCs w:val="28"/>
        </w:rPr>
        <w:t> </w:t>
      </w:r>
      <w:r>
        <w:rPr>
          <w:rFonts w:ascii="宋体" w:hAnsi="宋体" w:cs="宋体" w:eastAsia="宋体" w:hint="default"/>
          <w:sz w:val="28"/>
          <w:szCs w:val="28"/>
        </w:rPr>
        <w:t>网络商用和</w:t>
      </w:r>
      <w:r>
        <w:rPr>
          <w:rFonts w:ascii="宋体" w:hAnsi="宋体" w:cs="宋体" w:eastAsia="宋体" w:hint="default"/>
          <w:spacing w:val="-75"/>
          <w:sz w:val="28"/>
          <w:szCs w:val="28"/>
        </w:rPr>
        <w:t> </w:t>
      </w:r>
      <w:r>
        <w:rPr>
          <w:rFonts w:ascii="Times New Roman" w:hAnsi="Times New Roman" w:cs="Times New Roman" w:eastAsia="Times New Roman" w:hint="default"/>
          <w:sz w:val="28"/>
          <w:szCs w:val="28"/>
        </w:rPr>
        <w:t>5G</w:t>
      </w:r>
      <w:r>
        <w:rPr>
          <w:rFonts w:ascii="Times New Roman" w:hAnsi="Times New Roman" w:cs="Times New Roman" w:eastAsia="Times New Roman" w:hint="default"/>
          <w:spacing w:val="-5"/>
          <w:sz w:val="28"/>
          <w:szCs w:val="28"/>
        </w:rPr>
        <w:t> </w:t>
      </w:r>
      <w:r>
        <w:rPr>
          <w:rFonts w:ascii="宋体" w:hAnsi="宋体" w:cs="宋体" w:eastAsia="宋体" w:hint="default"/>
          <w:sz w:val="28"/>
          <w:szCs w:val="28"/>
        </w:rPr>
        <w:t>在垂直行业的应用。</w:t>
      </w:r>
    </w:p>
    <w:p>
      <w:pPr>
        <w:spacing w:before="129"/>
        <w:ind w:left="674" w:right="1764" w:firstLine="0"/>
        <w:jc w:val="left"/>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2</w:t>
      </w:r>
      <w:r>
        <w:rPr>
          <w:rFonts w:ascii="宋体" w:hAnsi="宋体" w:cs="宋体" w:eastAsia="宋体" w:hint="default"/>
          <w:b/>
          <w:bCs/>
          <w:spacing w:val="2"/>
          <w:sz w:val="28"/>
          <w:szCs w:val="28"/>
        </w:rPr>
        <w:t>、新科技引领行业需求升级，产业竞争加剧的风险</w:t>
      </w:r>
      <w:r>
        <w:rPr>
          <w:rFonts w:ascii="宋体" w:hAnsi="宋体" w:cs="宋体" w:eastAsia="宋体" w:hint="default"/>
          <w:spacing w:val="2"/>
          <w:sz w:val="28"/>
          <w:szCs w:val="28"/>
        </w:rPr>
      </w:r>
    </w:p>
    <w:p>
      <w:pPr>
        <w:spacing w:line="240" w:lineRule="auto" w:before="10"/>
        <w:rPr>
          <w:rFonts w:ascii="宋体" w:hAnsi="宋体" w:cs="宋体" w:eastAsia="宋体" w:hint="default"/>
          <w:b/>
          <w:bCs/>
          <w:sz w:val="25"/>
          <w:szCs w:val="25"/>
        </w:rPr>
      </w:pPr>
    </w:p>
    <w:p>
      <w:pPr>
        <w:spacing w:line="400" w:lineRule="auto" w:before="0"/>
        <w:ind w:left="113" w:right="1002" w:firstLine="561"/>
        <w:jc w:val="both"/>
        <w:rPr>
          <w:rFonts w:ascii="宋体" w:hAnsi="宋体" w:cs="宋体" w:eastAsia="宋体" w:hint="default"/>
          <w:sz w:val="28"/>
          <w:szCs w:val="28"/>
        </w:rPr>
      </w:pPr>
      <w:r>
        <w:rPr>
          <w:rFonts w:ascii="宋体" w:hAnsi="宋体" w:cs="宋体" w:eastAsia="宋体" w:hint="default"/>
          <w:sz w:val="28"/>
          <w:szCs w:val="28"/>
        </w:rPr>
        <w:t>随着大数据技术、</w:t>
      </w:r>
      <w:r>
        <w:rPr>
          <w:rFonts w:ascii="Times New Roman" w:hAnsi="Times New Roman" w:cs="Times New Roman" w:eastAsia="Times New Roman" w:hint="default"/>
          <w:sz w:val="28"/>
          <w:szCs w:val="28"/>
        </w:rPr>
        <w:t>AI</w:t>
      </w:r>
      <w:r>
        <w:rPr>
          <w:rFonts w:ascii="Times New Roman" w:hAnsi="Times New Roman" w:cs="Times New Roman" w:eastAsia="Times New Roman" w:hint="default"/>
          <w:spacing w:val="28"/>
          <w:sz w:val="28"/>
          <w:szCs w:val="28"/>
        </w:rPr>
        <w:t> </w:t>
      </w:r>
      <w:r>
        <w:rPr>
          <w:rFonts w:ascii="宋体" w:hAnsi="宋体" w:cs="宋体" w:eastAsia="宋体" w:hint="default"/>
          <w:sz w:val="28"/>
          <w:szCs w:val="28"/>
        </w:rPr>
        <w:t>技术和云化技术的快速演变发展，行业应用需求持续</w:t>
      </w:r>
      <w:r>
        <w:rPr>
          <w:rFonts w:ascii="宋体" w:hAnsi="宋体" w:cs="宋体" w:eastAsia="宋体" w:hint="default"/>
          <w:w w:val="99"/>
          <w:sz w:val="28"/>
          <w:szCs w:val="28"/>
        </w:rPr>
        <w:t> </w:t>
      </w:r>
      <w:r>
        <w:rPr>
          <w:rFonts w:ascii="宋体" w:hAnsi="宋体" w:cs="宋体" w:eastAsia="宋体" w:hint="default"/>
          <w:spacing w:val="4"/>
          <w:sz w:val="28"/>
          <w:szCs w:val="28"/>
        </w:rPr>
        <w:t>增长，市场参与者不断加大技术研发及市场开拓的投入，高端数据科学和人工</w:t>
      </w:r>
      <w:r>
        <w:rPr>
          <w:rFonts w:ascii="宋体" w:hAnsi="宋体" w:cs="宋体" w:eastAsia="宋体" w:hint="default"/>
          <w:spacing w:val="4"/>
          <w:w w:val="99"/>
          <w:sz w:val="28"/>
          <w:szCs w:val="28"/>
        </w:rPr>
        <w:t> </w:t>
      </w:r>
      <w:r>
        <w:rPr>
          <w:rFonts w:ascii="宋体" w:hAnsi="宋体" w:cs="宋体" w:eastAsia="宋体" w:hint="default"/>
          <w:spacing w:val="4"/>
          <w:sz w:val="28"/>
          <w:szCs w:val="28"/>
        </w:rPr>
        <w:t>智能研发人才成为各企业激烈争夺的稀缺资源，市场竞争日益加剧，可能演变</w:t>
      </w:r>
      <w:r>
        <w:rPr>
          <w:rFonts w:ascii="宋体" w:hAnsi="宋体" w:cs="宋体" w:eastAsia="宋体" w:hint="default"/>
          <w:spacing w:val="4"/>
          <w:w w:val="99"/>
          <w:sz w:val="28"/>
          <w:szCs w:val="28"/>
        </w:rPr>
        <w:t> </w:t>
      </w:r>
      <w:r>
        <w:rPr>
          <w:rFonts w:ascii="宋体" w:hAnsi="宋体" w:cs="宋体" w:eastAsia="宋体" w:hint="default"/>
          <w:w w:val="95"/>
          <w:sz w:val="28"/>
          <w:szCs w:val="28"/>
        </w:rPr>
        <w:t>为同质化竞争和价格战，甚至可能导致零和博弈，对公司的经营业绩造成冲击。</w:t>
      </w:r>
      <w:r>
        <w:rPr>
          <w:rFonts w:ascii="宋体" w:hAnsi="宋体" w:cs="宋体" w:eastAsia="宋体" w:hint="default"/>
          <w:sz w:val="28"/>
          <w:szCs w:val="28"/>
        </w:rPr>
      </w:r>
    </w:p>
    <w:p>
      <w:pPr>
        <w:spacing w:after="0" w:line="400" w:lineRule="auto"/>
        <w:jc w:val="both"/>
        <w:rPr>
          <w:rFonts w:ascii="宋体" w:hAnsi="宋体" w:cs="宋体" w:eastAsia="宋体" w:hint="default"/>
          <w:sz w:val="28"/>
          <w:szCs w:val="28"/>
        </w:rPr>
        <w:sectPr>
          <w:footerReference w:type="default" r:id="rId7"/>
          <w:pgSz w:w="11910" w:h="16840"/>
          <w:pgMar w:footer="1022" w:header="784" w:top="1100" w:bottom="1220" w:left="1020" w:right="0"/>
          <w:pgNumType w:start="2"/>
        </w:sectPr>
      </w:pPr>
    </w:p>
    <w:p>
      <w:pPr>
        <w:spacing w:line="240" w:lineRule="auto" w:before="0"/>
        <w:rPr>
          <w:rFonts w:ascii="宋体" w:hAnsi="宋体" w:cs="宋体" w:eastAsia="宋体" w:hint="default"/>
          <w:sz w:val="20"/>
          <w:szCs w:val="20"/>
        </w:rPr>
      </w:pPr>
    </w:p>
    <w:p>
      <w:pPr>
        <w:spacing w:line="408" w:lineRule="auto" w:before="158"/>
        <w:ind w:left="113" w:right="1135" w:firstLine="0"/>
        <w:jc w:val="both"/>
        <w:rPr>
          <w:rFonts w:ascii="宋体" w:hAnsi="宋体" w:cs="宋体" w:eastAsia="宋体" w:hint="default"/>
          <w:sz w:val="28"/>
          <w:szCs w:val="28"/>
        </w:rPr>
      </w:pPr>
      <w:r>
        <w:rPr>
          <w:rFonts w:ascii="宋体" w:hAnsi="宋体" w:cs="宋体" w:eastAsia="宋体" w:hint="default"/>
          <w:spacing w:val="4"/>
          <w:w w:val="95"/>
          <w:sz w:val="28"/>
          <w:szCs w:val="28"/>
        </w:rPr>
        <w:t>针对上述风险，公司通过持之以恒的技术创新不断提升企业的核心竞争力，充</w:t>
      </w:r>
      <w:r>
        <w:rPr>
          <w:rFonts w:ascii="宋体" w:hAnsi="宋体" w:cs="宋体" w:eastAsia="宋体" w:hint="default"/>
          <w:spacing w:val="19"/>
          <w:w w:val="95"/>
          <w:sz w:val="28"/>
          <w:szCs w:val="28"/>
        </w:rPr>
        <w:t> </w:t>
      </w:r>
      <w:r>
        <w:rPr>
          <w:rFonts w:ascii="宋体" w:hAnsi="宋体" w:cs="宋体" w:eastAsia="宋体" w:hint="default"/>
          <w:spacing w:val="19"/>
          <w:w w:val="95"/>
          <w:sz w:val="28"/>
          <w:szCs w:val="28"/>
        </w:rPr>
      </w:r>
      <w:r>
        <w:rPr>
          <w:rFonts w:ascii="宋体" w:hAnsi="宋体" w:cs="宋体" w:eastAsia="宋体" w:hint="default"/>
          <w:spacing w:val="4"/>
          <w:w w:val="95"/>
          <w:sz w:val="28"/>
          <w:szCs w:val="28"/>
        </w:rPr>
        <w:t>分发挥行业积累深厚的巨大优势，打造定制化、差异化的解决方案，辅以贴身</w:t>
      </w:r>
      <w:r>
        <w:rPr>
          <w:rFonts w:ascii="宋体" w:hAnsi="宋体" w:cs="宋体" w:eastAsia="宋体" w:hint="default"/>
          <w:spacing w:val="19"/>
          <w:w w:val="95"/>
          <w:sz w:val="28"/>
          <w:szCs w:val="28"/>
        </w:rPr>
        <w:t> </w:t>
      </w:r>
      <w:r>
        <w:rPr>
          <w:rFonts w:ascii="宋体" w:hAnsi="宋体" w:cs="宋体" w:eastAsia="宋体" w:hint="default"/>
          <w:spacing w:val="19"/>
          <w:w w:val="95"/>
          <w:sz w:val="28"/>
          <w:szCs w:val="28"/>
        </w:rPr>
      </w:r>
      <w:r>
        <w:rPr>
          <w:rFonts w:ascii="宋体" w:hAnsi="宋体" w:cs="宋体" w:eastAsia="宋体" w:hint="default"/>
          <w:sz w:val="28"/>
          <w:szCs w:val="28"/>
        </w:rPr>
        <w:t>敏捷的服务体系，确保经营业绩的可持续增长。</w:t>
      </w:r>
    </w:p>
    <w:p>
      <w:pPr>
        <w:spacing w:line="448" w:lineRule="auto" w:before="162"/>
        <w:ind w:left="674" w:right="1007" w:firstLine="0"/>
        <w:jc w:val="left"/>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3</w:t>
      </w:r>
      <w:r>
        <w:rPr>
          <w:rFonts w:ascii="宋体" w:hAnsi="宋体" w:cs="宋体" w:eastAsia="宋体" w:hint="default"/>
          <w:b/>
          <w:bCs/>
          <w:spacing w:val="2"/>
          <w:sz w:val="28"/>
          <w:szCs w:val="28"/>
        </w:rPr>
        <w:t>、核心人才流失风险</w:t>
      </w:r>
      <w:r>
        <w:rPr>
          <w:rFonts w:ascii="宋体" w:hAnsi="宋体" w:cs="宋体" w:eastAsia="宋体" w:hint="default"/>
          <w:b/>
          <w:bCs/>
          <w:w w:val="99"/>
          <w:sz w:val="28"/>
          <w:szCs w:val="28"/>
        </w:rPr>
        <w:t> </w:t>
      </w:r>
      <w:r>
        <w:rPr>
          <w:rFonts w:ascii="宋体" w:hAnsi="宋体" w:cs="宋体" w:eastAsia="宋体" w:hint="default"/>
          <w:spacing w:val="4"/>
          <w:w w:val="95"/>
          <w:sz w:val="28"/>
          <w:szCs w:val="28"/>
        </w:rPr>
        <w:t>公司向大数据和产业互联网应用方向发展，企业对于高端人才的需求日益</w:t>
      </w:r>
      <w:r>
        <w:rPr>
          <w:rFonts w:ascii="宋体" w:hAnsi="宋体" w:cs="宋体" w:eastAsia="宋体" w:hint="default"/>
          <w:sz w:val="28"/>
          <w:szCs w:val="28"/>
        </w:rPr>
      </w:r>
    </w:p>
    <w:p>
      <w:pPr>
        <w:spacing w:line="408" w:lineRule="auto" w:before="14"/>
        <w:ind w:left="113" w:right="1135" w:firstLine="0"/>
        <w:jc w:val="both"/>
        <w:rPr>
          <w:rFonts w:ascii="宋体" w:hAnsi="宋体" w:cs="宋体" w:eastAsia="宋体" w:hint="default"/>
          <w:sz w:val="28"/>
          <w:szCs w:val="28"/>
        </w:rPr>
      </w:pPr>
      <w:r>
        <w:rPr>
          <w:rFonts w:ascii="宋体" w:hAnsi="宋体" w:cs="宋体" w:eastAsia="宋体" w:hint="default"/>
          <w:spacing w:val="4"/>
          <w:w w:val="95"/>
          <w:sz w:val="28"/>
          <w:szCs w:val="28"/>
        </w:rPr>
        <w:t>增长，企业对高端人才的争夺已经超出行业范围，核心人员流失对于公司业务</w:t>
      </w:r>
      <w:r>
        <w:rPr>
          <w:rFonts w:ascii="宋体" w:hAnsi="宋体" w:cs="宋体" w:eastAsia="宋体" w:hint="default"/>
          <w:spacing w:val="19"/>
          <w:w w:val="95"/>
          <w:sz w:val="28"/>
          <w:szCs w:val="28"/>
        </w:rPr>
        <w:t> </w:t>
      </w:r>
      <w:r>
        <w:rPr>
          <w:rFonts w:ascii="宋体" w:hAnsi="宋体" w:cs="宋体" w:eastAsia="宋体" w:hint="default"/>
          <w:spacing w:val="19"/>
          <w:w w:val="95"/>
          <w:sz w:val="28"/>
          <w:szCs w:val="28"/>
        </w:rPr>
      </w:r>
      <w:r>
        <w:rPr>
          <w:rFonts w:ascii="宋体" w:hAnsi="宋体" w:cs="宋体" w:eastAsia="宋体" w:hint="default"/>
          <w:spacing w:val="4"/>
          <w:w w:val="95"/>
          <w:sz w:val="28"/>
          <w:szCs w:val="28"/>
        </w:rPr>
        <w:t>发展影响加大。针对上述风险，公司已进行了以下几个方面的管理改革：实施</w:t>
      </w:r>
      <w:r>
        <w:rPr>
          <w:rFonts w:ascii="宋体" w:hAnsi="宋体" w:cs="宋体" w:eastAsia="宋体" w:hint="default"/>
          <w:spacing w:val="19"/>
          <w:w w:val="95"/>
          <w:sz w:val="28"/>
          <w:szCs w:val="28"/>
        </w:rPr>
        <w:t> </w:t>
      </w:r>
      <w:r>
        <w:rPr>
          <w:rFonts w:ascii="宋体" w:hAnsi="宋体" w:cs="宋体" w:eastAsia="宋体" w:hint="default"/>
          <w:spacing w:val="19"/>
          <w:w w:val="95"/>
          <w:sz w:val="28"/>
          <w:szCs w:val="28"/>
        </w:rPr>
      </w:r>
      <w:r>
        <w:rPr>
          <w:rFonts w:ascii="宋体" w:hAnsi="宋体" w:cs="宋体" w:eastAsia="宋体" w:hint="default"/>
          <w:spacing w:val="4"/>
          <w:w w:val="95"/>
          <w:sz w:val="28"/>
          <w:szCs w:val="28"/>
        </w:rPr>
        <w:t>股权激励，核心骨干利益与企业利益绑定；组织架构扁平化，根据业务单元按</w:t>
      </w:r>
      <w:r>
        <w:rPr>
          <w:rFonts w:ascii="宋体" w:hAnsi="宋体" w:cs="宋体" w:eastAsia="宋体" w:hint="default"/>
          <w:spacing w:val="19"/>
          <w:w w:val="95"/>
          <w:sz w:val="28"/>
          <w:szCs w:val="28"/>
        </w:rPr>
        <w:t> </w:t>
      </w:r>
      <w:r>
        <w:rPr>
          <w:rFonts w:ascii="宋体" w:hAnsi="宋体" w:cs="宋体" w:eastAsia="宋体" w:hint="default"/>
          <w:spacing w:val="19"/>
          <w:w w:val="95"/>
          <w:sz w:val="28"/>
          <w:szCs w:val="28"/>
        </w:rPr>
      </w:r>
      <w:r>
        <w:rPr>
          <w:rFonts w:ascii="宋体" w:hAnsi="宋体" w:cs="宋体" w:eastAsia="宋体" w:hint="default"/>
          <w:spacing w:val="4"/>
          <w:w w:val="95"/>
          <w:sz w:val="28"/>
          <w:szCs w:val="28"/>
        </w:rPr>
        <w:t>照子公司、事业部管理模式充分授权；加强岗位轮动，为员工搭建持续发展的</w:t>
      </w:r>
      <w:r>
        <w:rPr>
          <w:rFonts w:ascii="宋体" w:hAnsi="宋体" w:cs="宋体" w:eastAsia="宋体" w:hint="default"/>
          <w:spacing w:val="19"/>
          <w:w w:val="95"/>
          <w:sz w:val="28"/>
          <w:szCs w:val="28"/>
        </w:rPr>
        <w:t> </w:t>
      </w:r>
      <w:r>
        <w:rPr>
          <w:rFonts w:ascii="宋体" w:hAnsi="宋体" w:cs="宋体" w:eastAsia="宋体" w:hint="default"/>
          <w:spacing w:val="19"/>
          <w:w w:val="95"/>
          <w:sz w:val="28"/>
          <w:szCs w:val="28"/>
        </w:rPr>
      </w:r>
      <w:r>
        <w:rPr>
          <w:rFonts w:ascii="宋体" w:hAnsi="宋体" w:cs="宋体" w:eastAsia="宋体" w:hint="default"/>
          <w:sz w:val="28"/>
          <w:szCs w:val="28"/>
        </w:rPr>
        <w:t>平台，建立多层次员工关怀体系，重视员工学习与培养和培训。</w:t>
      </w:r>
    </w:p>
    <w:p>
      <w:pPr>
        <w:spacing w:line="448" w:lineRule="auto" w:before="157"/>
        <w:ind w:left="674" w:right="1007" w:firstLine="0"/>
        <w:jc w:val="left"/>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4</w:t>
      </w:r>
      <w:r>
        <w:rPr>
          <w:rFonts w:ascii="宋体" w:hAnsi="宋体" w:cs="宋体" w:eastAsia="宋体" w:hint="default"/>
          <w:b/>
          <w:bCs/>
          <w:spacing w:val="2"/>
          <w:sz w:val="28"/>
          <w:szCs w:val="28"/>
        </w:rPr>
        <w:t>、业务收入季度性波动的风险</w:t>
      </w:r>
      <w:r>
        <w:rPr>
          <w:rFonts w:ascii="宋体" w:hAnsi="宋体" w:cs="宋体" w:eastAsia="宋体" w:hint="default"/>
          <w:b/>
          <w:bCs/>
          <w:w w:val="99"/>
          <w:sz w:val="28"/>
          <w:szCs w:val="28"/>
        </w:rPr>
        <w:t> </w:t>
      </w:r>
      <w:r>
        <w:rPr>
          <w:rFonts w:ascii="宋体" w:hAnsi="宋体" w:cs="宋体" w:eastAsia="宋体" w:hint="default"/>
          <w:spacing w:val="4"/>
          <w:w w:val="95"/>
          <w:sz w:val="28"/>
          <w:szCs w:val="28"/>
        </w:rPr>
        <w:t>电信运营商和政府为公司的主要行业客户之一，由于其招投标流程、采购</w:t>
      </w:r>
      <w:r>
        <w:rPr>
          <w:rFonts w:ascii="宋体" w:hAnsi="宋体" w:cs="宋体" w:eastAsia="宋体" w:hint="default"/>
          <w:sz w:val="28"/>
          <w:szCs w:val="28"/>
        </w:rPr>
      </w:r>
    </w:p>
    <w:p>
      <w:pPr>
        <w:spacing w:line="408" w:lineRule="auto" w:before="14"/>
        <w:ind w:left="113" w:right="1135" w:firstLine="0"/>
        <w:jc w:val="both"/>
        <w:rPr>
          <w:rFonts w:ascii="宋体" w:hAnsi="宋体" w:cs="宋体" w:eastAsia="宋体" w:hint="default"/>
          <w:sz w:val="28"/>
          <w:szCs w:val="28"/>
        </w:rPr>
      </w:pPr>
      <w:r>
        <w:rPr>
          <w:rFonts w:ascii="宋体" w:hAnsi="宋体" w:cs="宋体" w:eastAsia="宋体" w:hint="default"/>
          <w:spacing w:val="4"/>
          <w:w w:val="95"/>
          <w:sz w:val="28"/>
          <w:szCs w:val="28"/>
        </w:rPr>
        <w:t>评审节奏、季度性投资预算控制和大型建设项目整体进度等因素影响，业务结</w:t>
      </w:r>
      <w:r>
        <w:rPr>
          <w:rFonts w:ascii="宋体" w:hAnsi="宋体" w:cs="宋体" w:eastAsia="宋体" w:hint="default"/>
          <w:spacing w:val="17"/>
          <w:w w:val="95"/>
          <w:sz w:val="28"/>
          <w:szCs w:val="28"/>
        </w:rPr>
        <w:t> </w:t>
      </w:r>
      <w:r>
        <w:rPr>
          <w:rFonts w:ascii="宋体" w:hAnsi="宋体" w:cs="宋体" w:eastAsia="宋体" w:hint="default"/>
          <w:spacing w:val="17"/>
          <w:w w:val="95"/>
          <w:sz w:val="28"/>
          <w:szCs w:val="28"/>
        </w:rPr>
      </w:r>
      <w:r>
        <w:rPr>
          <w:rFonts w:ascii="宋体" w:hAnsi="宋体" w:cs="宋体" w:eastAsia="宋体" w:hint="default"/>
          <w:spacing w:val="4"/>
          <w:w w:val="95"/>
          <w:sz w:val="28"/>
          <w:szCs w:val="28"/>
        </w:rPr>
        <w:t>算一般集中在下半年甚至第四季度，部分中标项目存在不能按期结算的风险。</w:t>
      </w:r>
      <w:r>
        <w:rPr>
          <w:rFonts w:ascii="宋体" w:hAnsi="宋体" w:cs="宋体" w:eastAsia="宋体" w:hint="default"/>
          <w:spacing w:val="19"/>
          <w:w w:val="95"/>
          <w:sz w:val="28"/>
          <w:szCs w:val="28"/>
        </w:rPr>
        <w:t> </w:t>
      </w:r>
      <w:r>
        <w:rPr>
          <w:rFonts w:ascii="宋体" w:hAnsi="宋体" w:cs="宋体" w:eastAsia="宋体" w:hint="default"/>
          <w:spacing w:val="19"/>
          <w:w w:val="95"/>
          <w:sz w:val="28"/>
          <w:szCs w:val="28"/>
        </w:rPr>
      </w:r>
      <w:r>
        <w:rPr>
          <w:rFonts w:ascii="宋体" w:hAnsi="宋体" w:cs="宋体" w:eastAsia="宋体" w:hint="default"/>
          <w:spacing w:val="4"/>
          <w:w w:val="95"/>
          <w:sz w:val="28"/>
          <w:szCs w:val="28"/>
        </w:rPr>
        <w:t>而公司的季度费用支出以人力成本为主，相对固定，可能造成季度性经营业绩</w:t>
      </w:r>
      <w:r>
        <w:rPr>
          <w:rFonts w:ascii="宋体" w:hAnsi="宋体" w:cs="宋体" w:eastAsia="宋体" w:hint="default"/>
          <w:spacing w:val="19"/>
          <w:w w:val="95"/>
          <w:sz w:val="28"/>
          <w:szCs w:val="28"/>
        </w:rPr>
        <w:t> </w:t>
      </w:r>
      <w:r>
        <w:rPr>
          <w:rFonts w:ascii="宋体" w:hAnsi="宋体" w:cs="宋体" w:eastAsia="宋体" w:hint="default"/>
          <w:spacing w:val="19"/>
          <w:w w:val="95"/>
          <w:sz w:val="28"/>
          <w:szCs w:val="28"/>
        </w:rPr>
      </w:r>
      <w:r>
        <w:rPr>
          <w:rFonts w:ascii="宋体" w:hAnsi="宋体" w:cs="宋体" w:eastAsia="宋体" w:hint="default"/>
          <w:sz w:val="28"/>
          <w:szCs w:val="28"/>
        </w:rPr>
        <w:t>波动。</w:t>
      </w:r>
      <w:r>
        <w:rPr>
          <w:rFonts w:ascii="宋体" w:hAnsi="宋体" w:cs="宋体" w:eastAsia="宋体" w:hint="default"/>
          <w:spacing w:val="-34"/>
          <w:sz w:val="28"/>
          <w:szCs w:val="28"/>
        </w:rPr>
        <w:t> </w:t>
      </w:r>
      <w:r>
        <w:rPr>
          <w:rFonts w:ascii="宋体" w:hAnsi="宋体" w:cs="宋体" w:eastAsia="宋体" w:hint="default"/>
          <w:sz w:val="28"/>
          <w:szCs w:val="28"/>
        </w:rPr>
        <w:t>针对上述风险，公司以流程优化为抓手，划小成本核算单元，加强项目</w:t>
      </w:r>
      <w:r>
        <w:rPr>
          <w:rFonts w:ascii="宋体" w:hAnsi="宋体" w:cs="宋体" w:eastAsia="宋体" w:hint="default"/>
          <w:w w:val="99"/>
          <w:sz w:val="28"/>
          <w:szCs w:val="28"/>
        </w:rPr>
        <w:t> </w:t>
      </w:r>
      <w:r>
        <w:rPr>
          <w:rFonts w:ascii="宋体" w:hAnsi="宋体" w:cs="宋体" w:eastAsia="宋体" w:hint="default"/>
          <w:spacing w:val="4"/>
          <w:w w:val="95"/>
          <w:sz w:val="28"/>
          <w:szCs w:val="28"/>
        </w:rPr>
        <w:t>管理和商务流程管控，建立项目实施质量保障体系，实施项目验收延迟预警制</w:t>
      </w:r>
      <w:r>
        <w:rPr>
          <w:rFonts w:ascii="宋体" w:hAnsi="宋体" w:cs="宋体" w:eastAsia="宋体" w:hint="default"/>
          <w:spacing w:val="19"/>
          <w:w w:val="95"/>
          <w:sz w:val="28"/>
          <w:szCs w:val="28"/>
        </w:rPr>
        <w:t> </w:t>
      </w:r>
      <w:r>
        <w:rPr>
          <w:rFonts w:ascii="宋体" w:hAnsi="宋体" w:cs="宋体" w:eastAsia="宋体" w:hint="default"/>
          <w:spacing w:val="19"/>
          <w:w w:val="95"/>
          <w:sz w:val="28"/>
          <w:szCs w:val="28"/>
        </w:rPr>
      </w:r>
      <w:r>
        <w:rPr>
          <w:rFonts w:ascii="宋体" w:hAnsi="宋体" w:cs="宋体" w:eastAsia="宋体" w:hint="default"/>
          <w:sz w:val="28"/>
          <w:szCs w:val="28"/>
        </w:rPr>
        <w:t>度，促进按时验收结算，提高运营效率，逐步降低业务收入季节性波动。</w:t>
      </w:r>
    </w:p>
    <w:p>
      <w:pPr>
        <w:spacing w:line="448" w:lineRule="auto" w:before="162"/>
        <w:ind w:left="674" w:right="1007" w:firstLine="0"/>
        <w:jc w:val="left"/>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5</w:t>
      </w:r>
      <w:r>
        <w:rPr>
          <w:rFonts w:ascii="宋体" w:hAnsi="宋体" w:cs="宋体" w:eastAsia="宋体" w:hint="default"/>
          <w:b/>
          <w:bCs/>
          <w:spacing w:val="2"/>
          <w:sz w:val="28"/>
          <w:szCs w:val="28"/>
        </w:rPr>
        <w:t>、管理风险</w:t>
      </w:r>
      <w:r>
        <w:rPr>
          <w:rFonts w:ascii="宋体" w:hAnsi="宋体" w:cs="宋体" w:eastAsia="宋体" w:hint="default"/>
          <w:b/>
          <w:bCs/>
          <w:w w:val="99"/>
          <w:sz w:val="28"/>
          <w:szCs w:val="28"/>
        </w:rPr>
        <w:t> </w:t>
      </w:r>
      <w:r>
        <w:rPr>
          <w:rFonts w:ascii="宋体" w:hAnsi="宋体" w:cs="宋体" w:eastAsia="宋体" w:hint="default"/>
          <w:spacing w:val="4"/>
          <w:w w:val="95"/>
          <w:sz w:val="28"/>
          <w:szCs w:val="28"/>
        </w:rPr>
        <w:t>公司业务涉及多行业板块，业务模式各有特点，组织结构和管理系统趋于</w:t>
      </w:r>
      <w:r>
        <w:rPr>
          <w:rFonts w:ascii="宋体" w:hAnsi="宋体" w:cs="宋体" w:eastAsia="宋体" w:hint="default"/>
          <w:sz w:val="28"/>
          <w:szCs w:val="28"/>
        </w:rPr>
      </w:r>
    </w:p>
    <w:p>
      <w:pPr>
        <w:spacing w:before="14"/>
        <w:ind w:left="113" w:right="0" w:firstLine="0"/>
        <w:jc w:val="both"/>
        <w:rPr>
          <w:rFonts w:ascii="宋体" w:hAnsi="宋体" w:cs="宋体" w:eastAsia="宋体" w:hint="default"/>
          <w:sz w:val="28"/>
          <w:szCs w:val="28"/>
        </w:rPr>
      </w:pPr>
      <w:r>
        <w:rPr>
          <w:rFonts w:ascii="宋体" w:hAnsi="宋体" w:cs="宋体" w:eastAsia="宋体" w:hint="default"/>
          <w:sz w:val="28"/>
          <w:szCs w:val="28"/>
        </w:rPr>
        <w:t>复杂，管理效率需持续提升。</w:t>
      </w:r>
      <w:r>
        <w:rPr>
          <w:rFonts w:ascii="宋体" w:hAnsi="宋体" w:cs="宋体" w:eastAsia="宋体" w:hint="default"/>
          <w:spacing w:val="-31"/>
          <w:sz w:val="28"/>
          <w:szCs w:val="28"/>
        </w:rPr>
        <w:t> </w:t>
      </w:r>
      <w:r>
        <w:rPr>
          <w:rFonts w:ascii="宋体" w:hAnsi="宋体" w:cs="宋体" w:eastAsia="宋体" w:hint="default"/>
          <w:sz w:val="28"/>
          <w:szCs w:val="28"/>
        </w:rPr>
        <w:t>针对以上风险，公司根据行业情况实行行业板块</w:t>
      </w:r>
    </w:p>
    <w:p>
      <w:pPr>
        <w:spacing w:after="0"/>
        <w:jc w:val="both"/>
        <w:rPr>
          <w:rFonts w:ascii="宋体" w:hAnsi="宋体" w:cs="宋体" w:eastAsia="宋体" w:hint="default"/>
          <w:sz w:val="28"/>
          <w:szCs w:val="28"/>
        </w:rPr>
        <w:sectPr>
          <w:pgSz w:w="11910" w:h="16840"/>
          <w:pgMar w:header="784" w:footer="1022" w:top="1100" w:bottom="1220" w:left="1020" w:right="0"/>
        </w:sectPr>
      </w:pPr>
    </w:p>
    <w:p>
      <w:pPr>
        <w:spacing w:line="240" w:lineRule="auto" w:before="0"/>
        <w:rPr>
          <w:rFonts w:ascii="宋体" w:hAnsi="宋体" w:cs="宋体" w:eastAsia="宋体" w:hint="default"/>
          <w:sz w:val="20"/>
          <w:szCs w:val="20"/>
        </w:rPr>
      </w:pPr>
    </w:p>
    <w:p>
      <w:pPr>
        <w:spacing w:line="408" w:lineRule="auto" w:before="158"/>
        <w:ind w:left="113" w:right="1135" w:firstLine="0"/>
        <w:jc w:val="both"/>
        <w:rPr>
          <w:rFonts w:ascii="宋体" w:hAnsi="宋体" w:cs="宋体" w:eastAsia="宋体" w:hint="default"/>
          <w:sz w:val="28"/>
          <w:szCs w:val="28"/>
        </w:rPr>
      </w:pPr>
      <w:r>
        <w:rPr>
          <w:rFonts w:ascii="宋体" w:hAnsi="宋体" w:cs="宋体" w:eastAsia="宋体" w:hint="default"/>
          <w:spacing w:val="4"/>
          <w:w w:val="95"/>
          <w:sz w:val="28"/>
          <w:szCs w:val="28"/>
        </w:rPr>
        <w:t>管理。以业务为导向，采用相应的业务组织架构模式，发挥协同作用，合作共</w:t>
      </w:r>
      <w:r>
        <w:rPr>
          <w:rFonts w:ascii="宋体" w:hAnsi="宋体" w:cs="宋体" w:eastAsia="宋体" w:hint="default"/>
          <w:spacing w:val="19"/>
          <w:w w:val="95"/>
          <w:sz w:val="28"/>
          <w:szCs w:val="28"/>
        </w:rPr>
        <w:t> </w:t>
      </w:r>
      <w:r>
        <w:rPr>
          <w:rFonts w:ascii="宋体" w:hAnsi="宋体" w:cs="宋体" w:eastAsia="宋体" w:hint="default"/>
          <w:spacing w:val="19"/>
          <w:w w:val="95"/>
          <w:sz w:val="28"/>
          <w:szCs w:val="28"/>
        </w:rPr>
      </w:r>
      <w:r>
        <w:rPr>
          <w:rFonts w:ascii="宋体" w:hAnsi="宋体" w:cs="宋体" w:eastAsia="宋体" w:hint="default"/>
          <w:spacing w:val="4"/>
          <w:w w:val="95"/>
          <w:sz w:val="28"/>
          <w:szCs w:val="28"/>
        </w:rPr>
        <w:t>进；在公司内部培养、选拔具有开拓创新精神和团队凝聚力的领导人才，并采</w:t>
      </w:r>
      <w:r>
        <w:rPr>
          <w:rFonts w:ascii="宋体" w:hAnsi="宋体" w:cs="宋体" w:eastAsia="宋体" w:hint="default"/>
          <w:spacing w:val="19"/>
          <w:w w:val="95"/>
          <w:sz w:val="28"/>
          <w:szCs w:val="28"/>
        </w:rPr>
        <w:t> </w:t>
      </w:r>
      <w:r>
        <w:rPr>
          <w:rFonts w:ascii="宋体" w:hAnsi="宋体" w:cs="宋体" w:eastAsia="宋体" w:hint="default"/>
          <w:spacing w:val="19"/>
          <w:w w:val="95"/>
          <w:sz w:val="28"/>
          <w:szCs w:val="28"/>
        </w:rPr>
      </w:r>
      <w:r>
        <w:rPr>
          <w:rFonts w:ascii="宋体" w:hAnsi="宋体" w:cs="宋体" w:eastAsia="宋体" w:hint="default"/>
          <w:sz w:val="28"/>
          <w:szCs w:val="28"/>
        </w:rPr>
        <w:t>用市场化模式，引进经营管理和技术专业人才，有效补充公司内部人才储备。</w:t>
      </w:r>
    </w:p>
    <w:p>
      <w:pPr>
        <w:spacing w:before="162"/>
        <w:ind w:left="674" w:right="1007"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7"/>
          <w:sz w:val="28"/>
          <w:szCs w:val="28"/>
        </w:rPr>
        <w:t> </w:t>
      </w:r>
      <w:r>
        <w:rPr>
          <w:rFonts w:ascii="Times New Roman" w:hAnsi="Times New Roman" w:cs="Times New Roman" w:eastAsia="Times New Roman" w:hint="default"/>
          <w:b/>
          <w:bCs/>
          <w:sz w:val="28"/>
          <w:szCs w:val="28"/>
        </w:rPr>
        <w:t>637,744,672</w:t>
      </w:r>
      <w:r>
        <w:rPr>
          <w:rFonts w:ascii="Times New Roman" w:hAnsi="Times New Roman" w:cs="Times New Roman" w:eastAsia="Times New Roman" w:hint="default"/>
          <w:b/>
          <w:bCs/>
          <w:spacing w:val="-24"/>
          <w:sz w:val="28"/>
          <w:szCs w:val="28"/>
        </w:rPr>
        <w:t> </w:t>
      </w:r>
      <w:r>
        <w:rPr>
          <w:rFonts w:ascii="宋体" w:hAnsi="宋体" w:cs="宋体" w:eastAsia="宋体" w:hint="default"/>
          <w:b/>
          <w:bCs/>
          <w:spacing w:val="-5"/>
          <w:sz w:val="28"/>
          <w:szCs w:val="28"/>
        </w:rPr>
        <w:t>为基数，向</w:t>
      </w:r>
      <w:r>
        <w:rPr>
          <w:rFonts w:ascii="宋体" w:hAnsi="宋体" w:cs="宋体" w:eastAsia="宋体" w:hint="default"/>
          <w:spacing w:val="-5"/>
          <w:sz w:val="28"/>
          <w:szCs w:val="28"/>
        </w:rPr>
      </w:r>
    </w:p>
    <w:p>
      <w:pPr>
        <w:spacing w:before="237"/>
        <w:ind w:left="113" w:right="0" w:firstLine="0"/>
        <w:jc w:val="both"/>
        <w:rPr>
          <w:rFonts w:ascii="宋体" w:hAnsi="宋体" w:cs="宋体" w:eastAsia="宋体" w:hint="default"/>
          <w:sz w:val="28"/>
          <w:szCs w:val="28"/>
        </w:rPr>
      </w:pPr>
      <w:r>
        <w:rPr>
          <w:rFonts w:ascii="宋体" w:hAnsi="宋体" w:cs="宋体" w:eastAsia="宋体" w:hint="default"/>
          <w:b/>
          <w:bCs/>
          <w:spacing w:val="4"/>
          <w:w w:val="99"/>
          <w:sz w:val="28"/>
          <w:szCs w:val="28"/>
        </w:rPr>
        <w:t>全体</w:t>
      </w:r>
      <w:r>
        <w:rPr>
          <w:rFonts w:ascii="宋体" w:hAnsi="宋体" w:cs="宋体" w:eastAsia="宋体" w:hint="default"/>
          <w:b/>
          <w:bCs/>
          <w:w w:val="99"/>
          <w:sz w:val="28"/>
          <w:szCs w:val="28"/>
        </w:rPr>
        <w:t>股</w:t>
      </w:r>
      <w:r>
        <w:rPr>
          <w:rFonts w:ascii="宋体" w:hAnsi="宋体" w:cs="宋体" w:eastAsia="宋体" w:hint="default"/>
          <w:b/>
          <w:bCs/>
          <w:spacing w:val="4"/>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63"/>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w:t>
      </w:r>
      <w:r>
        <w:rPr>
          <w:rFonts w:ascii="宋体" w:hAnsi="宋体" w:cs="宋体" w:eastAsia="宋体" w:hint="default"/>
          <w:b/>
          <w:bCs/>
          <w:spacing w:val="4"/>
          <w:w w:val="99"/>
          <w:sz w:val="28"/>
          <w:szCs w:val="28"/>
        </w:rPr>
        <w:t>派发</w:t>
      </w:r>
      <w:r>
        <w:rPr>
          <w:rFonts w:ascii="宋体" w:hAnsi="宋体" w:cs="宋体" w:eastAsia="宋体" w:hint="default"/>
          <w:b/>
          <w:bCs/>
          <w:w w:val="99"/>
          <w:sz w:val="28"/>
          <w:szCs w:val="28"/>
        </w:rPr>
        <w:t>现</w:t>
      </w:r>
      <w:r>
        <w:rPr>
          <w:rFonts w:ascii="宋体" w:hAnsi="宋体" w:cs="宋体" w:eastAsia="宋体" w:hint="default"/>
          <w:b/>
          <w:bCs/>
          <w:spacing w:val="4"/>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3"/>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w w:val="99"/>
          <w:sz w:val="28"/>
          <w:szCs w:val="28"/>
        </w:rPr>
        <w:t>.</w:t>
      </w:r>
      <w:r>
        <w:rPr>
          <w:rFonts w:ascii="Times New Roman" w:hAnsi="Times New Roman" w:cs="Times New Roman" w:eastAsia="Times New Roman" w:hint="default"/>
          <w:b/>
          <w:bCs/>
          <w:w w:val="99"/>
          <w:sz w:val="28"/>
          <w:szCs w:val="28"/>
        </w:rPr>
        <w:t>2</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元（</w:t>
      </w:r>
      <w:r>
        <w:rPr>
          <w:rFonts w:ascii="宋体" w:hAnsi="宋体" w:cs="宋体" w:eastAsia="宋体" w:hint="default"/>
          <w:b/>
          <w:bCs/>
          <w:spacing w:val="4"/>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35"/>
          <w:w w:val="99"/>
          <w:sz w:val="28"/>
          <w:szCs w:val="28"/>
        </w:rPr>
        <w:t>）</w:t>
      </w:r>
      <w:r>
        <w:rPr>
          <w:rFonts w:ascii="宋体" w:hAnsi="宋体" w:cs="宋体" w:eastAsia="宋体" w:hint="default"/>
          <w:b/>
          <w:bCs/>
          <w:w w:val="99"/>
          <w:sz w:val="28"/>
          <w:szCs w:val="28"/>
        </w:rPr>
        <w:t>，</w:t>
      </w:r>
      <w:r>
        <w:rPr>
          <w:rFonts w:ascii="宋体" w:hAnsi="宋体" w:cs="宋体" w:eastAsia="宋体" w:hint="default"/>
          <w:b/>
          <w:bCs/>
          <w:spacing w:val="4"/>
          <w:w w:val="99"/>
          <w:sz w:val="28"/>
          <w:szCs w:val="28"/>
        </w:rPr>
        <w:t>送红</w:t>
      </w:r>
      <w:r>
        <w:rPr>
          <w:rFonts w:ascii="宋体" w:hAnsi="宋体" w:cs="宋体" w:eastAsia="宋体" w:hint="default"/>
          <w:b/>
          <w:bCs/>
          <w:w w:val="99"/>
          <w:sz w:val="28"/>
          <w:szCs w:val="28"/>
        </w:rPr>
        <w:t>股</w:t>
      </w:r>
      <w:r>
        <w:rPr>
          <w:rFonts w:ascii="宋体" w:hAnsi="宋体" w:cs="宋体" w:eastAsia="宋体" w:hint="default"/>
          <w:b/>
          <w:bCs/>
          <w:spacing w:val="-63"/>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w:t>
      </w:r>
      <w:r>
        <w:rPr>
          <w:rFonts w:ascii="宋体" w:hAnsi="宋体" w:cs="宋体" w:eastAsia="宋体" w:hint="default"/>
          <w:b/>
          <w:bCs/>
          <w:spacing w:val="4"/>
          <w:w w:val="99"/>
          <w:sz w:val="28"/>
          <w:szCs w:val="28"/>
        </w:rPr>
        <w:t>（</w:t>
      </w:r>
      <w:r>
        <w:rPr>
          <w:rFonts w:ascii="宋体" w:hAnsi="宋体" w:cs="宋体" w:eastAsia="宋体" w:hint="default"/>
          <w:b/>
          <w:bCs/>
          <w:w w:val="99"/>
          <w:sz w:val="28"/>
          <w:szCs w:val="28"/>
        </w:rPr>
        <w:t>含税</w:t>
      </w:r>
      <w:r>
        <w:rPr>
          <w:rFonts w:ascii="宋体" w:hAnsi="宋体" w:cs="宋体" w:eastAsia="宋体" w:hint="default"/>
          <w:b/>
          <w:bCs/>
          <w:spacing w:val="-135"/>
          <w:w w:val="99"/>
          <w:sz w:val="28"/>
          <w:szCs w:val="28"/>
        </w:rPr>
        <w:t>）</w:t>
      </w:r>
      <w:r>
        <w:rPr>
          <w:rFonts w:ascii="宋体" w:hAnsi="宋体" w:cs="宋体" w:eastAsia="宋体" w:hint="default"/>
          <w:b/>
          <w:bCs/>
          <w:spacing w:val="4"/>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4"/>
          <w:w w:val="99"/>
          <w:sz w:val="28"/>
          <w:szCs w:val="28"/>
        </w:rPr>
        <w:t>资</w:t>
      </w:r>
      <w:r>
        <w:rPr>
          <w:rFonts w:ascii="宋体" w:hAnsi="宋体" w:cs="宋体" w:eastAsia="宋体" w:hint="default"/>
          <w:b/>
          <w:bCs/>
          <w:w w:val="99"/>
          <w:sz w:val="28"/>
          <w:szCs w:val="28"/>
        </w:rPr>
        <w:t>本公</w:t>
      </w:r>
      <w:r>
        <w:rPr>
          <w:rFonts w:ascii="宋体" w:hAnsi="宋体" w:cs="宋体" w:eastAsia="宋体" w:hint="default"/>
          <w:sz w:val="28"/>
          <w:szCs w:val="28"/>
        </w:rPr>
      </w:r>
    </w:p>
    <w:p>
      <w:pPr>
        <w:spacing w:before="236"/>
        <w:ind w:left="113" w:right="0" w:firstLine="0"/>
        <w:jc w:val="both"/>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68"/>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股转增</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headerReference w:type="default" r:id="rId8"/>
          <w:pgSz w:w="11910" w:h="16840"/>
          <w:pgMar w:header="906" w:footer="1022" w:top="1100" w:bottom="122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7"/>
          <w:szCs w:val="27"/>
        </w:rPr>
      </w:pPr>
    </w:p>
    <w:p>
      <w:pPr>
        <w:spacing w:line="460" w:lineRule="exact" w:before="0"/>
        <w:ind w:left="818" w:right="1832" w:firstLine="0"/>
        <w:jc w:val="center"/>
        <w:rPr>
          <w:rFonts w:ascii="宋体" w:hAnsi="宋体" w:cs="宋体" w:eastAsia="宋体" w:hint="default"/>
          <w:sz w:val="36"/>
          <w:szCs w:val="36"/>
        </w:rPr>
      </w:pPr>
      <w:r>
        <w:rPr>
          <w:rFonts w:ascii="宋体" w:hAnsi="宋体" w:cs="宋体" w:eastAsia="宋体" w:hint="default"/>
          <w:b/>
          <w:bCs/>
          <w:spacing w:val="4"/>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45"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
              </w:rPr>
              <w:t> </w:t>
            </w:r>
            <w:r>
              <w:rPr/>
              <w:t>重要提示、目录和释义</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45"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45" w:val="right" w:leader="dot"/>
            </w:tabs>
            <w:spacing w:line="240" w:lineRule="auto" w:before="158"/>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17</w:t>
            </w:r>
            <w:r>
              <w:rPr>
                <w:rFonts w:ascii="Times New Roman" w:hAnsi="Times New Roman" w:cs="Times New Roman" w:eastAsia="Times New Roman" w:hint="default"/>
                <w:b w:val="0"/>
                <w:bCs w:val="0"/>
              </w:rPr>
            </w:r>
          </w:hyperlink>
        </w:p>
        <w:p>
          <w:pPr>
            <w:pStyle w:val="TOC1"/>
            <w:tabs>
              <w:tab w:pos="9745"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2"/>
              </w:rPr>
              <w:t> </w:t>
            </w:r>
            <w:r>
              <w:rPr/>
              <w:t>经营情况讨论与分析</w:t>
            </w:r>
            <w:r>
              <w:rPr>
                <w:rFonts w:ascii="Times New Roman" w:hAnsi="Times New Roman" w:cs="Times New Roman" w:eastAsia="Times New Roman" w:hint="default"/>
              </w:rPr>
              <w:tab/>
              <w:t>38</w:t>
            </w:r>
            <w:r>
              <w:rPr>
                <w:rFonts w:ascii="Times New Roman" w:hAnsi="Times New Roman" w:cs="Times New Roman" w:eastAsia="Times New Roman" w:hint="default"/>
                <w:b w:val="0"/>
                <w:bCs w:val="0"/>
              </w:rPr>
            </w:r>
          </w:hyperlink>
        </w:p>
        <w:p>
          <w:pPr>
            <w:pStyle w:val="TOC1"/>
            <w:tabs>
              <w:tab w:pos="974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4">
            <w:r>
              <w:rPr/>
              <w:t>第五节</w:t>
            </w:r>
            <w:r>
              <w:rPr>
                <w:spacing w:val="-2"/>
              </w:rPr>
              <w:t> </w:t>
            </w:r>
            <w:r>
              <w:rPr/>
              <w:t>重要事项</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45"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2"/>
              </w:rPr>
              <w:t> </w:t>
            </w:r>
            <w:r>
              <w:rPr/>
              <w:t>股份变动及股东情况</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974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5">
            <w:r>
              <w:rPr/>
              <w:t>第七节</w:t>
            </w:r>
            <w:r>
              <w:rPr>
                <w:spacing w:val="-2"/>
              </w:rPr>
              <w:t> </w:t>
            </w:r>
            <w:r>
              <w:rPr/>
              <w:t>优先股相关情况</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9745"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第八节</w:t>
            </w:r>
            <w:r>
              <w:rPr>
                <w:spacing w:val="-1"/>
              </w:rPr>
              <w:t> </w:t>
            </w:r>
            <w:r>
              <w:rPr/>
              <w:t>可转换公司债券相关情况</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974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6">
            <w:r>
              <w:rPr/>
              <w:t>第九节</w:t>
            </w:r>
            <w:r>
              <w:rPr>
                <w:spacing w:val="-2"/>
              </w:rPr>
              <w:t> </w:t>
            </w:r>
            <w:r>
              <w:rPr/>
              <w:t>董事、监事、高级管理人员和员工情况</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45"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第十节</w:t>
            </w:r>
            <w:r>
              <w:rPr>
                <w:spacing w:val="-2"/>
              </w:rPr>
              <w:t> </w:t>
            </w:r>
            <w:r>
              <w:rPr/>
              <w:t>公司治理</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pStyle w:val="TOC1"/>
            <w:tabs>
              <w:tab w:pos="974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8">
            <w:r>
              <w:rPr/>
              <w:t>第十一节</w:t>
            </w:r>
            <w:r>
              <w:rPr>
                <w:spacing w:val="-2"/>
              </w:rPr>
              <w:t> </w:t>
            </w:r>
            <w:r>
              <w:rPr/>
              <w:t>公司债券相关情况</w:t>
            </w:r>
            <w:r>
              <w:rPr>
                <w:rFonts w:ascii="Times New Roman" w:hAnsi="Times New Roman" w:cs="Times New Roman" w:eastAsia="Times New Roman" w:hint="default"/>
              </w:rPr>
              <w:tab/>
              <w:t>82</w:t>
            </w:r>
            <w:r>
              <w:rPr>
                <w:rFonts w:ascii="Times New Roman" w:hAnsi="Times New Roman" w:cs="Times New Roman" w:eastAsia="Times New Roman" w:hint="default"/>
                <w:b w:val="0"/>
                <w:bCs w:val="0"/>
              </w:rPr>
            </w:r>
          </w:hyperlink>
        </w:p>
        <w:p>
          <w:pPr>
            <w:pStyle w:val="TOC1"/>
            <w:tabs>
              <w:tab w:pos="9745"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第十二节</w:t>
            </w:r>
            <w:r>
              <w:rPr>
                <w:spacing w:val="-1"/>
              </w:rPr>
              <w:t> </w:t>
            </w:r>
            <w:r>
              <w:rPr/>
              <w:t>财务报告</w:t>
            </w:r>
            <w:r>
              <w:rPr>
                <w:rFonts w:ascii="Times New Roman" w:hAnsi="Times New Roman" w:cs="Times New Roman" w:eastAsia="Times New Roman" w:hint="default"/>
              </w:rPr>
              <w:tab/>
              <w:t>89</w:t>
            </w:r>
            <w:r>
              <w:rPr>
                <w:rFonts w:ascii="Times New Roman" w:hAnsi="Times New Roman" w:cs="Times New Roman" w:eastAsia="Times New Roman" w:hint="default"/>
                <w:b w:val="0"/>
                <w:bCs w:val="0"/>
              </w:rPr>
            </w:r>
          </w:hyperlink>
        </w:p>
        <w:p>
          <w:pPr>
            <w:pStyle w:val="TOC1"/>
            <w:tabs>
              <w:tab w:pos="974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10">
            <w:r>
              <w:rPr/>
              <w:t>第十三节</w:t>
            </w:r>
            <w:r>
              <w:rPr>
                <w:spacing w:val="-2"/>
              </w:rPr>
              <w:t> </w:t>
            </w:r>
            <w:r>
              <w:rPr/>
              <w:t>备查文件目录</w:t>
            </w:r>
            <w:r>
              <w:rPr>
                <w:rFonts w:ascii="Times New Roman" w:hAnsi="Times New Roman" w:cs="Times New Roman" w:eastAsia="Times New Roman" w:hint="default"/>
              </w:rPr>
              <w:tab/>
              <w:t>90</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906" w:footer="1022" w:top="1100" w:bottom="1220" w:left="1020" w:right="0"/>
        </w:sectPr>
      </w:pPr>
    </w:p>
    <w:p>
      <w:pPr>
        <w:spacing w:before="910"/>
        <w:ind w:left="818" w:right="183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tbl>
      <w:tblPr>
        <w:tblW w:w="0" w:type="auto"/>
        <w:jc w:val="left"/>
        <w:tblInd w:w="108" w:type="dxa"/>
        <w:tblLayout w:type="fixed"/>
        <w:tblCellMar>
          <w:top w:w="0" w:type="dxa"/>
          <w:left w:w="0" w:type="dxa"/>
          <w:bottom w:w="0" w:type="dxa"/>
          <w:right w:w="0" w:type="dxa"/>
        </w:tblCellMar>
        <w:tblLook w:val="01E0"/>
      </w:tblPr>
      <w:tblGrid>
        <w:gridCol w:w="3525"/>
        <w:gridCol w:w="624"/>
        <w:gridCol w:w="5426"/>
      </w:tblGrid>
      <w:tr>
        <w:trPr>
          <w:trHeight w:val="398"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公司、天源迪科</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pacing w:val="-3"/>
                <w:sz w:val="18"/>
                <w:szCs w:val="18"/>
              </w:rPr>
              <w:t>深圳天源迪科信息技术股份有限公司</w:t>
            </w:r>
          </w:p>
        </w:tc>
      </w:tr>
      <w:tr>
        <w:trPr>
          <w:trHeight w:val="39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上海天源迪科</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pacing w:val="-3"/>
                <w:sz w:val="18"/>
                <w:szCs w:val="18"/>
              </w:rPr>
              <w:t>上海天源迪科信息技术有限公司，全资子公司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合肥天源迪科</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合肥天源迪科信息技术有限公司，全资子公司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北京天源迪科</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北京天源迪科信息技术有限公司，全资子公司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武汉天源迪科</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武汉天源迪科信息技术有限公司，全资子公司</w:t>
            </w:r>
          </w:p>
        </w:tc>
      </w:tr>
      <w:tr>
        <w:trPr>
          <w:trHeight w:val="39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广州天源迪科</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pacing w:val="-3"/>
                <w:sz w:val="18"/>
                <w:szCs w:val="18"/>
              </w:rPr>
              <w:t>广州天源迪科信息技术有限公司，全资子公司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天源迪科网络科技</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北京天源迪科网络科技有限公司，全资子公司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迪科云起</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北京迪科云起科技有限公司，持股</w:t>
            </w:r>
            <w:r>
              <w:rPr>
                <w:rFonts w:ascii="宋体" w:hAnsi="宋体" w:cs="宋体" w:eastAsia="宋体" w:hint="default"/>
                <w:spacing w:val="-24"/>
                <w:sz w:val="18"/>
                <w:szCs w:val="18"/>
              </w:rPr>
              <w:t> </w:t>
            </w:r>
            <w:r>
              <w:rPr>
                <w:rFonts w:ascii="Times New Roman" w:hAnsi="Times New Roman" w:cs="Times New Roman" w:eastAsia="Times New Roman" w:hint="default"/>
                <w:spacing w:val="-3"/>
                <w:sz w:val="18"/>
                <w:szCs w:val="18"/>
              </w:rPr>
              <w:t>70%</w:t>
            </w:r>
            <w:r>
              <w:rPr>
                <w:rFonts w:ascii="宋体" w:hAnsi="宋体" w:cs="宋体" w:eastAsia="宋体" w:hint="default"/>
                <w:spacing w:val="-3"/>
                <w:sz w:val="18"/>
                <w:szCs w:val="18"/>
              </w:rPr>
              <w:t>的子公司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维恩贝特</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维恩贝特科技有限公司，持股</w:t>
            </w:r>
            <w:r>
              <w:rPr>
                <w:rFonts w:ascii="宋体" w:hAnsi="宋体" w:cs="宋体" w:eastAsia="宋体" w:hint="default"/>
                <w:spacing w:val="-15"/>
                <w:sz w:val="18"/>
                <w:szCs w:val="18"/>
              </w:rPr>
              <w:t> </w:t>
            </w:r>
            <w:r>
              <w:rPr>
                <w:rFonts w:ascii="Times New Roman" w:hAnsi="Times New Roman" w:cs="Times New Roman" w:eastAsia="Times New Roman" w:hint="default"/>
                <w:spacing w:val="-3"/>
                <w:sz w:val="18"/>
                <w:szCs w:val="18"/>
              </w:rPr>
              <w:t>99.96%</w:t>
            </w:r>
            <w:r>
              <w:rPr>
                <w:rFonts w:ascii="宋体" w:hAnsi="宋体" w:cs="宋体" w:eastAsia="宋体" w:hint="default"/>
                <w:spacing w:val="-3"/>
                <w:sz w:val="18"/>
                <w:szCs w:val="18"/>
              </w:rPr>
              <w:t>的子公司</w:t>
            </w:r>
          </w:p>
        </w:tc>
      </w:tr>
      <w:tr>
        <w:trPr>
          <w:trHeight w:val="39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澳门维恩贝特</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澳门维恩贝特信息技术有限公司，维恩贝特持股</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99%</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上海维恩贝特</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上海维恩贝特信息技术有限公司，维恩贝特持股</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51%</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香港维恩贝特</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维恩贝特科技（香港）有限公司，维恩贝特持股</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100%</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广州易杰</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广州市易杰数码科技有限公司，全资子公司</w:t>
            </w:r>
          </w:p>
        </w:tc>
      </w:tr>
      <w:tr>
        <w:trPr>
          <w:trHeight w:val="39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广州易星</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广州易星信息科技有限公司，持股</w:t>
            </w:r>
            <w:r>
              <w:rPr>
                <w:rFonts w:ascii="宋体" w:hAnsi="宋体" w:cs="宋体" w:eastAsia="宋体" w:hint="default"/>
                <w:spacing w:val="-15"/>
                <w:sz w:val="18"/>
                <w:szCs w:val="18"/>
              </w:rPr>
              <w:t> </w:t>
            </w:r>
            <w:r>
              <w:rPr>
                <w:rFonts w:ascii="Times New Roman" w:hAnsi="Times New Roman" w:cs="Times New Roman" w:eastAsia="Times New Roman" w:hint="default"/>
                <w:spacing w:val="-3"/>
                <w:sz w:val="18"/>
                <w:szCs w:val="18"/>
              </w:rPr>
              <w:t>77.35%</w:t>
            </w:r>
            <w:r>
              <w:rPr>
                <w:rFonts w:ascii="宋体" w:hAnsi="宋体" w:cs="宋体" w:eastAsia="宋体" w:hint="default"/>
                <w:spacing w:val="-3"/>
                <w:sz w:val="18"/>
                <w:szCs w:val="18"/>
              </w:rPr>
              <w:t>的子公司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金华威</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深圳市金华威数码科技有限公司，持股</w:t>
            </w:r>
            <w:r>
              <w:rPr>
                <w:rFonts w:ascii="宋体" w:hAnsi="宋体" w:cs="宋体" w:eastAsia="宋体" w:hint="default"/>
                <w:spacing w:val="26"/>
                <w:sz w:val="18"/>
                <w:szCs w:val="18"/>
              </w:rPr>
              <w:t> </w:t>
            </w:r>
            <w:r>
              <w:rPr>
                <w:rFonts w:ascii="Times New Roman" w:hAnsi="Times New Roman" w:cs="Times New Roman" w:eastAsia="Times New Roman" w:hint="default"/>
                <w:spacing w:val="-3"/>
                <w:sz w:val="18"/>
                <w:szCs w:val="18"/>
              </w:rPr>
              <w:t>55%</w:t>
            </w:r>
            <w:r>
              <w:rPr>
                <w:rFonts w:ascii="宋体" w:hAnsi="宋体" w:cs="宋体" w:eastAsia="宋体" w:hint="default"/>
                <w:spacing w:val="-3"/>
                <w:sz w:val="18"/>
                <w:szCs w:val="18"/>
              </w:rPr>
              <w:t>的子公司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广西驿途</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广西驿途信息科技有限公司，持股</w:t>
            </w:r>
            <w:r>
              <w:rPr>
                <w:rFonts w:ascii="宋体" w:hAnsi="宋体" w:cs="宋体" w:eastAsia="宋体" w:hint="default"/>
                <w:spacing w:val="-24"/>
                <w:sz w:val="18"/>
                <w:szCs w:val="18"/>
              </w:rPr>
              <w:t> </w:t>
            </w:r>
            <w:r>
              <w:rPr>
                <w:rFonts w:ascii="Times New Roman" w:hAnsi="Times New Roman" w:cs="Times New Roman" w:eastAsia="Times New Roman" w:hint="default"/>
                <w:spacing w:val="-3"/>
                <w:sz w:val="18"/>
                <w:szCs w:val="18"/>
              </w:rPr>
              <w:t>51%</w:t>
            </w:r>
            <w:r>
              <w:rPr>
                <w:rFonts w:ascii="宋体" w:hAnsi="宋体" w:cs="宋体" w:eastAsia="宋体" w:hint="default"/>
                <w:spacing w:val="-3"/>
                <w:sz w:val="18"/>
                <w:szCs w:val="18"/>
              </w:rPr>
              <w:t>的子公司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合肥英泽</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合肥英泽信息科技有限公司，持股</w:t>
            </w:r>
            <w:r>
              <w:rPr>
                <w:rFonts w:ascii="宋体" w:hAnsi="宋体" w:cs="宋体" w:eastAsia="宋体" w:hint="default"/>
                <w:spacing w:val="-24"/>
                <w:sz w:val="18"/>
                <w:szCs w:val="18"/>
              </w:rPr>
              <w:t> </w:t>
            </w:r>
            <w:r>
              <w:rPr>
                <w:rFonts w:ascii="Times New Roman" w:hAnsi="Times New Roman" w:cs="Times New Roman" w:eastAsia="Times New Roman" w:hint="default"/>
                <w:spacing w:val="-3"/>
                <w:sz w:val="18"/>
                <w:szCs w:val="18"/>
              </w:rPr>
              <w:t>88%</w:t>
            </w:r>
            <w:r>
              <w:rPr>
                <w:rFonts w:ascii="宋体" w:hAnsi="宋体" w:cs="宋体" w:eastAsia="宋体" w:hint="default"/>
                <w:spacing w:val="-3"/>
                <w:sz w:val="18"/>
                <w:szCs w:val="18"/>
              </w:rPr>
              <w:t>的子公司</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合肥科技产业</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合肥天源迪科科技产业发展有限公司，合肥天源迪科持股</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100%</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安徽迪科数金</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安徽迪科数金科技有限公司，合肥天源迪科持股</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84%</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宝贝团</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深圳市宝贝团信息技术有限公司，持股</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55.40%</w:t>
            </w:r>
            <w:r>
              <w:rPr>
                <w:rFonts w:ascii="宋体" w:hAnsi="宋体" w:cs="宋体" w:eastAsia="宋体" w:hint="default"/>
                <w:spacing w:val="-3"/>
                <w:sz w:val="18"/>
                <w:szCs w:val="18"/>
              </w:rPr>
              <w:t>的子公司</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天源股份</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0" w:right="99"/>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广州天源信息科技股份有限公司，持股 </w:t>
            </w:r>
            <w:r>
              <w:rPr>
                <w:rFonts w:ascii="Times New Roman" w:hAnsi="Times New Roman" w:cs="Times New Roman" w:eastAsia="Times New Roman" w:hint="default"/>
                <w:spacing w:val="-5"/>
                <w:sz w:val="18"/>
                <w:szCs w:val="18"/>
              </w:rPr>
              <w:t>31.83%</w:t>
            </w:r>
            <w:r>
              <w:rPr>
                <w:rFonts w:ascii="宋体" w:hAnsi="宋体" w:cs="宋体" w:eastAsia="宋体" w:hint="default"/>
                <w:spacing w:val="-5"/>
                <w:sz w:val="18"/>
                <w:szCs w:val="18"/>
              </w:rPr>
              <w:t>的子公司，新三板代</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码：</w:t>
            </w:r>
            <w:r>
              <w:rPr>
                <w:rFonts w:ascii="Times New Roman" w:hAnsi="Times New Roman" w:cs="Times New Roman" w:eastAsia="Times New Roman" w:hint="default"/>
                <w:sz w:val="18"/>
                <w:szCs w:val="18"/>
              </w:rPr>
              <w:t>872811</w:t>
            </w:r>
          </w:p>
        </w:tc>
      </w:tr>
      <w:tr>
        <w:trPr>
          <w:trHeight w:val="39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深圳汇巨</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pacing w:val="-3"/>
                <w:sz w:val="18"/>
                <w:szCs w:val="18"/>
              </w:rPr>
              <w:t>深圳市汇巨信息技术有限公司，持股</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的子公司</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信邦科技</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100" w:right="99"/>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北京信邦安达信息科技股份有限公司，持股 </w:t>
            </w:r>
            <w:r>
              <w:rPr>
                <w:rFonts w:ascii="Times New Roman" w:hAnsi="Times New Roman" w:cs="Times New Roman" w:eastAsia="Times New Roman" w:hint="default"/>
                <w:spacing w:val="-5"/>
                <w:sz w:val="18"/>
                <w:szCs w:val="18"/>
              </w:rPr>
              <w:t>24.23%</w:t>
            </w:r>
            <w:r>
              <w:rPr>
                <w:rFonts w:ascii="宋体" w:hAnsi="宋体" w:cs="宋体" w:eastAsia="宋体" w:hint="default"/>
                <w:spacing w:val="-5"/>
                <w:sz w:val="18"/>
                <w:szCs w:val="18"/>
              </w:rPr>
              <w:t>的子公司，新三</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板代码：</w:t>
            </w:r>
            <w:r>
              <w:rPr>
                <w:rFonts w:ascii="Times New Roman" w:hAnsi="Times New Roman" w:cs="Times New Roman" w:eastAsia="Times New Roman" w:hint="default"/>
                <w:sz w:val="18"/>
                <w:szCs w:val="18"/>
              </w:rPr>
              <w:t>839513</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中国电信</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中国电信集团公司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中国联通</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中国联合网络通信集团有限公司</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中国移动</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中国移动通信集团公司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阿里云</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pacing w:val="-5"/>
                <w:sz w:val="18"/>
                <w:szCs w:val="18"/>
              </w:rPr>
              <w:t>阿里云（</w:t>
            </w:r>
            <w:hyperlink r:id="rId9">
              <w:r>
                <w:rPr>
                  <w:rFonts w:ascii="Times New Roman" w:hAnsi="Times New Roman" w:cs="Times New Roman" w:eastAsia="Times New Roman" w:hint="default"/>
                  <w:spacing w:val="-5"/>
                  <w:sz w:val="18"/>
                  <w:szCs w:val="18"/>
                </w:rPr>
                <w:t>www.aliyun.com</w:t>
              </w:r>
            </w:hyperlink>
            <w:r>
              <w:rPr>
                <w:rFonts w:ascii="宋体" w:hAnsi="宋体" w:cs="宋体" w:eastAsia="宋体" w:hint="default"/>
                <w:spacing w:val="-5"/>
                <w:sz w:val="18"/>
                <w:szCs w:val="18"/>
              </w:rPr>
              <w:t>）创立于 </w:t>
            </w:r>
            <w:r>
              <w:rPr>
                <w:rFonts w:ascii="Times New Roman" w:hAnsi="Times New Roman" w:cs="Times New Roman" w:eastAsia="Times New Roman" w:hint="default"/>
                <w:sz w:val="18"/>
                <w:szCs w:val="18"/>
              </w:rPr>
              <w:t>2009  </w:t>
            </w:r>
            <w:r>
              <w:rPr>
                <w:rFonts w:ascii="宋体" w:hAnsi="宋体" w:cs="宋体" w:eastAsia="宋体" w:hint="default"/>
                <w:spacing w:val="-5"/>
                <w:sz w:val="18"/>
                <w:szCs w:val="18"/>
              </w:rPr>
              <w:t>年，是全球领先的云计算及</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525"/>
        <w:gridCol w:w="624"/>
        <w:gridCol w:w="5426"/>
      </w:tblGrid>
      <w:tr>
        <w:trPr>
          <w:trHeight w:val="672"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0"/>
              <w:ind w:left="100" w:right="99"/>
              <w:jc w:val="left"/>
              <w:rPr>
                <w:rFonts w:ascii="宋体" w:hAnsi="宋体" w:cs="宋体" w:eastAsia="宋体" w:hint="default"/>
                <w:sz w:val="18"/>
                <w:szCs w:val="18"/>
              </w:rPr>
            </w:pPr>
            <w:r>
              <w:rPr>
                <w:rFonts w:ascii="宋体" w:hAnsi="宋体" w:cs="宋体" w:eastAsia="宋体" w:hint="default"/>
                <w:spacing w:val="-3"/>
                <w:sz w:val="18"/>
                <w:szCs w:val="18"/>
              </w:rPr>
              <w:t>人工智能科技公司，为 </w:t>
            </w:r>
            <w:r>
              <w:rPr>
                <w:rFonts w:ascii="Times New Roman" w:hAnsi="Times New Roman" w:cs="Times New Roman" w:eastAsia="Times New Roman" w:hint="default"/>
                <w:sz w:val="18"/>
                <w:szCs w:val="18"/>
              </w:rPr>
              <w:t>200 </w:t>
            </w:r>
            <w:r>
              <w:rPr>
                <w:rFonts w:ascii="宋体" w:hAnsi="宋体" w:cs="宋体" w:eastAsia="宋体" w:hint="default"/>
                <w:spacing w:val="-3"/>
                <w:sz w:val="18"/>
                <w:szCs w:val="18"/>
              </w:rPr>
              <w:t>多个国家和地区的企业、开发者和政府</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机构提供服务</w:t>
            </w:r>
          </w:p>
        </w:tc>
      </w:tr>
      <w:tr>
        <w:trPr>
          <w:trHeight w:val="102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华为云</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00" w:right="12"/>
              <w:jc w:val="left"/>
              <w:rPr>
                <w:rFonts w:ascii="宋体" w:hAnsi="宋体" w:cs="宋体" w:eastAsia="宋体" w:hint="default"/>
                <w:sz w:val="18"/>
                <w:szCs w:val="18"/>
              </w:rPr>
            </w:pPr>
            <w:r>
              <w:rPr>
                <w:rFonts w:ascii="宋体" w:hAnsi="宋体" w:cs="宋体" w:eastAsia="宋体" w:hint="default"/>
                <w:spacing w:val="-3"/>
                <w:sz w:val="18"/>
                <w:szCs w:val="18"/>
              </w:rPr>
              <w:t>华为云是华为公有云品牌，致力于提供专业的公有云服务，提供弹</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性云服务器、对象存储服务、软件开发云等云计算服务，以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可信、</w:t>
            </w:r>
            <w:r>
              <w:rPr>
                <w:rFonts w:ascii="宋体" w:hAnsi="宋体" w:cs="宋体" w:eastAsia="宋体" w:hint="default"/>
                <w:spacing w:val="3"/>
                <w:sz w:val="18"/>
                <w:szCs w:val="18"/>
              </w:rPr>
              <w:t> </w:t>
            </w:r>
            <w:r>
              <w:rPr>
                <w:rFonts w:ascii="宋体" w:hAnsi="宋体" w:cs="宋体" w:eastAsia="宋体" w:hint="default"/>
                <w:spacing w:val="-3"/>
                <w:sz w:val="18"/>
                <w:szCs w:val="18"/>
              </w:rPr>
              <w:t>开放、全球服务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三大核心优势服务全球用户</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产业云</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BOSS</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00" w:right="165"/>
              <w:jc w:val="left"/>
              <w:rPr>
                <w:rFonts w:ascii="宋体" w:hAnsi="宋体" w:cs="宋体" w:eastAsia="宋体" w:hint="default"/>
                <w:sz w:val="18"/>
                <w:szCs w:val="18"/>
              </w:rPr>
            </w:pPr>
            <w:r>
              <w:rPr>
                <w:rFonts w:ascii="宋体" w:hAnsi="宋体" w:cs="宋体" w:eastAsia="宋体" w:hint="default"/>
                <w:spacing w:val="-3"/>
                <w:sz w:val="18"/>
                <w:szCs w:val="18"/>
              </w:rPr>
              <w:t>基于云端的运营支撑软件项目，是针对现在互联网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的浪潮以及云</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计算的发展，以自有知识产权的技术和部分分布式开源技术为基</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础，打造一个以行业服务为核心的的云计算平台</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5G</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pacing w:val="-3"/>
                <w:sz w:val="18"/>
                <w:szCs w:val="18"/>
              </w:rPr>
              <w:t>五代移动通信网络，标志着网络社会的到来</w:t>
            </w:r>
          </w:p>
        </w:tc>
      </w:tr>
      <w:tr>
        <w:trPr>
          <w:trHeight w:val="71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0" w:right="99"/>
              <w:jc w:val="left"/>
              <w:rPr>
                <w:rFonts w:ascii="宋体" w:hAnsi="宋体" w:cs="宋体" w:eastAsia="宋体" w:hint="default"/>
                <w:sz w:val="18"/>
                <w:szCs w:val="18"/>
              </w:rPr>
            </w:pPr>
            <w:r>
              <w:rPr>
                <w:rFonts w:ascii="宋体" w:hAnsi="宋体" w:cs="宋体" w:eastAsia="宋体" w:hint="default"/>
                <w:spacing w:val="-3"/>
                <w:sz w:val="18"/>
                <w:szCs w:val="18"/>
              </w:rPr>
              <w:t>即海量数据，是指需要新处理模式才能具有更强的决策力、洞察发</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现力和流程优化能力的海量、高增长率和多样化的信息资产</w:t>
            </w:r>
          </w:p>
        </w:tc>
      </w:tr>
      <w:tr>
        <w:trPr>
          <w:trHeight w:val="71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0" w:right="99"/>
              <w:jc w:val="left"/>
              <w:rPr>
                <w:rFonts w:ascii="宋体" w:hAnsi="宋体" w:cs="宋体" w:eastAsia="宋体" w:hint="default"/>
                <w:sz w:val="18"/>
                <w:szCs w:val="18"/>
              </w:rPr>
            </w:pPr>
            <w:r>
              <w:rPr>
                <w:rFonts w:ascii="宋体" w:hAnsi="宋体" w:cs="宋体" w:eastAsia="宋体" w:hint="default"/>
                <w:spacing w:val="-3"/>
                <w:sz w:val="18"/>
                <w:szCs w:val="18"/>
              </w:rPr>
              <w:t>基于互联网的相关服务的增加、使用和交付模式，通常涉及通过互</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联网来提供动态易扩展且经常是虚拟化的资源</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人工智能</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100"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Artificial </w:t>
            </w:r>
            <w:r>
              <w:rPr>
                <w:rFonts w:ascii="Times New Roman" w:hAnsi="Times New Roman" w:cs="Times New Roman" w:eastAsia="Times New Roman" w:hint="default"/>
                <w:spacing w:val="-3"/>
                <w:sz w:val="18"/>
                <w:szCs w:val="18"/>
              </w:rPr>
              <w:t>Intelligence</w:t>
            </w:r>
            <w:r>
              <w:rPr>
                <w:rFonts w:ascii="宋体" w:hAnsi="宋体" w:cs="宋体" w:eastAsia="宋体" w:hint="default"/>
                <w:spacing w:val="-3"/>
                <w:sz w:val="18"/>
                <w:szCs w:val="18"/>
              </w:rPr>
              <w:t>，用机器来模拟和执行人脑的某些智力功能，</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并开发相关理论和技术</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pacing w:val="-2"/>
                <w:sz w:val="18"/>
              </w:rPr>
              <w:t>CRM</w:t>
            </w:r>
            <w:r>
              <w:rPr>
                <w:rFonts w:ascii="Times New Roman"/>
                <w:sz w:val="18"/>
              </w:rPr>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Customer</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Relationship</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pacing w:val="-2"/>
                <w:sz w:val="18"/>
                <w:szCs w:val="18"/>
              </w:rPr>
              <w:t>Management</w:t>
            </w:r>
            <w:r>
              <w:rPr>
                <w:rFonts w:ascii="宋体" w:hAnsi="宋体" w:cs="宋体" w:eastAsia="宋体" w:hint="default"/>
                <w:spacing w:val="-2"/>
                <w:sz w:val="18"/>
                <w:szCs w:val="18"/>
              </w:rPr>
              <w:t>，客户关系管理的简称</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BSS</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Basic Service</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
                <w:sz w:val="18"/>
                <w:szCs w:val="18"/>
              </w:rPr>
              <w:t>Set</w:t>
            </w:r>
            <w:r>
              <w:rPr>
                <w:rFonts w:ascii="宋体" w:hAnsi="宋体" w:cs="宋体" w:eastAsia="宋体" w:hint="default"/>
                <w:spacing w:val="-3"/>
                <w:sz w:val="18"/>
                <w:szCs w:val="18"/>
              </w:rPr>
              <w:t>，基本服务集运营支持系统</w:t>
            </w:r>
          </w:p>
        </w:tc>
      </w:tr>
      <w:tr>
        <w:trPr>
          <w:trHeight w:val="71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BOSS</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4"/>
              <w:ind w:left="100" w:right="99"/>
              <w:jc w:val="left"/>
              <w:rPr>
                <w:rFonts w:ascii="宋体" w:hAnsi="宋体" w:cs="宋体" w:eastAsia="宋体" w:hint="default"/>
                <w:sz w:val="18"/>
                <w:szCs w:val="18"/>
              </w:rPr>
            </w:pPr>
            <w:r>
              <w:rPr>
                <w:rFonts w:ascii="宋体" w:hAnsi="宋体" w:cs="宋体" w:eastAsia="宋体" w:hint="default"/>
                <w:spacing w:val="-6"/>
                <w:w w:val="101"/>
                <w:sz w:val="18"/>
                <w:szCs w:val="18"/>
              </w:rPr>
              <w:t>融合了业务支撑系统（</w:t>
            </w:r>
            <w:r>
              <w:rPr>
                <w:rFonts w:ascii="Times New Roman" w:hAnsi="Times New Roman" w:cs="Times New Roman" w:eastAsia="Times New Roman" w:hint="default"/>
                <w:spacing w:val="-6"/>
                <w:w w:val="101"/>
                <w:sz w:val="18"/>
                <w:szCs w:val="18"/>
              </w:rPr>
              <w:t>BSS</w:t>
            </w:r>
            <w:r>
              <w:rPr>
                <w:rFonts w:ascii="宋体" w:hAnsi="宋体" w:cs="宋体" w:eastAsia="宋体" w:hint="default"/>
                <w:spacing w:val="-6"/>
                <w:w w:val="101"/>
                <w:sz w:val="18"/>
                <w:szCs w:val="18"/>
              </w:rPr>
              <w:t>）与运营支撑系统（</w:t>
            </w:r>
            <w:r>
              <w:rPr>
                <w:rFonts w:ascii="Times New Roman" w:hAnsi="Times New Roman" w:cs="Times New Roman" w:eastAsia="Times New Roman" w:hint="default"/>
                <w:spacing w:val="-6"/>
                <w:w w:val="101"/>
                <w:sz w:val="18"/>
                <w:szCs w:val="18"/>
              </w:rPr>
              <w:t>OSS</w:t>
            </w:r>
            <w:r>
              <w:rPr>
                <w:rFonts w:ascii="宋体" w:hAnsi="宋体" w:cs="宋体" w:eastAsia="宋体" w:hint="default"/>
                <w:spacing w:val="-6"/>
                <w:w w:val="101"/>
                <w:sz w:val="18"/>
                <w:szCs w:val="18"/>
              </w:rPr>
              <w:t>），是一个综合</w:t>
            </w:r>
            <w:r>
              <w:rPr>
                <w:rFonts w:ascii="宋体" w:hAnsi="宋体" w:cs="宋体" w:eastAsia="宋体" w:hint="default"/>
                <w:w w:val="101"/>
                <w:sz w:val="18"/>
                <w:szCs w:val="18"/>
              </w:rPr>
              <w:t> </w:t>
            </w:r>
            <w:r>
              <w:rPr>
                <w:rFonts w:ascii="宋体" w:hAnsi="宋体" w:cs="宋体" w:eastAsia="宋体" w:hint="default"/>
                <w:sz w:val="18"/>
                <w:szCs w:val="18"/>
              </w:rPr>
              <w:t>的业务运营和管理平台</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SaaS</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100" w:right="99"/>
              <w:jc w:val="left"/>
              <w:rPr>
                <w:rFonts w:ascii="宋体" w:hAnsi="宋体" w:cs="宋体" w:eastAsia="宋体" w:hint="default"/>
                <w:sz w:val="18"/>
                <w:szCs w:val="18"/>
              </w:rPr>
            </w:pPr>
            <w:r>
              <w:rPr>
                <w:rFonts w:ascii="宋体" w:hAnsi="宋体" w:cs="宋体" w:eastAsia="宋体" w:hint="default"/>
                <w:spacing w:val="-6"/>
                <w:sz w:val="18"/>
                <w:szCs w:val="18"/>
              </w:rPr>
              <w:t>软件即服务（</w:t>
            </w:r>
            <w:r>
              <w:rPr>
                <w:rFonts w:ascii="Times New Roman" w:hAnsi="Times New Roman" w:cs="Times New Roman" w:eastAsia="Times New Roman" w:hint="default"/>
                <w:spacing w:val="-6"/>
                <w:sz w:val="18"/>
                <w:szCs w:val="18"/>
              </w:rPr>
              <w:t>Software</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pacing w:val="-3"/>
                <w:sz w:val="18"/>
                <w:szCs w:val="18"/>
              </w:rPr>
              <w:t>as</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Service),</w:t>
            </w:r>
            <w:r>
              <w:rPr>
                <w:rFonts w:ascii="宋体" w:hAnsi="宋体" w:cs="宋体" w:eastAsia="宋体" w:hint="default"/>
                <w:sz w:val="18"/>
                <w:szCs w:val="18"/>
              </w:rPr>
              <w:t>是一种基于互联网提供软件服务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的应用模式</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pacing w:val="-2"/>
                <w:sz w:val="18"/>
              </w:rPr>
              <w:t>RCS</w:t>
            </w:r>
            <w:r>
              <w:rPr>
                <w:rFonts w:ascii="Times New Roman"/>
                <w:sz w:val="18"/>
              </w:rPr>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丰富的多媒体通信服务</w:t>
            </w:r>
          </w:p>
        </w:tc>
      </w:tr>
      <w:tr>
        <w:trPr>
          <w:trHeight w:val="71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pacing w:val="-4"/>
                <w:sz w:val="18"/>
              </w:rPr>
              <w:t>ICT</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0" w:right="99"/>
              <w:jc w:val="left"/>
              <w:rPr>
                <w:rFonts w:ascii="宋体" w:hAnsi="宋体" w:cs="宋体" w:eastAsia="宋体" w:hint="default"/>
                <w:sz w:val="18"/>
                <w:szCs w:val="18"/>
              </w:rPr>
            </w:pPr>
            <w:r>
              <w:rPr>
                <w:rFonts w:ascii="宋体" w:hAnsi="宋体" w:cs="宋体" w:eastAsia="宋体" w:hint="default"/>
                <w:spacing w:val="-3"/>
                <w:sz w:val="18"/>
                <w:szCs w:val="18"/>
              </w:rPr>
              <w:t>是一个涵盖性术语，覆盖了所有通信设备或应用软件以及与之相关</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的各种服务和应用软件，例如视频会议和远程教学</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深圳天源迪科信息技术股份有限公司股东大会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深圳天源迪科信息技术股份有限公司监事会</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pacing w:val="-3"/>
                <w:sz w:val="18"/>
                <w:szCs w:val="18"/>
              </w:rPr>
              <w:t>中国证券监督管理委员会</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深圳证监局</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中国证券监督管理委员会深圳证券监管局</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深圳证券交易所</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p>
      <w:pPr>
        <w:pStyle w:val="Heading1"/>
        <w:spacing w:line="240" w:lineRule="auto"/>
        <w:ind w:left="2682" w:right="1764"/>
        <w:jc w:val="left"/>
        <w:rPr>
          <w:b w:val="0"/>
          <w:bCs w:val="0"/>
        </w:rPr>
      </w:pPr>
      <w:bookmarkStart w:name="第二节公司简介和主要财务指标" w:id="2"/>
      <w:bookmarkEnd w:id="2"/>
      <w:r>
        <w:rPr>
          <w:b w:val="0"/>
          <w:bCs w:val="0"/>
        </w:rPr>
      </w:r>
      <w:bookmarkStart w:name="_bookmark0" w:id="3"/>
      <w:bookmarkEnd w:id="3"/>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1764"/>
        <w:jc w:val="left"/>
        <w:rPr>
          <w:b w:val="0"/>
          <w:bCs w:val="0"/>
        </w:rPr>
      </w:pPr>
      <w:bookmarkStart w:name="一、公司信息" w:id="4"/>
      <w:bookmarkEnd w:id="4"/>
      <w:r>
        <w:rPr>
          <w:b w:val="0"/>
          <w:bCs w:val="0"/>
        </w:rPr>
      </w:r>
      <w:r>
        <w:rPr/>
        <w:t>一、公司信息</w:t>
      </w:r>
      <w:r>
        <w:rPr>
          <w:b w:val="0"/>
          <w:bCs w:val="0"/>
        </w:rPr>
      </w:r>
    </w:p>
    <w:p>
      <w:pPr>
        <w:spacing w:line="240" w:lineRule="auto" w:before="5"/>
        <w:rPr>
          <w:rFonts w:ascii="宋体" w:hAnsi="宋体" w:cs="宋体" w:eastAsia="宋体" w:hint="default"/>
          <w:b/>
          <w:bCs/>
          <w:sz w:val="26"/>
          <w:szCs w:val="26"/>
        </w:rPr>
      </w:pPr>
    </w:p>
    <w:tbl>
      <w:tblPr>
        <w:tblW w:w="0" w:type="auto"/>
        <w:jc w:val="left"/>
        <w:tblInd w:w="108" w:type="dxa"/>
        <w:tblLayout w:type="fixed"/>
        <w:tblCellMar>
          <w:top w:w="0" w:type="dxa"/>
          <w:left w:w="0" w:type="dxa"/>
          <w:bottom w:w="0" w:type="dxa"/>
          <w:right w:w="0" w:type="dxa"/>
        </w:tblCellMar>
        <w:tblLook w:val="01E0"/>
      </w:tblPr>
      <w:tblGrid>
        <w:gridCol w:w="2286"/>
        <w:gridCol w:w="2953"/>
        <w:gridCol w:w="2156"/>
        <w:gridCol w:w="2180"/>
      </w:tblGrid>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天源迪科</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300047</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公司的中文名称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深圳天源迪科信息技术股份有限公司</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公司的中文简称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300047</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公司的外文名称（如有）</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SHENZHEN </w:t>
            </w:r>
            <w:r>
              <w:rPr>
                <w:rFonts w:ascii="Times New Roman"/>
                <w:spacing w:val="-3"/>
                <w:sz w:val="18"/>
              </w:rPr>
              <w:t>TIANYUAN DIC  </w:t>
            </w:r>
            <w:r>
              <w:rPr>
                <w:rFonts w:ascii="Times New Roman"/>
                <w:spacing w:val="-5"/>
                <w:sz w:val="18"/>
              </w:rPr>
              <w:t>INFORMATION </w:t>
            </w:r>
            <w:r>
              <w:rPr>
                <w:rFonts w:ascii="Times New Roman"/>
                <w:sz w:val="18"/>
              </w:rPr>
              <w:t>TECHNOLOGY</w:t>
            </w:r>
            <w:r>
              <w:rPr>
                <w:rFonts w:ascii="Times New Roman"/>
                <w:spacing w:val="21"/>
                <w:sz w:val="18"/>
              </w:rPr>
              <w:t> </w:t>
            </w:r>
            <w:r>
              <w:rPr>
                <w:rFonts w:ascii="Times New Roman"/>
                <w:spacing w:val="-4"/>
                <w:sz w:val="18"/>
              </w:rPr>
              <w:t>CO.,LTD.</w:t>
            </w:r>
          </w:p>
        </w:tc>
      </w:tr>
      <w:tr>
        <w:trPr>
          <w:trHeight w:val="710"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85"/>
              <w:jc w:val="left"/>
              <w:rPr>
                <w:rFonts w:ascii="宋体" w:hAnsi="宋体" w:cs="宋体" w:eastAsia="宋体" w:hint="default"/>
                <w:sz w:val="18"/>
                <w:szCs w:val="18"/>
              </w:rPr>
            </w:pPr>
            <w:r>
              <w:rPr>
                <w:rFonts w:ascii="宋体" w:hAnsi="宋体" w:cs="宋体" w:eastAsia="宋体" w:hint="default"/>
                <w:spacing w:val="-3"/>
                <w:sz w:val="18"/>
                <w:szCs w:val="18"/>
              </w:rPr>
              <w:t>公司的外文名称缩写（如</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有）</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pacing w:val="-3"/>
                <w:sz w:val="18"/>
              </w:rPr>
              <w:t>TYDIC</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陈友</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深圳市南山区粤海街道高新区南区市高新技术工业村 </w:t>
            </w:r>
            <w:r>
              <w:rPr>
                <w:rFonts w:ascii="Times New Roman" w:hAnsi="Times New Roman" w:cs="Times New Roman" w:eastAsia="Times New Roman" w:hint="default"/>
                <w:sz w:val="18"/>
                <w:szCs w:val="18"/>
              </w:rPr>
              <w:t>T3 </w:t>
            </w:r>
            <w:r>
              <w:rPr>
                <w:rFonts w:ascii="宋体" w:hAnsi="宋体" w:cs="宋体" w:eastAsia="宋体" w:hint="default"/>
                <w:sz w:val="18"/>
                <w:szCs w:val="18"/>
              </w:rPr>
              <w:t>栋 </w:t>
            </w:r>
            <w:r>
              <w:rPr>
                <w:rFonts w:ascii="Times New Roman" w:hAnsi="Times New Roman" w:cs="Times New Roman" w:eastAsia="Times New Roman" w:hint="default"/>
                <w:sz w:val="18"/>
                <w:szCs w:val="18"/>
              </w:rPr>
              <w:t>B3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楼</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注册地址的邮政编码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518057</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深圳市南山区粤海街道沙河西路</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1801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号国实大厦</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楼</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办公地址的邮政编码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518057</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公司国际互联网网址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hyperlink r:id="rId10">
              <w:r>
                <w:rPr>
                  <w:rFonts w:ascii="Times New Roman"/>
                  <w:spacing w:val="-3"/>
                  <w:sz w:val="18"/>
                </w:rPr>
                <w:t>http://www.tydic.com</w:t>
              </w:r>
            </w:hyperlink>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hyperlink r:id="rId11">
              <w:r>
                <w:rPr>
                  <w:rFonts w:ascii="Times New Roman"/>
                  <w:sz w:val="18"/>
                </w:rPr>
                <w:t>v-mailbox@tydic.com</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1764"/>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1"/>
        <w:rPr>
          <w:rFonts w:ascii="宋体" w:hAnsi="宋体" w:cs="宋体" w:eastAsia="宋体" w:hint="default"/>
          <w:b/>
          <w:bCs/>
          <w:sz w:val="26"/>
          <w:szCs w:val="2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谢维</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深圳市南山区沙河西路</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1801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号国实大</w:t>
            </w:r>
          </w:p>
          <w:p>
            <w:pPr>
              <w:pStyle w:val="TableParagraph"/>
              <w:spacing w:line="240" w:lineRule="auto" w:before="67"/>
              <w:ind w:left="106" w:right="0"/>
              <w:jc w:val="left"/>
              <w:rPr>
                <w:rFonts w:ascii="宋体" w:hAnsi="宋体" w:cs="宋体" w:eastAsia="宋体" w:hint="default"/>
                <w:sz w:val="18"/>
                <w:szCs w:val="18"/>
              </w:rPr>
            </w:pPr>
            <w:r>
              <w:rPr>
                <w:rFonts w:ascii="宋体" w:hAnsi="宋体" w:cs="宋体" w:eastAsia="宋体" w:hint="default"/>
                <w:sz w:val="18"/>
                <w:szCs w:val="18"/>
              </w:rPr>
              <w:t>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深圳市南山区沙河西路</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1801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号国实大</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6" w:right="0"/>
              <w:jc w:val="left"/>
              <w:rPr>
                <w:rFonts w:ascii="Times New Roman" w:hAnsi="Times New Roman" w:cs="Times New Roman" w:eastAsia="Times New Roman" w:hint="default"/>
                <w:sz w:val="18"/>
                <w:szCs w:val="18"/>
              </w:rPr>
            </w:pPr>
            <w:r>
              <w:rPr>
                <w:rFonts w:ascii="Times New Roman"/>
                <w:sz w:val="18"/>
              </w:rPr>
              <w:t>0755-26745678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0755-26745678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6" w:right="0"/>
              <w:jc w:val="left"/>
              <w:rPr>
                <w:rFonts w:ascii="Times New Roman" w:hAnsi="Times New Roman" w:cs="Times New Roman" w:eastAsia="Times New Roman" w:hint="default"/>
                <w:sz w:val="18"/>
                <w:szCs w:val="18"/>
              </w:rPr>
            </w:pPr>
            <w:r>
              <w:rPr>
                <w:rFonts w:ascii="Times New Roman"/>
                <w:sz w:val="18"/>
              </w:rPr>
              <w:t>0755-26745600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0755-26745600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6" w:right="0"/>
              <w:jc w:val="left"/>
              <w:rPr>
                <w:rFonts w:ascii="Times New Roman" w:hAnsi="Times New Roman" w:cs="Times New Roman" w:eastAsia="Times New Roman" w:hint="default"/>
                <w:sz w:val="18"/>
                <w:szCs w:val="18"/>
              </w:rPr>
            </w:pPr>
            <w:hyperlink r:id="rId11">
              <w:r>
                <w:rPr>
                  <w:rFonts w:ascii="Times New Roman"/>
                  <w:sz w:val="18"/>
                </w:rPr>
                <w:t>v-mailbox@tydic.com</w:t>
              </w:r>
            </w:hyperlink>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hyperlink r:id="rId11">
              <w:r>
                <w:rPr>
                  <w:rFonts w:ascii="Times New Roman"/>
                  <w:sz w:val="18"/>
                </w:rPr>
                <w:t>v-mailbox@tydic.com</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1764"/>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5"/>
        <w:rPr>
          <w:rFonts w:ascii="宋体" w:hAnsi="宋体" w:cs="宋体" w:eastAsia="宋体" w:hint="default"/>
          <w:b/>
          <w:bCs/>
          <w:sz w:val="26"/>
          <w:szCs w:val="26"/>
        </w:rPr>
      </w:pPr>
    </w:p>
    <w:tbl>
      <w:tblPr>
        <w:tblW w:w="0" w:type="auto"/>
        <w:jc w:val="left"/>
        <w:tblInd w:w="108" w:type="dxa"/>
        <w:tblLayout w:type="fixed"/>
        <w:tblCellMar>
          <w:top w:w="0" w:type="dxa"/>
          <w:left w:w="0" w:type="dxa"/>
          <w:bottom w:w="0" w:type="dxa"/>
          <w:right w:w="0" w:type="dxa"/>
        </w:tblCellMar>
        <w:tblLook w:val="01E0"/>
      </w:tblPr>
      <w:tblGrid>
        <w:gridCol w:w="3995"/>
        <w:gridCol w:w="5575"/>
      </w:tblGrid>
      <w:tr>
        <w:trPr>
          <w:trHeight w:val="403" w:hRule="exact"/>
        </w:trPr>
        <w:tc>
          <w:tcPr>
            <w:tcW w:w="3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公司选定的信息披露媒体的名称</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证券时报、证券日报、中国证券报</w:t>
            </w:r>
          </w:p>
        </w:tc>
      </w:tr>
      <w:tr>
        <w:trPr>
          <w:trHeight w:val="398" w:hRule="exact"/>
        </w:trPr>
        <w:tc>
          <w:tcPr>
            <w:tcW w:w="3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404" w:hRule="exact"/>
        </w:trPr>
        <w:tc>
          <w:tcPr>
            <w:tcW w:w="3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6"/>
        <w:rPr>
          <w:rFonts w:ascii="宋体" w:hAnsi="宋体" w:cs="宋体" w:eastAsia="宋体" w:hint="default"/>
          <w:b/>
          <w:bCs/>
          <w:sz w:val="20"/>
          <w:szCs w:val="20"/>
        </w:rPr>
      </w:pPr>
    </w:p>
    <w:p>
      <w:pPr>
        <w:pStyle w:val="Heading2"/>
        <w:spacing w:line="240" w:lineRule="auto" w:before="26"/>
        <w:ind w:right="1764"/>
        <w:jc w:val="left"/>
        <w:rPr>
          <w:b w:val="0"/>
          <w:bCs w:val="0"/>
        </w:rPr>
      </w:pPr>
      <w:bookmarkStart w:name="四、其他有关资料" w:id="7"/>
      <w:bookmarkEnd w:id="7"/>
      <w:r>
        <w:rPr>
          <w:b w:val="0"/>
          <w:bCs w:val="0"/>
        </w:rPr>
      </w:r>
      <w:r>
        <w:rPr/>
        <w:t>四、其他有关资料</w:t>
      </w:r>
      <w:r>
        <w:rPr>
          <w:b w:val="0"/>
          <w:bCs w:val="0"/>
        </w:rPr>
      </w:r>
    </w:p>
    <w:p>
      <w:pPr>
        <w:spacing w:line="240" w:lineRule="auto" w:before="3"/>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公司聘请的会计师事务所</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665"/>
        <w:gridCol w:w="6905"/>
      </w:tblGrid>
      <w:tr>
        <w:trPr>
          <w:trHeight w:val="404"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pacing w:val="-3"/>
                <w:sz w:val="18"/>
                <w:szCs w:val="18"/>
              </w:rPr>
              <w:t>大华会计师事务所（特殊普通合伙）</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深圳市福田区滨河路北彩田路东交汇处联合广场 </w:t>
            </w:r>
            <w:r>
              <w:rPr>
                <w:rFonts w:ascii="Times New Roman" w:hAnsi="Times New Roman" w:cs="Times New Roman" w:eastAsia="Times New Roman" w:hint="default"/>
                <w:sz w:val="18"/>
                <w:szCs w:val="18"/>
              </w:rPr>
              <w:t>B </w:t>
            </w:r>
            <w:r>
              <w:rPr>
                <w:rFonts w:ascii="宋体" w:hAnsi="宋体" w:cs="宋体" w:eastAsia="宋体" w:hint="default"/>
                <w:sz w:val="18"/>
                <w:szCs w:val="18"/>
              </w:rPr>
              <w:t>栋办公</w:t>
            </w:r>
            <w:r>
              <w:rPr>
                <w:rFonts w:ascii="宋体" w:hAnsi="宋体" w:cs="宋体" w:eastAsia="宋体" w:hint="default"/>
                <w:spacing w:val="-13"/>
                <w:sz w:val="18"/>
                <w:szCs w:val="18"/>
              </w:rPr>
              <w:t> </w:t>
            </w:r>
            <w:r>
              <w:rPr>
                <w:rFonts w:ascii="Times New Roman" w:hAnsi="Times New Roman" w:cs="Times New Roman" w:eastAsia="Times New Roman" w:hint="default"/>
                <w:spacing w:val="-4"/>
                <w:sz w:val="18"/>
                <w:szCs w:val="18"/>
              </w:rPr>
              <w:t>B1102</w:t>
            </w:r>
          </w:p>
        </w:tc>
      </w:tr>
      <w:tr>
        <w:trPr>
          <w:trHeight w:val="398"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签字会计师姓名</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陈勇、吕红涛</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公司聘请的报告期内履行持续督导职责的保荐机构</w:t>
      </w:r>
    </w:p>
    <w:p>
      <w:pPr>
        <w:spacing w:line="357" w:lineRule="auto" w:before="120"/>
        <w:ind w:left="113" w:right="576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公司聘请的报告期内履行持续督导职责的财务顾问</w:t>
      </w:r>
    </w:p>
    <w:p>
      <w:pPr>
        <w:spacing w:before="31"/>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1764"/>
        <w:jc w:val="left"/>
        <w:rPr>
          <w:b w:val="0"/>
          <w:bCs w:val="0"/>
        </w:rPr>
      </w:pPr>
      <w:bookmarkStart w:name="五、主要会计数据和财务指标" w:id="8"/>
      <w:bookmarkEnd w:id="8"/>
      <w:r>
        <w:rPr>
          <w:b w:val="0"/>
          <w:bCs w:val="0"/>
        </w:rPr>
      </w:r>
      <w:r>
        <w:rPr/>
        <w:t>五、主要会计数据和财务指标</w:t>
      </w:r>
      <w:r>
        <w:rPr>
          <w:b w:val="0"/>
          <w:bCs w:val="0"/>
        </w:rPr>
      </w:r>
    </w:p>
    <w:p>
      <w:pPr>
        <w:spacing w:line="240" w:lineRule="auto" w:before="8"/>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公司是否需追溯调整或重述以前年度会计数据</w:t>
      </w:r>
    </w:p>
    <w:p>
      <w:pPr>
        <w:spacing w:before="115"/>
        <w:ind w:left="113" w:right="176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622"/>
        <w:gridCol w:w="1738"/>
        <w:gridCol w:w="1738"/>
        <w:gridCol w:w="1738"/>
        <w:gridCol w:w="1738"/>
      </w:tblGrid>
      <w:tr>
        <w:trPr>
          <w:trHeight w:val="398"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pacing w:val="-3"/>
                <w:sz w:val="18"/>
                <w:szCs w:val="18"/>
              </w:rPr>
              <w:t>本年比上年增减</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4,470,792,753.32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3,766,826,442.85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18.69%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2,963,058,965.15</w:t>
            </w:r>
          </w:p>
        </w:tc>
      </w:tr>
      <w:tr>
        <w:trPr>
          <w:trHeight w:val="716"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116,717,268.15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215,542,694.97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-45.85%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155,932,941.08</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61"/>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经常性损益的净利润（元）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95,924,656.30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188,993,757.06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-49.24%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133,545,073.92</w:t>
            </w:r>
          </w:p>
        </w:tc>
      </w:tr>
      <w:tr>
        <w:trPr>
          <w:trHeight w:val="71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-362,483,065.60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-94,002,279.21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-285.61%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77,094,475.47</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z w:val="18"/>
              </w:rPr>
              <w:t>0.18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z w:val="18"/>
              </w:rPr>
              <w:t>0.34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-47.06%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z w:val="18"/>
              </w:rPr>
              <w:t>0.24</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-47.06%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0.24</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7.37%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-3.59%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7.01%</w:t>
            </w:r>
          </w:p>
        </w:tc>
      </w:tr>
      <w:tr>
        <w:trPr>
          <w:trHeight w:val="71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777" w:right="137" w:hanging="634"/>
              <w:jc w:val="left"/>
              <w:rPr>
                <w:rFonts w:ascii="宋体" w:hAnsi="宋体" w:cs="宋体" w:eastAsia="宋体" w:hint="default"/>
                <w:sz w:val="18"/>
                <w:szCs w:val="18"/>
              </w:rPr>
            </w:pPr>
            <w:r>
              <w:rPr>
                <w:rFonts w:ascii="宋体" w:hAnsi="宋体" w:cs="宋体" w:eastAsia="宋体" w:hint="default"/>
                <w:spacing w:val="-2"/>
                <w:sz w:val="18"/>
                <w:szCs w:val="18"/>
              </w:rPr>
              <w:t>本年末比上年末增</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减</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5,740,434,752.51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4,678,931,278.15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22.69%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4,095,014,277.32</w:t>
            </w:r>
          </w:p>
        </w:tc>
      </w:tr>
      <w:tr>
        <w:trPr>
          <w:trHeight w:val="716"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归属于上市公司股东的净资产</w:t>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3,149,958,956.24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3,023,700,594.44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4.18%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2,829,131,492.52</w:t>
            </w:r>
          </w:p>
        </w:tc>
      </w:tr>
    </w:tbl>
    <w:p>
      <w:pPr>
        <w:spacing w:line="240" w:lineRule="auto" w:before="9"/>
        <w:rPr>
          <w:rFonts w:ascii="宋体" w:hAnsi="宋体" w:cs="宋体" w:eastAsia="宋体" w:hint="default"/>
          <w:sz w:val="17"/>
          <w:szCs w:val="17"/>
        </w:rPr>
      </w:pPr>
    </w:p>
    <w:p>
      <w:pPr>
        <w:pStyle w:val="Heading2"/>
        <w:spacing w:line="240" w:lineRule="auto" w:before="26"/>
        <w:ind w:right="1764"/>
        <w:jc w:val="left"/>
        <w:rPr>
          <w:b w:val="0"/>
          <w:bCs w:val="0"/>
        </w:rPr>
      </w:pPr>
      <w:bookmarkStart w:name="六、分季度主要财务指标" w:id="9"/>
      <w:bookmarkEnd w:id="9"/>
      <w:r>
        <w:rPr>
          <w:b w:val="0"/>
          <w:bCs w:val="0"/>
        </w:rPr>
      </w:r>
      <w:r>
        <w:rPr/>
        <w:t>六、分季度主要财务指标</w:t>
      </w:r>
      <w:r>
        <w:rPr>
          <w:b w:val="0"/>
          <w:bCs w:val="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622"/>
        <w:gridCol w:w="1743"/>
        <w:gridCol w:w="1738"/>
        <w:gridCol w:w="1738"/>
        <w:gridCol w:w="1733"/>
      </w:tblGrid>
      <w:tr>
        <w:trPr>
          <w:trHeight w:val="399"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1,004,559,551.98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588,366,223.63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904,131,410.30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1,973,735,567.41</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12,863,962.68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31,943,174.33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44,219,768.98</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27,690,362.16</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622"/>
        <w:gridCol w:w="1743"/>
        <w:gridCol w:w="1738"/>
        <w:gridCol w:w="1738"/>
        <w:gridCol w:w="1733"/>
      </w:tblGrid>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61"/>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经常性损益的净利润</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3,793,437.66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31,069,262.44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40,037,504.94</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21,024,451.26</w:t>
            </w:r>
          </w:p>
        </w:tc>
      </w:tr>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127,324,048.62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-157,991,317.83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164,123,807.27</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-495,939,603.66</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上述财务指标或其加总数是否与公司已披露季度报告、半年度报告相关财务指标存在重大差异</w:t>
      </w:r>
    </w:p>
    <w:p>
      <w:pPr>
        <w:spacing w:before="115"/>
        <w:ind w:left="113" w:right="176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24"/>
          <w:szCs w:val="24"/>
        </w:rPr>
      </w:pPr>
    </w:p>
    <w:p>
      <w:pPr>
        <w:pStyle w:val="Heading2"/>
        <w:spacing w:line="240" w:lineRule="auto"/>
        <w:ind w:right="1764"/>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1764"/>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62" w:lineRule="auto"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公司报告期不存在按照国际会计准则与按照中国会计准则披露的财务报告中净利润和净资产差异情况。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3"/>
        <w:spacing w:line="240" w:lineRule="auto"/>
        <w:ind w:right="1764"/>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spacing w:line="357" w:lineRule="auto"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公司报告期不存在按照境外会计准则与按照中国会计准则披露的财务报告中净利润和净资产差异情况。</w:t>
      </w:r>
    </w:p>
    <w:p>
      <w:pPr>
        <w:spacing w:line="240" w:lineRule="auto" w:before="8"/>
        <w:rPr>
          <w:rFonts w:ascii="宋体" w:hAnsi="宋体" w:cs="宋体" w:eastAsia="宋体" w:hint="default"/>
          <w:sz w:val="17"/>
          <w:szCs w:val="17"/>
        </w:rPr>
      </w:pPr>
    </w:p>
    <w:p>
      <w:pPr>
        <w:pStyle w:val="Heading2"/>
        <w:spacing w:line="240" w:lineRule="auto"/>
        <w:ind w:right="1764"/>
        <w:jc w:val="left"/>
        <w:rPr>
          <w:b w:val="0"/>
          <w:bCs w:val="0"/>
        </w:rPr>
      </w:pPr>
      <w:bookmarkStart w:name="八、非经常性损益项目及金额" w:id="13"/>
      <w:bookmarkEnd w:id="13"/>
      <w:r>
        <w:rPr>
          <w:b w:val="0"/>
          <w:bCs w:val="0"/>
        </w:rPr>
      </w:r>
      <w:r>
        <w:rPr/>
        <w:t>八、非经常性损益项目及金额</w:t>
      </w:r>
      <w:r>
        <w:rPr>
          <w:b w:val="0"/>
          <w:bCs w:val="0"/>
        </w:rPr>
      </w:r>
    </w:p>
    <w:p>
      <w:pPr>
        <w:spacing w:line="240" w:lineRule="auto" w:before="9"/>
        <w:rPr>
          <w:rFonts w:ascii="宋体" w:hAnsi="宋体" w:cs="宋体" w:eastAsia="宋体" w:hint="default"/>
          <w:b/>
          <w:bCs/>
          <w:sz w:val="23"/>
          <w:szCs w:val="23"/>
        </w:rPr>
      </w:pPr>
    </w:p>
    <w:p>
      <w:pPr>
        <w:spacing w:before="46"/>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299"/>
        <w:gridCol w:w="1517"/>
        <w:gridCol w:w="1522"/>
        <w:gridCol w:w="1522"/>
        <w:gridCol w:w="1709"/>
      </w:tblGrid>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6"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119"/>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减值准备的冲销部分）</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1,206,352.97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-65,934.02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-351,607.15</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19"/>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密切相关，按照国家统一标准定额或定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量享受的政府补助除外）</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3"/>
                <w:sz w:val="18"/>
              </w:rPr>
              <w:t>21,692,111.45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31,050,206.54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23,448,608.83</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105" w:right="119"/>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保值业务外，持有交易性金融资产、衍</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生金融资产、交易性金融负债、衍生金</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融负债产生的公允价值变动损益，以及</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处置交易性金融资产、衍生金融资产、</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交易性金融负债、衍生金融负债和其他</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债权投资取得的投资收益</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510,336.00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-1,387,476.00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3,209,303.02</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19"/>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出</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-325,402.65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83,597.83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120,763.70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1,321,192.33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2,311,803.70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3,411,994.39</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少数股东权益影响额（税后）</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969,593.59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819,652.74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627,206.85</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20,792,611.85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26,548,937.91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22,387,867.16</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13" w:right="1007" w:firstLine="0"/>
        <w:jc w:val="left"/>
        <w:rPr>
          <w:rFonts w:ascii="宋体" w:hAnsi="宋体" w:cs="宋体" w:eastAsia="宋体" w:hint="default"/>
          <w:sz w:val="18"/>
          <w:szCs w:val="18"/>
        </w:rPr>
      </w:pPr>
      <w:r>
        <w:rPr>
          <w:rFonts w:ascii="宋体" w:hAnsi="宋体" w:cs="宋体" w:eastAsia="宋体" w:hint="default"/>
          <w:w w:val="101"/>
          <w:sz w:val="18"/>
          <w:szCs w:val="18"/>
        </w:rPr>
        <w:t>对</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根</w:t>
      </w:r>
      <w:r>
        <w:rPr>
          <w:rFonts w:ascii="宋体" w:hAnsi="宋体" w:cs="宋体" w:eastAsia="宋体" w:hint="default"/>
          <w:spacing w:val="-68"/>
          <w:w w:val="101"/>
          <w:sz w:val="18"/>
          <w:szCs w:val="18"/>
        </w:rPr>
        <w:t>据</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开</w:t>
      </w:r>
      <w:r>
        <w:rPr>
          <w:rFonts w:ascii="宋体" w:hAnsi="宋体" w:cs="宋体" w:eastAsia="宋体" w:hint="default"/>
          <w:spacing w:val="-5"/>
          <w:w w:val="101"/>
          <w:sz w:val="18"/>
          <w:szCs w:val="18"/>
        </w:rPr>
        <w:t>发</w:t>
      </w:r>
      <w:r>
        <w:rPr>
          <w:rFonts w:ascii="宋体" w:hAnsi="宋体" w:cs="宋体" w:eastAsia="宋体" w:hint="default"/>
          <w:w w:val="101"/>
          <w:sz w:val="18"/>
          <w:szCs w:val="18"/>
        </w:rPr>
        <w:t>行</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的</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信</w:t>
      </w:r>
      <w:r>
        <w:rPr>
          <w:rFonts w:ascii="宋体" w:hAnsi="宋体" w:cs="宋体" w:eastAsia="宋体" w:hint="default"/>
          <w:spacing w:val="-5"/>
          <w:w w:val="101"/>
          <w:sz w:val="18"/>
          <w:szCs w:val="18"/>
        </w:rPr>
        <w:t>息</w:t>
      </w:r>
      <w:r>
        <w:rPr>
          <w:rFonts w:ascii="宋体" w:hAnsi="宋体" w:cs="宋体" w:eastAsia="宋体" w:hint="default"/>
          <w:w w:val="101"/>
          <w:sz w:val="18"/>
          <w:szCs w:val="18"/>
        </w:rPr>
        <w:t>披</w:t>
      </w:r>
      <w:r>
        <w:rPr>
          <w:rFonts w:ascii="宋体" w:hAnsi="宋体" w:cs="宋体" w:eastAsia="宋体" w:hint="default"/>
          <w:spacing w:val="-5"/>
          <w:w w:val="101"/>
          <w:sz w:val="18"/>
          <w:szCs w:val="18"/>
        </w:rPr>
        <w:t>露</w:t>
      </w:r>
      <w:r>
        <w:rPr>
          <w:rFonts w:ascii="宋体" w:hAnsi="宋体" w:cs="宋体" w:eastAsia="宋体" w:hint="default"/>
          <w:w w:val="101"/>
          <w:sz w:val="18"/>
          <w:szCs w:val="18"/>
        </w:rPr>
        <w:t>解</w:t>
      </w:r>
      <w:r>
        <w:rPr>
          <w:rFonts w:ascii="宋体" w:hAnsi="宋体" w:cs="宋体" w:eastAsia="宋体" w:hint="default"/>
          <w:spacing w:val="-5"/>
          <w:w w:val="101"/>
          <w:sz w:val="18"/>
          <w:szCs w:val="18"/>
        </w:rPr>
        <w:t>释</w:t>
      </w:r>
      <w:r>
        <w:rPr>
          <w:rFonts w:ascii="宋体" w:hAnsi="宋体" w:cs="宋体" w:eastAsia="宋体" w:hint="default"/>
          <w:w w:val="101"/>
          <w:sz w:val="18"/>
          <w:szCs w:val="18"/>
        </w:rPr>
        <w:t>性</w:t>
      </w:r>
      <w:r>
        <w:rPr>
          <w:rFonts w:ascii="宋体" w:hAnsi="宋体" w:cs="宋体" w:eastAsia="宋体" w:hint="default"/>
          <w:spacing w:val="-5"/>
          <w:w w:val="101"/>
          <w:sz w:val="18"/>
          <w:szCs w:val="18"/>
        </w:rPr>
        <w:t>公</w:t>
      </w:r>
      <w:r>
        <w:rPr>
          <w:rFonts w:ascii="宋体" w:hAnsi="宋体" w:cs="宋体" w:eastAsia="宋体" w:hint="default"/>
          <w:w w:val="101"/>
          <w:sz w:val="18"/>
          <w:szCs w:val="18"/>
        </w:rPr>
        <w:t>告第</w:t>
      </w:r>
      <w:r>
        <w:rPr>
          <w:rFonts w:ascii="宋体" w:hAnsi="宋体" w:cs="宋体" w:eastAsia="宋体" w:hint="default"/>
          <w:spacing w:val="-46"/>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号</w:t>
      </w:r>
      <w:r>
        <w:rPr>
          <w:rFonts w:ascii="宋体" w:hAnsi="宋体" w:cs="宋体" w:eastAsia="宋体" w:hint="default"/>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非</w:t>
      </w:r>
      <w:r>
        <w:rPr>
          <w:rFonts w:ascii="宋体" w:hAnsi="宋体" w:cs="宋体" w:eastAsia="宋体" w:hint="default"/>
          <w:spacing w:val="-5"/>
          <w:w w:val="101"/>
          <w:sz w:val="18"/>
          <w:szCs w:val="18"/>
        </w:rPr>
        <w:t>经</w:t>
      </w:r>
      <w:r>
        <w:rPr>
          <w:rFonts w:ascii="宋体" w:hAnsi="宋体" w:cs="宋体" w:eastAsia="宋体" w:hint="default"/>
          <w:w w:val="101"/>
          <w:sz w:val="18"/>
          <w:szCs w:val="18"/>
        </w:rPr>
        <w:t>常</w:t>
      </w:r>
      <w:r>
        <w:rPr>
          <w:rFonts w:ascii="宋体" w:hAnsi="宋体" w:cs="宋体" w:eastAsia="宋体" w:hint="default"/>
          <w:spacing w:val="-5"/>
          <w:w w:val="101"/>
          <w:sz w:val="18"/>
          <w:szCs w:val="18"/>
        </w:rPr>
        <w:t>性</w:t>
      </w:r>
      <w:r>
        <w:rPr>
          <w:rFonts w:ascii="宋体" w:hAnsi="宋体" w:cs="宋体" w:eastAsia="宋体" w:hint="default"/>
          <w:w w:val="101"/>
          <w:sz w:val="18"/>
          <w:szCs w:val="18"/>
        </w:rPr>
        <w:t>损益</w:t>
      </w:r>
      <w:r>
        <w:rPr>
          <w:rFonts w:ascii="宋体" w:hAnsi="宋体" w:cs="宋体" w:eastAsia="宋体" w:hint="default"/>
          <w:spacing w:val="-73"/>
          <w:w w:val="101"/>
          <w:sz w:val="18"/>
          <w:szCs w:val="18"/>
        </w:rPr>
        <w:t>》</w:t>
      </w:r>
      <w:r>
        <w:rPr>
          <w:rFonts w:ascii="宋体" w:hAnsi="宋体" w:cs="宋体" w:eastAsia="宋体" w:hint="default"/>
          <w:w w:val="101"/>
          <w:sz w:val="18"/>
          <w:szCs w:val="18"/>
        </w:rPr>
        <w:t>定</w:t>
      </w:r>
      <w:r>
        <w:rPr>
          <w:rFonts w:ascii="宋体" w:hAnsi="宋体" w:cs="宋体" w:eastAsia="宋体" w:hint="default"/>
          <w:spacing w:val="-5"/>
          <w:w w:val="101"/>
          <w:sz w:val="18"/>
          <w:szCs w:val="18"/>
        </w:rPr>
        <w:t>义</w:t>
      </w:r>
      <w:r>
        <w:rPr>
          <w:rFonts w:ascii="宋体" w:hAnsi="宋体" w:cs="宋体" w:eastAsia="宋体" w:hint="default"/>
          <w:w w:val="101"/>
          <w:sz w:val="18"/>
          <w:szCs w:val="18"/>
        </w:rPr>
        <w:t>界</w:t>
      </w:r>
      <w:r>
        <w:rPr>
          <w:rFonts w:ascii="宋体" w:hAnsi="宋体" w:cs="宋体" w:eastAsia="宋体" w:hint="default"/>
          <w:spacing w:val="-5"/>
          <w:w w:val="101"/>
          <w:sz w:val="18"/>
          <w:szCs w:val="18"/>
        </w:rPr>
        <w:t>定</w:t>
      </w:r>
      <w:r>
        <w:rPr>
          <w:rFonts w:ascii="宋体" w:hAnsi="宋体" w:cs="宋体" w:eastAsia="宋体" w:hint="default"/>
          <w:w w:val="101"/>
          <w:sz w:val="18"/>
          <w:szCs w:val="18"/>
        </w:rPr>
        <w:t>的</w:t>
      </w:r>
      <w:r>
        <w:rPr>
          <w:rFonts w:ascii="宋体" w:hAnsi="宋体" w:cs="宋体" w:eastAsia="宋体" w:hint="default"/>
          <w:spacing w:val="-5"/>
          <w:w w:val="101"/>
          <w:sz w:val="18"/>
          <w:szCs w:val="18"/>
        </w:rPr>
        <w:t>非</w:t>
      </w:r>
      <w:r>
        <w:rPr>
          <w:rFonts w:ascii="宋体" w:hAnsi="宋体" w:cs="宋体" w:eastAsia="宋体" w:hint="default"/>
          <w:w w:val="101"/>
          <w:sz w:val="18"/>
          <w:szCs w:val="18"/>
        </w:rPr>
        <w:t>经</w:t>
      </w:r>
      <w:r>
        <w:rPr>
          <w:rFonts w:ascii="宋体" w:hAnsi="宋体" w:cs="宋体" w:eastAsia="宋体" w:hint="default"/>
          <w:spacing w:val="-5"/>
          <w:w w:val="101"/>
          <w:sz w:val="18"/>
          <w:szCs w:val="18"/>
        </w:rPr>
        <w:t>常</w:t>
      </w:r>
      <w:r>
        <w:rPr>
          <w:rFonts w:ascii="宋体" w:hAnsi="宋体" w:cs="宋体" w:eastAsia="宋体" w:hint="default"/>
          <w:w w:val="101"/>
          <w:sz w:val="18"/>
          <w:szCs w:val="18"/>
        </w:rPr>
        <w:t>性</w:t>
      </w:r>
      <w:r>
        <w:rPr>
          <w:rFonts w:ascii="宋体" w:hAnsi="宋体" w:cs="宋体" w:eastAsia="宋体" w:hint="default"/>
          <w:spacing w:val="-5"/>
          <w:w w:val="101"/>
          <w:sz w:val="18"/>
          <w:szCs w:val="18"/>
        </w:rPr>
        <w:t>损</w:t>
      </w:r>
      <w:r>
        <w:rPr>
          <w:rFonts w:ascii="宋体" w:hAnsi="宋体" w:cs="宋体" w:eastAsia="宋体" w:hint="default"/>
          <w:w w:val="101"/>
          <w:sz w:val="18"/>
          <w:szCs w:val="18"/>
        </w:rPr>
        <w:t>益</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68"/>
          <w:w w:val="101"/>
          <w:sz w:val="18"/>
          <w:szCs w:val="18"/>
        </w:rPr>
        <w:t>，</w:t>
      </w:r>
      <w:r>
        <w:rPr>
          <w:rFonts w:ascii="宋体" w:hAnsi="宋体" w:cs="宋体" w:eastAsia="宋体" w:hint="default"/>
          <w:spacing w:val="-5"/>
          <w:w w:val="101"/>
          <w:sz w:val="18"/>
          <w:szCs w:val="18"/>
        </w:rPr>
        <w:t>以</w:t>
      </w:r>
      <w:r>
        <w:rPr>
          <w:rFonts w:ascii="宋体" w:hAnsi="宋体" w:cs="宋体" w:eastAsia="宋体" w:hint="default"/>
          <w:w w:val="101"/>
          <w:sz w:val="18"/>
          <w:szCs w:val="18"/>
        </w:rPr>
        <w:t>及</w:t>
      </w:r>
      <w:r>
        <w:rPr>
          <w:rFonts w:ascii="宋体" w:hAnsi="宋体" w:cs="宋体" w:eastAsia="宋体" w:hint="default"/>
          <w:spacing w:val="-73"/>
          <w:w w:val="101"/>
          <w:sz w:val="18"/>
          <w:szCs w:val="18"/>
        </w:rPr>
        <w:t>把</w:t>
      </w:r>
      <w:r>
        <w:rPr>
          <w:rFonts w:ascii="宋体" w:hAnsi="宋体" w:cs="宋体" w:eastAsia="宋体" w:hint="default"/>
          <w:w w:val="101"/>
          <w:sz w:val="18"/>
          <w:szCs w:val="18"/>
        </w:rPr>
        <w:t>《公</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spacing w:line="304" w:lineRule="auto" w:before="46"/>
        <w:ind w:left="113" w:right="1007" w:firstLine="0"/>
        <w:jc w:val="left"/>
        <w:rPr>
          <w:rFonts w:ascii="宋体" w:hAnsi="宋体" w:cs="宋体" w:eastAsia="宋体" w:hint="default"/>
          <w:sz w:val="18"/>
          <w:szCs w:val="18"/>
        </w:rPr>
      </w:pPr>
      <w:r>
        <w:rPr>
          <w:rFonts w:ascii="宋体" w:hAnsi="宋体" w:cs="宋体" w:eastAsia="宋体" w:hint="default"/>
          <w:spacing w:val="-3"/>
          <w:sz w:val="18"/>
          <w:szCs w:val="18"/>
        </w:rPr>
        <w:t>开发行证券的公司信息披露解释性公告第 </w:t>
      </w:r>
      <w:r>
        <w:rPr>
          <w:rFonts w:ascii="Times New Roman" w:hAnsi="Times New Roman" w:cs="Times New Roman" w:eastAsia="Times New Roman" w:hint="default"/>
          <w:sz w:val="18"/>
          <w:szCs w:val="18"/>
        </w:rPr>
        <w:t>1 </w:t>
      </w:r>
      <w:r>
        <w:rPr>
          <w:rFonts w:ascii="宋体" w:hAnsi="宋体" w:cs="宋体" w:eastAsia="宋体" w:hint="default"/>
          <w:spacing w:val="-5"/>
          <w:sz w:val="18"/>
          <w:szCs w:val="18"/>
        </w:rPr>
        <w:t>号——非经常性损益》中列举的非经常性损益项目界定为经常性损益的项目，应</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说明原因</w:t>
      </w:r>
    </w:p>
    <w:p>
      <w:pPr>
        <w:spacing w:before="66"/>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304" w:lineRule="auto" w:before="115"/>
        <w:ind w:left="113" w:right="1007" w:firstLine="0"/>
        <w:jc w:val="left"/>
        <w:rPr>
          <w:rFonts w:ascii="宋体" w:hAnsi="宋体" w:cs="宋体" w:eastAsia="宋体" w:hint="default"/>
          <w:sz w:val="18"/>
          <w:szCs w:val="18"/>
        </w:rPr>
      </w:pPr>
      <w:r>
        <w:rPr>
          <w:rFonts w:ascii="宋体" w:hAnsi="宋体" w:cs="宋体" w:eastAsia="宋体" w:hint="default"/>
          <w:spacing w:val="-4"/>
          <w:sz w:val="18"/>
          <w:szCs w:val="18"/>
        </w:rPr>
        <w:t>公司报告期不存在将根据《公开发行证券的公司信息披露解释性公告第 </w:t>
      </w:r>
      <w:r>
        <w:rPr>
          <w:rFonts w:ascii="Times New Roman" w:hAnsi="Times New Roman" w:cs="Times New Roman" w:eastAsia="Times New Roman" w:hint="default"/>
          <w:sz w:val="18"/>
          <w:szCs w:val="18"/>
        </w:rPr>
        <w:t>1 </w:t>
      </w:r>
      <w:r>
        <w:rPr>
          <w:rFonts w:ascii="宋体" w:hAnsi="宋体" w:cs="宋体" w:eastAsia="宋体" w:hint="default"/>
          <w:spacing w:val="-5"/>
          <w:sz w:val="18"/>
          <w:szCs w:val="18"/>
        </w:rPr>
        <w:t>号——非经常性损益》定义、列举的非经常性损益</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pacing w:val="-3"/>
          <w:sz w:val="18"/>
          <w:szCs w:val="18"/>
        </w:rPr>
        <w:t>项目界定为经常性损益的项目的情形。</w:t>
      </w:r>
    </w:p>
    <w:p>
      <w:pPr>
        <w:spacing w:after="0" w:line="304"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right="1827"/>
        <w:jc w:val="center"/>
        <w:rPr>
          <w:b w:val="0"/>
          <w:bCs w:val="0"/>
        </w:rPr>
      </w:pPr>
      <w:bookmarkStart w:name="第三节公司业务概要" w:id="14"/>
      <w:bookmarkEnd w:id="14"/>
      <w:r>
        <w:rPr>
          <w:b w:val="0"/>
          <w:bCs w:val="0"/>
        </w:rPr>
      </w:r>
      <w:bookmarkStart w:name="_bookmark1" w:id="15"/>
      <w:bookmarkEnd w:id="15"/>
      <w:r>
        <w:rPr>
          <w:b w:val="0"/>
          <w:bCs w:val="0"/>
        </w:rPr>
      </w:r>
      <w:r>
        <w:rPr/>
        <w:t>第三节公司业务概要</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1764"/>
        <w:jc w:val="left"/>
        <w:rPr>
          <w:b w:val="0"/>
          <w:bCs w:val="0"/>
        </w:rPr>
      </w:pPr>
      <w:bookmarkStart w:name="一、报告期内公司从事的主要业务" w:id="16"/>
      <w:bookmarkEnd w:id="16"/>
      <w:r>
        <w:rPr>
          <w:b w:val="0"/>
          <w:bCs w:val="0"/>
        </w:rPr>
      </w:r>
      <w:r>
        <w:rPr/>
        <w:t>一、报告期内公司从事的主要业务</w:t>
      </w:r>
      <w:r>
        <w:rPr>
          <w:b w:val="0"/>
          <w:bCs w:val="0"/>
        </w:rPr>
      </w:r>
    </w:p>
    <w:p>
      <w:pPr>
        <w:spacing w:line="240" w:lineRule="auto" w:before="7"/>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公司需遵守《深圳证券交易所行业信息披露指引第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号——上市公司从事软件与信息技术服务业务》的披露要求</w:t>
      </w:r>
    </w:p>
    <w:p>
      <w:pPr>
        <w:spacing w:line="432" w:lineRule="exact" w:before="52"/>
        <w:ind w:left="535" w:right="1007" w:firstLine="0"/>
        <w:jc w:val="left"/>
        <w:rPr>
          <w:rFonts w:ascii="宋体" w:hAnsi="宋体" w:cs="宋体" w:eastAsia="宋体" w:hint="default"/>
          <w:sz w:val="21"/>
          <w:szCs w:val="21"/>
        </w:rPr>
      </w:pPr>
      <w:r>
        <w:rPr>
          <w:rFonts w:ascii="宋体" w:hAnsi="宋体" w:cs="宋体" w:eastAsia="宋体" w:hint="default"/>
          <w:b/>
          <w:bCs/>
          <w:sz w:val="21"/>
          <w:szCs w:val="21"/>
        </w:rPr>
        <w:t>（一）报告期内公司从事的主要业务及经营模式</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z w:val="21"/>
          <w:szCs w:val="21"/>
        </w:rPr>
        <w:t>公司是国内领先的产业云</w:t>
      </w:r>
      <w:r>
        <w:rPr>
          <w:rFonts w:ascii="Times New Roman" w:hAnsi="Times New Roman" w:cs="Times New Roman" w:eastAsia="Times New Roman" w:hint="default"/>
          <w:sz w:val="21"/>
          <w:szCs w:val="21"/>
        </w:rPr>
        <w:t>BOSS</w:t>
      </w:r>
      <w:r>
        <w:rPr>
          <w:rFonts w:ascii="宋体" w:hAnsi="宋体" w:cs="宋体" w:eastAsia="宋体" w:hint="default"/>
          <w:sz w:val="21"/>
          <w:szCs w:val="21"/>
        </w:rPr>
        <w:t>和大数据综合解决方案提供商，产业互联网全程注智的大数据公司。</w:t>
      </w:r>
    </w:p>
    <w:p>
      <w:pPr>
        <w:pStyle w:val="BodyText"/>
        <w:spacing w:line="271" w:lineRule="exact" w:before="0"/>
        <w:ind w:right="1007"/>
        <w:jc w:val="left"/>
      </w:pPr>
      <w:r>
        <w:rPr/>
        <w:t>服务于多个相关行业，在电信行业和公安行业具有</w:t>
      </w:r>
      <w:r>
        <w:rPr>
          <w:rFonts w:ascii="Times New Roman" w:hAnsi="Times New Roman" w:cs="Times New Roman" w:eastAsia="Times New Roman" w:hint="default"/>
        </w:rPr>
        <w:t>20</w:t>
      </w:r>
      <w:r>
        <w:rPr/>
        <w:t>余年的业务经验和行业先发优势；通过并购和培育进</w:t>
      </w:r>
    </w:p>
    <w:p>
      <w:pPr>
        <w:pStyle w:val="BodyText"/>
        <w:spacing w:line="256" w:lineRule="auto" w:before="21"/>
        <w:ind w:right="1007"/>
        <w:jc w:val="left"/>
      </w:pPr>
      <w:r>
        <w:rPr/>
        <w:t>入金融行业，已得到快速发展；其他垂直行业；作为总分销商为政企客户提供</w:t>
      </w:r>
      <w:r>
        <w:rPr>
          <w:rFonts w:ascii="Times New Roman" w:hAnsi="Times New Roman" w:cs="Times New Roman" w:eastAsia="Times New Roman" w:hint="default"/>
        </w:rPr>
        <w:t>ICT</w:t>
      </w:r>
      <w:r>
        <w:rPr/>
        <w:t>产品增值分销和专业服</w:t>
      </w:r>
      <w:r>
        <w:rPr>
          <w:spacing w:val="-50"/>
        </w:rPr>
        <w:t> </w:t>
      </w:r>
      <w:r>
        <w:rPr/>
        <w:t>务。</w:t>
      </w:r>
    </w:p>
    <w:p>
      <w:pPr>
        <w:spacing w:line="240" w:lineRule="auto" w:before="2"/>
        <w:rPr>
          <w:rFonts w:ascii="宋体" w:hAnsi="宋体" w:cs="宋体" w:eastAsia="宋体" w:hint="default"/>
          <w:sz w:val="8"/>
          <w:szCs w:val="8"/>
        </w:rPr>
      </w:pPr>
    </w:p>
    <w:p>
      <w:pPr>
        <w:spacing w:line="357" w:lineRule="auto" w:before="36"/>
        <w:ind w:left="535" w:right="1007" w:firstLine="12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、主要业务介绍</w:t>
      </w:r>
      <w:r>
        <w:rPr>
          <w:rFonts w:ascii="宋体" w:hAnsi="宋体" w:cs="宋体" w:eastAsia="宋体" w:hint="default"/>
          <w:b/>
          <w:bCs/>
          <w:w w:val="100"/>
          <w:sz w:val="21"/>
          <w:szCs w:val="21"/>
        </w:rPr>
        <w:t> </w:t>
      </w:r>
      <w:r>
        <w:rPr>
          <w:rFonts w:ascii="宋体" w:hAnsi="宋体" w:cs="宋体" w:eastAsia="宋体" w:hint="default"/>
          <w:b/>
          <w:bCs/>
          <w:spacing w:val="-2"/>
          <w:sz w:val="21"/>
          <w:szCs w:val="21"/>
        </w:rPr>
        <w:t>通信行业板块。</w:t>
      </w:r>
      <w:r>
        <w:rPr>
          <w:rFonts w:ascii="宋体" w:hAnsi="宋体" w:cs="宋体" w:eastAsia="宋体" w:hint="default"/>
          <w:spacing w:val="-2"/>
          <w:sz w:val="21"/>
          <w:szCs w:val="21"/>
        </w:rPr>
        <w:t>公司的核心业务是为通信运营商提供客户及订单管理、计费账务与国际漫游清算、大</w:t>
      </w:r>
    </w:p>
    <w:p>
      <w:pPr>
        <w:pStyle w:val="BodyText"/>
        <w:spacing w:line="225" w:lineRule="exact" w:before="0"/>
        <w:ind w:right="1007"/>
        <w:jc w:val="left"/>
      </w:pPr>
      <w:r>
        <w:rPr>
          <w:spacing w:val="-3"/>
        </w:rPr>
        <w:t>数据基础能力开放、</w:t>
      </w:r>
      <w:r>
        <w:rPr>
          <w:rFonts w:ascii="Times New Roman" w:hAnsi="Times New Roman" w:cs="Times New Roman" w:eastAsia="Times New Roman" w:hint="default"/>
          <w:spacing w:val="-3"/>
        </w:rPr>
        <w:t>5G</w:t>
      </w:r>
      <w:r>
        <w:rPr>
          <w:spacing w:val="-3"/>
        </w:rPr>
        <w:t>网络优化数据处理等业务支撑类</w:t>
      </w:r>
      <w:r>
        <w:rPr>
          <w:rFonts w:ascii="Times New Roman" w:hAnsi="Times New Roman" w:cs="Times New Roman" w:eastAsia="Times New Roman" w:hint="default"/>
          <w:spacing w:val="-3"/>
        </w:rPr>
        <w:t>IT</w:t>
      </w:r>
      <w:r>
        <w:rPr>
          <w:spacing w:val="-3"/>
        </w:rPr>
        <w:t>功能与平台建设，同时也提供电子渠道及其它增</w:t>
      </w:r>
    </w:p>
    <w:p>
      <w:pPr>
        <w:pStyle w:val="BodyText"/>
        <w:spacing w:line="261" w:lineRule="auto" w:before="21"/>
        <w:ind w:right="1007"/>
        <w:jc w:val="left"/>
      </w:pPr>
      <w:r>
        <w:rPr>
          <w:spacing w:val="-3"/>
        </w:rPr>
        <w:t>值业务的合作运营与相关定制化驻场服务。随着运营商数字化转型的云网融合变化趋势，公司将增加对</w:t>
      </w:r>
      <w:r>
        <w:rPr>
          <w:rFonts w:ascii="Times New Roman" w:hAnsi="Times New Roman" w:cs="Times New Roman" w:eastAsia="Times New Roman" w:hint="default"/>
          <w:spacing w:val="-3"/>
        </w:rPr>
        <w:t>5G</w:t>
      </w:r>
      <w:r>
        <w:rPr>
          <w:rFonts w:ascii="Times New Roman" w:hAnsi="Times New Roman" w:cs="Times New Roman" w:eastAsia="Times New Roman" w:hint="default"/>
          <w:spacing w:val="23"/>
        </w:rPr>
        <w:t> </w:t>
      </w:r>
      <w:r>
        <w:rPr>
          <w:spacing w:val="-2"/>
        </w:rPr>
        <w:t>行业应用合作、数字化运营、信息安全服务、运营商</w:t>
      </w:r>
      <w:r>
        <w:rPr>
          <w:rFonts w:ascii="Times New Roman" w:hAnsi="Times New Roman" w:cs="Times New Roman" w:eastAsia="Times New Roman" w:hint="default"/>
          <w:spacing w:val="-2"/>
        </w:rPr>
        <w:t>DICT</w:t>
      </w:r>
      <w:r>
        <w:rPr>
          <w:spacing w:val="-2"/>
        </w:rPr>
        <w:t>生态化等方面投入力度，聚焦业务支撑智慧化、</w:t>
      </w:r>
      <w:r>
        <w:rPr>
          <w:spacing w:val="-7"/>
        </w:rPr>
        <w:t> </w:t>
      </w:r>
      <w:r>
        <w:rPr>
          <w:spacing w:val="-7"/>
        </w:rPr>
      </w:r>
      <w:r>
        <w:rPr>
          <w:spacing w:val="-2"/>
        </w:rPr>
        <w:t>云网运营一体化、能力开放产业化等核心能力，巩固大数据应用及数字化运营的行业领先地位。公司在通</w:t>
      </w:r>
      <w:r>
        <w:rPr>
          <w:spacing w:val="-34"/>
        </w:rPr>
        <w:t> </w:t>
      </w:r>
      <w:r>
        <w:rPr>
          <w:spacing w:val="-34"/>
        </w:rPr>
      </w:r>
      <w:r>
        <w:rPr/>
        <w:t>信行业的客户有电信、联通、移动、广电、虚拟运营商、卫星通信运营商、海外广电和电信运营商等。</w:t>
      </w:r>
    </w:p>
    <w:p>
      <w:pPr>
        <w:pStyle w:val="BodyText"/>
        <w:spacing w:line="261" w:lineRule="auto" w:before="18"/>
        <w:ind w:right="1122" w:firstLine="422"/>
        <w:jc w:val="both"/>
      </w:pPr>
      <w:r>
        <w:rPr>
          <w:rFonts w:ascii="宋体" w:hAnsi="宋体" w:cs="宋体" w:eastAsia="宋体" w:hint="default"/>
          <w:b/>
          <w:bCs/>
          <w:spacing w:val="-2"/>
        </w:rPr>
        <w:t>金融行业板块。</w:t>
      </w:r>
      <w:r>
        <w:rPr>
          <w:spacing w:val="-2"/>
        </w:rPr>
        <w:t>公司以银行、保险公司等金融机构作为主要服务对象，凭借在行业领先的软件解决方</w:t>
      </w:r>
      <w:r>
        <w:rPr>
          <w:w w:val="100"/>
        </w:rPr>
        <w:t> </w:t>
      </w:r>
      <w:r>
        <w:rPr>
          <w:spacing w:val="-3"/>
        </w:rPr>
        <w:t>案、专业业务背景及优良的技术实力</w:t>
      </w:r>
      <w:r>
        <w:rPr>
          <w:rFonts w:ascii="Times New Roman" w:hAnsi="Times New Roman" w:cs="Times New Roman" w:eastAsia="Times New Roman" w:hint="default"/>
          <w:spacing w:val="-3"/>
        </w:rPr>
        <w:t>,</w:t>
      </w:r>
      <w:r>
        <w:rPr>
          <w:spacing w:val="-3"/>
        </w:rPr>
        <w:t>在金融领域内形成了较多长期稳定合作关系的客户。目前公司常年为</w:t>
      </w:r>
      <w:r>
        <w:rPr>
          <w:spacing w:val="-41"/>
        </w:rPr>
        <w:t> </w:t>
      </w:r>
      <w:r>
        <w:rPr>
          <w:spacing w:val="-41"/>
        </w:rPr>
      </w:r>
      <w:r>
        <w:rPr>
          <w:spacing w:val="-2"/>
        </w:rPr>
        <w:t>建设银行、中国银行、中国邮政储蓄银行、交通银行等国有商业银行、中信、招商、</w:t>
      </w:r>
      <w:r>
        <w:rPr>
          <w:spacing w:val="-2"/>
          <w:sz w:val="22"/>
          <w:szCs w:val="22"/>
        </w:rPr>
        <w:t>平安</w:t>
      </w:r>
      <w:r>
        <w:rPr>
          <w:spacing w:val="-2"/>
        </w:rPr>
        <w:t>等股份制银行以</w:t>
      </w:r>
      <w:r>
        <w:rPr>
          <w:spacing w:val="-51"/>
        </w:rPr>
        <w:t> </w:t>
      </w:r>
      <w:r>
        <w:rPr>
          <w:spacing w:val="-51"/>
        </w:rPr>
      </w:r>
      <w:r>
        <w:rPr/>
        <w:t>及数十家家区域性商业银行和农村信用社以及港澳台地区银行提供相关</w:t>
      </w:r>
      <w:r>
        <w:rPr>
          <w:rFonts w:ascii="Times New Roman" w:hAnsi="Times New Roman" w:cs="Times New Roman" w:eastAsia="Times New Roman" w:hint="default"/>
        </w:rPr>
        <w:t>IT</w:t>
      </w:r>
      <w:r>
        <w:rPr/>
        <w:t>产品和服务</w:t>
      </w:r>
      <w:r>
        <w:rPr>
          <w:rFonts w:ascii="Times New Roman" w:hAnsi="Times New Roman" w:cs="Times New Roman" w:eastAsia="Times New Roman" w:hint="default"/>
        </w:rPr>
        <w:t>;</w:t>
      </w:r>
      <w:r>
        <w:rPr/>
        <w:t>同时也为数十家保</w:t>
      </w:r>
      <w:r>
        <w:rPr>
          <w:spacing w:val="24"/>
        </w:rPr>
        <w:t> </w:t>
      </w:r>
      <w:r>
        <w:rPr>
          <w:spacing w:val="24"/>
        </w:rPr>
      </w:r>
      <w:r>
        <w:rPr/>
        <w:t>险机构提供了多样化的产品和解决方案</w:t>
      </w:r>
      <w:r>
        <w:rPr>
          <w:rFonts w:ascii="Times New Roman" w:hAnsi="Times New Roman" w:cs="Times New Roman" w:eastAsia="Times New Roman" w:hint="default"/>
        </w:rPr>
        <w:t>,</w:t>
      </w:r>
      <w:r>
        <w:rPr/>
        <w:t>在行业内拥有较高的品牌声誉。</w:t>
      </w:r>
    </w:p>
    <w:p>
      <w:pPr>
        <w:pStyle w:val="BodyText"/>
        <w:spacing w:line="264" w:lineRule="auto" w:before="0"/>
        <w:ind w:right="1124" w:firstLine="422"/>
        <w:jc w:val="both"/>
      </w:pPr>
      <w:r>
        <w:rPr>
          <w:rFonts w:ascii="宋体" w:hAnsi="宋体" w:cs="宋体" w:eastAsia="宋体" w:hint="default"/>
          <w:b/>
          <w:bCs/>
          <w:spacing w:val="-1"/>
        </w:rPr>
        <w:t>（</w:t>
      </w:r>
      <w:r>
        <w:rPr>
          <w:rFonts w:ascii="Times New Roman" w:hAnsi="Times New Roman" w:cs="Times New Roman" w:eastAsia="Times New Roman" w:hint="default"/>
          <w:b/>
          <w:bCs/>
          <w:spacing w:val="-1"/>
        </w:rPr>
        <w:t>1</w:t>
      </w:r>
      <w:r>
        <w:rPr>
          <w:rFonts w:ascii="宋体" w:hAnsi="宋体" w:cs="宋体" w:eastAsia="宋体" w:hint="default"/>
          <w:b/>
          <w:bCs/>
          <w:spacing w:val="-1"/>
        </w:rPr>
        <w:t>）金融</w:t>
      </w:r>
      <w:r>
        <w:rPr>
          <w:rFonts w:ascii="Times New Roman" w:hAnsi="Times New Roman" w:cs="Times New Roman" w:eastAsia="Times New Roman" w:hint="default"/>
          <w:b/>
          <w:bCs/>
          <w:spacing w:val="-1"/>
        </w:rPr>
        <w:t>IT</w:t>
      </w:r>
      <w:r>
        <w:rPr>
          <w:rFonts w:ascii="宋体" w:hAnsi="宋体" w:cs="宋体" w:eastAsia="宋体" w:hint="default"/>
          <w:b/>
          <w:bCs/>
          <w:spacing w:val="-1"/>
        </w:rPr>
        <w:t>服务。</w:t>
      </w:r>
      <w:r>
        <w:rPr>
          <w:spacing w:val="-1"/>
        </w:rPr>
        <w:t>公司以银行</w:t>
      </w:r>
      <w:r>
        <w:rPr>
          <w:spacing w:val="-1"/>
          <w:sz w:val="22"/>
          <w:szCs w:val="22"/>
        </w:rPr>
        <w:t>、保险公司</w:t>
      </w:r>
      <w:r>
        <w:rPr>
          <w:spacing w:val="-1"/>
        </w:rPr>
        <w:t>为主要客户，通过招投标或框架协议方式提供软件销售、</w:t>
      </w:r>
      <w:r>
        <w:rPr>
          <w:w w:val="100"/>
        </w:rPr>
        <w:t> </w:t>
      </w:r>
      <w:r>
        <w:rPr/>
        <w:t>软件开发及服务。公司通过业务</w:t>
      </w:r>
      <w:r>
        <w:rPr>
          <w:rFonts w:ascii="宋体" w:hAnsi="宋体" w:cs="宋体" w:eastAsia="宋体" w:hint="default"/>
        </w:rPr>
        <w:t>/</w:t>
      </w:r>
      <w:r>
        <w:rPr/>
        <w:t>技术咨询，产品销售，技术开发及人员外包等形式，为客户提供咨询、</w:t>
      </w:r>
      <w:r>
        <w:rPr>
          <w:spacing w:val="-29"/>
        </w:rPr>
        <w:t> </w:t>
      </w:r>
      <w:r>
        <w:rPr>
          <w:spacing w:val="-29"/>
        </w:rPr>
      </w:r>
      <w:r>
        <w:rPr>
          <w:spacing w:val="-3"/>
        </w:rPr>
        <w:t>方案设计、系统实施及相关技术服务。公司在自主研发的软件产品基础上，根据大型</w:t>
      </w:r>
      <w:r>
        <w:rPr>
          <w:spacing w:val="-3"/>
          <w:sz w:val="22"/>
          <w:szCs w:val="22"/>
        </w:rPr>
        <w:t>金融</w:t>
      </w:r>
      <w:r>
        <w:rPr>
          <w:spacing w:val="-3"/>
        </w:rPr>
        <w:t>客户的个性化需</w:t>
      </w:r>
      <w:r>
        <w:rPr>
          <w:spacing w:val="-10"/>
        </w:rPr>
        <w:t> </w:t>
      </w:r>
      <w:r>
        <w:rPr>
          <w:spacing w:val="-10"/>
        </w:rPr>
      </w:r>
      <w:r>
        <w:rPr>
          <w:spacing w:val="-2"/>
        </w:rPr>
        <w:t>求进行二次开发。公司的盈利模式主要分为应用软件产品定制化开发及服务、运营分成、系统集成及服务</w:t>
      </w:r>
      <w:r>
        <w:rPr>
          <w:spacing w:val="-33"/>
        </w:rPr>
        <w:t> </w:t>
      </w:r>
      <w:r>
        <w:rPr>
          <w:spacing w:val="-33"/>
        </w:rPr>
      </w:r>
      <w:r>
        <w:rPr/>
        <w:t>等收费模式。</w:t>
      </w:r>
    </w:p>
    <w:p>
      <w:pPr>
        <w:pStyle w:val="BodyText"/>
        <w:spacing w:line="264" w:lineRule="auto" w:before="16"/>
        <w:ind w:right="1081" w:firstLine="422"/>
        <w:jc w:val="both"/>
      </w:pPr>
      <w:r>
        <w:rPr>
          <w:rFonts w:ascii="宋体" w:hAnsi="宋体" w:cs="宋体" w:eastAsia="宋体" w:hint="default"/>
          <w:b/>
          <w:bCs/>
          <w:spacing w:val="-4"/>
          <w:w w:val="100"/>
        </w:rPr>
        <w:t>（</w:t>
      </w:r>
      <w:r>
        <w:rPr>
          <w:rFonts w:ascii="Times New Roman" w:hAnsi="Times New Roman" w:cs="Times New Roman" w:eastAsia="Times New Roman" w:hint="default"/>
          <w:b/>
          <w:bCs/>
          <w:spacing w:val="-4"/>
          <w:w w:val="100"/>
        </w:rPr>
        <w:t>2</w:t>
      </w:r>
      <w:r>
        <w:rPr>
          <w:rFonts w:ascii="宋体" w:hAnsi="宋体" w:cs="宋体" w:eastAsia="宋体" w:hint="default"/>
          <w:b/>
          <w:bCs/>
          <w:spacing w:val="-4"/>
          <w:w w:val="100"/>
        </w:rPr>
        <w:t>）金融服务外包（</w:t>
      </w:r>
      <w:r>
        <w:rPr>
          <w:rFonts w:ascii="Times New Roman" w:hAnsi="Times New Roman" w:cs="Times New Roman" w:eastAsia="Times New Roman" w:hint="default"/>
          <w:b/>
          <w:bCs/>
          <w:spacing w:val="-4"/>
          <w:w w:val="100"/>
        </w:rPr>
        <w:t>BPO</w:t>
      </w:r>
      <w:r>
        <w:rPr>
          <w:rFonts w:ascii="宋体" w:hAnsi="宋体" w:cs="宋体" w:eastAsia="宋体" w:hint="default"/>
          <w:b/>
          <w:bCs/>
          <w:spacing w:val="-4"/>
          <w:w w:val="100"/>
        </w:rPr>
        <w:t>）。</w:t>
      </w:r>
      <w:r>
        <w:rPr>
          <w:spacing w:val="-4"/>
          <w:w w:val="100"/>
        </w:rPr>
        <w:t>为银行、消费金融公司的金融客户提供风控、营销、获客等运营服务，</w:t>
      </w:r>
      <w:r>
        <w:rPr>
          <w:w w:val="100"/>
        </w:rPr>
        <w:t> </w:t>
      </w:r>
      <w:r>
        <w:rPr>
          <w:spacing w:val="-2"/>
        </w:rPr>
        <w:t>拥有自主研发的电催机器人、智能质检员、智慧运营云平台等来实现人机耦合作业。公司在业务流程外包</w:t>
      </w:r>
      <w:r>
        <w:rPr>
          <w:spacing w:val="-33"/>
        </w:rPr>
        <w:t> </w:t>
      </w:r>
      <w:r>
        <w:rPr>
          <w:spacing w:val="-33"/>
        </w:rPr>
      </w:r>
      <w:r>
        <w:rPr/>
        <w:t>领域处于国内领先水平，是国内银行信用卡电催、电销业务主要的外包运营服务商之一。</w:t>
      </w:r>
    </w:p>
    <w:p>
      <w:pPr>
        <w:pStyle w:val="BodyText"/>
        <w:spacing w:line="266" w:lineRule="auto" w:before="16"/>
        <w:ind w:right="1106" w:firstLine="422"/>
        <w:jc w:val="right"/>
      </w:pPr>
      <w:r>
        <w:rPr>
          <w:rFonts w:ascii="宋体" w:hAnsi="宋体" w:cs="宋体" w:eastAsia="宋体" w:hint="default"/>
          <w:b/>
          <w:bCs/>
          <w:spacing w:val="-2"/>
        </w:rPr>
        <w:t>公安行业板块。</w:t>
      </w:r>
      <w:r>
        <w:rPr>
          <w:spacing w:val="-2"/>
        </w:rPr>
        <w:t>公司深耕公安行业</w:t>
      </w:r>
      <w:r>
        <w:rPr>
          <w:rFonts w:ascii="Times New Roman" w:hAnsi="Times New Roman" w:cs="Times New Roman" w:eastAsia="Times New Roman" w:hint="default"/>
          <w:spacing w:val="-2"/>
        </w:rPr>
        <w:t>20</w:t>
      </w:r>
      <w:r>
        <w:rPr>
          <w:spacing w:val="-2"/>
        </w:rPr>
        <w:t>余年，对公安市场与业务有深刻的理解，并多年来加大对警务云</w:t>
      </w:r>
      <w:r>
        <w:rPr>
          <w:w w:val="100"/>
        </w:rPr>
        <w:t> </w:t>
      </w:r>
      <w:r>
        <w:rPr>
          <w:spacing w:val="-2"/>
        </w:rPr>
        <w:t>大数据、基于大数据的通用工具和面向各警种的应用的研发投入；目前已形成的核心产品有：警务云大数</w:t>
      </w:r>
      <w:r>
        <w:rPr>
          <w:spacing w:val="-64"/>
        </w:rPr>
        <w:t> </w:t>
      </w:r>
      <w:r>
        <w:rPr>
          <w:spacing w:val="-64"/>
        </w:rPr>
      </w:r>
      <w:r>
        <w:rPr>
          <w:spacing w:val="-2"/>
        </w:rPr>
        <w:t>据平台、情指行一体化平台、新一代出入境管理软件、轨道交通公共安全综合作战平台、数字派出所等；</w:t>
      </w:r>
      <w:r>
        <w:rPr>
          <w:spacing w:val="-24"/>
        </w:rPr>
        <w:t> </w:t>
      </w:r>
      <w:r>
        <w:rPr>
          <w:spacing w:val="-24"/>
        </w:rPr>
      </w:r>
      <w:r>
        <w:rPr>
          <w:spacing w:val="-2"/>
        </w:rPr>
        <w:t>公司借助在公安行业经验及技术积累，已实现了政法、城市应急、安全生产等公共安全相关行业的延伸。</w:t>
      </w:r>
      <w:r>
        <w:rPr>
          <w:spacing w:val="-24"/>
        </w:rPr>
        <w:t> </w:t>
      </w:r>
      <w:r>
        <w:rPr>
          <w:spacing w:val="-24"/>
        </w:rPr>
      </w:r>
      <w:r>
        <w:rPr>
          <w:rFonts w:ascii="宋体" w:hAnsi="宋体" w:cs="宋体" w:eastAsia="宋体" w:hint="default"/>
          <w:b/>
          <w:bCs/>
          <w:spacing w:val="-2"/>
        </w:rPr>
        <w:t>云与智能板块。</w:t>
      </w:r>
      <w:r>
        <w:rPr>
          <w:spacing w:val="-2"/>
        </w:rPr>
        <w:t>公司基于云计算、大数据和人工智能技术的核心能力，与国内主流云服务商合作，聚</w:t>
      </w:r>
      <w:r>
        <w:rPr>
          <w:w w:val="100"/>
        </w:rPr>
        <w:t> </w:t>
      </w:r>
      <w:r>
        <w:rPr/>
        <w:t>焦相关重点行业，使能政府和大型企业云化、数字化和智能化转型。板块主要业务有：</w:t>
      </w:r>
      <w:r>
        <w:rPr>
          <w:rFonts w:ascii="Times New Roman" w:hAnsi="Times New Roman" w:cs="Times New Roman" w:eastAsia="Times New Roman" w:hint="default"/>
        </w:rPr>
        <w:t>1</w:t>
      </w:r>
      <w:r>
        <w:rPr/>
        <w:t>、企业上云咨询</w:t>
      </w:r>
      <w:r>
        <w:rPr>
          <w:spacing w:val="-68"/>
        </w:rPr>
        <w:t> </w:t>
      </w:r>
      <w:r>
        <w:rPr>
          <w:spacing w:val="-68"/>
        </w:rPr>
      </w:r>
      <w:r>
        <w:rPr>
          <w:spacing w:val="-2"/>
        </w:rPr>
        <w:t>与技术服务，帮助政企客户从传统架构迁移到云架构上；</w:t>
      </w:r>
      <w:r>
        <w:rPr>
          <w:rFonts w:ascii="Times New Roman" w:hAnsi="Times New Roman" w:cs="Times New Roman" w:eastAsia="Times New Roman" w:hint="default"/>
          <w:spacing w:val="-2"/>
        </w:rPr>
        <w:t>2</w:t>
      </w:r>
      <w:r>
        <w:rPr>
          <w:spacing w:val="-2"/>
        </w:rPr>
        <w:t>、业务和数据双中台建设；</w:t>
      </w:r>
      <w:r>
        <w:rPr>
          <w:rFonts w:ascii="Times New Roman" w:hAnsi="Times New Roman" w:cs="Times New Roman" w:eastAsia="Times New Roman" w:hint="default"/>
          <w:spacing w:val="-2"/>
        </w:rPr>
        <w:t>3</w:t>
      </w:r>
      <w:r>
        <w:rPr>
          <w:spacing w:val="-2"/>
        </w:rPr>
        <w:t>、数字政府、数字</w:t>
      </w:r>
      <w:r>
        <w:rPr>
          <w:spacing w:val="-66"/>
        </w:rPr>
        <w:t> </w:t>
      </w:r>
      <w:r>
        <w:rPr>
          <w:spacing w:val="-66"/>
        </w:rPr>
      </w:r>
      <w:r>
        <w:rPr>
          <w:spacing w:val="-2"/>
        </w:rPr>
        <w:t>化采购、智能客服、智慧零售等解决方案。云与智能板块已拓展政府、金融、航运、航空、电力、交通、</w:t>
      </w:r>
    </w:p>
    <w:p>
      <w:pPr>
        <w:pStyle w:val="BodyText"/>
        <w:spacing w:line="273" w:lineRule="auto" w:before="14"/>
        <w:ind w:left="535" w:right="1007" w:hanging="423"/>
        <w:jc w:val="left"/>
      </w:pPr>
      <w:r>
        <w:rPr/>
        <w:t>军工、石油等行业。</w:t>
      </w:r>
      <w:r>
        <w:rPr>
          <w:spacing w:val="-100"/>
        </w:rPr>
        <w:t> </w:t>
      </w:r>
      <w:r>
        <w:rPr>
          <w:spacing w:val="-100"/>
        </w:rPr>
      </w:r>
      <w:r>
        <w:rPr>
          <w:rFonts w:ascii="宋体" w:hAnsi="宋体" w:cs="宋体" w:eastAsia="宋体" w:hint="default"/>
          <w:b/>
          <w:bCs/>
          <w:spacing w:val="-2"/>
        </w:rPr>
        <w:t>网络产品分销及服务</w:t>
      </w:r>
      <w:r>
        <w:rPr>
          <w:spacing w:val="-2"/>
        </w:rPr>
        <w:t>。公司控股子公司金华威是华为政企业务总经销商，主营业务是为政企客户提供</w:t>
      </w:r>
    </w:p>
    <w:p>
      <w:pPr>
        <w:spacing w:after="0" w:line="273"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61" w:lineRule="auto" w:before="36"/>
        <w:ind w:right="1125"/>
        <w:jc w:val="both"/>
      </w:pPr>
      <w:r>
        <w:rPr>
          <w:rFonts w:ascii="Times New Roman" w:hAnsi="Times New Roman" w:cs="Times New Roman" w:eastAsia="Times New Roman" w:hint="default"/>
        </w:rPr>
        <w:t>ICT</w:t>
      </w:r>
      <w:r>
        <w:rPr/>
        <w:t>产品及增值服务。销售的产品包括网络、存储、服务器、视频会议和视频监控等，其中视频类产品在</w:t>
      </w:r>
      <w:r>
        <w:rPr>
          <w:spacing w:val="-53"/>
        </w:rPr>
        <w:t> </w:t>
      </w:r>
      <w:r>
        <w:rPr>
          <w:spacing w:val="-53"/>
        </w:rPr>
      </w:r>
      <w:r>
        <w:rPr/>
        <w:t>华为总经销商中占比第一。金华威公司建立了覆盖全国的销售和服务网络，形成了</w:t>
      </w:r>
      <w:r>
        <w:rPr>
          <w:rFonts w:ascii="Times New Roman" w:hAnsi="Times New Roman" w:cs="Times New Roman" w:eastAsia="Times New Roman" w:hint="default"/>
        </w:rPr>
        <w:t>ICT</w:t>
      </w:r>
      <w:r>
        <w:rPr/>
        <w:t>产品及解决方案全</w:t>
      </w:r>
      <w:r>
        <w:rPr>
          <w:spacing w:val="-50"/>
        </w:rPr>
        <w:t> </w:t>
      </w:r>
      <w:r>
        <w:rPr>
          <w:spacing w:val="-2"/>
        </w:rPr>
        <w:t>销售过程的技术支持能力，获得华为公司的高度认可。金华威伴随着华为政企业务成长而快速成长，在规</w:t>
      </w:r>
      <w:r>
        <w:rPr>
          <w:spacing w:val="-34"/>
        </w:rPr>
        <w:t> </w:t>
      </w:r>
      <w:r>
        <w:rPr>
          <w:spacing w:val="-34"/>
        </w:rPr>
      </w:r>
      <w:r>
        <w:rPr/>
        <w:t>模上已形成为公司业务板块之一。</w:t>
      </w:r>
    </w:p>
    <w:p>
      <w:pPr>
        <w:spacing w:line="357" w:lineRule="auto" w:before="138"/>
        <w:ind w:left="535" w:right="100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、软件及服务的经营模式</w:t>
      </w:r>
      <w:r>
        <w:rPr>
          <w:rFonts w:ascii="宋体" w:hAnsi="宋体" w:cs="宋体" w:eastAsia="宋体" w:hint="default"/>
          <w:b/>
          <w:bCs/>
          <w:spacing w:val="-102"/>
          <w:sz w:val="21"/>
          <w:szCs w:val="21"/>
        </w:rPr>
        <w:t> </w:t>
      </w:r>
      <w:r>
        <w:rPr>
          <w:rFonts w:ascii="宋体" w:hAnsi="宋体" w:cs="宋体" w:eastAsia="宋体" w:hint="default"/>
          <w:b/>
          <w:bCs/>
          <w:spacing w:val="-2"/>
          <w:sz w:val="21"/>
          <w:szCs w:val="21"/>
        </w:rPr>
        <w:t>大型应用软件开发和软件产品销售。</w:t>
      </w:r>
      <w:r>
        <w:rPr>
          <w:rFonts w:ascii="宋体" w:hAnsi="宋体" w:cs="宋体" w:eastAsia="宋体" w:hint="default"/>
          <w:spacing w:val="-2"/>
          <w:sz w:val="21"/>
          <w:szCs w:val="21"/>
        </w:rPr>
        <w:t>随着大数据、人工智能、</w:t>
      </w:r>
      <w:r>
        <w:rPr>
          <w:rFonts w:ascii="宋体" w:hAnsi="宋体" w:cs="宋体" w:eastAsia="宋体" w:hint="default"/>
          <w:spacing w:val="-2"/>
          <w:sz w:val="21"/>
          <w:szCs w:val="21"/>
        </w:rPr>
        <w:t>5G</w:t>
      </w:r>
      <w:r>
        <w:rPr>
          <w:rFonts w:ascii="宋体" w:hAnsi="宋体" w:cs="宋体" w:eastAsia="宋体" w:hint="default"/>
          <w:spacing w:val="-2"/>
          <w:sz w:val="21"/>
          <w:szCs w:val="21"/>
        </w:rPr>
        <w:t>等先进</w:t>
      </w:r>
      <w:r>
        <w:rPr>
          <w:rFonts w:ascii="宋体" w:hAnsi="宋体" w:cs="宋体" w:eastAsia="宋体" w:hint="default"/>
          <w:spacing w:val="-2"/>
          <w:sz w:val="21"/>
          <w:szCs w:val="21"/>
        </w:rPr>
        <w:t>IT</w:t>
      </w:r>
      <w:r>
        <w:rPr>
          <w:rFonts w:ascii="宋体" w:hAnsi="宋体" w:cs="宋体" w:eastAsia="宋体" w:hint="default"/>
          <w:spacing w:val="-2"/>
          <w:sz w:val="21"/>
          <w:szCs w:val="21"/>
        </w:rPr>
        <w:t>技术的发展，公司主要行业</w:t>
      </w:r>
    </w:p>
    <w:p>
      <w:pPr>
        <w:pStyle w:val="BodyText"/>
        <w:spacing w:line="209" w:lineRule="exact" w:before="0"/>
        <w:ind w:right="0"/>
        <w:jc w:val="both"/>
      </w:pPr>
      <w:r>
        <w:rPr/>
        <w:t>客户的系统架构、数据中台、业务中台、业务生态均发生很大变化，引导客户或根据客户需求，为客户提</w:t>
      </w:r>
    </w:p>
    <w:p>
      <w:pPr>
        <w:pStyle w:val="BodyText"/>
        <w:spacing w:line="273" w:lineRule="auto" w:before="37"/>
        <w:ind w:right="1122"/>
        <w:jc w:val="both"/>
      </w:pPr>
      <w:r>
        <w:rPr>
          <w:spacing w:val="-2"/>
        </w:rPr>
        <w:t>供基于以上需求的大型应用软件及平台的研发，公司在相关项目满足客户需求后按照项目进度获得销售收</w:t>
      </w:r>
      <w:r>
        <w:rPr>
          <w:spacing w:val="-33"/>
        </w:rPr>
        <w:t> </w:t>
      </w:r>
      <w:r>
        <w:rPr>
          <w:spacing w:val="-33"/>
        </w:rPr>
      </w:r>
      <w:r>
        <w:rPr>
          <w:spacing w:val="-2"/>
        </w:rPr>
        <w:t>入；基于创新技术研究和行业业务需求，形成了自有知识产权的应用软件产品，实现软件产品销售。大型</w:t>
      </w:r>
      <w:r>
        <w:rPr>
          <w:spacing w:val="-29"/>
        </w:rPr>
        <w:t> </w:t>
      </w:r>
      <w:r>
        <w:rPr>
          <w:spacing w:val="-29"/>
        </w:rPr>
      </w:r>
      <w:r>
        <w:rPr/>
        <w:t>应用软件开发及软件产品销售是公司最主要业务模式，并应用于公司覆盖的相关行业。</w:t>
      </w:r>
    </w:p>
    <w:p>
      <w:pPr>
        <w:pStyle w:val="BodyText"/>
        <w:spacing w:line="273" w:lineRule="auto"/>
        <w:ind w:right="1125" w:firstLine="422"/>
        <w:jc w:val="both"/>
      </w:pPr>
      <w:r>
        <w:rPr>
          <w:rFonts w:ascii="宋体" w:hAnsi="宋体" w:cs="宋体" w:eastAsia="宋体" w:hint="default"/>
          <w:b/>
          <w:bCs/>
          <w:spacing w:val="-2"/>
        </w:rPr>
        <w:t>技术服务。</w:t>
      </w:r>
      <w:r>
        <w:rPr>
          <w:spacing w:val="-2"/>
        </w:rPr>
        <w:t>基于客户对行业和技术能力的需求为客户提供咨询、规划和技术服务，提供技术服务的需</w:t>
      </w:r>
      <w:r>
        <w:rPr>
          <w:w w:val="100"/>
        </w:rPr>
        <w:t> </w:t>
      </w:r>
      <w:r>
        <w:rPr/>
        <w:t>求主体主要是大型国有银行或股份制银行为主的金融行业。</w:t>
      </w:r>
    </w:p>
    <w:p>
      <w:pPr>
        <w:pStyle w:val="BodyText"/>
        <w:spacing w:line="273" w:lineRule="auto"/>
        <w:ind w:right="1123" w:firstLine="422"/>
        <w:jc w:val="both"/>
      </w:pPr>
      <w:r>
        <w:rPr>
          <w:rFonts w:ascii="宋体" w:hAnsi="宋体" w:cs="宋体" w:eastAsia="宋体" w:hint="default"/>
          <w:b/>
          <w:bCs/>
          <w:spacing w:val="-2"/>
        </w:rPr>
        <w:t>运营服务。</w:t>
      </w:r>
      <w:r>
        <w:rPr>
          <w:spacing w:val="-2"/>
        </w:rPr>
        <w:t>公司提供数字化产品在电信运营商</w:t>
      </w:r>
      <w:r>
        <w:rPr>
          <w:rFonts w:ascii="宋体" w:hAnsi="宋体" w:cs="宋体" w:eastAsia="宋体" w:hint="default"/>
          <w:spacing w:val="-2"/>
        </w:rPr>
        <w:t>4G</w:t>
      </w:r>
      <w:r>
        <w:rPr>
          <w:spacing w:val="-2"/>
        </w:rPr>
        <w:t>或</w:t>
      </w:r>
      <w:r>
        <w:rPr>
          <w:rFonts w:ascii="宋体" w:hAnsi="宋体" w:cs="宋体" w:eastAsia="宋体" w:hint="default"/>
          <w:spacing w:val="-2"/>
        </w:rPr>
        <w:t>5G</w:t>
      </w:r>
      <w:r>
        <w:rPr>
          <w:spacing w:val="-2"/>
        </w:rPr>
        <w:t>的场景下应用，产生的收入与运营商按约定的比</w:t>
      </w:r>
      <w:r>
        <w:rPr>
          <w:w w:val="100"/>
        </w:rPr>
        <w:t> </w:t>
      </w:r>
      <w:r>
        <w:rPr>
          <w:spacing w:val="-2"/>
        </w:rPr>
        <w:t>例分成；公司提供数字化产品在互联网电商的平台上应用，电商客户付费后，与电商平台按约定的比例分</w:t>
      </w:r>
      <w:r>
        <w:rPr>
          <w:spacing w:val="-33"/>
        </w:rPr>
        <w:t> </w:t>
      </w:r>
      <w:r>
        <w:rPr>
          <w:spacing w:val="-33"/>
        </w:rPr>
      </w:r>
      <w:r>
        <w:rPr>
          <w:spacing w:val="-2"/>
        </w:rPr>
        <w:t>成；为以银行为主的金融客户提供风控、营销、获客等运营服务，金融客户按运营的效果付费，公司拥有</w:t>
      </w:r>
      <w:r>
        <w:rPr>
          <w:spacing w:val="-38"/>
        </w:rPr>
        <w:t> </w:t>
      </w:r>
      <w:r>
        <w:rPr>
          <w:spacing w:val="-38"/>
        </w:rPr>
      </w:r>
      <w:r>
        <w:rPr/>
        <w:t>自主研发的催收机器人、智能质检员、智慧运营云平台等来实现人机耦合作业。</w:t>
      </w:r>
    </w:p>
    <w:p>
      <w:pPr>
        <w:spacing w:line="240" w:lineRule="auto" w:before="5"/>
        <w:rPr>
          <w:rFonts w:ascii="宋体" w:hAnsi="宋体" w:cs="宋体" w:eastAsia="宋体" w:hint="default"/>
          <w:sz w:val="21"/>
          <w:szCs w:val="21"/>
        </w:rPr>
      </w:pPr>
    </w:p>
    <w:p>
      <w:pPr>
        <w:pStyle w:val="Heading2"/>
        <w:spacing w:line="240" w:lineRule="auto"/>
        <w:ind w:right="0"/>
        <w:jc w:val="both"/>
        <w:rPr>
          <w:b w:val="0"/>
          <w:bCs w:val="0"/>
        </w:rPr>
      </w:pPr>
      <w:bookmarkStart w:name="二、主要资产重大变化情况" w:id="17"/>
      <w:bookmarkEnd w:id="17"/>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主要资产重大变化情况" w:id="18"/>
      <w:bookmarkEnd w:id="18"/>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054"/>
        <w:gridCol w:w="6516"/>
      </w:tblGrid>
      <w:tr>
        <w:trPr>
          <w:trHeight w:val="76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4"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39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716"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100" w:right="127"/>
              <w:jc w:val="left"/>
              <w:rPr>
                <w:rFonts w:ascii="宋体" w:hAnsi="宋体" w:cs="宋体" w:eastAsia="宋体" w:hint="default"/>
                <w:sz w:val="18"/>
                <w:szCs w:val="18"/>
              </w:rPr>
            </w:pPr>
            <w:r>
              <w:rPr>
                <w:rFonts w:ascii="宋体" w:hAnsi="宋体" w:cs="宋体" w:eastAsia="宋体" w:hint="default"/>
                <w:sz w:val="18"/>
                <w:szCs w:val="18"/>
              </w:rPr>
              <w:t>年末比年初余额增加</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17,276.54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万元，增长</w:t>
            </w:r>
            <w:r>
              <w:rPr>
                <w:rFonts w:ascii="宋体" w:hAnsi="宋体" w:cs="宋体" w:eastAsia="宋体" w:hint="default"/>
                <w:spacing w:val="-30"/>
                <w:sz w:val="18"/>
                <w:szCs w:val="18"/>
              </w:rPr>
              <w:t> </w:t>
            </w:r>
            <w:r>
              <w:rPr>
                <w:rFonts w:ascii="Times New Roman" w:hAnsi="Times New Roman" w:cs="Times New Roman" w:eastAsia="Times New Roman" w:hint="default"/>
                <w:spacing w:val="-3"/>
                <w:sz w:val="18"/>
                <w:szCs w:val="18"/>
              </w:rPr>
              <w:t>56.91%</w:t>
            </w:r>
            <w:r>
              <w:rPr>
                <w:rFonts w:ascii="宋体" w:hAnsi="宋体" w:cs="宋体" w:eastAsia="宋体" w:hint="default"/>
                <w:spacing w:val="-3"/>
                <w:sz w:val="18"/>
                <w:szCs w:val="18"/>
              </w:rPr>
              <w:t>，主要原因是融资保证金和年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底收款增加。</w:t>
            </w:r>
          </w:p>
        </w:tc>
      </w:tr>
      <w:tr>
        <w:trPr>
          <w:trHeight w:val="715"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0" w:right="94"/>
              <w:jc w:val="left"/>
              <w:rPr>
                <w:rFonts w:ascii="宋体" w:hAnsi="宋体" w:cs="宋体" w:eastAsia="宋体" w:hint="default"/>
                <w:sz w:val="18"/>
                <w:szCs w:val="18"/>
              </w:rPr>
            </w:pPr>
            <w:r>
              <w:rPr>
                <w:rFonts w:ascii="宋体" w:hAnsi="宋体" w:cs="宋体" w:eastAsia="宋体" w:hint="default"/>
                <w:sz w:val="18"/>
                <w:szCs w:val="18"/>
              </w:rPr>
              <w:t>年末比年初余额增加</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35,519.67</w:t>
            </w:r>
            <w:r>
              <w:rPr>
                <w:rFonts w:ascii="Times New Roman" w:hAnsi="Times New Roman" w:cs="Times New Roman" w:eastAsia="Times New Roman" w:hint="default"/>
                <w:spacing w:val="17"/>
                <w:sz w:val="18"/>
                <w:szCs w:val="18"/>
              </w:rPr>
              <w:t> </w:t>
            </w:r>
            <w:r>
              <w:rPr>
                <w:rFonts w:ascii="宋体" w:hAnsi="宋体" w:cs="宋体" w:eastAsia="宋体" w:hint="default"/>
                <w:spacing w:val="-8"/>
                <w:sz w:val="18"/>
                <w:szCs w:val="18"/>
              </w:rPr>
              <w:t>万元，增长</w:t>
            </w:r>
            <w:r>
              <w:rPr>
                <w:rFonts w:ascii="宋体" w:hAnsi="宋体" w:cs="宋体" w:eastAsia="宋体" w:hint="default"/>
                <w:spacing w:val="-28"/>
                <w:sz w:val="18"/>
                <w:szCs w:val="18"/>
              </w:rPr>
              <w:t> </w:t>
            </w:r>
            <w:r>
              <w:rPr>
                <w:rFonts w:ascii="Times New Roman" w:hAnsi="Times New Roman" w:cs="Times New Roman" w:eastAsia="Times New Roman" w:hint="default"/>
                <w:spacing w:val="-4"/>
                <w:sz w:val="18"/>
                <w:szCs w:val="18"/>
              </w:rPr>
              <w:t>364.53%</w:t>
            </w:r>
            <w:r>
              <w:rPr>
                <w:rFonts w:ascii="宋体" w:hAnsi="宋体" w:cs="宋体" w:eastAsia="宋体" w:hint="default"/>
                <w:spacing w:val="-4"/>
                <w:sz w:val="18"/>
                <w:szCs w:val="18"/>
              </w:rPr>
              <w:t>，主要原因是网络产品销售采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购预付款增加。</w:t>
            </w:r>
          </w:p>
        </w:tc>
      </w:tr>
      <w:tr>
        <w:trPr>
          <w:trHeight w:val="711"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0" w:right="127"/>
              <w:jc w:val="left"/>
              <w:rPr>
                <w:rFonts w:ascii="宋体" w:hAnsi="宋体" w:cs="宋体" w:eastAsia="宋体" w:hint="default"/>
                <w:sz w:val="18"/>
                <w:szCs w:val="18"/>
              </w:rPr>
            </w:pPr>
            <w:r>
              <w:rPr>
                <w:rFonts w:ascii="宋体" w:hAnsi="宋体" w:cs="宋体" w:eastAsia="宋体" w:hint="default"/>
                <w:sz w:val="18"/>
                <w:szCs w:val="18"/>
              </w:rPr>
              <w:t>年末比年初余额增加</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35,127.22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万元，增长</w:t>
            </w:r>
            <w:r>
              <w:rPr>
                <w:rFonts w:ascii="宋体" w:hAnsi="宋体" w:cs="宋体" w:eastAsia="宋体" w:hint="default"/>
                <w:spacing w:val="-30"/>
                <w:sz w:val="18"/>
                <w:szCs w:val="18"/>
              </w:rPr>
              <w:t> </w:t>
            </w:r>
            <w:r>
              <w:rPr>
                <w:rFonts w:ascii="Times New Roman" w:hAnsi="Times New Roman" w:cs="Times New Roman" w:eastAsia="Times New Roman" w:hint="default"/>
                <w:spacing w:val="-3"/>
                <w:sz w:val="18"/>
                <w:szCs w:val="18"/>
              </w:rPr>
              <w:t>40.72%</w:t>
            </w:r>
            <w:r>
              <w:rPr>
                <w:rFonts w:ascii="宋体" w:hAnsi="宋体" w:cs="宋体" w:eastAsia="宋体" w:hint="default"/>
                <w:spacing w:val="-3"/>
                <w:sz w:val="18"/>
                <w:szCs w:val="18"/>
              </w:rPr>
              <w:t>，主要原因是网络产品销售备</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货增加</w:t>
            </w:r>
          </w:p>
        </w:tc>
      </w:tr>
      <w:tr>
        <w:trPr>
          <w:trHeight w:val="715"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100" w:right="171"/>
              <w:jc w:val="left"/>
              <w:rPr>
                <w:rFonts w:ascii="宋体" w:hAnsi="宋体" w:cs="宋体" w:eastAsia="宋体" w:hint="default"/>
                <w:sz w:val="18"/>
                <w:szCs w:val="18"/>
              </w:rPr>
            </w:pPr>
            <w:r>
              <w:rPr>
                <w:rFonts w:ascii="宋体" w:hAnsi="宋体" w:cs="宋体" w:eastAsia="宋体" w:hint="default"/>
                <w:sz w:val="18"/>
                <w:szCs w:val="18"/>
              </w:rPr>
              <w:t>年末比年初余额增加</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494.83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万元，增长</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36.94%</w:t>
            </w:r>
            <w:r>
              <w:rPr>
                <w:rFonts w:ascii="宋体" w:hAnsi="宋体" w:cs="宋体" w:eastAsia="宋体" w:hint="default"/>
                <w:spacing w:val="-3"/>
                <w:sz w:val="18"/>
                <w:szCs w:val="18"/>
              </w:rPr>
              <w:t>，主要原因是待抵扣增值税进项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税增加</w:t>
            </w:r>
          </w:p>
        </w:tc>
      </w:tr>
      <w:tr>
        <w:trPr>
          <w:trHeight w:val="715"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100" w:right="94"/>
              <w:jc w:val="left"/>
              <w:rPr>
                <w:rFonts w:ascii="宋体" w:hAnsi="宋体" w:cs="宋体" w:eastAsia="宋体" w:hint="default"/>
                <w:sz w:val="18"/>
                <w:szCs w:val="18"/>
              </w:rPr>
            </w:pPr>
            <w:r>
              <w:rPr>
                <w:rFonts w:ascii="宋体" w:hAnsi="宋体" w:cs="宋体" w:eastAsia="宋体" w:hint="default"/>
                <w:sz w:val="18"/>
                <w:szCs w:val="18"/>
              </w:rPr>
              <w:t>年末比年初余额增加</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6,938.25</w:t>
            </w:r>
            <w:r>
              <w:rPr>
                <w:rFonts w:ascii="Times New Roman" w:hAnsi="Times New Roman" w:cs="Times New Roman" w:eastAsia="Times New Roman" w:hint="default"/>
                <w:spacing w:val="17"/>
                <w:sz w:val="18"/>
                <w:szCs w:val="18"/>
              </w:rPr>
              <w:t> </w:t>
            </w:r>
            <w:r>
              <w:rPr>
                <w:rFonts w:ascii="宋体" w:hAnsi="宋体" w:cs="宋体" w:eastAsia="宋体" w:hint="default"/>
                <w:spacing w:val="-8"/>
                <w:sz w:val="18"/>
                <w:szCs w:val="18"/>
              </w:rPr>
              <w:t>万元，增长</w:t>
            </w:r>
            <w:r>
              <w:rPr>
                <w:rFonts w:ascii="宋体" w:hAnsi="宋体" w:cs="宋体" w:eastAsia="宋体" w:hint="default"/>
                <w:spacing w:val="-28"/>
                <w:sz w:val="18"/>
                <w:szCs w:val="18"/>
              </w:rPr>
              <w:t> </w:t>
            </w:r>
            <w:r>
              <w:rPr>
                <w:rFonts w:ascii="Times New Roman" w:hAnsi="Times New Roman" w:cs="Times New Roman" w:eastAsia="Times New Roman" w:hint="default"/>
                <w:spacing w:val="-4"/>
                <w:sz w:val="18"/>
                <w:szCs w:val="18"/>
              </w:rPr>
              <w:t>49.61%</w:t>
            </w:r>
            <w:r>
              <w:rPr>
                <w:rFonts w:ascii="宋体" w:hAnsi="宋体" w:cs="宋体" w:eastAsia="宋体" w:hint="default"/>
                <w:spacing w:val="-4"/>
                <w:sz w:val="18"/>
                <w:szCs w:val="18"/>
              </w:rPr>
              <w:t>，主要原因是武汉子公司房产重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分类。</w:t>
            </w:r>
          </w:p>
        </w:tc>
      </w:tr>
      <w:tr>
        <w:trPr>
          <w:trHeight w:val="716"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4"/>
              <w:ind w:left="100" w:right="94"/>
              <w:jc w:val="left"/>
              <w:rPr>
                <w:rFonts w:ascii="宋体" w:hAnsi="宋体" w:cs="宋体" w:eastAsia="宋体" w:hint="default"/>
                <w:sz w:val="18"/>
                <w:szCs w:val="18"/>
              </w:rPr>
            </w:pPr>
            <w:r>
              <w:rPr>
                <w:rFonts w:ascii="宋体" w:hAnsi="宋体" w:cs="宋体" w:eastAsia="宋体" w:hint="default"/>
                <w:sz w:val="18"/>
                <w:szCs w:val="18"/>
              </w:rPr>
              <w:t>年末比年初余额增加</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4,099.26</w:t>
            </w:r>
            <w:r>
              <w:rPr>
                <w:rFonts w:ascii="Times New Roman" w:hAnsi="Times New Roman" w:cs="Times New Roman" w:eastAsia="Times New Roman" w:hint="default"/>
                <w:spacing w:val="18"/>
                <w:sz w:val="18"/>
                <w:szCs w:val="18"/>
              </w:rPr>
              <w:t> </w:t>
            </w:r>
            <w:r>
              <w:rPr>
                <w:rFonts w:ascii="宋体" w:hAnsi="宋体" w:cs="宋体" w:eastAsia="宋体" w:hint="default"/>
                <w:spacing w:val="-8"/>
                <w:sz w:val="18"/>
                <w:szCs w:val="18"/>
              </w:rPr>
              <w:t>万元，增长</w:t>
            </w:r>
            <w:r>
              <w:rPr>
                <w:rFonts w:ascii="宋体" w:hAnsi="宋体" w:cs="宋体" w:eastAsia="宋体" w:hint="default"/>
                <w:spacing w:val="-27"/>
                <w:sz w:val="18"/>
                <w:szCs w:val="18"/>
              </w:rPr>
              <w:t> </w:t>
            </w:r>
            <w:r>
              <w:rPr>
                <w:rFonts w:ascii="Times New Roman" w:hAnsi="Times New Roman" w:cs="Times New Roman" w:eastAsia="Times New Roman" w:hint="default"/>
                <w:spacing w:val="-4"/>
                <w:sz w:val="18"/>
                <w:szCs w:val="18"/>
              </w:rPr>
              <w:t>4665.86%</w:t>
            </w:r>
            <w:r>
              <w:rPr>
                <w:rFonts w:ascii="宋体" w:hAnsi="宋体" w:cs="宋体" w:eastAsia="宋体" w:hint="default"/>
                <w:spacing w:val="-4"/>
                <w:sz w:val="18"/>
                <w:szCs w:val="18"/>
              </w:rPr>
              <w:t>，主要原因是支付土地保证增</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加</w:t>
            </w:r>
          </w:p>
        </w:tc>
      </w:tr>
    </w:tbl>
    <w:p>
      <w:pPr>
        <w:spacing w:after="0" w:line="30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3"/>
        <w:rPr>
          <w:rFonts w:ascii="宋体" w:hAnsi="宋体" w:cs="宋体" w:eastAsia="宋体" w:hint="default"/>
          <w:b/>
          <w:bCs/>
          <w:sz w:val="21"/>
          <w:szCs w:val="21"/>
        </w:rPr>
      </w:pPr>
    </w:p>
    <w:p>
      <w:pPr>
        <w:pStyle w:val="Heading3"/>
        <w:spacing w:line="240" w:lineRule="auto" w:before="36"/>
        <w:ind w:right="0"/>
        <w:jc w:val="both"/>
        <w:rPr>
          <w:b w:val="0"/>
          <w:bCs w:val="0"/>
        </w:rPr>
      </w:pPr>
      <w:bookmarkStart w:name="2、主要境外资产情况" w:id="19"/>
      <w:bookmarkEnd w:id="19"/>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9"/>
        <w:rPr>
          <w:rFonts w:ascii="宋体" w:hAnsi="宋体" w:cs="宋体" w:eastAsia="宋体" w:hint="default"/>
          <w:b/>
          <w:bCs/>
          <w:sz w:val="26"/>
          <w:szCs w:val="26"/>
        </w:rPr>
      </w:pPr>
    </w:p>
    <w:p>
      <w:pPr>
        <w:spacing w:before="0"/>
        <w:ind w:left="113" w:right="0" w:firstLine="0"/>
        <w:jc w:val="both"/>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三、核心竞争力分析" w:id="20"/>
      <w:bookmarkEnd w:id="20"/>
      <w:r>
        <w:rPr>
          <w:b w:val="0"/>
          <w:bCs w:val="0"/>
        </w:rPr>
      </w:r>
      <w:r>
        <w:rPr/>
        <w:t>三、核心竞争力分析</w:t>
      </w:r>
      <w:r>
        <w:rPr>
          <w:b w:val="0"/>
          <w:bCs w:val="0"/>
        </w:rPr>
      </w:r>
    </w:p>
    <w:p>
      <w:pPr>
        <w:spacing w:line="240" w:lineRule="auto" w:before="8"/>
        <w:rPr>
          <w:rFonts w:ascii="宋体" w:hAnsi="宋体" w:cs="宋体" w:eastAsia="宋体" w:hint="default"/>
          <w:b/>
          <w:bCs/>
          <w:sz w:val="25"/>
          <w:szCs w:val="25"/>
        </w:rPr>
      </w:pPr>
    </w:p>
    <w:p>
      <w:pPr>
        <w:pStyle w:val="BodyText"/>
        <w:spacing w:line="240" w:lineRule="auto" w:before="0"/>
        <w:ind w:left="535" w:right="1764"/>
        <w:jc w:val="left"/>
      </w:pPr>
      <w:r>
        <w:rPr/>
        <w:t>报告期内，公司按照既定战略规划，不断增强公司核心竞争能力。</w:t>
      </w:r>
    </w:p>
    <w:p>
      <w:pPr>
        <w:spacing w:line="432" w:lineRule="exact" w:before="52"/>
        <w:ind w:left="535" w:right="1007" w:firstLine="38"/>
        <w:jc w:val="left"/>
        <w:rPr>
          <w:rFonts w:ascii="宋体" w:hAnsi="宋体" w:cs="宋体" w:eastAsia="宋体" w:hint="default"/>
          <w:sz w:val="21"/>
          <w:szCs w:val="21"/>
        </w:rPr>
      </w:pPr>
      <w:r>
        <w:rPr>
          <w:rFonts w:ascii="宋体" w:hAnsi="宋体" w:cs="宋体" w:eastAsia="宋体" w:hint="default"/>
          <w:b/>
          <w:bCs/>
          <w:sz w:val="21"/>
          <w:szCs w:val="21"/>
        </w:rPr>
        <w:t>（一）抓住通信行业技术演进趋势，从业务支撑到智慧引领，形成企业核心竞争力</w:t>
      </w:r>
      <w:r>
        <w:rPr>
          <w:rFonts w:ascii="宋体" w:hAnsi="宋体" w:cs="宋体" w:eastAsia="宋体" w:hint="default"/>
          <w:b/>
          <w:bCs/>
          <w:w w:val="100"/>
          <w:sz w:val="21"/>
          <w:szCs w:val="21"/>
        </w:rPr>
        <w:t> </w:t>
      </w:r>
      <w:r>
        <w:rPr>
          <w:rFonts w:ascii="宋体" w:hAnsi="宋体" w:cs="宋体" w:eastAsia="宋体" w:hint="default"/>
          <w:spacing w:val="-4"/>
          <w:sz w:val="21"/>
          <w:szCs w:val="21"/>
        </w:rPr>
        <w:t>公司在通信行业</w:t>
      </w:r>
      <w:r>
        <w:rPr>
          <w:rFonts w:ascii="宋体" w:hAnsi="宋体" w:cs="宋体" w:eastAsia="宋体" w:hint="default"/>
          <w:spacing w:val="-4"/>
          <w:sz w:val="21"/>
          <w:szCs w:val="21"/>
        </w:rPr>
        <w:t>BSS</w:t>
      </w:r>
      <w:r>
        <w:rPr>
          <w:rFonts w:ascii="宋体" w:hAnsi="宋体" w:cs="宋体" w:eastAsia="宋体" w:hint="default"/>
          <w:spacing w:val="-4"/>
          <w:sz w:val="21"/>
          <w:szCs w:val="21"/>
        </w:rPr>
        <w:t>领域具有</w:t>
      </w:r>
      <w:r>
        <w:rPr>
          <w:rFonts w:ascii="宋体" w:hAnsi="宋体" w:cs="宋体" w:eastAsia="宋体" w:hint="default"/>
          <w:spacing w:val="-4"/>
          <w:sz w:val="21"/>
          <w:szCs w:val="21"/>
        </w:rPr>
        <w:t>20</w:t>
      </w:r>
      <w:r>
        <w:rPr>
          <w:rFonts w:ascii="宋体" w:hAnsi="宋体" w:cs="宋体" w:eastAsia="宋体" w:hint="default"/>
          <w:spacing w:val="-4"/>
          <w:sz w:val="21"/>
          <w:szCs w:val="21"/>
        </w:rPr>
        <w:t>余年的经验积累，拥有</w:t>
      </w:r>
      <w:r>
        <w:rPr>
          <w:rFonts w:ascii="宋体" w:hAnsi="宋体" w:cs="宋体" w:eastAsia="宋体" w:hint="default"/>
          <w:spacing w:val="-4"/>
          <w:sz w:val="21"/>
          <w:szCs w:val="21"/>
        </w:rPr>
        <w:t>CRM</w:t>
      </w:r>
      <w:r>
        <w:rPr>
          <w:rFonts w:ascii="宋体" w:hAnsi="宋体" w:cs="宋体" w:eastAsia="宋体" w:hint="default"/>
          <w:spacing w:val="-4"/>
          <w:sz w:val="21"/>
          <w:szCs w:val="21"/>
        </w:rPr>
        <w:t>、计费、大数据应用、大数据基础能力平台、</w:t>
      </w:r>
    </w:p>
    <w:p>
      <w:pPr>
        <w:pStyle w:val="BodyText"/>
        <w:spacing w:line="255" w:lineRule="exact" w:before="0"/>
        <w:ind w:right="0"/>
        <w:jc w:val="both"/>
      </w:pPr>
      <w:r>
        <w:rPr/>
        <w:t>信息安全、云计算等成熟产品线，公司在运营商数字化转型、业务组件化和系统云化部署方面具有先发优</w:t>
      </w:r>
    </w:p>
    <w:p>
      <w:pPr>
        <w:pStyle w:val="BodyText"/>
        <w:spacing w:line="273" w:lineRule="auto" w:before="37"/>
        <w:ind w:right="1122"/>
        <w:jc w:val="both"/>
      </w:pPr>
      <w:r>
        <w:rPr>
          <w:spacing w:val="-2"/>
        </w:rPr>
        <w:t>势，市场占有率处于厂商前列；在</w:t>
      </w:r>
      <w:r>
        <w:rPr>
          <w:rFonts w:ascii="宋体" w:hAnsi="宋体" w:cs="宋体" w:eastAsia="宋体" w:hint="default"/>
          <w:spacing w:val="-2"/>
        </w:rPr>
        <w:t>5G</w:t>
      </w:r>
      <w:r>
        <w:rPr>
          <w:spacing w:val="-2"/>
        </w:rPr>
        <w:t>方面，公司参与中国电信集团</w:t>
      </w:r>
      <w:r>
        <w:rPr>
          <w:rFonts w:ascii="宋体" w:hAnsi="宋体" w:cs="宋体" w:eastAsia="宋体" w:hint="default"/>
          <w:spacing w:val="-2"/>
        </w:rPr>
        <w:t>5G</w:t>
      </w:r>
      <w:r>
        <w:rPr>
          <w:spacing w:val="-2"/>
        </w:rPr>
        <w:t>网络规范的编写，推动多量纲融合计</w:t>
      </w:r>
      <w:r>
        <w:rPr>
          <w:spacing w:val="-28"/>
        </w:rPr>
        <w:t> </w:t>
      </w:r>
      <w:r>
        <w:rPr>
          <w:spacing w:val="-28"/>
        </w:rPr>
      </w:r>
      <w:r>
        <w:rPr>
          <w:spacing w:val="-2"/>
        </w:rPr>
        <w:t>费、业务能力开放等研发，投入无线网优共享平台、云网端到端政企应用产品、</w:t>
      </w:r>
      <w:r>
        <w:rPr>
          <w:rFonts w:ascii="宋体" w:hAnsi="宋体" w:cs="宋体" w:eastAsia="宋体" w:hint="default"/>
          <w:spacing w:val="-2"/>
        </w:rPr>
        <w:t>5G</w:t>
      </w:r>
      <w:r>
        <w:rPr>
          <w:spacing w:val="-2"/>
        </w:rPr>
        <w:t>无线支撑系统等云网融</w:t>
      </w:r>
      <w:r>
        <w:rPr>
          <w:spacing w:val="-28"/>
        </w:rPr>
        <w:t> </w:t>
      </w:r>
      <w:r>
        <w:rPr>
          <w:spacing w:val="-28"/>
        </w:rPr>
      </w:r>
      <w:r>
        <w:rPr/>
        <w:t>合产品的研发。公司在电信行业沉淀的技术平台已具备了跨行业复制的能力。</w:t>
      </w:r>
    </w:p>
    <w:p>
      <w:pPr>
        <w:spacing w:line="432" w:lineRule="exact" w:before="23"/>
        <w:ind w:left="535" w:right="1007" w:firstLine="38"/>
        <w:jc w:val="left"/>
        <w:rPr>
          <w:rFonts w:ascii="宋体" w:hAnsi="宋体" w:cs="宋体" w:eastAsia="宋体" w:hint="default"/>
          <w:sz w:val="21"/>
          <w:szCs w:val="21"/>
        </w:rPr>
      </w:pPr>
      <w:r>
        <w:rPr>
          <w:rFonts w:ascii="宋体" w:hAnsi="宋体" w:cs="宋体" w:eastAsia="宋体" w:hint="default"/>
          <w:b/>
          <w:bCs/>
          <w:sz w:val="21"/>
          <w:szCs w:val="21"/>
        </w:rPr>
        <w:t>（二）布局数字化转型，在金融、政府（公安）形成技术产品沉淀和处于行业领先水平</w:t>
      </w:r>
      <w:r>
        <w:rPr>
          <w:rFonts w:ascii="宋体" w:hAnsi="宋体" w:cs="宋体" w:eastAsia="宋体" w:hint="default"/>
          <w:b/>
          <w:bCs/>
          <w:w w:val="100"/>
          <w:sz w:val="21"/>
          <w:szCs w:val="21"/>
        </w:rPr>
        <w:t> </w:t>
      </w:r>
      <w:r>
        <w:rPr>
          <w:rFonts w:ascii="宋体" w:hAnsi="宋体" w:cs="宋体" w:eastAsia="宋体" w:hint="default"/>
          <w:spacing w:val="-2"/>
          <w:sz w:val="21"/>
          <w:szCs w:val="21"/>
        </w:rPr>
        <w:t>公司通过并购和培育的方式进入金融行业，赋能金融行业客户云化改造、数字化转型，并通过智能运</w:t>
      </w:r>
    </w:p>
    <w:p>
      <w:pPr>
        <w:pStyle w:val="BodyText"/>
        <w:spacing w:line="260" w:lineRule="exact" w:before="0"/>
        <w:ind w:right="0"/>
        <w:jc w:val="both"/>
      </w:pPr>
      <w:r>
        <w:rPr/>
        <w:t>营手段提升金融业务外包的效能，在金融细分行业市场已处于国内领先水平。</w:t>
      </w:r>
    </w:p>
    <w:p>
      <w:pPr>
        <w:pStyle w:val="BodyText"/>
        <w:spacing w:line="273" w:lineRule="auto" w:before="70"/>
        <w:ind w:right="1125" w:firstLine="422"/>
        <w:jc w:val="both"/>
      </w:pPr>
      <w:r>
        <w:rPr>
          <w:spacing w:val="-2"/>
        </w:rPr>
        <w:t>公司在成立之初便从事公安行业的软件开发，在公安交警、出入境、安全等垂直警种有多条产品线积</w:t>
      </w:r>
      <w:r>
        <w:rPr>
          <w:w w:val="100"/>
        </w:rPr>
        <w:t> </w:t>
      </w:r>
      <w:r>
        <w:rPr>
          <w:spacing w:val="-2"/>
        </w:rPr>
        <w:t>累，在国内最早启动公安警务云大数据平台的开发，并在多省市公安局树立标杆效应。交通指挥大数据平</w:t>
      </w:r>
      <w:r>
        <w:rPr>
          <w:spacing w:val="-33"/>
        </w:rPr>
        <w:t> </w:t>
      </w:r>
      <w:r>
        <w:rPr>
          <w:spacing w:val="-33"/>
        </w:rPr>
      </w:r>
      <w:r>
        <w:rPr/>
        <w:t>台占据国内主要一二线城市。</w:t>
      </w:r>
    </w:p>
    <w:p>
      <w:pPr>
        <w:pStyle w:val="BodyText"/>
        <w:spacing w:line="276" w:lineRule="auto" w:before="46"/>
        <w:ind w:right="1125" w:firstLine="422"/>
        <w:jc w:val="both"/>
      </w:pPr>
      <w:r>
        <w:rPr>
          <w:spacing w:val="-2"/>
        </w:rPr>
        <w:t>公司携手合作伙伴，在政企行业上云、智能客服、智能零售等领域多年耕耘，在多地政府和特大型央</w:t>
      </w:r>
      <w:r>
        <w:rPr>
          <w:w w:val="100"/>
        </w:rPr>
        <w:t> </w:t>
      </w:r>
      <w:r>
        <w:rPr/>
        <w:t>企有成熟案例，已具备规模化发展和</w:t>
      </w:r>
      <w:r>
        <w:rPr>
          <w:rFonts w:ascii="宋体" w:hAnsi="宋体" w:cs="宋体" w:eastAsia="宋体" w:hint="default"/>
        </w:rPr>
        <w:t>Saas</w:t>
      </w:r>
      <w:r>
        <w:rPr/>
        <w:t>运营的能力。</w:t>
      </w:r>
    </w:p>
    <w:p>
      <w:pPr>
        <w:spacing w:line="432" w:lineRule="exact" w:before="20"/>
        <w:ind w:left="535" w:right="1007" w:firstLine="38"/>
        <w:jc w:val="left"/>
        <w:rPr>
          <w:rFonts w:ascii="宋体" w:hAnsi="宋体" w:cs="宋体" w:eastAsia="宋体" w:hint="default"/>
          <w:sz w:val="21"/>
          <w:szCs w:val="21"/>
        </w:rPr>
      </w:pPr>
      <w:r>
        <w:rPr>
          <w:rFonts w:ascii="宋体" w:hAnsi="宋体" w:cs="宋体" w:eastAsia="宋体" w:hint="default"/>
          <w:b/>
          <w:bCs/>
          <w:sz w:val="21"/>
          <w:szCs w:val="21"/>
        </w:rPr>
        <w:t>（三）持续研发投入，通用基础研发和行业研发并行，形成公司核心无形资产</w:t>
      </w:r>
      <w:r>
        <w:rPr>
          <w:rFonts w:ascii="宋体" w:hAnsi="宋体" w:cs="宋体" w:eastAsia="宋体" w:hint="default"/>
          <w:b/>
          <w:bCs/>
          <w:w w:val="100"/>
          <w:sz w:val="21"/>
          <w:szCs w:val="21"/>
        </w:rPr>
        <w:t> </w:t>
      </w:r>
      <w:r>
        <w:rPr>
          <w:rFonts w:ascii="宋体" w:hAnsi="宋体" w:cs="宋体" w:eastAsia="宋体" w:hint="default"/>
          <w:spacing w:val="-2"/>
          <w:sz w:val="21"/>
          <w:szCs w:val="21"/>
        </w:rPr>
        <w:t>作为研发型</w:t>
      </w:r>
      <w:r>
        <w:rPr>
          <w:rFonts w:ascii="Times New Roman" w:hAnsi="Times New Roman" w:cs="Times New Roman" w:eastAsia="Times New Roman" w:hint="default"/>
          <w:spacing w:val="-2"/>
          <w:sz w:val="21"/>
          <w:szCs w:val="21"/>
        </w:rPr>
        <w:t>IT</w:t>
      </w:r>
      <w:r>
        <w:rPr>
          <w:rFonts w:ascii="宋体" w:hAnsi="宋体" w:cs="宋体" w:eastAsia="宋体" w:hint="default"/>
          <w:spacing w:val="-2"/>
          <w:sz w:val="21"/>
          <w:szCs w:val="21"/>
        </w:rPr>
        <w:t>企业，目前已组建大数据、人工智能产品线、云产品线、移动互联和物联网产品线、信</w:t>
      </w:r>
    </w:p>
    <w:p>
      <w:pPr>
        <w:pStyle w:val="BodyText"/>
        <w:spacing w:line="271" w:lineRule="exact" w:before="0"/>
        <w:ind w:right="0"/>
        <w:jc w:val="both"/>
      </w:pPr>
      <w:r>
        <w:rPr>
          <w:w w:val="100"/>
        </w:rPr>
        <w:t>息安全产</w:t>
      </w:r>
      <w:r>
        <w:rPr>
          <w:spacing w:val="-5"/>
          <w:w w:val="100"/>
        </w:rPr>
        <w:t>品</w:t>
      </w:r>
      <w:r>
        <w:rPr>
          <w:w w:val="100"/>
        </w:rPr>
        <w:t>线</w:t>
      </w:r>
      <w:r>
        <w:rPr>
          <w:spacing w:val="-5"/>
          <w:w w:val="100"/>
        </w:rPr>
        <w:t>，</w:t>
      </w:r>
      <w:r>
        <w:rPr>
          <w:w w:val="100"/>
        </w:rPr>
        <w:t>拥有</w:t>
      </w:r>
      <w:r>
        <w:rPr>
          <w:rFonts w:ascii="Times New Roman" w:hAnsi="Times New Roman" w:cs="Times New Roman" w:eastAsia="Times New Roman" w:hint="default"/>
          <w:w w:val="100"/>
        </w:rPr>
        <w:t>3</w:t>
      </w:r>
      <w:r>
        <w:rPr>
          <w:w w:val="100"/>
        </w:rPr>
        <w:t>个</w:t>
      </w:r>
      <w:r>
        <w:rPr>
          <w:spacing w:val="-5"/>
          <w:w w:val="100"/>
        </w:rPr>
        <w:t>研</w:t>
      </w:r>
      <w:r>
        <w:rPr>
          <w:w w:val="100"/>
        </w:rPr>
        <w:t>发中</w:t>
      </w:r>
      <w:r>
        <w:rPr>
          <w:spacing w:val="-5"/>
          <w:w w:val="100"/>
        </w:rPr>
        <w:t>心</w:t>
      </w:r>
      <w:r>
        <w:rPr>
          <w:w w:val="100"/>
        </w:rPr>
        <w:t>（深</w:t>
      </w:r>
      <w:r>
        <w:rPr>
          <w:spacing w:val="-5"/>
          <w:w w:val="100"/>
        </w:rPr>
        <w:t>圳</w:t>
      </w:r>
      <w:r>
        <w:rPr>
          <w:w w:val="100"/>
        </w:rPr>
        <w:t>、</w:t>
      </w:r>
      <w:r>
        <w:rPr>
          <w:spacing w:val="-5"/>
          <w:w w:val="100"/>
        </w:rPr>
        <w:t>北</w:t>
      </w:r>
      <w:r>
        <w:rPr>
          <w:w w:val="100"/>
        </w:rPr>
        <w:t>京</w:t>
      </w:r>
      <w:r>
        <w:rPr>
          <w:spacing w:val="-5"/>
          <w:w w:val="100"/>
        </w:rPr>
        <w:t>、上</w:t>
      </w:r>
      <w:r>
        <w:rPr>
          <w:w w:val="100"/>
        </w:rPr>
        <w:t>海</w:t>
      </w:r>
      <w:r>
        <w:rPr>
          <w:spacing w:val="-106"/>
          <w:w w:val="100"/>
        </w:rPr>
        <w:t>）</w:t>
      </w:r>
      <w:r>
        <w:rPr>
          <w:spacing w:val="1"/>
          <w:w w:val="100"/>
        </w:rPr>
        <w:t>，</w:t>
      </w:r>
      <w:r>
        <w:rPr>
          <w:rFonts w:ascii="Times New Roman" w:hAnsi="Times New Roman" w:cs="Times New Roman" w:eastAsia="Times New Roman" w:hint="default"/>
          <w:w w:val="100"/>
        </w:rPr>
        <w:t>4</w:t>
      </w:r>
      <w:r>
        <w:rPr>
          <w:spacing w:val="-5"/>
          <w:w w:val="100"/>
        </w:rPr>
        <w:t>个</w:t>
      </w:r>
      <w:r>
        <w:rPr>
          <w:w w:val="100"/>
        </w:rPr>
        <w:t>研发</w:t>
      </w:r>
      <w:r>
        <w:rPr>
          <w:spacing w:val="-5"/>
          <w:w w:val="100"/>
        </w:rPr>
        <w:t>基</w:t>
      </w:r>
      <w:r>
        <w:rPr>
          <w:w w:val="100"/>
        </w:rPr>
        <w:t>地（</w:t>
      </w:r>
      <w:r>
        <w:rPr>
          <w:spacing w:val="-5"/>
          <w:w w:val="100"/>
        </w:rPr>
        <w:t>合</w:t>
      </w:r>
      <w:r>
        <w:rPr>
          <w:w w:val="100"/>
        </w:rPr>
        <w:t>肥</w:t>
      </w:r>
      <w:r>
        <w:rPr>
          <w:spacing w:val="-5"/>
          <w:w w:val="100"/>
        </w:rPr>
        <w:t>、</w:t>
      </w:r>
      <w:r>
        <w:rPr>
          <w:w w:val="100"/>
        </w:rPr>
        <w:t>武</w:t>
      </w:r>
      <w:r>
        <w:rPr>
          <w:spacing w:val="-5"/>
          <w:w w:val="100"/>
        </w:rPr>
        <w:t>汉</w:t>
      </w:r>
      <w:r>
        <w:rPr>
          <w:w w:val="100"/>
        </w:rPr>
        <w:t>、成</w:t>
      </w:r>
      <w:r>
        <w:rPr>
          <w:spacing w:val="-5"/>
          <w:w w:val="100"/>
        </w:rPr>
        <w:t>都</w:t>
      </w:r>
      <w:r>
        <w:rPr>
          <w:w w:val="100"/>
        </w:rPr>
        <w:t>、西</w:t>
      </w:r>
      <w:r>
        <w:rPr>
          <w:spacing w:val="-5"/>
          <w:w w:val="100"/>
        </w:rPr>
        <w:t>安</w:t>
      </w:r>
      <w:r>
        <w:rPr>
          <w:spacing w:val="-106"/>
          <w:w w:val="100"/>
        </w:rPr>
        <w:t>）</w:t>
      </w:r>
      <w:r>
        <w:rPr>
          <w:spacing w:val="-5"/>
          <w:w w:val="100"/>
        </w:rPr>
        <w:t>，在</w:t>
      </w:r>
      <w:r>
        <w:rPr>
          <w:w w:val="100"/>
        </w:rPr>
        <w:t>全</w:t>
      </w:r>
    </w:p>
    <w:p>
      <w:pPr>
        <w:pStyle w:val="BodyText"/>
        <w:spacing w:line="259" w:lineRule="auto" w:before="21"/>
        <w:ind w:right="1122"/>
        <w:jc w:val="both"/>
      </w:pPr>
      <w:r>
        <w:rPr>
          <w:spacing w:val="-2"/>
        </w:rPr>
        <w:t>国大部分省会城市设立技术支持中心。公司始终坚持自主创新，持续加大研发投入，</w:t>
      </w:r>
      <w:r>
        <w:rPr>
          <w:rFonts w:ascii="Times New Roman" w:hAnsi="Times New Roman" w:cs="Times New Roman" w:eastAsia="Times New Roman" w:hint="default"/>
          <w:spacing w:val="-2"/>
        </w:rPr>
        <w:t>2019</w:t>
      </w:r>
      <w:r>
        <w:rPr>
          <w:spacing w:val="-2"/>
        </w:rPr>
        <w:t>年度，研发投入</w:t>
      </w:r>
      <w:r>
        <w:rPr>
          <w:spacing w:val="-26"/>
        </w:rPr>
        <w:t> </w:t>
      </w:r>
      <w:r>
        <w:rPr>
          <w:spacing w:val="-26"/>
        </w:rPr>
      </w:r>
      <w:r>
        <w:rPr>
          <w:spacing w:val="-2"/>
        </w:rPr>
        <w:t>接近人民币</w:t>
      </w:r>
      <w:r>
        <w:rPr>
          <w:rFonts w:ascii="Times New Roman" w:hAnsi="Times New Roman" w:cs="Times New Roman" w:eastAsia="Times New Roman" w:hint="default"/>
          <w:spacing w:val="-2"/>
        </w:rPr>
        <w:t>3</w:t>
      </w:r>
      <w:r>
        <w:rPr>
          <w:spacing w:val="-2"/>
        </w:rPr>
        <w:t>亿元。报告期内，公司新增</w:t>
      </w:r>
      <w:r>
        <w:rPr>
          <w:rFonts w:ascii="Times New Roman" w:hAnsi="Times New Roman" w:cs="Times New Roman" w:eastAsia="Times New Roman" w:hint="default"/>
          <w:spacing w:val="-2"/>
        </w:rPr>
        <w:t>112</w:t>
      </w:r>
      <w:r>
        <w:rPr>
          <w:spacing w:val="-2"/>
        </w:rPr>
        <w:t>项计算机软件著作权、</w:t>
      </w:r>
      <w:r>
        <w:rPr>
          <w:rFonts w:ascii="Times New Roman" w:hAnsi="Times New Roman" w:cs="Times New Roman" w:eastAsia="Times New Roman" w:hint="default"/>
          <w:spacing w:val="-2"/>
        </w:rPr>
        <w:t>25</w:t>
      </w:r>
      <w:r>
        <w:rPr>
          <w:spacing w:val="-2"/>
        </w:rPr>
        <w:t>项软件产品登记；截止报告期末，公</w:t>
      </w:r>
      <w:r>
        <w:rPr>
          <w:spacing w:val="-30"/>
        </w:rPr>
        <w:t> </w:t>
      </w:r>
      <w:r>
        <w:rPr>
          <w:spacing w:val="-30"/>
        </w:rPr>
      </w:r>
      <w:r>
        <w:rPr>
          <w:spacing w:val="-2"/>
        </w:rPr>
        <w:t>司共取得产品荣誉证书</w:t>
      </w:r>
      <w:r>
        <w:rPr>
          <w:rFonts w:ascii="Times New Roman" w:hAnsi="Times New Roman" w:cs="Times New Roman" w:eastAsia="Times New Roman" w:hint="default"/>
          <w:spacing w:val="-2"/>
        </w:rPr>
        <w:t>117</w:t>
      </w:r>
      <w:r>
        <w:rPr>
          <w:spacing w:val="-2"/>
        </w:rPr>
        <w:t>项，国家行业资质</w:t>
      </w:r>
      <w:r>
        <w:rPr>
          <w:rFonts w:ascii="Times New Roman" w:hAnsi="Times New Roman" w:cs="Times New Roman" w:eastAsia="Times New Roman" w:hint="default"/>
          <w:spacing w:val="-2"/>
        </w:rPr>
        <w:t>103</w:t>
      </w:r>
      <w:r>
        <w:rPr>
          <w:spacing w:val="-2"/>
        </w:rPr>
        <w:t>项，申请</w:t>
      </w:r>
      <w:r>
        <w:rPr>
          <w:rFonts w:ascii="Times New Roman" w:hAnsi="Times New Roman" w:cs="Times New Roman" w:eastAsia="Times New Roman" w:hint="default"/>
          <w:spacing w:val="-2"/>
        </w:rPr>
        <w:t>39</w:t>
      </w:r>
      <w:r>
        <w:rPr>
          <w:spacing w:val="-2"/>
        </w:rPr>
        <w:t>项发明专利，其中</w:t>
      </w:r>
      <w:r>
        <w:rPr>
          <w:rFonts w:ascii="Times New Roman" w:hAnsi="Times New Roman" w:cs="Times New Roman" w:eastAsia="Times New Roman" w:hint="default"/>
          <w:spacing w:val="-2"/>
        </w:rPr>
        <w:t>15</w:t>
      </w:r>
      <w:r>
        <w:rPr>
          <w:spacing w:val="-2"/>
        </w:rPr>
        <w:t>项发明专利获得证书。是</w:t>
      </w:r>
      <w:r>
        <w:rPr>
          <w:spacing w:val="-22"/>
        </w:rPr>
        <w:t> </w:t>
      </w:r>
      <w:r>
        <w:rPr>
          <w:spacing w:val="-22"/>
        </w:rPr>
      </w:r>
      <w:r>
        <w:rPr/>
        <w:t>国家信标委大数据标准工作组、人工智能标准工作组会员单位。</w:t>
      </w:r>
    </w:p>
    <w:p>
      <w:pPr>
        <w:pStyle w:val="Heading3"/>
        <w:spacing w:line="240" w:lineRule="auto" w:before="136"/>
        <w:ind w:left="574" w:right="1764"/>
        <w:jc w:val="left"/>
        <w:rPr>
          <w:b w:val="0"/>
          <w:bCs w:val="0"/>
        </w:rPr>
      </w:pPr>
      <w:r>
        <w:rPr/>
        <w:t>（四）以客户为中心，为客户创造价值的服务理念</w:t>
      </w:r>
      <w:r>
        <w:rPr>
          <w:b w:val="0"/>
          <w:bCs w:val="0"/>
        </w:rPr>
      </w:r>
    </w:p>
    <w:p>
      <w:pPr>
        <w:pStyle w:val="BodyText"/>
        <w:spacing w:line="268" w:lineRule="auto" w:before="157"/>
        <w:ind w:right="1124" w:firstLine="422"/>
        <w:jc w:val="both"/>
      </w:pPr>
      <w:r>
        <w:rPr/>
        <w:t>公司以</w:t>
      </w:r>
      <w:r>
        <w:rPr>
          <w:spacing w:val="54"/>
        </w:rPr>
        <w:t> </w:t>
      </w:r>
      <w:r>
        <w:rPr>
          <w:rFonts w:ascii="Times New Roman" w:hAnsi="Times New Roman" w:cs="Times New Roman" w:eastAsia="Times New Roman" w:hint="default"/>
          <w:spacing w:val="-4"/>
        </w:rPr>
        <w:t>“</w:t>
      </w:r>
      <w:r>
        <w:rPr>
          <w:spacing w:val="-4"/>
        </w:rPr>
        <w:t>以客户为中心，为客户创造价值</w:t>
      </w:r>
      <w:r>
        <w:rPr>
          <w:rFonts w:ascii="Times New Roman" w:hAnsi="Times New Roman" w:cs="Times New Roman" w:eastAsia="Times New Roman" w:hint="default"/>
          <w:spacing w:val="-4"/>
        </w:rPr>
        <w:t>”</w:t>
      </w:r>
      <w:r>
        <w:rPr>
          <w:spacing w:val="-4"/>
        </w:rPr>
        <w:t>为服务理念，建立以客户为中心的公司服务文化，持续改进</w:t>
      </w:r>
      <w:r>
        <w:rPr>
          <w:w w:val="100"/>
        </w:rPr>
        <w:t> </w:t>
      </w:r>
      <w:r>
        <w:rPr>
          <w:spacing w:val="-2"/>
        </w:rPr>
        <w:t>客户服务质量。公司具备覆盖式的国内和海外服务体系；公司建立区域销售、交付、中台团队客户满意度</w:t>
      </w:r>
      <w:r>
        <w:rPr>
          <w:spacing w:val="-33"/>
        </w:rPr>
        <w:t> </w:t>
      </w:r>
      <w:r>
        <w:rPr>
          <w:spacing w:val="-33"/>
        </w:rPr>
      </w:r>
      <w:r>
        <w:rPr>
          <w:spacing w:val="-2"/>
        </w:rPr>
        <w:t>评估机制，共同承担满意度指标；及时准确把握客户需求，主动高效响应客户；提升区域全线人才的专业</w:t>
      </w:r>
      <w:r>
        <w:rPr>
          <w:spacing w:val="-33"/>
        </w:rPr>
        <w:t> </w:t>
      </w:r>
      <w:r>
        <w:rPr>
          <w:spacing w:val="-33"/>
        </w:rPr>
      </w:r>
      <w:r>
        <w:rPr/>
        <w:t>服务能力， 为客户创造价值。</w:t>
      </w:r>
      <w:r>
        <w:rPr>
          <w:spacing w:val="-43"/>
        </w:rPr>
        <w:t> </w:t>
      </w:r>
      <w:r>
        <w:rPr/>
        <w:t>公司在公安、通信等行业的大客户在成立之初就形成合作伙伴关系，有较</w:t>
      </w:r>
      <w:r>
        <w:rPr>
          <w:w w:val="100"/>
        </w:rPr>
        <w:t> </w:t>
      </w:r>
      <w:r>
        <w:rPr/>
        <w:t>强的业务粘性。报告期，公司核心技术人员及核心技术未发生重大变动。</w:t>
      </w:r>
    </w:p>
    <w:p>
      <w:pPr>
        <w:pStyle w:val="Heading3"/>
        <w:spacing w:line="240" w:lineRule="auto" w:before="127"/>
        <w:ind w:left="574" w:right="1764"/>
        <w:jc w:val="left"/>
        <w:rPr>
          <w:b w:val="0"/>
          <w:bCs w:val="0"/>
        </w:rPr>
      </w:pPr>
      <w:r>
        <w:rPr/>
        <w:t>（五）公司主要资质和报告期内取得的荣誉（节选）</w:t>
      </w:r>
      <w:r>
        <w:rPr>
          <w:b w:val="0"/>
          <w:bCs w:val="0"/>
        </w:rPr>
      </w:r>
    </w:p>
    <w:p>
      <w:pPr>
        <w:spacing w:line="240" w:lineRule="auto" w:before="2"/>
        <w:rPr>
          <w:rFonts w:ascii="宋体" w:hAnsi="宋体" w:cs="宋体" w:eastAsia="宋体" w:hint="default"/>
          <w:b/>
          <w:bCs/>
          <w:sz w:val="13"/>
          <w:szCs w:val="13"/>
        </w:rPr>
      </w:pPr>
    </w:p>
    <w:tbl>
      <w:tblPr>
        <w:tblW w:w="0" w:type="auto"/>
        <w:jc w:val="left"/>
        <w:tblInd w:w="103" w:type="dxa"/>
        <w:tblLayout w:type="fixed"/>
        <w:tblCellMar>
          <w:top w:w="0" w:type="dxa"/>
          <w:left w:w="0" w:type="dxa"/>
          <w:bottom w:w="0" w:type="dxa"/>
          <w:right w:w="0" w:type="dxa"/>
        </w:tblCellMar>
        <w:tblLook w:val="01E0"/>
      </w:tblPr>
      <w:tblGrid>
        <w:gridCol w:w="2252"/>
        <w:gridCol w:w="1709"/>
        <w:gridCol w:w="2089"/>
        <w:gridCol w:w="2934"/>
      </w:tblGrid>
      <w:tr>
        <w:trPr>
          <w:trHeight w:val="427" w:hRule="exact"/>
        </w:trPr>
        <w:tc>
          <w:tcPr>
            <w:tcW w:w="22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b/>
                <w:bCs/>
                <w:sz w:val="18"/>
                <w:szCs w:val="18"/>
              </w:rPr>
              <w:t>资质、荣誉名称</w:t>
            </w:r>
            <w:r>
              <w:rPr>
                <w:rFonts w:ascii="宋体" w:hAnsi="宋体" w:cs="宋体" w:eastAsia="宋体" w:hint="default"/>
                <w:sz w:val="18"/>
                <w:szCs w:val="18"/>
              </w:rPr>
            </w:r>
          </w:p>
        </w:tc>
        <w:tc>
          <w:tcPr>
            <w:tcW w:w="17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b/>
                <w:bCs/>
                <w:sz w:val="18"/>
                <w:szCs w:val="18"/>
              </w:rPr>
              <w:t>证书编码或批准文号</w:t>
            </w:r>
            <w:r>
              <w:rPr>
                <w:rFonts w:ascii="宋体" w:hAnsi="宋体" w:cs="宋体" w:eastAsia="宋体" w:hint="default"/>
                <w:sz w:val="18"/>
                <w:szCs w:val="18"/>
              </w:rPr>
            </w:r>
          </w:p>
        </w:tc>
        <w:tc>
          <w:tcPr>
            <w:tcW w:w="20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b/>
                <w:bCs/>
                <w:sz w:val="18"/>
                <w:szCs w:val="18"/>
              </w:rPr>
              <w:t>发证单位</w:t>
            </w:r>
            <w:r>
              <w:rPr>
                <w:rFonts w:ascii="宋体" w:hAnsi="宋体" w:cs="宋体" w:eastAsia="宋体" w:hint="default"/>
                <w:sz w:val="18"/>
                <w:szCs w:val="18"/>
              </w:rPr>
            </w:r>
          </w:p>
        </w:tc>
        <w:tc>
          <w:tcPr>
            <w:tcW w:w="29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9" w:right="0"/>
              <w:jc w:val="left"/>
              <w:rPr>
                <w:rFonts w:ascii="宋体" w:hAnsi="宋体" w:cs="宋体" w:eastAsia="宋体" w:hint="default"/>
                <w:sz w:val="18"/>
                <w:szCs w:val="18"/>
              </w:rPr>
            </w:pPr>
            <w:r>
              <w:rPr>
                <w:rFonts w:ascii="宋体" w:hAnsi="宋体" w:cs="宋体" w:eastAsia="宋体" w:hint="default"/>
                <w:b/>
                <w:bCs/>
                <w:sz w:val="18"/>
                <w:szCs w:val="18"/>
              </w:rPr>
              <w:t>发证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认定时间及说明</w:t>
            </w:r>
            <w:r>
              <w:rPr>
                <w:rFonts w:ascii="宋体" w:hAnsi="宋体" w:cs="宋体" w:eastAsia="宋体" w:hint="default"/>
                <w:sz w:val="18"/>
                <w:szCs w:val="18"/>
              </w:rPr>
            </w:r>
          </w:p>
        </w:tc>
      </w:tr>
      <w:tr>
        <w:trPr>
          <w:trHeight w:val="740"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4"/>
              <w:ind w:left="4" w:right="65"/>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年度深圳市市长奖（受</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3"/>
                <w:sz w:val="18"/>
                <w:szCs w:val="18"/>
              </w:rPr>
              <w:t>奖人：董事长陈友）</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left"/>
              <w:rPr>
                <w:rFonts w:ascii="Times New Roman" w:hAnsi="Times New Roman" w:cs="Times New Roman" w:eastAsia="Times New Roman" w:hint="default"/>
                <w:sz w:val="18"/>
                <w:szCs w:val="18"/>
              </w:rPr>
            </w:pPr>
            <w:r>
              <w:rPr>
                <w:rFonts w:ascii="Times New Roman"/>
                <w:sz w:val="18"/>
              </w:rPr>
              <w:t>2019-SZ-02-R</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z w:val="18"/>
                <w:szCs w:val="18"/>
              </w:rPr>
              <w:t>市长：陈如桂</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r>
      <w:tr>
        <w:trPr>
          <w:trHeight w:val="42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CMMI5</w:t>
            </w:r>
            <w:r>
              <w:rPr>
                <w:rFonts w:ascii="宋体" w:hAnsi="宋体" w:cs="宋体" w:eastAsia="宋体" w:hint="default"/>
                <w:sz w:val="18"/>
                <w:szCs w:val="18"/>
              </w:rPr>
              <w:t>级</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5"/>
              <w:jc w:val="left"/>
              <w:rPr>
                <w:rFonts w:ascii="宋体" w:hAnsi="宋体" w:cs="宋体" w:eastAsia="宋体" w:hint="default"/>
                <w:sz w:val="18"/>
                <w:szCs w:val="18"/>
              </w:rPr>
            </w:pPr>
            <w:r>
              <w:rPr>
                <w:rFonts w:ascii="宋体" w:hAnsi="宋体" w:cs="宋体" w:eastAsia="宋体" w:hint="default"/>
                <w:spacing w:val="-10"/>
                <w:sz w:val="18"/>
                <w:szCs w:val="18"/>
              </w:rPr>
              <w:t>麦思哲科技（北京）有限公</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 w:right="0"/>
              <w:jc w:val="left"/>
              <w:rPr>
                <w:rFonts w:ascii="宋体" w:hAnsi="宋体" w:cs="宋体" w:eastAsia="宋体" w:hint="default"/>
                <w:sz w:val="18"/>
                <w:szCs w:val="18"/>
              </w:rPr>
            </w:pPr>
            <w:r>
              <w:rPr>
                <w:rFonts w:ascii="宋体" w:hAnsi="宋体" w:cs="宋体" w:eastAsia="宋体" w:hint="default"/>
                <w:spacing w:val="-2"/>
                <w:sz w:val="18"/>
                <w:szCs w:val="18"/>
              </w:rPr>
              <w:t>发证日期：</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日，有效期</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3" w:type="dxa"/>
        <w:tblLayout w:type="fixed"/>
        <w:tblCellMar>
          <w:top w:w="0" w:type="dxa"/>
          <w:left w:w="0" w:type="dxa"/>
          <w:bottom w:w="0" w:type="dxa"/>
          <w:right w:w="0" w:type="dxa"/>
        </w:tblCellMar>
        <w:tblLook w:val="01E0"/>
      </w:tblPr>
      <w:tblGrid>
        <w:gridCol w:w="2252"/>
        <w:gridCol w:w="1709"/>
        <w:gridCol w:w="2089"/>
        <w:gridCol w:w="2934"/>
      </w:tblGrid>
      <w:tr>
        <w:trPr>
          <w:trHeight w:val="389" w:hRule="exact"/>
        </w:trPr>
        <w:tc>
          <w:tcPr>
            <w:tcW w:w="2252"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left"/>
              <w:rPr>
                <w:rFonts w:ascii="宋体" w:hAnsi="宋体" w:cs="宋体" w:eastAsia="宋体" w:hint="default"/>
                <w:sz w:val="18"/>
                <w:szCs w:val="18"/>
              </w:rPr>
            </w:pPr>
            <w:r>
              <w:rPr>
                <w:rFonts w:ascii="宋体" w:hAnsi="宋体" w:cs="宋体" w:eastAsia="宋体" w:hint="default"/>
                <w:sz w:val="18"/>
                <w:szCs w:val="18"/>
              </w:rPr>
              <w:t>至</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r>
      <w:tr>
        <w:trPr>
          <w:trHeight w:val="740"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65"/>
              <w:jc w:val="left"/>
              <w:rPr>
                <w:rFonts w:ascii="宋体" w:hAnsi="宋体" w:cs="宋体" w:eastAsia="宋体" w:hint="default"/>
                <w:sz w:val="18"/>
                <w:szCs w:val="18"/>
              </w:rPr>
            </w:pPr>
            <w:r>
              <w:rPr>
                <w:rFonts w:ascii="宋体" w:hAnsi="宋体" w:cs="宋体" w:eastAsia="宋体" w:hint="default"/>
                <w:spacing w:val="-3"/>
                <w:sz w:val="18"/>
                <w:szCs w:val="18"/>
              </w:rPr>
              <w:t>计算机信息系统集成资质一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级证书</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XZ1440320100261</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中国电子信息行业联合会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 w:right="0"/>
              <w:jc w:val="left"/>
              <w:rPr>
                <w:rFonts w:ascii="宋体" w:hAnsi="宋体" w:cs="宋体" w:eastAsia="宋体" w:hint="default"/>
                <w:sz w:val="18"/>
                <w:szCs w:val="18"/>
              </w:rPr>
            </w:pPr>
            <w:r>
              <w:rPr>
                <w:rFonts w:ascii="宋体" w:hAnsi="宋体" w:cs="宋体" w:eastAsia="宋体" w:hint="default"/>
                <w:sz w:val="18"/>
                <w:szCs w:val="18"/>
              </w:rPr>
              <w:t>发证日期：</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有效期至</w:t>
            </w:r>
          </w:p>
          <w:p>
            <w:pPr>
              <w:pStyle w:val="TableParagraph"/>
              <w:spacing w:line="240" w:lineRule="auto" w:before="63"/>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739"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65"/>
              <w:jc w:val="left"/>
              <w:rPr>
                <w:rFonts w:ascii="宋体" w:hAnsi="宋体" w:cs="宋体" w:eastAsia="宋体" w:hint="default"/>
                <w:sz w:val="18"/>
                <w:szCs w:val="18"/>
              </w:rPr>
            </w:pPr>
            <w:r>
              <w:rPr>
                <w:rFonts w:ascii="宋体" w:hAnsi="宋体" w:cs="宋体" w:eastAsia="宋体" w:hint="default"/>
                <w:spacing w:val="-3"/>
                <w:sz w:val="18"/>
                <w:szCs w:val="18"/>
              </w:rPr>
              <w:t>信息安全风险评估三级服务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资质</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105"/>
              <w:ind w:left="4" w:right="86"/>
              <w:jc w:val="left"/>
              <w:rPr>
                <w:rFonts w:ascii="Times New Roman" w:hAnsi="Times New Roman" w:cs="Times New Roman" w:eastAsia="Times New Roman" w:hint="default"/>
                <w:sz w:val="18"/>
                <w:szCs w:val="18"/>
              </w:rPr>
            </w:pPr>
            <w:r>
              <w:rPr>
                <w:rFonts w:ascii="Times New Roman"/>
                <w:spacing w:val="-3"/>
                <w:sz w:val="18"/>
              </w:rPr>
              <w:t>CCRC-2019-ISV-RA-</w:t>
            </w:r>
            <w:r>
              <w:rPr>
                <w:rFonts w:ascii="Times New Roman"/>
                <w:spacing w:val="-19"/>
                <w:sz w:val="18"/>
              </w:rPr>
              <w:t> </w:t>
            </w:r>
            <w:r>
              <w:rPr>
                <w:rFonts w:ascii="Times New Roman"/>
                <w:spacing w:val="-19"/>
                <w:sz w:val="18"/>
              </w:rPr>
            </w:r>
            <w:r>
              <w:rPr>
                <w:rFonts w:ascii="Times New Roman"/>
                <w:sz w:val="18"/>
              </w:rPr>
              <w:t>686</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84"/>
              <w:jc w:val="left"/>
              <w:rPr>
                <w:rFonts w:ascii="宋体" w:hAnsi="宋体" w:cs="宋体" w:eastAsia="宋体" w:hint="default"/>
                <w:sz w:val="18"/>
                <w:szCs w:val="18"/>
              </w:rPr>
            </w:pPr>
            <w:r>
              <w:rPr>
                <w:rFonts w:ascii="宋体" w:hAnsi="宋体" w:cs="宋体" w:eastAsia="宋体" w:hint="default"/>
                <w:spacing w:val="-3"/>
                <w:sz w:val="18"/>
                <w:szCs w:val="18"/>
              </w:rPr>
              <w:t>中国网络安全审查技术与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认证中心</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 w:right="-10"/>
              <w:jc w:val="left"/>
              <w:rPr>
                <w:rFonts w:ascii="宋体" w:hAnsi="宋体" w:cs="宋体" w:eastAsia="宋体" w:hint="default"/>
                <w:sz w:val="18"/>
                <w:szCs w:val="18"/>
              </w:rPr>
            </w:pPr>
            <w:r>
              <w:rPr>
                <w:rFonts w:ascii="宋体" w:hAnsi="宋体" w:cs="宋体" w:eastAsia="宋体" w:hint="default"/>
                <w:spacing w:val="-5"/>
                <w:sz w:val="18"/>
                <w:szCs w:val="18"/>
              </w:rPr>
              <w:t>发证日期：</w:t>
            </w:r>
            <w:r>
              <w:rPr>
                <w:rFonts w:ascii="Times New Roman" w:hAnsi="Times New Roman" w:cs="Times New Roman" w:eastAsia="Times New Roman" w:hint="default"/>
                <w:spacing w:val="-5"/>
                <w:sz w:val="18"/>
                <w:szCs w:val="18"/>
              </w:rPr>
              <w:t>2019</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8</w:t>
            </w:r>
            <w:r>
              <w:rPr>
                <w:rFonts w:ascii="宋体" w:hAnsi="宋体" w:cs="宋体" w:eastAsia="宋体" w:hint="default"/>
                <w:spacing w:val="-5"/>
                <w:sz w:val="18"/>
                <w:szCs w:val="18"/>
              </w:rPr>
              <w:t>月</w:t>
            </w:r>
            <w:r>
              <w:rPr>
                <w:rFonts w:ascii="Times New Roman" w:hAnsi="Times New Roman" w:cs="Times New Roman" w:eastAsia="Times New Roman" w:hint="default"/>
                <w:spacing w:val="-5"/>
                <w:sz w:val="18"/>
                <w:szCs w:val="18"/>
              </w:rPr>
              <w:t>14</w:t>
            </w:r>
            <w:r>
              <w:rPr>
                <w:rFonts w:ascii="宋体" w:hAnsi="宋体" w:cs="宋体" w:eastAsia="宋体" w:hint="default"/>
                <w:spacing w:val="-5"/>
                <w:sz w:val="18"/>
                <w:szCs w:val="18"/>
              </w:rPr>
              <w:t>日，有效期至</w:t>
            </w:r>
          </w:p>
          <w:p>
            <w:pPr>
              <w:pStyle w:val="TableParagraph"/>
              <w:spacing w:line="240" w:lineRule="auto" w:before="63"/>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r>
      <w:tr>
        <w:trPr>
          <w:trHeight w:val="734"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ISO9001:2015</w:t>
            </w:r>
            <w:r>
              <w:rPr>
                <w:rFonts w:ascii="宋体" w:hAnsi="宋体" w:cs="宋体" w:eastAsia="宋体" w:hint="default"/>
                <w:sz w:val="18"/>
                <w:szCs w:val="18"/>
              </w:rPr>
              <w:t>认证</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02417Q31010043R5L</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84"/>
              <w:jc w:val="left"/>
              <w:rPr>
                <w:rFonts w:ascii="宋体" w:hAnsi="宋体" w:cs="宋体" w:eastAsia="宋体" w:hint="default"/>
                <w:sz w:val="18"/>
                <w:szCs w:val="18"/>
              </w:rPr>
            </w:pPr>
            <w:r>
              <w:rPr>
                <w:rFonts w:ascii="宋体" w:hAnsi="宋体" w:cs="宋体" w:eastAsia="宋体" w:hint="default"/>
                <w:spacing w:val="-3"/>
                <w:sz w:val="18"/>
                <w:szCs w:val="18"/>
              </w:rPr>
              <w:t>深圳市环通认证中心有限</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公司</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3"/>
              <w:ind w:left="9" w:right="23"/>
              <w:jc w:val="left"/>
              <w:rPr>
                <w:rFonts w:ascii="宋体" w:hAnsi="宋体" w:cs="宋体" w:eastAsia="宋体" w:hint="default"/>
                <w:sz w:val="18"/>
                <w:szCs w:val="18"/>
              </w:rPr>
            </w:pPr>
            <w:r>
              <w:rPr>
                <w:rFonts w:ascii="宋体" w:hAnsi="宋体" w:cs="宋体" w:eastAsia="宋体" w:hint="default"/>
                <w:spacing w:val="-2"/>
                <w:sz w:val="18"/>
                <w:szCs w:val="18"/>
              </w:rPr>
              <w:t>有效期：</w:t>
            </w:r>
            <w:r>
              <w:rPr>
                <w:rFonts w:ascii="Times New Roman" w:hAnsi="Times New Roman" w:cs="Times New Roman" w:eastAsia="Times New Roman" w:hint="default"/>
                <w:spacing w:val="-2"/>
                <w:sz w:val="18"/>
                <w:szCs w:val="18"/>
              </w:rPr>
              <w:t>2020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日至</w:t>
            </w:r>
            <w:r>
              <w:rPr>
                <w:rFonts w:ascii="Times New Roman" w:hAnsi="Times New Roman" w:cs="Times New Roman" w:eastAsia="Times New Roman" w:hint="default"/>
                <w:spacing w:val="-2"/>
                <w:sz w:val="18"/>
                <w:szCs w:val="18"/>
              </w:rPr>
              <w:t>2023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40"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z w:val="18"/>
                <w:szCs w:val="18"/>
              </w:rPr>
              <w:t>信息安全管理体系证书</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ISO/IEC27001</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宋体" w:hAnsi="宋体" w:cs="宋体" w:eastAsia="宋体" w:hint="default"/>
                <w:sz w:val="18"/>
                <w:szCs w:val="18"/>
              </w:rPr>
              <w:t>）</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left"/>
              <w:rPr>
                <w:rFonts w:ascii="Times New Roman" w:hAnsi="Times New Roman" w:cs="Times New Roman" w:eastAsia="Times New Roman" w:hint="default"/>
                <w:sz w:val="18"/>
                <w:szCs w:val="18"/>
              </w:rPr>
            </w:pPr>
            <w:r>
              <w:rPr>
                <w:rFonts w:ascii="Times New Roman"/>
                <w:sz w:val="18"/>
              </w:rPr>
              <w:t>02119I10231R1M</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z w:val="18"/>
                <w:szCs w:val="18"/>
              </w:rPr>
              <w:t>华夏认证中心有限公司</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9" w:right="-10"/>
              <w:jc w:val="left"/>
              <w:rPr>
                <w:rFonts w:ascii="宋体" w:hAnsi="宋体" w:cs="宋体" w:eastAsia="宋体" w:hint="default"/>
                <w:sz w:val="18"/>
                <w:szCs w:val="18"/>
              </w:rPr>
            </w:pPr>
            <w:r>
              <w:rPr>
                <w:rFonts w:ascii="宋体" w:hAnsi="宋体" w:cs="宋体" w:eastAsia="宋体" w:hint="default"/>
                <w:spacing w:val="-5"/>
                <w:sz w:val="18"/>
                <w:szCs w:val="18"/>
              </w:rPr>
              <w:t>换证日期：</w:t>
            </w:r>
            <w:r>
              <w:rPr>
                <w:rFonts w:ascii="Times New Roman" w:hAnsi="Times New Roman" w:cs="Times New Roman" w:eastAsia="Times New Roman" w:hint="default"/>
                <w:spacing w:val="-5"/>
                <w:sz w:val="18"/>
                <w:szCs w:val="18"/>
              </w:rPr>
              <w:t>2019</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8</w:t>
            </w:r>
            <w:r>
              <w:rPr>
                <w:rFonts w:ascii="宋体" w:hAnsi="宋体" w:cs="宋体" w:eastAsia="宋体" w:hint="default"/>
                <w:spacing w:val="-5"/>
                <w:sz w:val="18"/>
                <w:szCs w:val="18"/>
              </w:rPr>
              <w:t>月</w:t>
            </w:r>
            <w:r>
              <w:rPr>
                <w:rFonts w:ascii="Times New Roman" w:hAnsi="Times New Roman" w:cs="Times New Roman" w:eastAsia="Times New Roman" w:hint="default"/>
                <w:spacing w:val="-5"/>
                <w:sz w:val="18"/>
                <w:szCs w:val="18"/>
              </w:rPr>
              <w:t>10</w:t>
            </w:r>
            <w:r>
              <w:rPr>
                <w:rFonts w:ascii="宋体" w:hAnsi="宋体" w:cs="宋体" w:eastAsia="宋体" w:hint="default"/>
                <w:spacing w:val="-5"/>
                <w:sz w:val="18"/>
                <w:szCs w:val="18"/>
              </w:rPr>
              <w:t>日，有效期为</w:t>
            </w:r>
          </w:p>
          <w:p>
            <w:pPr>
              <w:pStyle w:val="TableParagraph"/>
              <w:spacing w:line="240" w:lineRule="auto" w:before="63"/>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2022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r>
      <w:tr>
        <w:trPr>
          <w:trHeight w:val="1051"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企业信用等级</w:t>
            </w:r>
            <w:r>
              <w:rPr>
                <w:rFonts w:ascii="Times New Roman" w:hAnsi="Times New Roman" w:cs="Times New Roman" w:eastAsia="Times New Roman" w:hint="default"/>
                <w:spacing w:val="-3"/>
                <w:sz w:val="18"/>
                <w:szCs w:val="18"/>
              </w:rPr>
              <w:t>AAA</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left"/>
              <w:rPr>
                <w:rFonts w:ascii="Times New Roman" w:hAnsi="Times New Roman" w:cs="Times New Roman" w:eastAsia="Times New Roman" w:hint="default"/>
                <w:sz w:val="18"/>
                <w:szCs w:val="18"/>
              </w:rPr>
            </w:pPr>
            <w:r>
              <w:rPr>
                <w:rFonts w:ascii="Times New Roman"/>
                <w:sz w:val="18"/>
              </w:rPr>
              <w:t>201908811100022</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z w:val="18"/>
                <w:szCs w:val="18"/>
              </w:rPr>
              <w:t>中国软件行业协会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8"/>
              <w:ind w:left="9" w:right="-10"/>
              <w:jc w:val="both"/>
              <w:rPr>
                <w:rFonts w:ascii="宋体" w:hAnsi="宋体" w:cs="宋体" w:eastAsia="宋体" w:hint="default"/>
                <w:sz w:val="18"/>
                <w:szCs w:val="18"/>
              </w:rPr>
            </w:pPr>
            <w:r>
              <w:rPr>
                <w:rFonts w:ascii="宋体" w:hAnsi="宋体" w:cs="宋体" w:eastAsia="宋体" w:hint="default"/>
                <w:spacing w:val="-5"/>
                <w:sz w:val="18"/>
                <w:szCs w:val="18"/>
              </w:rPr>
              <w:t>最初发证日期：</w:t>
            </w:r>
            <w:r>
              <w:rPr>
                <w:rFonts w:ascii="Times New Roman" w:hAnsi="Times New Roman" w:cs="Times New Roman" w:eastAsia="Times New Roman" w:hint="default"/>
                <w:spacing w:val="-5"/>
                <w:sz w:val="18"/>
                <w:szCs w:val="18"/>
              </w:rPr>
              <w:t>2009</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12</w:t>
            </w:r>
            <w:r>
              <w:rPr>
                <w:rFonts w:ascii="宋体" w:hAnsi="宋体" w:cs="宋体" w:eastAsia="宋体" w:hint="default"/>
                <w:spacing w:val="-5"/>
                <w:sz w:val="18"/>
                <w:szCs w:val="18"/>
              </w:rPr>
              <w:t>月</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日，</w:t>
            </w:r>
            <w:r>
              <w:rPr>
                <w:rFonts w:ascii="Times New Roman" w:hAnsi="Times New Roman" w:cs="Times New Roman" w:eastAsia="Times New Roman" w:hint="default"/>
                <w:spacing w:val="-5"/>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7</w:t>
            </w:r>
            <w:r>
              <w:rPr>
                <w:rFonts w:ascii="宋体" w:hAnsi="宋体" w:cs="宋体" w:eastAsia="宋体" w:hint="default"/>
                <w:spacing w:val="-5"/>
                <w:sz w:val="18"/>
                <w:szCs w:val="18"/>
              </w:rPr>
              <w:t>月参加换证评审，发证日期为</w:t>
            </w:r>
            <w:r>
              <w:rPr>
                <w:rFonts w:ascii="Times New Roman" w:hAnsi="Times New Roman" w:cs="Times New Roman" w:eastAsia="Times New Roman" w:hint="default"/>
                <w:spacing w:val="-5"/>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7</w:t>
            </w:r>
            <w:r>
              <w:rPr>
                <w:rFonts w:ascii="宋体" w:hAnsi="宋体" w:cs="宋体" w:eastAsia="宋体" w:hint="default"/>
                <w:spacing w:val="-5"/>
                <w:sz w:val="18"/>
                <w:szCs w:val="18"/>
              </w:rPr>
              <w:t>月</w:t>
            </w:r>
            <w:r>
              <w:rPr>
                <w:rFonts w:ascii="Times New Roman" w:hAnsi="Times New Roman" w:cs="Times New Roman" w:eastAsia="Times New Roman" w:hint="default"/>
                <w:spacing w:val="-5"/>
                <w:sz w:val="18"/>
                <w:szCs w:val="18"/>
              </w:rPr>
              <w:t>20</w:t>
            </w:r>
            <w:r>
              <w:rPr>
                <w:rFonts w:ascii="宋体" w:hAnsi="宋体" w:cs="宋体" w:eastAsia="宋体" w:hint="default"/>
                <w:spacing w:val="-5"/>
                <w:sz w:val="18"/>
                <w:szCs w:val="18"/>
              </w:rPr>
              <w:t>日，有效期至</w:t>
            </w:r>
            <w:r>
              <w:rPr>
                <w:rFonts w:ascii="Times New Roman" w:hAnsi="Times New Roman" w:cs="Times New Roman" w:eastAsia="Times New Roman" w:hint="default"/>
                <w:spacing w:val="-5"/>
                <w:sz w:val="18"/>
                <w:szCs w:val="18"/>
              </w:rPr>
              <w:t>2022</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7</w:t>
            </w:r>
            <w:r>
              <w:rPr>
                <w:rFonts w:ascii="宋体" w:hAnsi="宋体" w:cs="宋体" w:eastAsia="宋体" w:hint="default"/>
                <w:spacing w:val="-5"/>
                <w:sz w:val="18"/>
                <w:szCs w:val="18"/>
              </w:rPr>
              <w:t>月</w:t>
            </w:r>
            <w:r>
              <w:rPr>
                <w:rFonts w:ascii="Times New Roman" w:hAnsi="Times New Roman" w:cs="Times New Roman" w:eastAsia="Times New Roman" w:hint="default"/>
                <w:spacing w:val="-5"/>
                <w:sz w:val="18"/>
                <w:szCs w:val="18"/>
              </w:rPr>
              <w:t>20</w:t>
            </w:r>
            <w:r>
              <w:rPr>
                <w:rFonts w:ascii="宋体" w:hAnsi="宋体" w:cs="宋体" w:eastAsia="宋体" w:hint="default"/>
                <w:spacing w:val="-5"/>
                <w:sz w:val="18"/>
                <w:szCs w:val="18"/>
              </w:rPr>
              <w:t>日</w:t>
            </w:r>
          </w:p>
        </w:tc>
      </w:tr>
      <w:tr>
        <w:trPr>
          <w:trHeight w:val="428"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z w:val="18"/>
                <w:szCs w:val="18"/>
              </w:rPr>
              <w:t>中国软件诚信示范企业</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z w:val="18"/>
                <w:szCs w:val="18"/>
              </w:rPr>
              <w:t>中国软件行业协会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9" w:right="0"/>
              <w:jc w:val="left"/>
              <w:rPr>
                <w:rFonts w:ascii="宋体" w:hAnsi="宋体" w:cs="宋体" w:eastAsia="宋体" w:hint="default"/>
                <w:sz w:val="18"/>
                <w:szCs w:val="18"/>
              </w:rPr>
            </w:pPr>
            <w:r>
              <w:rPr>
                <w:rFonts w:ascii="宋体" w:hAnsi="宋体" w:cs="宋体" w:eastAsia="宋体" w:hint="default"/>
                <w:sz w:val="18"/>
                <w:szCs w:val="18"/>
              </w:rPr>
              <w:t>有效期：</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-2022</w:t>
            </w:r>
            <w:r>
              <w:rPr>
                <w:rFonts w:ascii="宋体" w:hAnsi="宋体" w:cs="宋体" w:eastAsia="宋体" w:hint="default"/>
                <w:sz w:val="18"/>
                <w:szCs w:val="18"/>
              </w:rPr>
              <w:t>年</w:t>
            </w:r>
          </w:p>
        </w:tc>
      </w:tr>
      <w:tr>
        <w:trPr>
          <w:trHeight w:val="739"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8"/>
              <w:ind w:left="4" w:right="65"/>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软件与信息技术服务综</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合竞争力百强企业</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pacing w:val="-3"/>
                <w:sz w:val="18"/>
                <w:szCs w:val="18"/>
              </w:rPr>
              <w:t>中国电子信息行业联合会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r>
      <w:tr>
        <w:trPr>
          <w:trHeight w:val="740"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8"/>
              <w:ind w:left="4" w:right="65"/>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年中国软件业务收入前</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百家企业</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z w:val="18"/>
                <w:szCs w:val="18"/>
              </w:rPr>
              <w:t>国家工信部</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r>
      <w:tr>
        <w:trPr>
          <w:trHeight w:val="739"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63"/>
              <w:ind w:left="4" w:right="65"/>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年中国软件行业最具影</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响力企业</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中国软件行业协会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r>
      <w:tr>
        <w:trPr>
          <w:trHeight w:val="427"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年中国大数据企业</w:t>
            </w:r>
            <w:r>
              <w:rPr>
                <w:rFonts w:ascii="Times New Roman" w:hAnsi="Times New Roman" w:cs="Times New Roman" w:eastAsia="Times New Roman" w:hint="default"/>
                <w:sz w:val="18"/>
                <w:szCs w:val="18"/>
              </w:rPr>
              <w:t>50</w:t>
            </w:r>
            <w:r>
              <w:rPr>
                <w:rFonts w:ascii="宋体" w:hAnsi="宋体" w:cs="宋体" w:eastAsia="宋体" w:hint="default"/>
                <w:sz w:val="18"/>
                <w:szCs w:val="18"/>
              </w:rPr>
              <w:t>强</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中国大数据产业生态大会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p>
        </w:tc>
      </w:tr>
      <w:tr>
        <w:trPr>
          <w:trHeight w:val="740"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广东省大数据骨干企业</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A2017013</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324" w:lineRule="auto" w:before="63"/>
              <w:ind w:left="4" w:right="84"/>
              <w:jc w:val="left"/>
              <w:rPr>
                <w:rFonts w:ascii="宋体" w:hAnsi="宋体" w:cs="宋体" w:eastAsia="宋体" w:hint="default"/>
                <w:sz w:val="18"/>
                <w:szCs w:val="18"/>
              </w:rPr>
            </w:pPr>
            <w:r>
              <w:rPr>
                <w:rFonts w:ascii="宋体" w:hAnsi="宋体" w:cs="宋体" w:eastAsia="宋体" w:hint="default"/>
                <w:spacing w:val="-3"/>
                <w:sz w:val="18"/>
                <w:szCs w:val="18"/>
              </w:rPr>
              <w:t>广东省经济和贸易信息化</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委员会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63"/>
              <w:ind w:left="9" w:right="27"/>
              <w:jc w:val="left"/>
              <w:rPr>
                <w:rFonts w:ascii="宋体" w:hAnsi="宋体" w:cs="宋体" w:eastAsia="宋体" w:hint="default"/>
                <w:sz w:val="18"/>
                <w:szCs w:val="18"/>
              </w:rPr>
            </w:pPr>
            <w:r>
              <w:rPr>
                <w:rFonts w:ascii="宋体" w:hAnsi="宋体" w:cs="宋体" w:eastAsia="宋体" w:hint="default"/>
                <w:spacing w:val="-3"/>
                <w:sz w:val="18"/>
                <w:szCs w:val="18"/>
              </w:rPr>
              <w:t>发证日期：</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27</w:t>
            </w:r>
            <w:r>
              <w:rPr>
                <w:rFonts w:ascii="宋体" w:hAnsi="宋体" w:cs="宋体" w:eastAsia="宋体" w:hint="default"/>
                <w:spacing w:val="-3"/>
                <w:sz w:val="18"/>
                <w:szCs w:val="18"/>
              </w:rPr>
              <w:t>日，有效期</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r>
      <w:tr>
        <w:trPr>
          <w:trHeight w:val="1051"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广东省著名商标</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商标注册证第</w:t>
            </w:r>
          </w:p>
          <w:p>
            <w:pPr>
              <w:pStyle w:val="TableParagraph"/>
              <w:spacing w:line="240" w:lineRule="auto" w:before="76"/>
              <w:ind w:left="4" w:right="-2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6055545</w:t>
            </w:r>
            <w:r>
              <w:rPr>
                <w:rFonts w:ascii="宋体" w:hAnsi="宋体" w:cs="宋体" w:eastAsia="宋体" w:hint="default"/>
                <w:spacing w:val="-2"/>
                <w:sz w:val="18"/>
                <w:szCs w:val="18"/>
              </w:rPr>
              <w:t>号，证书号：</w:t>
            </w:r>
          </w:p>
          <w:p>
            <w:pPr>
              <w:pStyle w:val="TableParagraph"/>
              <w:spacing w:line="240" w:lineRule="auto" w:before="110"/>
              <w:ind w:left="4" w:right="0"/>
              <w:jc w:val="left"/>
              <w:rPr>
                <w:rFonts w:ascii="Times New Roman" w:hAnsi="Times New Roman" w:cs="Times New Roman" w:eastAsia="Times New Roman" w:hint="default"/>
                <w:sz w:val="18"/>
                <w:szCs w:val="18"/>
              </w:rPr>
            </w:pPr>
            <w:r>
              <w:rPr>
                <w:rFonts w:ascii="Times New Roman"/>
                <w:sz w:val="18"/>
              </w:rPr>
              <w:t>201720296</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63"/>
              <w:ind w:left="4" w:right="84"/>
              <w:jc w:val="left"/>
              <w:rPr>
                <w:rFonts w:ascii="宋体" w:hAnsi="宋体" w:cs="宋体" w:eastAsia="宋体" w:hint="default"/>
                <w:sz w:val="18"/>
                <w:szCs w:val="18"/>
              </w:rPr>
            </w:pPr>
            <w:r>
              <w:rPr>
                <w:rFonts w:ascii="宋体" w:hAnsi="宋体" w:cs="宋体" w:eastAsia="宋体" w:hint="default"/>
                <w:spacing w:val="-3"/>
                <w:sz w:val="18"/>
                <w:szCs w:val="18"/>
              </w:rPr>
              <w:t>广东省著名商标评审委员</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63"/>
              <w:ind w:left="9" w:right="-10"/>
              <w:jc w:val="left"/>
              <w:rPr>
                <w:rFonts w:ascii="宋体" w:hAnsi="宋体" w:cs="宋体" w:eastAsia="宋体" w:hint="default"/>
                <w:sz w:val="18"/>
                <w:szCs w:val="18"/>
              </w:rPr>
            </w:pPr>
            <w:r>
              <w:rPr>
                <w:rFonts w:ascii="宋体" w:hAnsi="宋体" w:cs="宋体" w:eastAsia="宋体" w:hint="default"/>
                <w:sz w:val="18"/>
                <w:szCs w:val="18"/>
              </w:rPr>
              <w:t>有效期：</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宋体" w:hAnsi="宋体" w:cs="宋体" w:eastAsia="宋体" w:hint="default"/>
                <w:spacing w:val="-8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740"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pacing w:val="-3"/>
                <w:sz w:val="18"/>
                <w:szCs w:val="18"/>
              </w:rPr>
              <w:t>广东省诚信示范企业</w:t>
            </w:r>
          </w:p>
          <w:p>
            <w:pPr>
              <w:pStyle w:val="TableParagraph"/>
              <w:spacing w:line="240" w:lineRule="auto" w:before="81"/>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连续十一年）</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left"/>
              <w:rPr>
                <w:rFonts w:ascii="Times New Roman" w:hAnsi="Times New Roman" w:cs="Times New Roman" w:eastAsia="Times New Roman" w:hint="default"/>
                <w:sz w:val="18"/>
                <w:szCs w:val="18"/>
              </w:rPr>
            </w:pPr>
            <w:r>
              <w:rPr>
                <w:rFonts w:ascii="Times New Roman"/>
                <w:sz w:val="18"/>
              </w:rPr>
              <w:t>GD2019020032</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64"/>
              <w:ind w:left="4" w:right="-5"/>
              <w:jc w:val="left"/>
              <w:rPr>
                <w:rFonts w:ascii="宋体" w:hAnsi="宋体" w:cs="宋体" w:eastAsia="宋体" w:hint="default"/>
                <w:sz w:val="18"/>
                <w:szCs w:val="18"/>
              </w:rPr>
            </w:pPr>
            <w:r>
              <w:rPr>
                <w:rFonts w:ascii="宋体" w:hAnsi="宋体" w:cs="宋体" w:eastAsia="宋体" w:hint="default"/>
                <w:spacing w:val="-10"/>
                <w:w w:val="101"/>
                <w:sz w:val="18"/>
                <w:szCs w:val="18"/>
              </w:rPr>
              <w:t>广东省企业联合会、广东省</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企业家协会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p>
        </w:tc>
      </w:tr>
      <w:tr>
        <w:trPr>
          <w:trHeight w:val="739"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深圳市创新企业</w:t>
            </w:r>
            <w:r>
              <w:rPr>
                <w:rFonts w:ascii="Times New Roman" w:hAnsi="Times New Roman" w:cs="Times New Roman" w:eastAsia="Times New Roman" w:hint="default"/>
                <w:sz w:val="18"/>
                <w:szCs w:val="18"/>
              </w:rPr>
              <w:t>70</w:t>
            </w:r>
            <w:r>
              <w:rPr>
                <w:rFonts w:ascii="宋体" w:hAnsi="宋体" w:cs="宋体" w:eastAsia="宋体" w:hint="default"/>
                <w:sz w:val="18"/>
                <w:szCs w:val="18"/>
              </w:rPr>
              <w:t>强</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63"/>
              <w:ind w:left="4" w:right="84"/>
              <w:jc w:val="left"/>
              <w:rPr>
                <w:rFonts w:ascii="宋体" w:hAnsi="宋体" w:cs="宋体" w:eastAsia="宋体" w:hint="default"/>
                <w:sz w:val="18"/>
                <w:szCs w:val="18"/>
              </w:rPr>
            </w:pPr>
            <w:r>
              <w:rPr>
                <w:rFonts w:ascii="宋体" w:hAnsi="宋体" w:cs="宋体" w:eastAsia="宋体" w:hint="default"/>
                <w:spacing w:val="-3"/>
                <w:sz w:val="18"/>
                <w:szCs w:val="18"/>
              </w:rPr>
              <w:t>深圳创新企业</w:t>
            </w:r>
            <w:r>
              <w:rPr>
                <w:rFonts w:ascii="Times New Roman" w:hAnsi="Times New Roman" w:cs="Times New Roman" w:eastAsia="Times New Roman" w:hint="default"/>
                <w:spacing w:val="-3"/>
                <w:sz w:val="18"/>
                <w:szCs w:val="18"/>
              </w:rPr>
              <w:t>70</w:t>
            </w:r>
            <w:r>
              <w:rPr>
                <w:rFonts w:ascii="宋体" w:hAnsi="宋体" w:cs="宋体" w:eastAsia="宋体" w:hint="default"/>
                <w:spacing w:val="-3"/>
                <w:sz w:val="18"/>
                <w:szCs w:val="18"/>
              </w:rPr>
              <w:t>强评选组</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委会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p>
        </w:tc>
      </w:tr>
      <w:tr>
        <w:trPr>
          <w:trHeight w:val="778"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324" w:lineRule="auto" w:before="63"/>
              <w:ind w:left="4" w:right="65"/>
              <w:jc w:val="left"/>
              <w:rPr>
                <w:rFonts w:ascii="宋体" w:hAnsi="宋体" w:cs="宋体" w:eastAsia="宋体" w:hint="default"/>
                <w:sz w:val="18"/>
                <w:szCs w:val="18"/>
              </w:rPr>
            </w:pPr>
            <w:r>
              <w:rPr>
                <w:rFonts w:ascii="宋体" w:hAnsi="宋体" w:cs="宋体" w:eastAsia="宋体" w:hint="default"/>
                <w:spacing w:val="-3"/>
                <w:sz w:val="18"/>
                <w:szCs w:val="18"/>
              </w:rPr>
              <w:t>深圳市软件业务收入前百家</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企业</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深圳市软件行业协会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p>
        </w:tc>
      </w:tr>
      <w:tr>
        <w:trPr>
          <w:trHeight w:val="739"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z w:val="18"/>
                <w:szCs w:val="18"/>
              </w:rPr>
              <w:t>深圳知名品牌</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z w:val="18"/>
                <w:szCs w:val="18"/>
              </w:rPr>
              <w:t>深名评证字</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[2018]/S178</w:t>
            </w:r>
            <w:r>
              <w:rPr>
                <w:rFonts w:ascii="宋体" w:hAnsi="宋体" w:cs="宋体" w:eastAsia="宋体" w:hint="default"/>
                <w:sz w:val="18"/>
                <w:szCs w:val="18"/>
              </w:rPr>
              <w:t>号</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pacing w:val="-3"/>
                <w:sz w:val="18"/>
                <w:szCs w:val="18"/>
              </w:rPr>
              <w:t>深圳知名品牌评价委员会</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9" w:right="0"/>
              <w:jc w:val="left"/>
              <w:rPr>
                <w:rFonts w:ascii="宋体" w:hAnsi="宋体" w:cs="宋体" w:eastAsia="宋体" w:hint="default"/>
                <w:sz w:val="18"/>
                <w:szCs w:val="18"/>
              </w:rPr>
            </w:pPr>
            <w:r>
              <w:rPr>
                <w:rFonts w:ascii="宋体" w:hAnsi="宋体" w:cs="宋体" w:eastAsia="宋体" w:hint="default"/>
                <w:spacing w:val="-2"/>
                <w:sz w:val="18"/>
                <w:szCs w:val="18"/>
              </w:rPr>
              <w:t>发证日期：</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日，有效期：</w:t>
            </w:r>
          </w:p>
          <w:p>
            <w:pPr>
              <w:pStyle w:val="TableParagraph"/>
              <w:spacing w:line="240" w:lineRule="auto" w:before="63"/>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p>
        </w:tc>
      </w:tr>
      <w:tr>
        <w:trPr>
          <w:trHeight w:val="1052"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63"/>
              <w:ind w:left="4" w:right="65"/>
              <w:jc w:val="left"/>
              <w:rPr>
                <w:rFonts w:ascii="宋体" w:hAnsi="宋体" w:cs="宋体" w:eastAsia="宋体" w:hint="default"/>
                <w:sz w:val="18"/>
                <w:szCs w:val="18"/>
              </w:rPr>
            </w:pPr>
            <w:r>
              <w:rPr>
                <w:rFonts w:ascii="宋体" w:hAnsi="宋体" w:cs="宋体" w:eastAsia="宋体" w:hint="default"/>
                <w:spacing w:val="-3"/>
                <w:sz w:val="18"/>
                <w:szCs w:val="18"/>
              </w:rPr>
              <w:t>深圳市企业社会责任评价证</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书</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2017-03-0006</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63"/>
              <w:ind w:left="4" w:right="-5"/>
              <w:jc w:val="left"/>
              <w:rPr>
                <w:rFonts w:ascii="宋体" w:hAnsi="宋体" w:cs="宋体" w:eastAsia="宋体" w:hint="default"/>
                <w:sz w:val="18"/>
                <w:szCs w:val="18"/>
              </w:rPr>
            </w:pPr>
            <w:r>
              <w:rPr>
                <w:rFonts w:ascii="宋体" w:hAnsi="宋体" w:cs="宋体" w:eastAsia="宋体" w:hint="default"/>
                <w:spacing w:val="-3"/>
                <w:sz w:val="18"/>
                <w:szCs w:val="18"/>
              </w:rPr>
              <w:t>深圳市企业社会责任促进</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10"/>
                <w:w w:val="101"/>
                <w:sz w:val="18"/>
                <w:szCs w:val="18"/>
              </w:rPr>
              <w:t>会、深圳市环通认证中心有</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限公司</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63"/>
              <w:ind w:left="9" w:right="22"/>
              <w:jc w:val="left"/>
              <w:rPr>
                <w:rFonts w:ascii="宋体" w:hAnsi="宋体" w:cs="宋体" w:eastAsia="宋体" w:hint="default"/>
                <w:sz w:val="18"/>
                <w:szCs w:val="18"/>
              </w:rPr>
            </w:pPr>
            <w:r>
              <w:rPr>
                <w:rFonts w:ascii="宋体" w:hAnsi="宋体" w:cs="宋体" w:eastAsia="宋体" w:hint="default"/>
                <w:spacing w:val="-2"/>
                <w:sz w:val="18"/>
                <w:szCs w:val="18"/>
              </w:rPr>
              <w:t>首次发证：</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日，有效期</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至</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bl>
    <w:p>
      <w:pPr>
        <w:spacing w:after="0" w:line="304"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5"/>
        <w:rPr>
          <w:rFonts w:ascii="Times New Roman" w:hAnsi="Times New Roman" w:cs="Times New Roman" w:eastAsia="Times New Roman" w:hint="default"/>
          <w:sz w:val="29"/>
          <w:szCs w:val="29"/>
        </w:rPr>
      </w:pPr>
    </w:p>
    <w:tbl>
      <w:tblPr>
        <w:tblW w:w="0" w:type="auto"/>
        <w:jc w:val="left"/>
        <w:tblInd w:w="103" w:type="dxa"/>
        <w:tblLayout w:type="fixed"/>
        <w:tblCellMar>
          <w:top w:w="0" w:type="dxa"/>
          <w:left w:w="0" w:type="dxa"/>
          <w:bottom w:w="0" w:type="dxa"/>
          <w:right w:w="0" w:type="dxa"/>
        </w:tblCellMar>
        <w:tblLook w:val="01E0"/>
      </w:tblPr>
      <w:tblGrid>
        <w:gridCol w:w="1844"/>
        <w:gridCol w:w="1561"/>
        <w:gridCol w:w="2266"/>
        <w:gridCol w:w="1427"/>
        <w:gridCol w:w="1983"/>
      </w:tblGrid>
      <w:tr>
        <w:trPr>
          <w:trHeight w:val="734" w:hRule="exact"/>
        </w:trPr>
        <w:tc>
          <w:tcPr>
            <w:tcW w:w="1844"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b/>
                <w:bCs/>
                <w:sz w:val="18"/>
                <w:szCs w:val="18"/>
              </w:rPr>
              <w:t>资质名称</w:t>
            </w:r>
            <w:r>
              <w:rPr>
                <w:rFonts w:ascii="宋体" w:hAnsi="宋体" w:cs="宋体" w:eastAsia="宋体" w:hint="default"/>
                <w:sz w:val="18"/>
                <w:szCs w:val="18"/>
              </w:rPr>
            </w:r>
          </w:p>
        </w:tc>
        <w:tc>
          <w:tcPr>
            <w:tcW w:w="1561"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321" w:lineRule="auto" w:before="58"/>
              <w:ind w:left="4" w:right="90"/>
              <w:jc w:val="left"/>
              <w:rPr>
                <w:rFonts w:ascii="宋体" w:hAnsi="宋体" w:cs="宋体" w:eastAsia="宋体" w:hint="default"/>
                <w:sz w:val="18"/>
                <w:szCs w:val="18"/>
              </w:rPr>
            </w:pPr>
            <w:r>
              <w:rPr>
                <w:rFonts w:ascii="宋体" w:hAnsi="宋体" w:cs="宋体" w:eastAsia="宋体" w:hint="default"/>
                <w:b/>
                <w:bCs/>
                <w:sz w:val="18"/>
                <w:szCs w:val="18"/>
              </w:rPr>
              <w:t>证书编码或批准文</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b/>
                <w:bCs/>
                <w:sz w:val="18"/>
                <w:szCs w:val="18"/>
              </w:rPr>
              <w:t>号</w:t>
            </w:r>
            <w:r>
              <w:rPr>
                <w:rFonts w:ascii="宋体" w:hAnsi="宋体" w:cs="宋体" w:eastAsia="宋体" w:hint="default"/>
                <w:sz w:val="18"/>
                <w:szCs w:val="18"/>
              </w:rPr>
            </w:r>
          </w:p>
        </w:tc>
        <w:tc>
          <w:tcPr>
            <w:tcW w:w="2266"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b/>
                <w:bCs/>
                <w:sz w:val="18"/>
                <w:szCs w:val="18"/>
              </w:rPr>
              <w:t>发证单位</w:t>
            </w:r>
            <w:r>
              <w:rPr>
                <w:rFonts w:ascii="宋体" w:hAnsi="宋体" w:cs="宋体" w:eastAsia="宋体" w:hint="default"/>
                <w:sz w:val="18"/>
                <w:szCs w:val="18"/>
              </w:rPr>
            </w:r>
          </w:p>
        </w:tc>
        <w:tc>
          <w:tcPr>
            <w:tcW w:w="1427"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304" w:lineRule="auto" w:before="58"/>
              <w:ind w:left="9" w:right="80"/>
              <w:jc w:val="left"/>
              <w:rPr>
                <w:rFonts w:ascii="宋体" w:hAnsi="宋体" w:cs="宋体" w:eastAsia="宋体" w:hint="default"/>
                <w:sz w:val="18"/>
                <w:szCs w:val="18"/>
              </w:rPr>
            </w:pPr>
            <w:r>
              <w:rPr>
                <w:rFonts w:ascii="宋体" w:hAnsi="宋体" w:cs="宋体" w:eastAsia="宋体" w:hint="default"/>
                <w:b/>
                <w:bCs/>
                <w:sz w:val="18"/>
                <w:szCs w:val="18"/>
              </w:rPr>
              <w:t>发证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认定时间及</w:t>
            </w:r>
            <w:r>
              <w:rPr>
                <w:rFonts w:ascii="宋体" w:hAnsi="宋体" w:cs="宋体" w:eastAsia="宋体" w:hint="default"/>
                <w:b/>
                <w:bCs/>
                <w:spacing w:val="-87"/>
                <w:sz w:val="18"/>
                <w:szCs w:val="18"/>
              </w:rPr>
              <w:t> </w:t>
            </w:r>
            <w:r>
              <w:rPr>
                <w:rFonts w:ascii="宋体" w:hAnsi="宋体" w:cs="宋体" w:eastAsia="宋体" w:hint="default"/>
                <w:b/>
                <w:bCs/>
                <w:spacing w:val="-87"/>
                <w:sz w:val="18"/>
                <w:szCs w:val="18"/>
              </w:rPr>
            </w:r>
            <w:r>
              <w:rPr>
                <w:rFonts w:ascii="宋体" w:hAnsi="宋体" w:cs="宋体" w:eastAsia="宋体" w:hint="default"/>
                <w:b/>
                <w:bCs/>
                <w:sz w:val="18"/>
                <w:szCs w:val="18"/>
              </w:rPr>
              <w:t>说明</w:t>
            </w:r>
            <w:r>
              <w:rPr>
                <w:rFonts w:ascii="宋体" w:hAnsi="宋体" w:cs="宋体" w:eastAsia="宋体" w:hint="default"/>
                <w:sz w:val="18"/>
                <w:szCs w:val="18"/>
              </w:rPr>
            </w:r>
          </w:p>
        </w:tc>
        <w:tc>
          <w:tcPr>
            <w:tcW w:w="1983"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b/>
                <w:bCs/>
                <w:sz w:val="18"/>
                <w:szCs w:val="18"/>
              </w:rPr>
              <w:t>获得单位</w:t>
            </w:r>
            <w:r>
              <w:rPr>
                <w:rFonts w:ascii="宋体" w:hAnsi="宋体" w:cs="宋体" w:eastAsia="宋体" w:hint="default"/>
                <w:sz w:val="18"/>
                <w:szCs w:val="18"/>
              </w:rPr>
            </w:r>
          </w:p>
        </w:tc>
      </w:tr>
      <w:tr>
        <w:trPr>
          <w:trHeight w:val="1052"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3"/>
              <w:ind w:left="4" w:right="17"/>
              <w:jc w:val="left"/>
              <w:rPr>
                <w:rFonts w:ascii="宋体" w:hAnsi="宋体" w:cs="宋体" w:eastAsia="宋体" w:hint="default"/>
                <w:sz w:val="18"/>
                <w:szCs w:val="18"/>
              </w:rPr>
            </w:pPr>
            <w:r>
              <w:rPr>
                <w:rFonts w:ascii="宋体" w:hAnsi="宋体" w:cs="宋体" w:eastAsia="宋体" w:hint="default"/>
                <w:spacing w:val="-2"/>
                <w:sz w:val="18"/>
                <w:szCs w:val="18"/>
              </w:rPr>
              <w:t>信息安全管理体系认证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证书</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AN18ISO58ROS</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3"/>
              <w:ind w:left="4" w:right="79"/>
              <w:jc w:val="left"/>
              <w:rPr>
                <w:rFonts w:ascii="宋体" w:hAnsi="宋体" w:cs="宋体" w:eastAsia="宋体" w:hint="default"/>
                <w:sz w:val="18"/>
                <w:szCs w:val="18"/>
              </w:rPr>
            </w:pPr>
            <w:r>
              <w:rPr>
                <w:rFonts w:ascii="宋体" w:hAnsi="宋体" w:cs="宋体" w:eastAsia="宋体" w:hint="default"/>
                <w:spacing w:val="-3"/>
                <w:sz w:val="18"/>
                <w:szCs w:val="18"/>
              </w:rPr>
              <w:t>广州赛宝认证中心服务有限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3"/>
              <w:ind w:left="9" w:right="-5"/>
              <w:jc w:val="both"/>
              <w:rPr>
                <w:rFonts w:ascii="宋体" w:hAnsi="宋体" w:cs="宋体" w:eastAsia="宋体" w:hint="default"/>
                <w:sz w:val="18"/>
                <w:szCs w:val="18"/>
              </w:rPr>
            </w:pPr>
            <w:r>
              <w:rPr>
                <w:rFonts w:ascii="宋体" w:hAnsi="宋体" w:cs="宋体" w:eastAsia="宋体" w:hint="default"/>
                <w:spacing w:val="-6"/>
                <w:sz w:val="18"/>
                <w:szCs w:val="18"/>
              </w:rPr>
              <w:t>发证日期：</w:t>
            </w:r>
            <w:r>
              <w:rPr>
                <w:rFonts w:ascii="Times New Roman" w:hAnsi="Times New Roman" w:cs="Times New Roman" w:eastAsia="Times New Roman" w:hint="default"/>
                <w:spacing w:val="-6"/>
                <w:sz w:val="18"/>
                <w:szCs w:val="18"/>
              </w:rPr>
              <w:t>2018</w:t>
            </w:r>
            <w:r>
              <w:rPr>
                <w:rFonts w:ascii="宋体" w:hAnsi="宋体" w:cs="宋体" w:eastAsia="宋体" w:hint="default"/>
                <w:spacing w:val="-6"/>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日，有效期</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至</w:t>
            </w: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维恩贝特科技有限公司</w:t>
            </w:r>
          </w:p>
        </w:tc>
      </w:tr>
      <w:tr>
        <w:trPr>
          <w:trHeight w:val="739"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3"/>
              <w:ind w:left="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年度最佳运维服务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合作伙伴</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79"/>
              <w:jc w:val="left"/>
              <w:rPr>
                <w:rFonts w:ascii="宋体" w:hAnsi="宋体" w:cs="宋体" w:eastAsia="宋体" w:hint="default"/>
                <w:sz w:val="18"/>
                <w:szCs w:val="18"/>
              </w:rPr>
            </w:pPr>
            <w:r>
              <w:rPr>
                <w:rFonts w:ascii="宋体" w:hAnsi="宋体" w:cs="宋体" w:eastAsia="宋体" w:hint="default"/>
                <w:spacing w:val="-3"/>
                <w:sz w:val="18"/>
                <w:szCs w:val="18"/>
              </w:rPr>
              <w:t>中国联合网络通信有限公司</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软件研究院</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156"/>
              <w:jc w:val="left"/>
              <w:rPr>
                <w:rFonts w:ascii="宋体" w:hAnsi="宋体" w:cs="宋体" w:eastAsia="宋体" w:hint="default"/>
                <w:sz w:val="18"/>
                <w:szCs w:val="18"/>
              </w:rPr>
            </w:pPr>
            <w:r>
              <w:rPr>
                <w:rFonts w:ascii="宋体" w:hAnsi="宋体" w:cs="宋体" w:eastAsia="宋体" w:hint="default"/>
                <w:spacing w:val="-2"/>
                <w:sz w:val="18"/>
                <w:szCs w:val="18"/>
              </w:rPr>
              <w:t>北京天源迪科信息技术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r>
      <w:tr>
        <w:trPr>
          <w:trHeight w:val="740"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阿里云合作伙伴授权牌</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187"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阿里云计算有限公司</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日至</w:t>
            </w:r>
          </w:p>
          <w:p>
            <w:pPr>
              <w:pStyle w:val="TableParagraph"/>
              <w:spacing w:line="240" w:lineRule="auto" w:before="63"/>
              <w:ind w:left="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156"/>
              <w:jc w:val="left"/>
              <w:rPr>
                <w:rFonts w:ascii="宋体" w:hAnsi="宋体" w:cs="宋体" w:eastAsia="宋体" w:hint="default"/>
                <w:sz w:val="18"/>
                <w:szCs w:val="18"/>
              </w:rPr>
            </w:pPr>
            <w:r>
              <w:rPr>
                <w:rFonts w:ascii="宋体" w:hAnsi="宋体" w:cs="宋体" w:eastAsia="宋体" w:hint="default"/>
                <w:spacing w:val="-2"/>
                <w:sz w:val="18"/>
                <w:szCs w:val="18"/>
              </w:rPr>
              <w:t>北京天源迪科信息技术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w:t>
            </w:r>
          </w:p>
        </w:tc>
      </w:tr>
    </w:tbl>
    <w:p>
      <w:pPr>
        <w:spacing w:after="0" w:line="316"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8"/>
          <w:szCs w:val="28"/>
        </w:rPr>
      </w:pPr>
    </w:p>
    <w:p>
      <w:pPr>
        <w:pStyle w:val="Heading1"/>
        <w:spacing w:line="240" w:lineRule="auto"/>
        <w:ind w:left="3003" w:right="1764"/>
        <w:jc w:val="left"/>
        <w:rPr>
          <w:b w:val="0"/>
          <w:bCs w:val="0"/>
        </w:rPr>
      </w:pPr>
      <w:bookmarkStart w:name="第四节经营情况讨论与分析" w:id="21"/>
      <w:bookmarkEnd w:id="21"/>
      <w:r>
        <w:rPr>
          <w:b w:val="0"/>
          <w:bCs w:val="0"/>
        </w:rPr>
      </w:r>
      <w:bookmarkStart w:name="_bookmark2" w:id="22"/>
      <w:bookmarkEnd w:id="22"/>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2"/>
        <w:spacing w:line="240" w:lineRule="auto" w:before="26"/>
        <w:ind w:right="1764"/>
        <w:jc w:val="left"/>
        <w:rPr>
          <w:b w:val="0"/>
          <w:bCs w:val="0"/>
        </w:rPr>
      </w:pPr>
      <w:bookmarkStart w:name="一、概述" w:id="23"/>
      <w:bookmarkEnd w:id="23"/>
      <w:r>
        <w:rPr>
          <w:b w:val="0"/>
          <w:bCs w:val="0"/>
        </w:rPr>
      </w:r>
      <w:r>
        <w:rPr/>
        <w:t>一、概述</w:t>
      </w:r>
      <w:r>
        <w:rPr>
          <w:b w:val="0"/>
          <w:bCs w:val="0"/>
        </w:rPr>
      </w:r>
    </w:p>
    <w:p>
      <w:pPr>
        <w:spacing w:line="240" w:lineRule="auto" w:before="3"/>
        <w:rPr>
          <w:rFonts w:ascii="宋体" w:hAnsi="宋体" w:cs="宋体" w:eastAsia="宋体" w:hint="default"/>
          <w:b/>
          <w:bCs/>
          <w:sz w:val="25"/>
          <w:szCs w:val="25"/>
        </w:rPr>
      </w:pPr>
    </w:p>
    <w:p>
      <w:pPr>
        <w:pStyle w:val="BodyText"/>
        <w:spacing w:line="273" w:lineRule="auto" w:before="0"/>
        <w:ind w:right="1007" w:firstLine="422"/>
        <w:jc w:val="left"/>
      </w:pPr>
      <w:r>
        <w:rPr>
          <w:spacing w:val="-7"/>
          <w:w w:val="100"/>
        </w:rPr>
        <w:t>报告期内，公司实现营业收入</w:t>
      </w:r>
      <w:r>
        <w:rPr>
          <w:rFonts w:ascii="宋体" w:hAnsi="宋体" w:cs="宋体" w:eastAsia="宋体" w:hint="default"/>
          <w:spacing w:val="-7"/>
          <w:w w:val="100"/>
        </w:rPr>
        <w:t>447,079.28</w:t>
      </w:r>
      <w:r>
        <w:rPr>
          <w:spacing w:val="-7"/>
          <w:w w:val="100"/>
        </w:rPr>
        <w:t>万元，较去年同期增长</w:t>
      </w:r>
      <w:r>
        <w:rPr>
          <w:rFonts w:ascii="宋体" w:hAnsi="宋体" w:cs="宋体" w:eastAsia="宋体" w:hint="default"/>
          <w:spacing w:val="-7"/>
          <w:w w:val="100"/>
        </w:rPr>
        <w:t>18.69%</w:t>
      </w:r>
      <w:r>
        <w:rPr>
          <w:spacing w:val="-7"/>
          <w:w w:val="100"/>
        </w:rPr>
        <w:t>，其中：电信行业收入</w:t>
      </w:r>
      <w:r>
        <w:rPr>
          <w:rFonts w:ascii="宋体" w:hAnsi="宋体" w:cs="宋体" w:eastAsia="宋体" w:hint="default"/>
          <w:spacing w:val="-7"/>
          <w:w w:val="100"/>
        </w:rPr>
        <w:t>65,675.56</w:t>
      </w:r>
      <w:r>
        <w:rPr>
          <w:rFonts w:ascii="宋体" w:hAnsi="宋体" w:cs="宋体" w:eastAsia="宋体" w:hint="default"/>
          <w:w w:val="100"/>
        </w:rPr>
        <w:t> </w:t>
      </w:r>
      <w:r>
        <w:rPr>
          <w:spacing w:val="-3"/>
        </w:rPr>
        <w:t>万元，较去年同期下降</w:t>
      </w:r>
      <w:r>
        <w:rPr>
          <w:rFonts w:ascii="宋体" w:hAnsi="宋体" w:cs="宋体" w:eastAsia="宋体" w:hint="default"/>
          <w:spacing w:val="-3"/>
        </w:rPr>
        <w:t>3.60%</w:t>
      </w:r>
      <w:r>
        <w:rPr>
          <w:spacing w:val="-3"/>
        </w:rPr>
        <w:t>，金融行业收入</w:t>
      </w:r>
      <w:r>
        <w:rPr>
          <w:rFonts w:ascii="宋体" w:hAnsi="宋体" w:cs="宋体" w:eastAsia="宋体" w:hint="default"/>
          <w:spacing w:val="-3"/>
        </w:rPr>
        <w:t>44,084.90</w:t>
      </w:r>
      <w:r>
        <w:rPr>
          <w:spacing w:val="-3"/>
        </w:rPr>
        <w:t>万元，较去年同期上升</w:t>
      </w:r>
      <w:r>
        <w:rPr>
          <w:rFonts w:ascii="宋体" w:hAnsi="宋体" w:cs="宋体" w:eastAsia="宋体" w:hint="default"/>
          <w:spacing w:val="-3"/>
        </w:rPr>
        <w:t>10.91%</w:t>
      </w:r>
      <w:r>
        <w:rPr>
          <w:spacing w:val="-3"/>
        </w:rPr>
        <w:t>，政府行业</w:t>
      </w:r>
      <w:r>
        <w:rPr>
          <w:rFonts w:ascii="宋体" w:hAnsi="宋体" w:cs="宋体" w:eastAsia="宋体" w:hint="default"/>
          <w:spacing w:val="-3"/>
        </w:rPr>
        <w:t>31,566.91</w:t>
      </w:r>
      <w:r>
        <w:rPr>
          <w:rFonts w:ascii="宋体" w:hAnsi="宋体" w:cs="宋体" w:eastAsia="宋体" w:hint="default"/>
          <w:spacing w:val="-48"/>
        </w:rPr>
        <w:t> </w:t>
      </w:r>
      <w:r>
        <w:rPr>
          <w:rFonts w:ascii="宋体" w:hAnsi="宋体" w:cs="宋体" w:eastAsia="宋体" w:hint="default"/>
          <w:spacing w:val="-48"/>
        </w:rPr>
      </w:r>
      <w:r>
        <w:rPr>
          <w:spacing w:val="-2"/>
        </w:rPr>
        <w:t>万元，较去年同期上涨</w:t>
      </w:r>
      <w:r>
        <w:rPr>
          <w:rFonts w:ascii="宋体" w:hAnsi="宋体" w:cs="宋体" w:eastAsia="宋体" w:hint="default"/>
          <w:spacing w:val="-2"/>
        </w:rPr>
        <w:t>2.59%</w:t>
      </w:r>
      <w:r>
        <w:rPr>
          <w:spacing w:val="-2"/>
        </w:rPr>
        <w:t>。归属于上市公司净利润</w:t>
      </w:r>
      <w:r>
        <w:rPr>
          <w:rFonts w:ascii="宋体" w:hAnsi="宋体" w:cs="宋体" w:eastAsia="宋体" w:hint="default"/>
          <w:spacing w:val="-2"/>
        </w:rPr>
        <w:t>11,671.73</w:t>
      </w:r>
      <w:r>
        <w:rPr>
          <w:spacing w:val="-2"/>
        </w:rPr>
        <w:t>万元，较去年同期下降</w:t>
      </w:r>
      <w:r>
        <w:rPr>
          <w:rFonts w:ascii="宋体" w:hAnsi="宋体" w:cs="宋体" w:eastAsia="宋体" w:hint="default"/>
          <w:spacing w:val="-2"/>
        </w:rPr>
        <w:t>45.85%</w:t>
      </w:r>
      <w:r>
        <w:rPr>
          <w:spacing w:val="-2"/>
        </w:rPr>
        <w:t>。净利润同</w:t>
      </w:r>
      <w:r>
        <w:rPr>
          <w:spacing w:val="-16"/>
        </w:rPr>
        <w:t> </w:t>
      </w:r>
      <w:r>
        <w:rPr>
          <w:spacing w:val="-16"/>
        </w:rPr>
      </w:r>
      <w:r>
        <w:rPr/>
        <w:t>比下降的主要原因是电信和政府行业研发投入大幅增加，电信和政府行业收入未在报告期内同步兑现所</w:t>
      </w:r>
      <w:r>
        <w:rPr>
          <w:w w:val="100"/>
        </w:rPr>
        <w:t> </w:t>
      </w:r>
      <w:r>
        <w:rPr/>
        <w:t>致。</w:t>
      </w:r>
    </w:p>
    <w:p>
      <w:pPr>
        <w:spacing w:line="357" w:lineRule="auto" w:before="46"/>
        <w:ind w:left="660" w:right="5762" w:hanging="125"/>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2019</w:t>
      </w:r>
      <w:r>
        <w:rPr>
          <w:rFonts w:ascii="宋体" w:hAnsi="宋体" w:cs="宋体" w:eastAsia="宋体" w:hint="default"/>
          <w:spacing w:val="-1"/>
          <w:sz w:val="21"/>
          <w:szCs w:val="21"/>
        </w:rPr>
        <w:t>年公司主要经营情况回顾如下：</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b/>
          <w:bCs/>
          <w:sz w:val="21"/>
          <w:szCs w:val="21"/>
        </w:rPr>
        <w:t>通信行业板块</w:t>
      </w:r>
      <w:r>
        <w:rPr>
          <w:rFonts w:ascii="宋体" w:hAnsi="宋体" w:cs="宋体" w:eastAsia="宋体" w:hint="default"/>
          <w:sz w:val="21"/>
          <w:szCs w:val="21"/>
        </w:rPr>
      </w:r>
    </w:p>
    <w:p>
      <w:pPr>
        <w:pStyle w:val="BodyText"/>
        <w:spacing w:line="273" w:lineRule="auto" w:before="88"/>
        <w:ind w:right="1122" w:firstLine="422"/>
        <w:jc w:val="both"/>
      </w:pPr>
      <w:r>
        <w:rPr>
          <w:spacing w:val="-2"/>
        </w:rPr>
        <w:t>报告期内，电信运营商业务运营支撑系统建设进一步集中化和智慧化，并加大对</w:t>
      </w:r>
      <w:r>
        <w:rPr>
          <w:rFonts w:ascii="宋体" w:hAnsi="宋体" w:cs="宋体" w:eastAsia="宋体" w:hint="default"/>
          <w:spacing w:val="-2"/>
        </w:rPr>
        <w:t>5G</w:t>
      </w:r>
      <w:r>
        <w:rPr>
          <w:spacing w:val="-2"/>
        </w:rPr>
        <w:t>网络基础设施的投</w:t>
      </w:r>
      <w:r>
        <w:rPr>
          <w:w w:val="100"/>
        </w:rPr>
        <w:t> </w:t>
      </w:r>
      <w:r>
        <w:rPr>
          <w:spacing w:val="-2"/>
        </w:rPr>
        <w:t>入，故对业务运营支撑系统投入相对延后。公司在云计算、大数据、人工智能等技术能力方面已形成平台</w:t>
      </w:r>
      <w:r>
        <w:rPr>
          <w:spacing w:val="-33"/>
        </w:rPr>
        <w:t> </w:t>
      </w:r>
      <w:r>
        <w:rPr>
          <w:spacing w:val="-33"/>
        </w:rPr>
      </w:r>
      <w:r>
        <w:rPr>
          <w:spacing w:val="-2"/>
        </w:rPr>
        <w:t>化的基础产品架构，组件化的产品体系，快速部署的解决方案能力；加大了对数字化运营、云网融合等产</w:t>
      </w:r>
      <w:r>
        <w:rPr>
          <w:spacing w:val="-33"/>
        </w:rPr>
        <w:t> </w:t>
      </w:r>
      <w:r>
        <w:rPr>
          <w:spacing w:val="-33"/>
        </w:rPr>
      </w:r>
      <w:r>
        <w:rPr/>
        <w:t>品的研发和市场推广，市场占有率逐年提升。</w:t>
      </w:r>
    </w:p>
    <w:p>
      <w:pPr>
        <w:pStyle w:val="BodyText"/>
        <w:spacing w:line="273" w:lineRule="auto" w:before="166"/>
        <w:ind w:right="1125" w:firstLine="422"/>
        <w:jc w:val="both"/>
      </w:pPr>
      <w:r>
        <w:rPr>
          <w:spacing w:val="-2"/>
        </w:rPr>
        <w:t>在中国电信集团，公司新增四个省级电信客户的智慧运营</w:t>
      </w:r>
      <w:r>
        <w:rPr>
          <w:rFonts w:ascii="宋体" w:hAnsi="宋体" w:cs="宋体" w:eastAsia="宋体" w:hint="default"/>
          <w:spacing w:val="-2"/>
        </w:rPr>
        <w:t>BSS3.0</w:t>
      </w:r>
      <w:r>
        <w:rPr>
          <w:spacing w:val="-2"/>
        </w:rPr>
        <w:t>系统，研发、旧版本割接和交付成本</w:t>
      </w:r>
      <w:r>
        <w:rPr>
          <w:w w:val="100"/>
        </w:rPr>
        <w:t> </w:t>
      </w:r>
      <w:r>
        <w:rPr>
          <w:spacing w:val="-2"/>
        </w:rPr>
        <w:t>增加；同时积极参与总部组织的</w:t>
      </w:r>
      <w:r>
        <w:rPr>
          <w:rFonts w:ascii="宋体" w:hAnsi="宋体" w:cs="宋体" w:eastAsia="宋体" w:hint="default"/>
          <w:spacing w:val="-2"/>
        </w:rPr>
        <w:t>5G</w:t>
      </w:r>
      <w:r>
        <w:rPr>
          <w:spacing w:val="-2"/>
        </w:rPr>
        <w:t>规范编写，承建的大数据基础能力平台引入“大数据湖”理念和人工智</w:t>
      </w:r>
      <w:r>
        <w:rPr>
          <w:spacing w:val="-30"/>
        </w:rPr>
        <w:t> </w:t>
      </w:r>
      <w:r>
        <w:rPr>
          <w:spacing w:val="-30"/>
        </w:rPr>
      </w:r>
      <w:r>
        <w:rPr/>
        <w:t>能技术并持续升级，承建渠道管控、政企客户信息规范化运营及配套的集团</w:t>
      </w:r>
      <w:r>
        <w:rPr>
          <w:rFonts w:ascii="宋体" w:hAnsi="宋体" w:cs="宋体" w:eastAsia="宋体" w:hint="default"/>
        </w:rPr>
        <w:t>CRM</w:t>
      </w:r>
      <w:r>
        <w:rPr/>
        <w:t>项目群、云公司项目群，</w:t>
      </w:r>
      <w:r>
        <w:rPr>
          <w:spacing w:val="-28"/>
        </w:rPr>
        <w:t> </w:t>
      </w:r>
      <w:r>
        <w:rPr>
          <w:spacing w:val="-28"/>
        </w:rPr>
      </w:r>
      <w:r>
        <w:rPr/>
        <w:t>在总部项目中市场占有率有所提升。报告期内，总部项目有部分结算延迟。</w:t>
      </w:r>
    </w:p>
    <w:p>
      <w:pPr>
        <w:pStyle w:val="BodyText"/>
        <w:spacing w:line="273" w:lineRule="auto" w:before="161"/>
        <w:ind w:right="1007" w:firstLine="422"/>
        <w:jc w:val="left"/>
      </w:pPr>
      <w:r>
        <w:rPr>
          <w:spacing w:val="-2"/>
        </w:rPr>
        <w:t>在中国联通集团，联通集中化、云化业务和互联网创新运营业务始终保持优势地位；报告期内，中国</w:t>
      </w:r>
      <w:r>
        <w:rPr>
          <w:w w:val="100"/>
        </w:rPr>
        <w:t> </w:t>
      </w:r>
      <w:r>
        <w:rPr/>
        <w:t>联通省分公司</w:t>
      </w:r>
      <w:r>
        <w:rPr>
          <w:rFonts w:ascii="宋体" w:hAnsi="宋体" w:cs="宋体" w:eastAsia="宋体" w:hint="default"/>
        </w:rPr>
        <w:t>OCS</w:t>
      </w:r>
      <w:r>
        <w:rPr/>
        <w:t>业务上收导致在中国联通市场总收入同比下降。</w:t>
      </w:r>
    </w:p>
    <w:p>
      <w:pPr>
        <w:pStyle w:val="BodyText"/>
        <w:spacing w:line="273" w:lineRule="auto" w:before="166"/>
        <w:ind w:right="1007" w:firstLine="422"/>
        <w:jc w:val="left"/>
      </w:pPr>
      <w:r>
        <w:rPr/>
        <w:t>公司继续加大在中国移动的市场投入，大数据应用已经进入中国移动五个省份以及中移在线，</w:t>
      </w:r>
      <w:r>
        <w:rPr>
          <w:rFonts w:ascii="宋体" w:hAnsi="宋体" w:cs="宋体" w:eastAsia="宋体" w:hint="default"/>
        </w:rPr>
        <w:t>BSS</w:t>
      </w:r>
      <w:r>
        <w:rPr/>
        <w:t>系</w:t>
      </w:r>
      <w:r>
        <w:rPr>
          <w:w w:val="100"/>
        </w:rPr>
        <w:t> </w:t>
      </w:r>
      <w:r>
        <w:rPr>
          <w:spacing w:val="-4"/>
        </w:rPr>
        <w:t>统中标中移集成，智能客服、智能零售等创新产品在中国移动多个省份应用，在中国移动的收入大幅增长。</w:t>
      </w:r>
    </w:p>
    <w:p>
      <w:pPr>
        <w:pStyle w:val="BodyText"/>
        <w:spacing w:line="273" w:lineRule="auto" w:before="166"/>
        <w:ind w:right="1007" w:firstLine="422"/>
        <w:jc w:val="left"/>
      </w:pPr>
      <w:r>
        <w:rPr>
          <w:spacing w:val="-5"/>
        </w:rPr>
        <w:t>公司研发的云</w:t>
      </w:r>
      <w:r>
        <w:rPr>
          <w:rFonts w:ascii="宋体" w:hAnsi="宋体" w:cs="宋体" w:eastAsia="宋体" w:hint="default"/>
          <w:spacing w:val="-5"/>
        </w:rPr>
        <w:t>BOSS</w:t>
      </w:r>
      <w:r>
        <w:rPr>
          <w:spacing w:val="-5"/>
        </w:rPr>
        <w:t>系统不断云化、轻量化，报告期内，在广电运营商、海外运营商、卫星通信运营商、</w:t>
      </w:r>
      <w:r>
        <w:rPr>
          <w:w w:val="100"/>
        </w:rPr>
        <w:t> </w:t>
      </w:r>
      <w:r>
        <w:rPr/>
        <w:t>虚拟运营商方面收入保持平稳。</w:t>
      </w:r>
    </w:p>
    <w:p>
      <w:pPr>
        <w:pStyle w:val="BodyText"/>
        <w:spacing w:line="470" w:lineRule="exact" w:before="31"/>
        <w:ind w:left="535" w:right="1007" w:firstLine="91"/>
        <w:jc w:val="left"/>
      </w:pPr>
      <w:r>
        <w:rPr>
          <w:rFonts w:ascii="宋体" w:hAnsi="宋体" w:cs="宋体" w:eastAsia="宋体" w:hint="default"/>
          <w:b/>
          <w:bCs/>
        </w:rPr>
        <w:t>金融行业板块</w:t>
      </w:r>
      <w:r>
        <w:rPr>
          <w:rFonts w:ascii="宋体" w:hAnsi="宋体" w:cs="宋体" w:eastAsia="宋体" w:hint="default"/>
          <w:b/>
          <w:bCs/>
          <w:w w:val="100"/>
        </w:rPr>
        <w:t> </w:t>
      </w:r>
      <w:r>
        <w:rPr>
          <w:spacing w:val="-5"/>
        </w:rPr>
        <w:t>报告期内，受益于国家信息技术应用创新产业的发展战略，金融机构积极推动金融和科技的深度融合，</w:t>
      </w:r>
    </w:p>
    <w:p>
      <w:pPr>
        <w:pStyle w:val="BodyText"/>
        <w:spacing w:line="248" w:lineRule="exact" w:before="0"/>
        <w:ind w:right="1007"/>
        <w:jc w:val="left"/>
      </w:pPr>
      <w:r>
        <w:rPr/>
        <w:t>软件开发服务、业务运营外包服务市场需求持续增长。公司为此组建了金融行业板块，充分利用自身的核</w:t>
      </w:r>
    </w:p>
    <w:p>
      <w:pPr>
        <w:pStyle w:val="BodyText"/>
        <w:spacing w:line="273" w:lineRule="auto" w:before="37"/>
        <w:ind w:right="1007"/>
        <w:jc w:val="left"/>
      </w:pPr>
      <w:r>
        <w:rPr>
          <w:spacing w:val="-2"/>
        </w:rPr>
        <w:t>心竞争力，积极推进人工智能、大数据、云服务和机器人等新技术在行业的应用，主营业务收入、营业利</w:t>
      </w:r>
      <w:r>
        <w:rPr>
          <w:spacing w:val="-38"/>
        </w:rPr>
        <w:t> </w:t>
      </w:r>
      <w:r>
        <w:rPr>
          <w:spacing w:val="-38"/>
        </w:rPr>
      </w:r>
      <w:r>
        <w:rPr>
          <w:spacing w:val="-4"/>
        </w:rPr>
        <w:t>润和利润总额都保持了较快增长。在增收的同时，公司大力投入研发，通过技术手段提高运营业务的效率，</w:t>
      </w:r>
      <w:r>
        <w:rPr>
          <w:spacing w:val="-47"/>
        </w:rPr>
        <w:t> </w:t>
      </w:r>
      <w:r>
        <w:rPr>
          <w:spacing w:val="-47"/>
        </w:rPr>
      </w:r>
      <w:r>
        <w:rPr/>
        <w:t>降低人员成本，使得金融板块的利润和收入在公司占比持续获得提高。</w:t>
      </w:r>
    </w:p>
    <w:p>
      <w:pPr>
        <w:pStyle w:val="BodyText"/>
        <w:spacing w:line="273" w:lineRule="auto" w:before="46"/>
        <w:ind w:right="1007" w:firstLine="422"/>
        <w:jc w:val="left"/>
      </w:pPr>
      <w:r>
        <w:rPr>
          <w:spacing w:val="-2"/>
        </w:rPr>
        <w:t>报告期内，金融板块营业收入持续增长，主要原因为国有商业银行和股份制商业银行和大型保险公司</w:t>
      </w:r>
      <w:r>
        <w:rPr>
          <w:w w:val="100"/>
        </w:rPr>
        <w:t> </w:t>
      </w:r>
      <w:r>
        <w:rPr>
          <w:spacing w:val="-4"/>
        </w:rPr>
        <w:t>等客户积极响应国家信息技术创新产业的发展战略，大力推进云计算、大数据体系、及分布式架构的建设，</w:t>
      </w:r>
      <w:r>
        <w:rPr>
          <w:spacing w:val="-47"/>
        </w:rPr>
        <w:t> </w:t>
      </w:r>
      <w:r>
        <w:rPr>
          <w:spacing w:val="-47"/>
        </w:rPr>
      </w:r>
      <w:r>
        <w:rPr>
          <w:spacing w:val="-2"/>
        </w:rPr>
        <w:t>使得相关软件开发及服务的采购需求増加。与此同时，公司布局多年的业务外包运营服务取得了实质性的</w:t>
      </w:r>
      <w:r>
        <w:rPr>
          <w:spacing w:val="-33"/>
        </w:rPr>
        <w:t> </w:t>
      </w:r>
      <w:r>
        <w:rPr>
          <w:spacing w:val="-33"/>
        </w:rPr>
      </w:r>
      <w:r>
        <w:rPr/>
        <w:t>突破，助力多家大型股份制银行有效提升了相关业务的业绩。</w:t>
      </w:r>
    </w:p>
    <w:p>
      <w:pPr>
        <w:pStyle w:val="Heading3"/>
        <w:spacing w:line="240" w:lineRule="auto" w:before="51"/>
        <w:ind w:left="535" w:right="1764"/>
        <w:jc w:val="left"/>
        <w:rPr>
          <w:rFonts w:ascii="宋体" w:hAnsi="宋体" w:cs="宋体" w:eastAsia="宋体" w:hint="default"/>
          <w:b w:val="0"/>
          <w:bCs w:val="0"/>
        </w:rPr>
      </w:pPr>
      <w:r>
        <w:rPr/>
        <w:t>报告期内，金融板块主要完成的工作包括</w:t>
      </w:r>
      <w:r>
        <w:rPr>
          <w:rFonts w:ascii="宋体" w:hAnsi="宋体" w:cs="宋体" w:eastAsia="宋体" w:hint="default"/>
        </w:rPr>
        <w:t>:</w:t>
      </w:r>
      <w:r>
        <w:rPr>
          <w:rFonts w:ascii="宋体" w:hAnsi="宋体" w:cs="宋体" w:eastAsia="宋体" w:hint="default"/>
          <w:b w:val="0"/>
          <w:bCs w:val="0"/>
        </w:rPr>
      </w:r>
    </w:p>
    <w:p>
      <w:pPr>
        <w:pStyle w:val="Heading3"/>
        <w:spacing w:line="240" w:lineRule="auto" w:before="75"/>
        <w:ind w:left="535" w:right="1764"/>
        <w:jc w:val="left"/>
        <w:rPr>
          <w:b w:val="0"/>
          <w:bCs w:val="0"/>
        </w:rPr>
      </w:pPr>
      <w:r>
        <w:rPr/>
        <w:t>（</w:t>
      </w:r>
      <w:r>
        <w:rPr>
          <w:rFonts w:ascii="宋体" w:hAnsi="宋体" w:cs="宋体" w:eastAsia="宋体" w:hint="default"/>
        </w:rPr>
        <w:t>1</w:t>
      </w:r>
      <w:r>
        <w:rPr/>
        <w:t>）传统业务保持稳定增长。</w:t>
      </w:r>
      <w:r>
        <w:rPr>
          <w:b w:val="0"/>
          <w:bCs w:val="0"/>
        </w:rPr>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b/>
          <w:bCs/>
          <w:sz w:val="21"/>
          <w:szCs w:val="21"/>
        </w:rPr>
      </w:pPr>
    </w:p>
    <w:p>
      <w:pPr>
        <w:pStyle w:val="BodyText"/>
        <w:spacing w:line="273" w:lineRule="auto" w:before="36"/>
        <w:ind w:right="1102" w:firstLine="422"/>
        <w:jc w:val="both"/>
      </w:pPr>
      <w:r>
        <w:rPr>
          <w:spacing w:val="-2"/>
        </w:rPr>
        <w:t>在国内市场，国有大型商业银行、股份制银行以及城市商业银行等积极推动金融和科技的深度融合，</w:t>
      </w:r>
      <w:r>
        <w:rPr>
          <w:w w:val="100"/>
        </w:rPr>
        <w:t> </w:t>
      </w:r>
      <w:r>
        <w:rPr>
          <w:spacing w:val="-2"/>
        </w:rPr>
        <w:t>加速成立金融科技子公司，推动营业网点智慧转型，借力金融科技提升经营效率及产品营销成功率，相应</w:t>
      </w:r>
      <w:r>
        <w:rPr>
          <w:spacing w:val="-33"/>
        </w:rPr>
        <w:t> </w:t>
      </w:r>
      <w:r>
        <w:rPr>
          <w:spacing w:val="-33"/>
        </w:rPr>
      </w:r>
      <w:r>
        <w:rPr>
          <w:spacing w:val="-2"/>
        </w:rPr>
        <w:t>的</w:t>
      </w:r>
      <w:r>
        <w:rPr>
          <w:rFonts w:ascii="宋体" w:hAnsi="宋体" w:cs="宋体" w:eastAsia="宋体" w:hint="default"/>
          <w:spacing w:val="-2"/>
        </w:rPr>
        <w:t>IT</w:t>
      </w:r>
      <w:r>
        <w:rPr>
          <w:spacing w:val="-2"/>
        </w:rPr>
        <w:t>投入持续增长，使得公司在技术开发及服务收入持续增加。同时，在港澳台地区，随着虚拟银行在香</w:t>
      </w:r>
      <w:r>
        <w:rPr>
          <w:spacing w:val="-31"/>
        </w:rPr>
        <w:t> </w:t>
      </w:r>
      <w:r>
        <w:rPr>
          <w:spacing w:val="-31"/>
        </w:rPr>
      </w:r>
      <w:r>
        <w:rPr/>
        <w:t>港、台湾地区陆续发出牌照，公司来自港澳台地区虚拟银行的软件开发及服务收入也录得大幅增加。</w:t>
      </w:r>
    </w:p>
    <w:p>
      <w:pPr>
        <w:pStyle w:val="Heading3"/>
        <w:spacing w:line="240" w:lineRule="auto" w:before="46"/>
        <w:ind w:left="535" w:right="1764"/>
        <w:jc w:val="left"/>
        <w:rPr>
          <w:b w:val="0"/>
          <w:bCs w:val="0"/>
        </w:rPr>
      </w:pPr>
      <w:r>
        <w:rPr/>
        <w:t>（</w:t>
      </w:r>
      <w:r>
        <w:rPr>
          <w:rFonts w:ascii="宋体" w:hAnsi="宋体" w:cs="宋体" w:eastAsia="宋体" w:hint="default"/>
        </w:rPr>
        <w:t>2</w:t>
      </w:r>
      <w:r>
        <w:rPr/>
        <w:t>）数字银行整体解决方案取得实质性突破</w:t>
      </w:r>
      <w:r>
        <w:rPr>
          <w:b w:val="0"/>
          <w:bCs w:val="0"/>
        </w:rPr>
      </w:r>
    </w:p>
    <w:p>
      <w:pPr>
        <w:pStyle w:val="BodyText"/>
        <w:spacing w:line="240" w:lineRule="auto" w:before="80"/>
        <w:ind w:left="535" w:right="1764"/>
        <w:jc w:val="left"/>
      </w:pPr>
      <w:r>
        <w:rPr>
          <w:rFonts w:ascii="Times New Roman" w:hAnsi="Times New Roman" w:cs="Times New Roman" w:eastAsia="Times New Roman" w:hint="default"/>
        </w:rPr>
        <w:t>2019</w:t>
      </w:r>
      <w:r>
        <w:rPr/>
        <w:t>年，公司正式发布“数字银行核心系统“，并在海外银行成功签约实施。</w:t>
      </w:r>
    </w:p>
    <w:p>
      <w:pPr>
        <w:pStyle w:val="Heading3"/>
        <w:spacing w:line="240" w:lineRule="auto" w:before="59"/>
        <w:ind w:left="535" w:right="1764"/>
        <w:jc w:val="left"/>
        <w:rPr>
          <w:b w:val="0"/>
          <w:bCs w:val="0"/>
        </w:rPr>
      </w:pPr>
      <w:r>
        <w:rPr/>
        <w:t>（</w:t>
      </w:r>
      <w:r>
        <w:rPr>
          <w:rFonts w:ascii="宋体" w:hAnsi="宋体" w:cs="宋体" w:eastAsia="宋体" w:hint="default"/>
        </w:rPr>
        <w:t>3</w:t>
      </w:r>
      <w:r>
        <w:rPr/>
        <w:t>）研发投入持续加大</w:t>
      </w:r>
      <w:r>
        <w:rPr>
          <w:b w:val="0"/>
          <w:bCs w:val="0"/>
        </w:rPr>
      </w:r>
    </w:p>
    <w:p>
      <w:pPr>
        <w:pStyle w:val="BodyText"/>
        <w:spacing w:line="266" w:lineRule="auto" w:before="70"/>
        <w:ind w:right="1122" w:firstLine="422"/>
        <w:jc w:val="left"/>
      </w:pPr>
      <w:r>
        <w:rPr>
          <w:rFonts w:ascii="Times New Roman" w:hAnsi="Times New Roman" w:cs="Times New Roman" w:eastAsia="Times New Roman" w:hint="default"/>
        </w:rPr>
        <w:t>2019</w:t>
      </w:r>
      <w:r>
        <w:rPr/>
        <w:t>年 </w:t>
      </w:r>
      <w:r>
        <w:rPr>
          <w:rFonts w:ascii="宋体" w:hAnsi="宋体" w:cs="宋体" w:eastAsia="宋体" w:hint="default"/>
        </w:rPr>
        <w:t>5 </w:t>
      </w:r>
      <w:r>
        <w:rPr/>
        <w:t>月，公司“智能可疑交易监控平台”研发成功，提供基于人工智能的反洗钱解决方案，当</w:t>
      </w:r>
      <w:r>
        <w:rPr>
          <w:w w:val="100"/>
        </w:rPr>
        <w:t> </w:t>
      </w:r>
      <w:r>
        <w:rPr>
          <w:spacing w:val="-2"/>
        </w:rPr>
        <w:t>年在某国有银行投入使用。</w:t>
      </w:r>
      <w:r>
        <w:rPr>
          <w:rFonts w:ascii="宋体" w:hAnsi="宋体" w:cs="宋体" w:eastAsia="宋体" w:hint="default"/>
          <w:spacing w:val="-2"/>
        </w:rPr>
        <w:t>2019</w:t>
      </w:r>
      <w:r>
        <w:rPr>
          <w:spacing w:val="-2"/>
        </w:rPr>
        <w:t>年</w:t>
      </w:r>
      <w:r>
        <w:rPr>
          <w:rFonts w:ascii="宋体" w:hAnsi="宋体" w:cs="宋体" w:eastAsia="宋体" w:hint="default"/>
          <w:spacing w:val="-2"/>
        </w:rPr>
        <w:t>7</w:t>
      </w:r>
      <w:r>
        <w:rPr>
          <w:rFonts w:ascii="宋体" w:hAnsi="宋体" w:cs="宋体" w:eastAsia="宋体" w:hint="default"/>
          <w:spacing w:val="65"/>
        </w:rPr>
        <w:t> </w:t>
      </w:r>
      <w:r>
        <w:rPr>
          <w:spacing w:val="-2"/>
        </w:rPr>
        <w:t>月，公司正式发布“商票之家”票据平台，该平台是顺应当前供应链</w:t>
      </w:r>
      <w:r>
        <w:rPr>
          <w:spacing w:val="-99"/>
        </w:rPr>
        <w:t> </w:t>
      </w:r>
      <w:r>
        <w:rPr>
          <w:spacing w:val="-99"/>
        </w:rPr>
      </w:r>
      <w:r>
        <w:rPr/>
        <w:t>金融市场的需求，作为公司向票据信息中介服务转型而打造的产品。</w:t>
      </w:r>
    </w:p>
    <w:p>
      <w:pPr>
        <w:spacing w:line="302" w:lineRule="auto" w:before="57"/>
        <w:ind w:left="535" w:right="100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）积极布局海外市场</w:t>
      </w:r>
      <w:r>
        <w:rPr>
          <w:rFonts w:ascii="宋体" w:hAnsi="宋体" w:cs="宋体" w:eastAsia="宋体" w:hint="default"/>
          <w:b/>
          <w:bCs/>
          <w:spacing w:val="-103"/>
          <w:sz w:val="21"/>
          <w:szCs w:val="21"/>
        </w:rPr>
        <w:t> </w:t>
      </w:r>
      <w:r>
        <w:rPr>
          <w:rFonts w:ascii="宋体" w:hAnsi="宋体" w:cs="宋体" w:eastAsia="宋体" w:hint="default"/>
          <w:spacing w:val="-2"/>
          <w:sz w:val="21"/>
          <w:szCs w:val="21"/>
        </w:rPr>
        <w:t>报告期内，公司新立设维恩贝特科技</w:t>
      </w:r>
      <w:r>
        <w:rPr>
          <w:rFonts w:ascii="宋体" w:hAnsi="宋体" w:cs="宋体" w:eastAsia="宋体" w:hint="default"/>
          <w:spacing w:val="-2"/>
          <w:sz w:val="21"/>
          <w:szCs w:val="21"/>
        </w:rPr>
        <w:t>(</w:t>
      </w:r>
      <w:r>
        <w:rPr>
          <w:rFonts w:ascii="宋体" w:hAnsi="宋体" w:cs="宋体" w:eastAsia="宋体" w:hint="default"/>
          <w:spacing w:val="-2"/>
          <w:sz w:val="21"/>
          <w:szCs w:val="21"/>
        </w:rPr>
        <w:t>香港</w:t>
      </w:r>
      <w:r>
        <w:rPr>
          <w:rFonts w:ascii="宋体" w:hAnsi="宋体" w:cs="宋体" w:eastAsia="宋体" w:hint="default"/>
          <w:spacing w:val="-2"/>
          <w:sz w:val="21"/>
          <w:szCs w:val="21"/>
        </w:rPr>
        <w:t>)</w:t>
      </w:r>
      <w:r>
        <w:rPr>
          <w:rFonts w:ascii="宋体" w:hAnsi="宋体" w:cs="宋体" w:eastAsia="宋体" w:hint="default"/>
          <w:spacing w:val="-2"/>
          <w:sz w:val="21"/>
          <w:szCs w:val="21"/>
        </w:rPr>
        <w:t>有限公司，未来海外市场的拓展将是公司整体发展战略的</w:t>
      </w:r>
    </w:p>
    <w:p>
      <w:pPr>
        <w:pStyle w:val="BodyText"/>
        <w:spacing w:line="262" w:lineRule="exact" w:before="0"/>
        <w:ind w:right="1764"/>
        <w:jc w:val="left"/>
      </w:pPr>
      <w:r>
        <w:rPr/>
        <w:t>重要组成部分之一。</w:t>
      </w:r>
    </w:p>
    <w:p>
      <w:pPr>
        <w:spacing w:line="307" w:lineRule="auto" w:before="76"/>
        <w:ind w:left="535" w:right="100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）金融业务外包向智能化运营发展</w:t>
      </w:r>
      <w:r>
        <w:rPr>
          <w:rFonts w:ascii="宋体" w:hAnsi="宋体" w:cs="宋体" w:eastAsia="宋体" w:hint="default"/>
          <w:b/>
          <w:bCs/>
          <w:spacing w:val="-100"/>
          <w:sz w:val="21"/>
          <w:szCs w:val="21"/>
        </w:rPr>
        <w:t> </w:t>
      </w:r>
      <w:r>
        <w:rPr>
          <w:rFonts w:ascii="宋体" w:hAnsi="宋体" w:cs="宋体" w:eastAsia="宋体" w:hint="default"/>
          <w:spacing w:val="-2"/>
          <w:sz w:val="21"/>
          <w:szCs w:val="21"/>
        </w:rPr>
        <w:t>报告期内，电催业务已服务的客户涵盖交通银行、招商银行、广发银行、中信银行、平安银行、民生</w:t>
      </w:r>
    </w:p>
    <w:p>
      <w:pPr>
        <w:pStyle w:val="BodyText"/>
        <w:spacing w:line="253" w:lineRule="exact" w:before="0"/>
        <w:ind w:right="1007"/>
        <w:jc w:val="left"/>
      </w:pPr>
      <w:r>
        <w:rPr/>
        <w:t>银行、浦发银行等金融机构；不断提升智能化运营的能力，拥有小</w:t>
      </w:r>
      <w:r>
        <w:rPr>
          <w:rFonts w:ascii="宋体" w:hAnsi="宋体" w:cs="宋体" w:eastAsia="宋体" w:hint="default"/>
        </w:rPr>
        <w:t>6</w:t>
      </w:r>
      <w:r>
        <w:rPr/>
        <w:t>智能催收机器人、</w:t>
      </w:r>
      <w:r>
        <w:rPr>
          <w:rFonts w:ascii="宋体" w:hAnsi="宋体" w:cs="宋体" w:eastAsia="宋体" w:hint="default"/>
        </w:rPr>
        <w:t>7</w:t>
      </w:r>
      <w:r>
        <w:rPr/>
        <w:t>号智能质检员、智</w:t>
      </w:r>
    </w:p>
    <w:p>
      <w:pPr>
        <w:pStyle w:val="BodyText"/>
        <w:spacing w:line="273" w:lineRule="auto" w:before="37"/>
        <w:ind w:right="1007"/>
        <w:jc w:val="left"/>
      </w:pPr>
      <w:r>
        <w:rPr>
          <w:spacing w:val="-2"/>
        </w:rPr>
        <w:t>慧运营管理平台、金融风控安全计算平台、中小微企业公共服务平台。报告期内，电催机器人运营项目中</w:t>
      </w:r>
      <w:r>
        <w:rPr>
          <w:spacing w:val="-33"/>
        </w:rPr>
        <w:t> </w:t>
      </w:r>
      <w:r>
        <w:rPr>
          <w:spacing w:val="-33"/>
        </w:rPr>
      </w:r>
      <w:r>
        <w:rPr>
          <w:spacing w:val="-2"/>
        </w:rPr>
        <w:t>标交通银行并在中信银行信用卡中心、平安银行信用卡中心投入使用。中小微企业公共服务平台在山东潍</w:t>
      </w:r>
      <w:r>
        <w:rPr>
          <w:spacing w:val="-33"/>
        </w:rPr>
        <w:t> </w:t>
      </w:r>
      <w:r>
        <w:rPr>
          <w:spacing w:val="-33"/>
        </w:rPr>
      </w:r>
      <w:r>
        <w:rPr>
          <w:spacing w:val="-4"/>
        </w:rPr>
        <w:t>坊、青海海北州和安徽合肥等地试运营。积极拓展电销业务，随着金融机构加快扩大线上服务客户的能力，</w:t>
      </w:r>
      <w:r>
        <w:rPr>
          <w:spacing w:val="-47"/>
        </w:rPr>
        <w:t> </w:t>
      </w:r>
      <w:r>
        <w:rPr>
          <w:spacing w:val="-47"/>
        </w:rPr>
      </w:r>
      <w:r>
        <w:rPr/>
        <w:t>公司的金融服务外包业务也从信用卡服务向其他金融领域扩展。在金融服务外包（</w:t>
      </w:r>
      <w:r>
        <w:rPr>
          <w:rFonts w:ascii="宋体" w:hAnsi="宋体" w:cs="宋体" w:eastAsia="宋体" w:hint="default"/>
        </w:rPr>
        <w:t>BPO</w:t>
      </w:r>
      <w:r>
        <w:rPr/>
        <w:t>）领域的运营收入</w:t>
      </w:r>
      <w:r>
        <w:rPr>
          <w:spacing w:val="-103"/>
        </w:rPr>
        <w:t> </w:t>
      </w:r>
      <w:r>
        <w:rPr>
          <w:spacing w:val="-103"/>
        </w:rPr>
      </w:r>
      <w:r>
        <w:rPr/>
        <w:t>近几年保持快速增长。</w:t>
      </w:r>
    </w:p>
    <w:p>
      <w:pPr>
        <w:spacing w:line="466" w:lineRule="exact" w:before="34"/>
        <w:ind w:left="535" w:right="1007" w:firstLine="0"/>
        <w:jc w:val="left"/>
        <w:rPr>
          <w:rFonts w:ascii="宋体" w:hAnsi="宋体" w:cs="宋体" w:eastAsia="宋体" w:hint="default"/>
          <w:sz w:val="21"/>
          <w:szCs w:val="21"/>
        </w:rPr>
      </w:pPr>
      <w:r>
        <w:rPr>
          <w:rFonts w:ascii="宋体" w:hAnsi="宋体" w:cs="宋体" w:eastAsia="宋体" w:hint="default"/>
          <w:b/>
          <w:bCs/>
          <w:sz w:val="21"/>
          <w:szCs w:val="21"/>
        </w:rPr>
        <w:t>数字公安、政企等垂直行业</w:t>
      </w:r>
      <w:r>
        <w:rPr>
          <w:rFonts w:ascii="宋体" w:hAnsi="宋体" w:cs="宋体" w:eastAsia="宋体" w:hint="default"/>
          <w:b/>
          <w:bCs/>
          <w:spacing w:val="-102"/>
          <w:sz w:val="21"/>
          <w:szCs w:val="21"/>
        </w:rPr>
        <w:t> </w:t>
      </w:r>
      <w:r>
        <w:rPr>
          <w:rFonts w:ascii="宋体" w:hAnsi="宋体" w:cs="宋体" w:eastAsia="宋体" w:hint="default"/>
          <w:spacing w:val="-2"/>
          <w:sz w:val="21"/>
          <w:szCs w:val="21"/>
        </w:rPr>
        <w:t>报告期内，公司在公安行业的核心产品有：警务云大数据平台、情指行一体化平台、新一代出入境管</w:t>
      </w:r>
    </w:p>
    <w:p>
      <w:pPr>
        <w:pStyle w:val="BodyText"/>
        <w:spacing w:line="249" w:lineRule="exact" w:before="0"/>
        <w:ind w:right="1007"/>
        <w:jc w:val="left"/>
      </w:pPr>
      <w:r>
        <w:rPr/>
        <w:t>理软件、轨道交通公共安全综合作战平台、数字派出所等；基于上海、深圳、广州等标杆客户打造和多年</w:t>
      </w:r>
    </w:p>
    <w:p>
      <w:pPr>
        <w:pStyle w:val="BodyText"/>
        <w:spacing w:line="276" w:lineRule="auto" w:before="37"/>
        <w:ind w:right="1007"/>
        <w:jc w:val="left"/>
      </w:pPr>
      <w:r>
        <w:rPr>
          <w:spacing w:val="-4"/>
        </w:rPr>
        <w:t>公安行业口碑积累，公司逐步完成全国公安市场的销售和服务网络建设，并已成功拓展江苏、湖北、陕西、</w:t>
      </w:r>
      <w:r>
        <w:rPr>
          <w:spacing w:val="-47"/>
        </w:rPr>
        <w:t> </w:t>
      </w:r>
      <w:r>
        <w:rPr>
          <w:spacing w:val="-47"/>
        </w:rPr>
      </w:r>
      <w:r>
        <w:rPr/>
        <w:t>江西、广西、西藏等十余个新市场，强化了天源迪科在公安市场的占有率。</w:t>
      </w:r>
    </w:p>
    <w:p>
      <w:pPr>
        <w:pStyle w:val="BodyText"/>
        <w:spacing w:line="273" w:lineRule="auto" w:before="159"/>
        <w:ind w:right="1106" w:firstLine="422"/>
        <w:jc w:val="both"/>
      </w:pPr>
      <w:r>
        <w:rPr>
          <w:spacing w:val="-2"/>
        </w:rPr>
        <w:t>公司首批入围阿里云总集类技术交付框架供应商和业务中台类技术交付框架供应商，公司积极进行产</w:t>
      </w:r>
      <w:r>
        <w:rPr>
          <w:w w:val="100"/>
        </w:rPr>
        <w:t> </w:t>
      </w:r>
      <w:r>
        <w:rPr>
          <w:spacing w:val="-2"/>
        </w:rPr>
        <w:t>品创新，与阿里云合作推出智慧城市、数学政府联合解决方案。继西安市政府“最多跑一次”项目之后，</w:t>
      </w:r>
      <w:r>
        <w:rPr>
          <w:spacing w:val="-13"/>
        </w:rPr>
        <w:t> </w:t>
      </w:r>
      <w:r>
        <w:rPr>
          <w:spacing w:val="-13"/>
        </w:rPr>
      </w:r>
      <w:r>
        <w:rPr>
          <w:spacing w:val="-7"/>
          <w:w w:val="100"/>
        </w:rPr>
        <w:t>报告期内又成功中标石家庄市“最多跑一次（数据归集）”、市场监督管理局“网络交易管理平台”等政府</w:t>
      </w:r>
      <w:r>
        <w:rPr>
          <w:spacing w:val="-69"/>
          <w:w w:val="100"/>
        </w:rPr>
        <w:t> </w:t>
      </w:r>
      <w:r>
        <w:rPr>
          <w:spacing w:val="-69"/>
          <w:w w:val="100"/>
        </w:rPr>
      </w:r>
      <w:r>
        <w:rPr>
          <w:spacing w:val="-2"/>
        </w:rPr>
        <w:t>项目；数字化采购产品成功交付能源、交通、建筑、航空航天、化工等行业特大型央企；智能客服产品成</w:t>
      </w:r>
      <w:r>
        <w:rPr>
          <w:spacing w:val="-33"/>
        </w:rPr>
        <w:t> </w:t>
      </w:r>
      <w:r>
        <w:rPr>
          <w:spacing w:val="-33"/>
        </w:rPr>
      </w:r>
      <w:r>
        <w:rPr/>
        <w:t>功交付能源、运营商、航空、房地产等行业大型企业。</w:t>
      </w:r>
    </w:p>
    <w:p>
      <w:pPr>
        <w:spacing w:line="470" w:lineRule="exact" w:before="30"/>
        <w:ind w:left="535" w:right="1007" w:firstLine="0"/>
        <w:jc w:val="left"/>
        <w:rPr>
          <w:rFonts w:ascii="宋体" w:hAnsi="宋体" w:cs="宋体" w:eastAsia="宋体" w:hint="default"/>
          <w:sz w:val="21"/>
          <w:szCs w:val="21"/>
        </w:rPr>
      </w:pPr>
      <w:r>
        <w:rPr>
          <w:rFonts w:ascii="宋体" w:hAnsi="宋体" w:cs="宋体" w:eastAsia="宋体" w:hint="default"/>
          <w:b/>
          <w:bCs/>
          <w:sz w:val="21"/>
          <w:szCs w:val="21"/>
        </w:rPr>
        <w:t>持续研发投入，以绩效管理为导向，鼓励价值创造</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报告期内，公司投入</w:t>
      </w:r>
      <w:r>
        <w:rPr>
          <w:rFonts w:ascii="宋体" w:hAnsi="宋体" w:cs="宋体" w:eastAsia="宋体" w:hint="default"/>
          <w:spacing w:val="-2"/>
          <w:sz w:val="21"/>
          <w:szCs w:val="21"/>
        </w:rPr>
        <w:t>5G</w:t>
      </w:r>
      <w:r>
        <w:rPr>
          <w:rFonts w:ascii="宋体" w:hAnsi="宋体" w:cs="宋体" w:eastAsia="宋体" w:hint="default"/>
          <w:spacing w:val="-2"/>
          <w:sz w:val="21"/>
          <w:szCs w:val="21"/>
        </w:rPr>
        <w:t>产品、数据中台等基础技术平台研发，基于人工智能创新产品（智能客服等）</w:t>
      </w:r>
    </w:p>
    <w:p>
      <w:pPr>
        <w:pStyle w:val="BodyText"/>
        <w:spacing w:line="248" w:lineRule="exact" w:before="0"/>
        <w:ind w:right="1007"/>
        <w:jc w:val="left"/>
      </w:pPr>
      <w:r>
        <w:rPr/>
        <w:t>研发，数字政府等行业软件的研发，研发投入增加。公司围绕企业利润流和现金流指标，强化业绩导向和</w:t>
      </w:r>
    </w:p>
    <w:p>
      <w:pPr>
        <w:pStyle w:val="BodyText"/>
        <w:spacing w:line="273" w:lineRule="auto" w:before="37"/>
        <w:ind w:right="1106"/>
        <w:jc w:val="both"/>
      </w:pPr>
      <w:r>
        <w:rPr>
          <w:spacing w:val="-2"/>
        </w:rPr>
        <w:t>目标管理，划小经营单元，试行阿米巴式小团队运营模式，促进效率提升。实行滚动预算与年度预算相结</w:t>
      </w:r>
      <w:r>
        <w:rPr>
          <w:spacing w:val="-33"/>
        </w:rPr>
        <w:t> </w:t>
      </w:r>
      <w:r>
        <w:rPr>
          <w:spacing w:val="-33"/>
        </w:rPr>
      </w:r>
      <w:r>
        <w:rPr>
          <w:spacing w:val="-2"/>
        </w:rPr>
        <w:t>合，完善绩效考核体系，强化价值创造的企业文化导向；建立销售顾问、项目经理、咨询顾问的铁三角，</w:t>
      </w:r>
      <w:r>
        <w:rPr>
          <w:spacing w:val="-13"/>
        </w:rPr>
        <w:t> </w:t>
      </w:r>
      <w:r>
        <w:rPr>
          <w:spacing w:val="-13"/>
        </w:rPr>
      </w:r>
      <w:r>
        <w:rPr/>
        <w:t>以实战演练的形式进行销售顾问等关键岗位能力培养，从而提升了组织战斗力。</w:t>
      </w:r>
    </w:p>
    <w:p>
      <w:pPr>
        <w:spacing w:after="0" w:line="273" w:lineRule="auto"/>
        <w:jc w:val="both"/>
        <w:sectPr>
          <w:pgSz w:w="11910" w:h="16840"/>
          <w:pgMar w:header="906" w:footer="1022" w:top="1100" w:bottom="1220" w:left="1020" w:right="0"/>
        </w:sectPr>
      </w:pPr>
    </w:p>
    <w:p>
      <w:pPr>
        <w:spacing w:line="240" w:lineRule="auto" w:before="1"/>
        <w:rPr>
          <w:rFonts w:ascii="宋体" w:hAnsi="宋体" w:cs="宋体" w:eastAsia="宋体" w:hint="default"/>
          <w:sz w:val="20"/>
          <w:szCs w:val="20"/>
        </w:rPr>
      </w:pPr>
    </w:p>
    <w:p>
      <w:pPr>
        <w:pStyle w:val="Heading2"/>
        <w:spacing w:line="240" w:lineRule="auto" w:before="26"/>
        <w:ind w:right="1764"/>
        <w:jc w:val="left"/>
        <w:rPr>
          <w:b w:val="0"/>
          <w:bCs w:val="0"/>
        </w:rPr>
      </w:pPr>
      <w:bookmarkStart w:name="二、主营业务分析" w:id="24"/>
      <w:bookmarkEnd w:id="24"/>
      <w:r>
        <w:rPr>
          <w:b w:val="0"/>
          <w:bCs w:val="0"/>
        </w:rPr>
      </w:r>
      <w:r>
        <w:rPr/>
        <w:t>二、主营业务分析</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764"/>
        <w:jc w:val="left"/>
        <w:rPr>
          <w:b w:val="0"/>
          <w:bCs w:val="0"/>
        </w:rPr>
      </w:pPr>
      <w:bookmarkStart w:name="1、概述" w:id="25"/>
      <w:bookmarkEnd w:id="25"/>
      <w:r>
        <w:rPr>
          <w:b w:val="0"/>
          <w:bCs w:val="0"/>
        </w:rPr>
      </w:r>
      <w:r>
        <w:rPr>
          <w:rFonts w:ascii="Times New Roman" w:hAnsi="Times New Roman" w:cs="Times New Roman" w:eastAsia="Times New Roman" w:hint="default"/>
        </w:rPr>
        <w:t>1</w:t>
      </w:r>
      <w:r>
        <w:rPr/>
        <w:t>、概述</w:t>
      </w:r>
      <w:r>
        <w:rPr>
          <w:b w:val="0"/>
          <w:bCs w:val="0"/>
        </w:rPr>
      </w:r>
    </w:p>
    <w:p>
      <w:pPr>
        <w:spacing w:line="240" w:lineRule="auto" w:before="1"/>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参见“经营情况讨论与分析”中的“一、概述”相关内容。</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2、收入与成本" w:id="26"/>
      <w:bookmarkEnd w:id="26"/>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1）营业收入构成" w:id="27"/>
      <w:bookmarkEnd w:id="27"/>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7"/>
        <w:rPr>
          <w:rFonts w:ascii="宋体" w:hAnsi="宋体" w:cs="宋体" w:eastAsia="宋体" w:hint="default"/>
          <w:b/>
          <w:bCs/>
          <w:sz w:val="23"/>
          <w:szCs w:val="23"/>
        </w:rPr>
      </w:pPr>
    </w:p>
    <w:p>
      <w:pPr>
        <w:spacing w:before="46"/>
        <w:ind w:left="113" w:right="1764"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403" w:hRule="exact"/>
        </w:trPr>
        <w:tc>
          <w:tcPr>
            <w:tcW w:w="1599" w:type="dxa"/>
            <w:vMerge w:val="restart"/>
            <w:tcBorders>
              <w:top w:val="single" w:sz="4" w:space="0" w:color="000000"/>
              <w:left w:val="single" w:sz="4" w:space="0" w:color="000000"/>
              <w:right w:val="single" w:sz="4" w:space="0" w:color="000000"/>
            </w:tcBorders>
            <w:shd w:val="clear" w:color="auto" w:fill="D2D2D2"/>
          </w:tcPr>
          <w:p>
            <w:pP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4"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4,470,792,753.32</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3,766,826,442.85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18.69%</w:t>
            </w:r>
          </w:p>
        </w:tc>
      </w:tr>
      <w:tr>
        <w:trPr>
          <w:trHeight w:val="394"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电信行业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656,755,572.42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14.69%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681,286,136.32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18.09%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-3.60%</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金融行业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440,848,989.85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9.86%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397,497,603.97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10.55%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10.91%</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政府行业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315,669,100.84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7.06%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307,688,677.85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8.17%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2.59%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176,753,449.91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3.95%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145,613,513.43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3.86%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21.39%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网络产品销售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2,880,765,640.30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64.44%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2,234,740,511.28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59.33%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28.91%</w:t>
            </w:r>
          </w:p>
        </w:tc>
      </w:tr>
      <w:tr>
        <w:trPr>
          <w:trHeight w:val="403"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99"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应用软件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965,145,171.89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21.59%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960,107,186.57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25.49%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0.52%</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210,674,572.49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4.71%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197,844,282.50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5.25%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6.49%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系统集成工程</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95,932,585.74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121,461,193.92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3.22%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-21.02%</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运营业务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318,274,782.90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7.12%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252,673,268.58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6.71%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25.96%</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网络产品销售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2,880,765,640.30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64.44%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2,234,740,511.28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59.33%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28.91%</w:t>
            </w:r>
          </w:p>
        </w:tc>
      </w:tr>
      <w:tr>
        <w:trPr>
          <w:trHeight w:val="401"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东部地区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477,977,346.66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10.69%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361,781,460.34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9.60%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32.12%</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西部地区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166,768,390.89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205,918,832.21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5.47%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-19.01%</w:t>
            </w:r>
          </w:p>
        </w:tc>
      </w:tr>
      <w:tr>
        <w:trPr>
          <w:trHeight w:val="399"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南部地区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269,105,615.61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6.02%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244,870,643.84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6.50%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9.90%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北部地区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393,488,954.74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407,325,958.06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10.81%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2"/>
                <w:sz w:val="18"/>
              </w:rPr>
              <w:t>-3.40%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中部地区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229,372,487.26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5.13%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218,772,373.53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5.81%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4.85%</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海外地区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53,314,317.86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93,416,663.59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-42.93%</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网络产品销售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2,880,765,640.30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64.44%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2,234,740,511.28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59.33%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28.91%</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公司需遵守《深圳证券交易所行业信息披露指引第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号——上市公司从事软件与信息技术服务业务》的披露要求</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after="0"/>
        <w:jc w:val="righ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388" w:type="dxa"/>
        <w:tblLayout w:type="fixed"/>
        <w:tblCellMar>
          <w:top w:w="0" w:type="dxa"/>
          <w:left w:w="0" w:type="dxa"/>
          <w:bottom w:w="0" w:type="dxa"/>
          <w:right w:w="0" w:type="dxa"/>
        </w:tblCellMar>
        <w:tblLook w:val="01E0"/>
      </w:tblPr>
      <w:tblGrid>
        <w:gridCol w:w="1517"/>
        <w:gridCol w:w="1008"/>
        <w:gridCol w:w="1013"/>
        <w:gridCol w:w="1008"/>
        <w:gridCol w:w="1013"/>
        <w:gridCol w:w="1004"/>
        <w:gridCol w:w="1004"/>
        <w:gridCol w:w="1004"/>
        <w:gridCol w:w="1003"/>
      </w:tblGrid>
      <w:tr>
        <w:trPr>
          <w:trHeight w:val="403" w:hRule="exact"/>
        </w:trPr>
        <w:tc>
          <w:tcPr>
            <w:tcW w:w="1517" w:type="dxa"/>
            <w:vMerge w:val="restart"/>
            <w:tcBorders>
              <w:top w:val="single" w:sz="4" w:space="0" w:color="000000"/>
              <w:left w:val="single" w:sz="4" w:space="0" w:color="000000"/>
              <w:right w:val="single" w:sz="4" w:space="0" w:color="000000"/>
            </w:tcBorders>
            <w:shd w:val="clear" w:color="auto" w:fill="D2D2D2"/>
          </w:tcPr>
          <w:p>
            <w:pPr/>
          </w:p>
        </w:tc>
        <w:tc>
          <w:tcPr>
            <w:tcW w:w="404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401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98" w:hRule="exact"/>
        </w:trPr>
        <w:tc>
          <w:tcPr>
            <w:tcW w:w="1517" w:type="dxa"/>
            <w:vMerge/>
            <w:tcBorders>
              <w:left w:val="single" w:sz="4" w:space="0" w:color="000000"/>
              <w:bottom w:val="single" w:sz="4" w:space="0" w:color="000000"/>
              <w:right w:val="single" w:sz="4" w:space="0" w:color="000000"/>
            </w:tcBorders>
            <w:shd w:val="clear" w:color="auto" w:fill="D2D2D2"/>
          </w:tcPr>
          <w:p>
            <w:pP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716" w:hRule="exact"/>
        </w:trPr>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4" w:right="0"/>
              <w:jc w:val="left"/>
              <w:rPr>
                <w:rFonts w:ascii="Times New Roman" w:hAnsi="Times New Roman" w:cs="Times New Roman" w:eastAsia="Times New Roman" w:hint="default"/>
                <w:sz w:val="18"/>
                <w:szCs w:val="18"/>
              </w:rPr>
            </w:pPr>
            <w:r>
              <w:rPr>
                <w:rFonts w:ascii="Times New Roman"/>
                <w:sz w:val="18"/>
              </w:rPr>
              <w:t>1,004,559,</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551.98</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7" w:right="0"/>
              <w:jc w:val="left"/>
              <w:rPr>
                <w:rFonts w:ascii="Times New Roman" w:hAnsi="Times New Roman" w:cs="Times New Roman" w:eastAsia="Times New Roman" w:hint="default"/>
                <w:sz w:val="18"/>
                <w:szCs w:val="18"/>
              </w:rPr>
            </w:pPr>
            <w:r>
              <w:rPr>
                <w:rFonts w:ascii="Times New Roman"/>
                <w:sz w:val="18"/>
              </w:rPr>
              <w:t>588,366,2</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23.63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7" w:right="0"/>
              <w:jc w:val="left"/>
              <w:rPr>
                <w:rFonts w:ascii="Times New Roman" w:hAnsi="Times New Roman" w:cs="Times New Roman" w:eastAsia="Times New Roman" w:hint="default"/>
                <w:sz w:val="18"/>
                <w:szCs w:val="18"/>
              </w:rPr>
            </w:pPr>
            <w:r>
              <w:rPr>
                <w:rFonts w:ascii="Times New Roman"/>
                <w:sz w:val="18"/>
              </w:rPr>
              <w:t>904,131,4</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10.30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9" w:right="0"/>
              <w:jc w:val="left"/>
              <w:rPr>
                <w:rFonts w:ascii="Times New Roman" w:hAnsi="Times New Roman" w:cs="Times New Roman" w:eastAsia="Times New Roman" w:hint="default"/>
                <w:sz w:val="18"/>
                <w:szCs w:val="18"/>
              </w:rPr>
            </w:pPr>
            <w:r>
              <w:rPr>
                <w:rFonts w:ascii="Times New Roman"/>
                <w:sz w:val="18"/>
              </w:rPr>
              <w:t>1,973,735,</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567.41</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2" w:right="0"/>
              <w:jc w:val="left"/>
              <w:rPr>
                <w:rFonts w:ascii="Times New Roman" w:hAnsi="Times New Roman" w:cs="Times New Roman" w:eastAsia="Times New Roman" w:hint="default"/>
                <w:sz w:val="18"/>
                <w:szCs w:val="18"/>
              </w:rPr>
            </w:pPr>
            <w:r>
              <w:rPr>
                <w:rFonts w:ascii="Times New Roman"/>
                <w:sz w:val="18"/>
              </w:rPr>
              <w:t>497,495,6</w:t>
            </w:r>
          </w:p>
          <w:p>
            <w:pPr>
              <w:pStyle w:val="TableParagraph"/>
              <w:spacing w:line="240" w:lineRule="auto" w:before="105"/>
              <w:ind w:left="489" w:right="0"/>
              <w:jc w:val="left"/>
              <w:rPr>
                <w:rFonts w:ascii="Times New Roman" w:hAnsi="Times New Roman" w:cs="Times New Roman" w:eastAsia="Times New Roman" w:hint="default"/>
                <w:sz w:val="18"/>
                <w:szCs w:val="18"/>
              </w:rPr>
            </w:pPr>
            <w:r>
              <w:rPr>
                <w:rFonts w:ascii="Times New Roman"/>
                <w:sz w:val="18"/>
              </w:rPr>
              <w:t>82.60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2" w:right="0"/>
              <w:jc w:val="left"/>
              <w:rPr>
                <w:rFonts w:ascii="Times New Roman" w:hAnsi="Times New Roman" w:cs="Times New Roman" w:eastAsia="Times New Roman" w:hint="default"/>
                <w:sz w:val="18"/>
                <w:szCs w:val="18"/>
              </w:rPr>
            </w:pPr>
            <w:r>
              <w:rPr>
                <w:rFonts w:ascii="Times New Roman"/>
                <w:sz w:val="18"/>
              </w:rPr>
              <w:t>685,201,3</w:t>
            </w:r>
          </w:p>
          <w:p>
            <w:pPr>
              <w:pStyle w:val="TableParagraph"/>
              <w:spacing w:line="240" w:lineRule="auto" w:before="105"/>
              <w:ind w:left="490" w:right="0"/>
              <w:jc w:val="left"/>
              <w:rPr>
                <w:rFonts w:ascii="Times New Roman" w:hAnsi="Times New Roman" w:cs="Times New Roman" w:eastAsia="Times New Roman" w:hint="default"/>
                <w:sz w:val="18"/>
                <w:szCs w:val="18"/>
              </w:rPr>
            </w:pPr>
            <w:r>
              <w:rPr>
                <w:rFonts w:ascii="Times New Roman"/>
                <w:sz w:val="18"/>
              </w:rPr>
              <w:t>30.17</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2" w:right="0"/>
              <w:jc w:val="left"/>
              <w:rPr>
                <w:rFonts w:ascii="Times New Roman" w:hAnsi="Times New Roman" w:cs="Times New Roman" w:eastAsia="Times New Roman" w:hint="default"/>
                <w:sz w:val="18"/>
                <w:szCs w:val="18"/>
              </w:rPr>
            </w:pPr>
            <w:r>
              <w:rPr>
                <w:rFonts w:ascii="Times New Roman"/>
                <w:sz w:val="18"/>
              </w:rPr>
              <w:t>746,733,4</w:t>
            </w:r>
          </w:p>
          <w:p>
            <w:pPr>
              <w:pStyle w:val="TableParagraph"/>
              <w:spacing w:line="240" w:lineRule="auto" w:before="105"/>
              <w:ind w:left="489" w:right="0"/>
              <w:jc w:val="left"/>
              <w:rPr>
                <w:rFonts w:ascii="Times New Roman" w:hAnsi="Times New Roman" w:cs="Times New Roman" w:eastAsia="Times New Roman" w:hint="default"/>
                <w:sz w:val="18"/>
                <w:szCs w:val="18"/>
              </w:rPr>
            </w:pPr>
            <w:r>
              <w:rPr>
                <w:rFonts w:ascii="Times New Roman"/>
                <w:sz w:val="18"/>
              </w:rPr>
              <w:t>59.08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9" w:right="0"/>
              <w:jc w:val="left"/>
              <w:rPr>
                <w:rFonts w:ascii="Times New Roman" w:hAnsi="Times New Roman" w:cs="Times New Roman" w:eastAsia="Times New Roman" w:hint="default"/>
                <w:sz w:val="18"/>
                <w:szCs w:val="18"/>
              </w:rPr>
            </w:pPr>
            <w:r>
              <w:rPr>
                <w:rFonts w:ascii="Times New Roman"/>
                <w:sz w:val="18"/>
              </w:rPr>
              <w:t>1,837,395,</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971.00</w:t>
            </w:r>
          </w:p>
        </w:tc>
      </w:tr>
      <w:tr>
        <w:trPr>
          <w:trHeight w:val="715" w:hRule="exact"/>
        </w:trPr>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37"/>
              <w:jc w:val="left"/>
              <w:rPr>
                <w:rFonts w:ascii="宋体" w:hAnsi="宋体" w:cs="宋体" w:eastAsia="宋体" w:hint="default"/>
                <w:sz w:val="18"/>
                <w:szCs w:val="18"/>
              </w:rPr>
            </w:pPr>
            <w:r>
              <w:rPr>
                <w:rFonts w:ascii="宋体" w:hAnsi="宋体" w:cs="宋体" w:eastAsia="宋体" w:hint="default"/>
                <w:spacing w:val="-3"/>
                <w:sz w:val="18"/>
                <w:szCs w:val="18"/>
              </w:rPr>
              <w:t>归属于上市公司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股东的净利润</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7" w:right="0"/>
              <w:jc w:val="left"/>
              <w:rPr>
                <w:rFonts w:ascii="Times New Roman" w:hAnsi="Times New Roman" w:cs="Times New Roman" w:eastAsia="Times New Roman" w:hint="default"/>
                <w:sz w:val="18"/>
                <w:szCs w:val="18"/>
              </w:rPr>
            </w:pPr>
            <w:r>
              <w:rPr>
                <w:rFonts w:ascii="Times New Roman"/>
                <w:sz w:val="18"/>
              </w:rPr>
              <w:t>12,863,96</w:t>
            </w:r>
          </w:p>
          <w:p>
            <w:pPr>
              <w:pStyle w:val="TableParagraph"/>
              <w:spacing w:line="240" w:lineRule="auto" w:before="110"/>
              <w:ind w:left="581" w:right="0"/>
              <w:jc w:val="left"/>
              <w:rPr>
                <w:rFonts w:ascii="Times New Roman" w:hAnsi="Times New Roman" w:cs="Times New Roman" w:eastAsia="Times New Roman" w:hint="default"/>
                <w:sz w:val="18"/>
                <w:szCs w:val="18"/>
              </w:rPr>
            </w:pPr>
            <w:r>
              <w:rPr>
                <w:rFonts w:ascii="Times New Roman"/>
                <w:sz w:val="18"/>
              </w:rPr>
              <w:t>2.68</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7" w:right="0"/>
              <w:jc w:val="left"/>
              <w:rPr>
                <w:rFonts w:ascii="Times New Roman" w:hAnsi="Times New Roman" w:cs="Times New Roman" w:eastAsia="Times New Roman" w:hint="default"/>
                <w:sz w:val="18"/>
                <w:szCs w:val="18"/>
              </w:rPr>
            </w:pPr>
            <w:r>
              <w:rPr>
                <w:rFonts w:ascii="Times New Roman"/>
                <w:sz w:val="18"/>
              </w:rPr>
              <w:t>31,943,17</w:t>
            </w:r>
          </w:p>
          <w:p>
            <w:pPr>
              <w:pStyle w:val="TableParagraph"/>
              <w:spacing w:line="240" w:lineRule="auto" w:before="110"/>
              <w:ind w:left="580" w:right="0"/>
              <w:jc w:val="left"/>
              <w:rPr>
                <w:rFonts w:ascii="Times New Roman" w:hAnsi="Times New Roman" w:cs="Times New Roman" w:eastAsia="Times New Roman" w:hint="default"/>
                <w:sz w:val="18"/>
                <w:szCs w:val="18"/>
              </w:rPr>
            </w:pPr>
            <w:r>
              <w:rPr>
                <w:rFonts w:ascii="Times New Roman"/>
                <w:sz w:val="18"/>
              </w:rPr>
              <w:t>4.33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7" w:right="0"/>
              <w:jc w:val="left"/>
              <w:rPr>
                <w:rFonts w:ascii="Times New Roman" w:hAnsi="Times New Roman" w:cs="Times New Roman" w:eastAsia="Times New Roman" w:hint="default"/>
                <w:sz w:val="18"/>
                <w:szCs w:val="18"/>
              </w:rPr>
            </w:pPr>
            <w:r>
              <w:rPr>
                <w:rFonts w:ascii="Times New Roman"/>
                <w:sz w:val="18"/>
              </w:rPr>
              <w:t>44,219,76</w:t>
            </w:r>
          </w:p>
          <w:p>
            <w:pPr>
              <w:pStyle w:val="TableParagraph"/>
              <w:spacing w:line="240" w:lineRule="auto" w:before="110"/>
              <w:ind w:left="580" w:right="0"/>
              <w:jc w:val="left"/>
              <w:rPr>
                <w:rFonts w:ascii="Times New Roman" w:hAnsi="Times New Roman" w:cs="Times New Roman" w:eastAsia="Times New Roman" w:hint="default"/>
                <w:sz w:val="18"/>
                <w:szCs w:val="18"/>
              </w:rPr>
            </w:pPr>
            <w:r>
              <w:rPr>
                <w:rFonts w:ascii="Times New Roman"/>
                <w:sz w:val="18"/>
              </w:rPr>
              <w:t>8.98</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2" w:right="0"/>
              <w:jc w:val="left"/>
              <w:rPr>
                <w:rFonts w:ascii="Times New Roman" w:hAnsi="Times New Roman" w:cs="Times New Roman" w:eastAsia="Times New Roman" w:hint="default"/>
                <w:sz w:val="18"/>
                <w:szCs w:val="18"/>
              </w:rPr>
            </w:pPr>
            <w:r>
              <w:rPr>
                <w:rFonts w:ascii="Times New Roman"/>
                <w:sz w:val="18"/>
              </w:rPr>
              <w:t>27,690,36</w:t>
            </w:r>
          </w:p>
          <w:p>
            <w:pPr>
              <w:pStyle w:val="TableParagraph"/>
              <w:spacing w:line="240" w:lineRule="auto" w:before="110"/>
              <w:ind w:left="585" w:right="0"/>
              <w:jc w:val="left"/>
              <w:rPr>
                <w:rFonts w:ascii="Times New Roman" w:hAnsi="Times New Roman" w:cs="Times New Roman" w:eastAsia="Times New Roman" w:hint="default"/>
                <w:sz w:val="18"/>
                <w:szCs w:val="18"/>
              </w:rPr>
            </w:pPr>
            <w:r>
              <w:rPr>
                <w:rFonts w:ascii="Times New Roman"/>
                <w:sz w:val="18"/>
              </w:rPr>
              <w:t>2.16</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2"/>
                <w:sz w:val="18"/>
              </w:rPr>
              <w:t>5,122,172.</w:t>
            </w:r>
          </w:p>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z w:val="18"/>
              </w:rPr>
              <w:t>22</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33,240,21</w:t>
            </w:r>
          </w:p>
          <w:p>
            <w:pPr>
              <w:pStyle w:val="TableParagraph"/>
              <w:spacing w:line="240" w:lineRule="auto" w:before="110"/>
              <w:ind w:left="576" w:right="0"/>
              <w:jc w:val="left"/>
              <w:rPr>
                <w:rFonts w:ascii="Times New Roman" w:hAnsi="Times New Roman" w:cs="Times New Roman" w:eastAsia="Times New Roman" w:hint="default"/>
                <w:sz w:val="18"/>
                <w:szCs w:val="18"/>
              </w:rPr>
            </w:pPr>
            <w:r>
              <w:rPr>
                <w:rFonts w:ascii="Times New Roman"/>
                <w:sz w:val="18"/>
              </w:rPr>
              <w:t>9.26</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39,864,95</w:t>
            </w:r>
          </w:p>
          <w:p>
            <w:pPr>
              <w:pStyle w:val="TableParagraph"/>
              <w:spacing w:line="240" w:lineRule="auto" w:before="110"/>
              <w:ind w:left="576" w:right="0"/>
              <w:jc w:val="left"/>
              <w:rPr>
                <w:rFonts w:ascii="Times New Roman" w:hAnsi="Times New Roman" w:cs="Times New Roman" w:eastAsia="Times New Roman" w:hint="default"/>
                <w:sz w:val="18"/>
                <w:szCs w:val="18"/>
              </w:rPr>
            </w:pPr>
            <w:r>
              <w:rPr>
                <w:rFonts w:ascii="Times New Roman"/>
                <w:sz w:val="18"/>
              </w:rPr>
              <w:t>4.58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137,315,3</w:t>
            </w:r>
          </w:p>
          <w:p>
            <w:pPr>
              <w:pStyle w:val="TableParagraph"/>
              <w:spacing w:line="240" w:lineRule="auto" w:before="110"/>
              <w:ind w:left="489" w:right="0"/>
              <w:jc w:val="left"/>
              <w:rPr>
                <w:rFonts w:ascii="Times New Roman" w:hAnsi="Times New Roman" w:cs="Times New Roman" w:eastAsia="Times New Roman" w:hint="default"/>
                <w:sz w:val="18"/>
                <w:szCs w:val="18"/>
              </w:rPr>
            </w:pPr>
            <w:r>
              <w:rPr>
                <w:rFonts w:ascii="Times New Roman"/>
                <w:sz w:val="18"/>
              </w:rPr>
              <w:t>48.91</w:t>
            </w:r>
          </w:p>
        </w:tc>
      </w:tr>
    </w:tbl>
    <w:p>
      <w:pPr>
        <w:spacing w:line="338" w:lineRule="auto" w:before="53"/>
        <w:ind w:left="393" w:right="0" w:firstLine="0"/>
        <w:jc w:val="left"/>
        <w:rPr>
          <w:rFonts w:ascii="宋体" w:hAnsi="宋体" w:cs="宋体" w:eastAsia="宋体" w:hint="default"/>
          <w:sz w:val="18"/>
          <w:szCs w:val="18"/>
        </w:rPr>
      </w:pPr>
      <w:r>
        <w:rPr>
          <w:rFonts w:ascii="宋体" w:hAnsi="宋体" w:cs="宋体" w:eastAsia="宋体" w:hint="default"/>
          <w:spacing w:val="-3"/>
          <w:sz w:val="18"/>
          <w:szCs w:val="18"/>
        </w:rPr>
        <w:t>说明经营季节性（或周期性）发生的原因及波动风险</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公司的主要客户为电信运营商及政府，这些客户一般在年初制定计划及预算，上半年开始进行项目开发和实施工作，第三、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四季度签订项目合同、验收结算，公司的利润也较多体现在下半年，一季度结算利润较少。</w:t>
      </w:r>
    </w:p>
    <w:p>
      <w:pPr>
        <w:spacing w:before="2"/>
        <w:ind w:left="393" w:right="0" w:firstLine="0"/>
        <w:jc w:val="left"/>
        <w:rPr>
          <w:rFonts w:ascii="宋体" w:hAnsi="宋体" w:cs="宋体" w:eastAsia="宋体" w:hint="default"/>
          <w:sz w:val="18"/>
          <w:szCs w:val="18"/>
        </w:rPr>
      </w:pPr>
      <w:r>
        <w:rPr>
          <w:rFonts w:ascii="宋体" w:hAnsi="宋体" w:cs="宋体" w:eastAsia="宋体" w:hint="default"/>
          <w:spacing w:val="-3"/>
          <w:sz w:val="18"/>
          <w:szCs w:val="18"/>
        </w:rPr>
        <w:t>由于公司的主要客户业务结算大多集中在下半年，存在着到年底业务收入不能按时结算的风险。</w:t>
      </w:r>
    </w:p>
    <w:p>
      <w:pPr>
        <w:spacing w:line="240" w:lineRule="auto" w:before="0"/>
        <w:rPr>
          <w:rFonts w:ascii="宋体" w:hAnsi="宋体" w:cs="宋体" w:eastAsia="宋体" w:hint="default"/>
          <w:sz w:val="18"/>
          <w:szCs w:val="18"/>
        </w:rPr>
      </w:pPr>
    </w:p>
    <w:p>
      <w:pPr>
        <w:pStyle w:val="Heading3"/>
        <w:spacing w:line="240" w:lineRule="auto" w:before="118"/>
        <w:ind w:left="393" w:right="0"/>
        <w:jc w:val="left"/>
        <w:rPr>
          <w:b w:val="0"/>
          <w:bCs w:val="0"/>
        </w:rPr>
      </w:pPr>
      <w:bookmarkStart w:name="（2）占公司营业收入或营业利润10%以上的行业、产品或地区情况" w:id="28"/>
      <w:bookmarkEnd w:id="28"/>
      <w:r>
        <w:rPr>
          <w:b w:val="0"/>
          <w:bCs w:val="0"/>
        </w:rPr>
      </w:r>
      <w:r>
        <w:rPr/>
        <w:t>（</w:t>
      </w:r>
      <w:r>
        <w:rPr>
          <w:rFonts w:ascii="Times New Roman" w:hAnsi="Times New Roman" w:cs="Times New Roman" w:eastAsia="Times New Roman" w:hint="default"/>
        </w:rPr>
        <w:t>2</w:t>
      </w:r>
      <w:r>
        <w:rPr/>
        <w:t>）占公司营业收入或营业利润</w:t>
      </w:r>
      <w:r>
        <w:rPr>
          <w:spacing w:val="-51"/>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6" w:footer="1022" w:top="1100" w:bottom="1220" w:left="740" w:right="0"/>
        </w:sectPr>
      </w:pPr>
    </w:p>
    <w:p>
      <w:pPr>
        <w:spacing w:before="46"/>
        <w:ind w:left="393" w:right="-13"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before="115"/>
        <w:ind w:left="393" w:right="-13" w:firstLine="0"/>
        <w:jc w:val="left"/>
        <w:rPr>
          <w:rFonts w:ascii="宋体" w:hAnsi="宋体" w:cs="宋体" w:eastAsia="宋体" w:hint="default"/>
          <w:sz w:val="18"/>
          <w:szCs w:val="18"/>
        </w:rPr>
      </w:pPr>
      <w:r>
        <w:rPr>
          <w:rFonts w:ascii="宋体" w:hAnsi="宋体" w:cs="宋体" w:eastAsia="宋体" w:hint="default"/>
          <w:spacing w:val="-3"/>
          <w:sz w:val="18"/>
          <w:szCs w:val="18"/>
        </w:rPr>
        <w:t>公司需遵守《深圳证券交易所行业信息披露指引第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号——上市公司从事软件与信息技术服务业务》的披露要求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35"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220" w:left="740" w:right="0"/>
          <w:cols w:num="2" w:equalWidth="0">
            <w:col w:w="9310" w:space="40"/>
            <w:col w:w="1820"/>
          </w:cols>
        </w:sectPr>
      </w:pPr>
    </w:p>
    <w:p>
      <w:pPr>
        <w:spacing w:line="240" w:lineRule="auto" w:before="8"/>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1417"/>
        <w:gridCol w:w="1599"/>
        <w:gridCol w:w="1522"/>
        <w:gridCol w:w="1215"/>
        <w:gridCol w:w="1368"/>
        <w:gridCol w:w="1364"/>
        <w:gridCol w:w="1373"/>
      </w:tblGrid>
      <w:tr>
        <w:trPr>
          <w:trHeight w:val="716"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5" w:right="137" w:hanging="92"/>
              <w:jc w:val="left"/>
              <w:rPr>
                <w:rFonts w:ascii="宋体" w:hAnsi="宋体" w:cs="宋体" w:eastAsia="宋体" w:hint="default"/>
                <w:sz w:val="18"/>
                <w:szCs w:val="18"/>
              </w:rPr>
            </w:pPr>
            <w:r>
              <w:rPr>
                <w:rFonts w:ascii="宋体" w:hAnsi="宋体" w:cs="宋体" w:eastAsia="宋体" w:hint="default"/>
                <w:spacing w:val="-2"/>
                <w:sz w:val="18"/>
                <w:szCs w:val="18"/>
              </w:rPr>
              <w:t>营业收入比上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年同期增减</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6" w:right="132" w:hanging="92"/>
              <w:jc w:val="left"/>
              <w:rPr>
                <w:rFonts w:ascii="宋体" w:hAnsi="宋体" w:cs="宋体" w:eastAsia="宋体" w:hint="default"/>
                <w:sz w:val="18"/>
                <w:szCs w:val="18"/>
              </w:rPr>
            </w:pPr>
            <w:r>
              <w:rPr>
                <w:rFonts w:ascii="宋体" w:hAnsi="宋体" w:cs="宋体" w:eastAsia="宋体" w:hint="default"/>
                <w:spacing w:val="-2"/>
                <w:sz w:val="18"/>
                <w:szCs w:val="18"/>
              </w:rPr>
              <w:t>营业成本比上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年同期增减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21" w:right="132" w:hanging="178"/>
              <w:jc w:val="left"/>
              <w:rPr>
                <w:rFonts w:ascii="宋体" w:hAnsi="宋体" w:cs="宋体" w:eastAsia="宋体" w:hint="default"/>
                <w:sz w:val="18"/>
                <w:szCs w:val="18"/>
              </w:rPr>
            </w:pPr>
            <w:r>
              <w:rPr>
                <w:rFonts w:ascii="宋体" w:hAnsi="宋体" w:cs="宋体" w:eastAsia="宋体" w:hint="default"/>
                <w:spacing w:val="-2"/>
                <w:sz w:val="18"/>
                <w:szCs w:val="18"/>
              </w:rPr>
              <w:t>毛利率比上年</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同期增减</w:t>
            </w:r>
          </w:p>
        </w:tc>
      </w:tr>
      <w:tr>
        <w:trPr>
          <w:trHeight w:val="403" w:hRule="exact"/>
        </w:trPr>
        <w:tc>
          <w:tcPr>
            <w:tcW w:w="985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分客户所处行业</w:t>
            </w:r>
          </w:p>
        </w:tc>
      </w:tr>
      <w:tr>
        <w:trPr>
          <w:trHeight w:val="398"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电信行业</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656,755,572.42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436,316,199.46</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33.56%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-3.60%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9.35%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-7.87%</w:t>
            </w: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金融行业</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440,848,989.85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297,891,521.65</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32.43%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10.91%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3"/>
                <w:sz w:val="18"/>
              </w:rPr>
              <w:t>18.11%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-4.12%</w:t>
            </w:r>
          </w:p>
        </w:tc>
      </w:tr>
      <w:tr>
        <w:trPr>
          <w:trHeight w:val="404"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政府行业</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315,669,100.84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230,806,306.64</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26.88%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2.59%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16.28%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-8.61%</w:t>
            </w: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176,753,449.91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118,618,037.22</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32.89%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21.39%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31.31%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-5.07%</w:t>
            </w:r>
          </w:p>
        </w:tc>
      </w:tr>
      <w:tr>
        <w:trPr>
          <w:trHeight w:val="398"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网络产品销售</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2,880,765,640.30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2,659,959,107.23</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7.66%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28.91%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29.58%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-0.48%</w:t>
            </w:r>
          </w:p>
        </w:tc>
      </w:tr>
      <w:tr>
        <w:trPr>
          <w:trHeight w:val="403" w:hRule="exact"/>
        </w:trPr>
        <w:tc>
          <w:tcPr>
            <w:tcW w:w="985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应用软件</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965,145,171.89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633,796,912.79</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34.33%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0.52%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14.98%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-8.26%</w:t>
            </w:r>
          </w:p>
        </w:tc>
      </w:tr>
      <w:tr>
        <w:trPr>
          <w:trHeight w:val="404"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210,674,572.49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145,960,736.46</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30.72%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6.49%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23.73%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-9.66%</w:t>
            </w:r>
          </w:p>
        </w:tc>
      </w:tr>
      <w:tr>
        <w:trPr>
          <w:trHeight w:val="398"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系统集成工程</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95,932,585.74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85,605,574.31</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10.76%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-21.02%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-19.10%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-2.12%</w:t>
            </w: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运营业务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318,274,782.90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218,268,841.41</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31.42%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25.96%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32.24%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-3.26%</w:t>
            </w: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网络产品销售</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2,880,765,640.30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2,659,959,107.23</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7.66%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28.91%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29.58%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-0.48%</w:t>
            </w:r>
          </w:p>
        </w:tc>
      </w:tr>
      <w:tr>
        <w:trPr>
          <w:trHeight w:val="404" w:hRule="exact"/>
        </w:trPr>
        <w:tc>
          <w:tcPr>
            <w:tcW w:w="985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98"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东部地区</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477,977,346.66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328,763,411.50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31.22%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32.12%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37.51%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-2.70%</w:t>
            </w: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西部地区</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166,768,390.89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110,475,633.02</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33.76%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-19.01%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-14.76%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-3.31%</w:t>
            </w: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南部地区</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269,105,615.61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181,456,980.88</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32.57%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9.90%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16.07%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-3.59%</w:t>
            </w:r>
          </w:p>
        </w:tc>
      </w:tr>
      <w:tr>
        <w:trPr>
          <w:trHeight w:val="404"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北部地区</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393,488,954.74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273,305,081.48</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30.54%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-3.40%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18.80%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-12.98%</w:t>
            </w:r>
          </w:p>
        </w:tc>
      </w:tr>
      <w:tr>
        <w:trPr>
          <w:trHeight w:val="398"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中部地区</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229,372,487.26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154,281,705.87</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32.74%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4.85%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17.29%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-7.14%</w:t>
            </w: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海外地区</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53,314,317.86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35,349,252.22</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33.70%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-42.93%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-33.84%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-9.10%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20" w:left="740" w:right="0"/>
        </w:sectPr>
      </w:pPr>
    </w:p>
    <w:p>
      <w:pPr>
        <w:spacing w:line="240" w:lineRule="auto" w:before="7"/>
        <w:rPr>
          <w:rFonts w:ascii="宋体" w:hAnsi="宋体" w:cs="宋体" w:eastAsia="宋体" w:hint="default"/>
          <w:sz w:val="25"/>
          <w:szCs w:val="25"/>
        </w:rPr>
      </w:pPr>
    </w:p>
    <w:tbl>
      <w:tblPr>
        <w:tblW w:w="0" w:type="auto"/>
        <w:jc w:val="left"/>
        <w:tblInd w:w="105" w:type="dxa"/>
        <w:tblLayout w:type="fixed"/>
        <w:tblCellMar>
          <w:top w:w="0" w:type="dxa"/>
          <w:left w:w="0" w:type="dxa"/>
          <w:bottom w:w="0" w:type="dxa"/>
          <w:right w:w="0" w:type="dxa"/>
        </w:tblCellMar>
        <w:tblLook w:val="01E0"/>
      </w:tblPr>
      <w:tblGrid>
        <w:gridCol w:w="1417"/>
        <w:gridCol w:w="1599"/>
        <w:gridCol w:w="1522"/>
        <w:gridCol w:w="1215"/>
        <w:gridCol w:w="1368"/>
        <w:gridCol w:w="1364"/>
        <w:gridCol w:w="1373"/>
      </w:tblGrid>
      <w:tr>
        <w:trPr>
          <w:trHeight w:val="403"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网络产品销售</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0" w:right="0"/>
              <w:jc w:val="left"/>
              <w:rPr>
                <w:rFonts w:ascii="Times New Roman" w:hAnsi="Times New Roman" w:cs="Times New Roman" w:eastAsia="Times New Roman" w:hint="default"/>
                <w:sz w:val="18"/>
                <w:szCs w:val="18"/>
              </w:rPr>
            </w:pPr>
            <w:r>
              <w:rPr>
                <w:rFonts w:ascii="Times New Roman"/>
                <w:sz w:val="18"/>
              </w:rPr>
              <w:t>2,880,765,640.30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3" w:right="0"/>
              <w:jc w:val="left"/>
              <w:rPr>
                <w:rFonts w:ascii="Times New Roman" w:hAnsi="Times New Roman" w:cs="Times New Roman" w:eastAsia="Times New Roman" w:hint="default"/>
                <w:sz w:val="18"/>
                <w:szCs w:val="18"/>
              </w:rPr>
            </w:pPr>
            <w:r>
              <w:rPr>
                <w:rFonts w:ascii="Times New Roman"/>
                <w:sz w:val="18"/>
              </w:rPr>
              <w:t>2,659,959,107.23</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38" w:right="0"/>
              <w:jc w:val="left"/>
              <w:rPr>
                <w:rFonts w:ascii="Times New Roman" w:hAnsi="Times New Roman" w:cs="Times New Roman" w:eastAsia="Times New Roman" w:hint="default"/>
                <w:sz w:val="18"/>
                <w:szCs w:val="18"/>
              </w:rPr>
            </w:pPr>
            <w:r>
              <w:rPr>
                <w:rFonts w:ascii="Times New Roman"/>
                <w:sz w:val="18"/>
              </w:rPr>
              <w:t>7.66%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96" w:right="0"/>
              <w:jc w:val="left"/>
              <w:rPr>
                <w:rFonts w:ascii="Times New Roman" w:hAnsi="Times New Roman" w:cs="Times New Roman" w:eastAsia="Times New Roman" w:hint="default"/>
                <w:sz w:val="18"/>
                <w:szCs w:val="18"/>
              </w:rPr>
            </w:pPr>
            <w:r>
              <w:rPr>
                <w:rFonts w:ascii="Times New Roman"/>
                <w:sz w:val="18"/>
              </w:rPr>
              <w:t>28.91%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96" w:right="0"/>
              <w:jc w:val="left"/>
              <w:rPr>
                <w:rFonts w:ascii="Times New Roman" w:hAnsi="Times New Roman" w:cs="Times New Roman" w:eastAsia="Times New Roman" w:hint="default"/>
                <w:sz w:val="18"/>
                <w:szCs w:val="18"/>
              </w:rPr>
            </w:pPr>
            <w:r>
              <w:rPr>
                <w:rFonts w:ascii="Times New Roman"/>
                <w:sz w:val="18"/>
              </w:rPr>
              <w:t>29.58%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39" w:right="0"/>
              <w:jc w:val="left"/>
              <w:rPr>
                <w:rFonts w:ascii="Times New Roman" w:hAnsi="Times New Roman" w:cs="Times New Roman" w:eastAsia="Times New Roman" w:hint="default"/>
                <w:sz w:val="18"/>
                <w:szCs w:val="18"/>
              </w:rPr>
            </w:pPr>
            <w:r>
              <w:rPr>
                <w:rFonts w:ascii="Times New Roman"/>
                <w:sz w:val="18"/>
              </w:rPr>
              <w:t>-0.48%</w:t>
            </w:r>
          </w:p>
        </w:tc>
      </w:tr>
    </w:tbl>
    <w:p>
      <w:pPr>
        <w:spacing w:before="53"/>
        <w:ind w:left="39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公司主营业务数据统计口径在报告期发生调整的情况下，公司最近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年按报告期末口径调整后的主营业务数据</w:t>
      </w:r>
    </w:p>
    <w:p>
      <w:pPr>
        <w:spacing w:before="101"/>
        <w:ind w:left="39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6"/>
          <w:szCs w:val="26"/>
        </w:rPr>
      </w:pPr>
    </w:p>
    <w:p>
      <w:pPr>
        <w:pStyle w:val="Heading3"/>
        <w:spacing w:line="240" w:lineRule="auto"/>
        <w:ind w:left="393" w:right="0"/>
        <w:jc w:val="left"/>
        <w:rPr>
          <w:b w:val="0"/>
          <w:bCs w:val="0"/>
        </w:rPr>
      </w:pPr>
      <w:bookmarkStart w:name="（3）公司实物销售收入是否大于劳务收入" w:id="29"/>
      <w:bookmarkEnd w:id="29"/>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
        <w:rPr>
          <w:rFonts w:ascii="宋体" w:hAnsi="宋体" w:cs="宋体" w:eastAsia="宋体" w:hint="default"/>
          <w:b/>
          <w:bCs/>
          <w:sz w:val="27"/>
          <w:szCs w:val="27"/>
        </w:rPr>
      </w:pPr>
    </w:p>
    <w:p>
      <w:pPr>
        <w:spacing w:before="0"/>
        <w:ind w:left="393"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8"/>
        <w:rPr>
          <w:rFonts w:ascii="宋体" w:hAnsi="宋体" w:cs="宋体" w:eastAsia="宋体" w:hint="default"/>
          <w:sz w:val="7"/>
          <w:szCs w:val="7"/>
        </w:rPr>
      </w:pPr>
    </w:p>
    <w:tbl>
      <w:tblPr>
        <w:tblW w:w="0" w:type="auto"/>
        <w:jc w:val="left"/>
        <w:tblInd w:w="38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404"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6"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网络产品销售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万套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7.87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28.72%</w:t>
            </w:r>
          </w:p>
        </w:tc>
      </w:tr>
      <w:tr>
        <w:trPr>
          <w:trHeight w:val="398" w:hRule="exact"/>
        </w:trPr>
        <w:tc>
          <w:tcPr>
            <w:tcW w:w="1599"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万套</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9"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万套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3.14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2.32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35.34%</w:t>
            </w:r>
          </w:p>
        </w:tc>
      </w:tr>
      <w:tr>
        <w:trPr>
          <w:trHeight w:val="403" w:hRule="exact"/>
        </w:trPr>
        <w:tc>
          <w:tcPr>
            <w:tcW w:w="1599"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购入量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万套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10.95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8.25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32.73%</w:t>
            </w:r>
          </w:p>
        </w:tc>
      </w:tr>
    </w:tbl>
    <w:p>
      <w:pPr>
        <w:spacing w:before="54"/>
        <w:ind w:left="393" w:right="0" w:firstLine="0"/>
        <w:jc w:val="left"/>
        <w:rPr>
          <w:rFonts w:ascii="宋体" w:hAnsi="宋体" w:cs="宋体" w:eastAsia="宋体" w:hint="default"/>
          <w:sz w:val="18"/>
          <w:szCs w:val="18"/>
        </w:rPr>
      </w:pPr>
      <w:r>
        <w:rPr>
          <w:rFonts w:ascii="宋体" w:hAnsi="宋体" w:cs="宋体" w:eastAsia="宋体" w:hint="default"/>
          <w:spacing w:val="-2"/>
          <w:sz w:val="18"/>
          <w:szCs w:val="18"/>
        </w:rPr>
        <w:t>相关数据同比发生变动</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以上的原因说明</w:t>
      </w:r>
    </w:p>
    <w:p>
      <w:pPr>
        <w:spacing w:line="336" w:lineRule="auto" w:before="106"/>
        <w:ind w:left="393" w:right="3438"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库存量本年末比上年末增长</w:t>
      </w:r>
      <w:r>
        <w:rPr>
          <w:rFonts w:ascii="宋体" w:hAnsi="宋体" w:cs="宋体" w:eastAsia="宋体" w:hint="default"/>
          <w:spacing w:val="-3"/>
          <w:sz w:val="18"/>
          <w:szCs w:val="18"/>
        </w:rPr>
        <w:t>35.34%</w:t>
      </w:r>
      <w:r>
        <w:rPr>
          <w:rFonts w:ascii="宋体" w:hAnsi="宋体" w:cs="宋体" w:eastAsia="宋体" w:hint="default"/>
          <w:spacing w:val="-3"/>
          <w:sz w:val="18"/>
          <w:szCs w:val="18"/>
        </w:rPr>
        <w:t>，主要原因是年末为下一年度备货增加；</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购入量本年比上年同期增长</w:t>
      </w:r>
      <w:r>
        <w:rPr>
          <w:rFonts w:ascii="宋体" w:hAnsi="宋体" w:cs="宋体" w:eastAsia="宋体" w:hint="default"/>
          <w:spacing w:val="-3"/>
          <w:sz w:val="18"/>
          <w:szCs w:val="18"/>
        </w:rPr>
        <w:t>32.73%</w:t>
      </w:r>
      <w:r>
        <w:rPr>
          <w:rFonts w:ascii="宋体" w:hAnsi="宋体" w:cs="宋体" w:eastAsia="宋体" w:hint="default"/>
          <w:spacing w:val="-3"/>
          <w:sz w:val="18"/>
          <w:szCs w:val="18"/>
        </w:rPr>
        <w:t>，主要原因是本年销售量和库存量的增加。</w:t>
      </w:r>
    </w:p>
    <w:p>
      <w:pPr>
        <w:spacing w:line="240" w:lineRule="auto" w:before="7"/>
        <w:rPr>
          <w:rFonts w:ascii="宋体" w:hAnsi="宋体" w:cs="宋体" w:eastAsia="宋体" w:hint="default"/>
          <w:sz w:val="21"/>
          <w:szCs w:val="21"/>
        </w:rPr>
      </w:pPr>
    </w:p>
    <w:p>
      <w:pPr>
        <w:pStyle w:val="Heading3"/>
        <w:spacing w:line="240" w:lineRule="auto"/>
        <w:ind w:left="393" w:right="0"/>
        <w:jc w:val="left"/>
        <w:rPr>
          <w:b w:val="0"/>
          <w:bCs w:val="0"/>
        </w:rPr>
      </w:pPr>
      <w:bookmarkStart w:name="（4）公司已签订的重大销售合同截至本报告期的履行情况" w:id="30"/>
      <w:bookmarkEnd w:id="30"/>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spacing w:before="0"/>
        <w:ind w:left="39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6"/>
          <w:szCs w:val="26"/>
        </w:rPr>
      </w:pPr>
    </w:p>
    <w:p>
      <w:pPr>
        <w:pStyle w:val="Heading3"/>
        <w:spacing w:line="240" w:lineRule="auto"/>
        <w:ind w:left="393" w:right="0"/>
        <w:jc w:val="left"/>
        <w:rPr>
          <w:b w:val="0"/>
          <w:bCs w:val="0"/>
        </w:rPr>
      </w:pPr>
      <w:bookmarkStart w:name="（5）营业成本构成" w:id="31"/>
      <w:bookmarkEnd w:id="31"/>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2"/>
        <w:rPr>
          <w:rFonts w:ascii="宋体" w:hAnsi="宋体" w:cs="宋体" w:eastAsia="宋体" w:hint="default"/>
          <w:b/>
          <w:bCs/>
          <w:sz w:val="23"/>
          <w:szCs w:val="23"/>
        </w:rPr>
      </w:pPr>
    </w:p>
    <w:p>
      <w:pPr>
        <w:spacing w:before="46"/>
        <w:ind w:left="393" w:right="0"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38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6"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590" w:right="132" w:hanging="452"/>
              <w:jc w:val="left"/>
              <w:rPr>
                <w:rFonts w:ascii="宋体" w:hAnsi="宋体" w:cs="宋体" w:eastAsia="宋体" w:hint="default"/>
                <w:sz w:val="18"/>
                <w:szCs w:val="18"/>
              </w:rPr>
            </w:pPr>
            <w:r>
              <w:rPr>
                <w:rFonts w:ascii="宋体" w:hAnsi="宋体" w:cs="宋体" w:eastAsia="宋体" w:hint="default"/>
                <w:spacing w:val="-2"/>
                <w:sz w:val="18"/>
                <w:szCs w:val="18"/>
              </w:rPr>
              <w:t>占营业成本比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重</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591" w:right="132" w:hanging="452"/>
              <w:jc w:val="left"/>
              <w:rPr>
                <w:rFonts w:ascii="宋体" w:hAnsi="宋体" w:cs="宋体" w:eastAsia="宋体" w:hint="default"/>
                <w:sz w:val="18"/>
                <w:szCs w:val="18"/>
              </w:rPr>
            </w:pPr>
            <w:r>
              <w:rPr>
                <w:rFonts w:ascii="宋体" w:hAnsi="宋体" w:cs="宋体" w:eastAsia="宋体" w:hint="default"/>
                <w:spacing w:val="-2"/>
                <w:sz w:val="18"/>
                <w:szCs w:val="18"/>
              </w:rPr>
              <w:t>占营业成本比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应用软件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外购产品和服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68,512,743.65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1.83%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67,706,529.13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-0.43%</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应用软件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320,728,930.50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8.57%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293,527,548.62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9.81%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-1.24%</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应用软件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折旧和摊销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88,725,532.87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2.37%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82,227,726.17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-0.38%</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应用软件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155,829,705.77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4.16%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107,750,403.12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0.56%</w:t>
            </w: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外购产品和服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23,389,494.37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0.62%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6,698,656.65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0.39%</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86,142,722.83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2.30%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76,376,031.72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-0.25%</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折旧和摊销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9,202,059.30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0.25%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10,582,877.27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3"/>
                <w:sz w:val="18"/>
              </w:rPr>
              <w:t>-0.11%</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27,226,459.96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0.73%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24,311,076.83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-0.08%</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74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运营业务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外购产品和服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60,015,776.19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1.60%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32,585,061.13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0.51%</w:t>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运营业务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124,775,445.03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3.33%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111,667,994.59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-0.40%</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运营业务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折旧和摊销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5,862,367.68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0.16%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3,960,552.28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0.13%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0.03%</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运营业务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27,615,252.51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0.74%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16,836,326.55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0.18%</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外购产品和服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83,133,984.72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2.22%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105,103,567.83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-1.29%</w:t>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2,471,589.59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0.07%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709,919.93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0.05%</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网络产品销售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166"/>
              <w:jc w:val="left"/>
              <w:rPr>
                <w:rFonts w:ascii="宋体" w:hAnsi="宋体" w:cs="宋体" w:eastAsia="宋体" w:hint="default"/>
                <w:sz w:val="18"/>
                <w:szCs w:val="18"/>
              </w:rPr>
            </w:pPr>
            <w:r>
              <w:rPr>
                <w:rFonts w:ascii="宋体" w:hAnsi="宋体" w:cs="宋体" w:eastAsia="宋体" w:hint="default"/>
                <w:spacing w:val="-2"/>
                <w:sz w:val="18"/>
                <w:szCs w:val="18"/>
              </w:rPr>
              <w:t>外购产品和服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7"/>
              <w:jc w:val="right"/>
              <w:rPr>
                <w:rFonts w:ascii="Times New Roman" w:hAnsi="Times New Roman" w:cs="Times New Roman" w:eastAsia="Times New Roman" w:hint="default"/>
                <w:sz w:val="18"/>
                <w:szCs w:val="18"/>
              </w:rPr>
            </w:pPr>
            <w:r>
              <w:rPr>
                <w:rFonts w:ascii="Times New Roman"/>
                <w:spacing w:val="-1"/>
                <w:sz w:val="18"/>
              </w:rPr>
              <w:t>2,659,959,107.</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71.05%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7"/>
              <w:jc w:val="right"/>
              <w:rPr>
                <w:rFonts w:ascii="Times New Roman" w:hAnsi="Times New Roman" w:cs="Times New Roman" w:eastAsia="Times New Roman" w:hint="default"/>
                <w:sz w:val="18"/>
                <w:szCs w:val="18"/>
              </w:rPr>
            </w:pPr>
            <w:r>
              <w:rPr>
                <w:rFonts w:ascii="Times New Roman"/>
                <w:spacing w:val="-1"/>
                <w:sz w:val="18"/>
              </w:rPr>
              <w:t>2,052,727,229.</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68.59%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2.46%</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before="119"/>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公司需遵守《深圳证券交易所行业信息披露指引第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号——上市公司从事软件与信息技术服务业务》的披露要求</w:t>
      </w:r>
    </w:p>
    <w:p>
      <w:pPr>
        <w:spacing w:line="240" w:lineRule="auto" w:before="4"/>
        <w:rPr>
          <w:rFonts w:ascii="宋体" w:hAnsi="宋体" w:cs="宋体" w:eastAsia="宋体" w:hint="default"/>
          <w:sz w:val="25"/>
          <w:szCs w:val="25"/>
        </w:rPr>
      </w:pPr>
    </w:p>
    <w:p>
      <w:pPr>
        <w:pStyle w:val="Heading3"/>
        <w:spacing w:line="240" w:lineRule="auto"/>
        <w:ind w:right="1764"/>
        <w:jc w:val="left"/>
        <w:rPr>
          <w:b w:val="0"/>
          <w:bCs w:val="0"/>
        </w:rPr>
      </w:pPr>
      <w:bookmarkStart w:name="（6）报告期内合并范围是否发生变动" w:id="32"/>
      <w:bookmarkEnd w:id="32"/>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1"/>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302" w:lineRule="auto" w:before="115"/>
        <w:ind w:left="113" w:right="1194" w:firstLine="360"/>
        <w:jc w:val="both"/>
        <w:rPr>
          <w:rFonts w:ascii="宋体" w:hAnsi="宋体" w:cs="宋体" w:eastAsia="宋体" w:hint="default"/>
          <w:sz w:val="18"/>
          <w:szCs w:val="18"/>
        </w:rPr>
      </w:pPr>
      <w:r>
        <w:rPr>
          <w:rFonts w:ascii="宋体" w:hAnsi="宋体" w:cs="宋体" w:eastAsia="宋体" w:hint="default"/>
          <w:spacing w:val="-3"/>
          <w:sz w:val="18"/>
          <w:szCs w:val="18"/>
        </w:rPr>
        <w:t>天源迪科控股子公司维恩贝特科技有限公司将其全资子公司深圳前海维恩贝特互联网金融信息服务有限公司</w:t>
      </w:r>
      <w:r>
        <w:rPr>
          <w:rFonts w:ascii="Times New Roman" w:hAnsi="Times New Roman" w:cs="Times New Roman" w:eastAsia="Times New Roman" w:hint="default"/>
          <w:spacing w:val="-3"/>
          <w:sz w:val="18"/>
          <w:szCs w:val="18"/>
        </w:rPr>
        <w:t>60%</w:t>
      </w:r>
      <w:r>
        <w:rPr>
          <w:rFonts w:ascii="宋体" w:hAnsi="宋体" w:cs="宋体" w:eastAsia="宋体" w:hint="default"/>
          <w:spacing w:val="-3"/>
          <w:sz w:val="18"/>
          <w:szCs w:val="18"/>
        </w:rPr>
        <w:t>股权</w:t>
      </w:r>
      <w:r>
        <w:rPr>
          <w:rFonts w:ascii="宋体" w:hAnsi="宋体" w:cs="宋体" w:eastAsia="宋体" w:hint="default"/>
          <w:w w:val="101"/>
          <w:sz w:val="18"/>
          <w:szCs w:val="18"/>
        </w:rPr>
        <w:t> </w:t>
      </w:r>
      <w:r>
        <w:rPr>
          <w:rFonts w:ascii="宋体" w:hAnsi="宋体" w:cs="宋体" w:eastAsia="宋体" w:hint="default"/>
          <w:spacing w:val="-3"/>
          <w:sz w:val="18"/>
          <w:szCs w:val="18"/>
        </w:rPr>
        <w:t>转让，其中</w:t>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的股权转让给深圳曦和供应链服务有限公司，交易价格人民币</w:t>
      </w:r>
      <w:r>
        <w:rPr>
          <w:rFonts w:ascii="Times New Roman" w:hAnsi="Times New Roman" w:cs="Times New Roman" w:eastAsia="Times New Roman" w:hint="default"/>
          <w:spacing w:val="-3"/>
          <w:sz w:val="18"/>
          <w:szCs w:val="18"/>
        </w:rPr>
        <w:t>150</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的股权转让给深圳市财硕投资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有限公司，交易价格人民币</w:t>
      </w:r>
      <w:r>
        <w:rPr>
          <w:rFonts w:ascii="Times New Roman" w:hAnsi="Times New Roman" w:cs="Times New Roman" w:eastAsia="Times New Roman" w:hint="default"/>
          <w:sz w:val="18"/>
          <w:szCs w:val="18"/>
        </w:rPr>
        <w:t>150</w:t>
      </w:r>
      <w:r>
        <w:rPr>
          <w:rFonts w:ascii="宋体" w:hAnsi="宋体" w:cs="宋体" w:eastAsia="宋体" w:hint="default"/>
          <w:sz w:val="18"/>
          <w:szCs w:val="18"/>
        </w:rPr>
        <w:t>万元。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2"/>
          <w:szCs w:val="12"/>
        </w:rPr>
      </w:pPr>
    </w:p>
    <w:p>
      <w:pPr>
        <w:pStyle w:val="Heading3"/>
        <w:spacing w:line="240" w:lineRule="auto"/>
        <w:ind w:right="1764"/>
        <w:jc w:val="left"/>
        <w:rPr>
          <w:b w:val="0"/>
          <w:bCs w:val="0"/>
        </w:rPr>
      </w:pPr>
      <w:bookmarkStart w:name="（7）公司报告期内业务、产品或服务发生重大变化或调整有关情况" w:id="33"/>
      <w:bookmarkEnd w:id="33"/>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6"/>
          <w:szCs w:val="26"/>
        </w:rPr>
      </w:pPr>
    </w:p>
    <w:p>
      <w:pPr>
        <w:pStyle w:val="Heading3"/>
        <w:spacing w:line="240" w:lineRule="auto"/>
        <w:ind w:right="1764"/>
        <w:jc w:val="left"/>
        <w:rPr>
          <w:b w:val="0"/>
          <w:bCs w:val="0"/>
        </w:rPr>
      </w:pPr>
      <w:bookmarkStart w:name="（8）主要销售客户和主要供应商情况" w:id="34"/>
      <w:bookmarkEnd w:id="34"/>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259"/>
        <w:gridCol w:w="5311"/>
      </w:tblGrid>
      <w:tr>
        <w:trPr>
          <w:trHeight w:val="403"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449,555,637.17</w:t>
            </w:r>
          </w:p>
        </w:tc>
      </w:tr>
      <w:tr>
        <w:trPr>
          <w:trHeight w:val="398"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10.06%</w:t>
            </w:r>
          </w:p>
        </w:tc>
      </w:tr>
      <w:tr>
        <w:trPr>
          <w:trHeight w:val="715"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76"/>
              <w:jc w:val="left"/>
              <w:rPr>
                <w:rFonts w:ascii="宋体" w:hAnsi="宋体" w:cs="宋体" w:eastAsia="宋体" w:hint="default"/>
                <w:sz w:val="18"/>
                <w:szCs w:val="18"/>
              </w:rPr>
            </w:pPr>
            <w:r>
              <w:rPr>
                <w:rFonts w:ascii="宋体" w:hAnsi="宋体" w:cs="宋体" w:eastAsia="宋体" w:hint="default"/>
                <w:spacing w:val="-3"/>
                <w:sz w:val="18"/>
                <w:szCs w:val="18"/>
              </w:rPr>
              <w:t>前五名客户销售额中关联方销售额占年度销售总额</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54"/>
        <w:ind w:left="113" w:right="1764"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大客户资料</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802"/>
        <w:gridCol w:w="3303"/>
        <w:gridCol w:w="2324"/>
        <w:gridCol w:w="3140"/>
      </w:tblGrid>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9"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4" w:right="0"/>
              <w:jc w:val="left"/>
              <w:rPr>
                <w:rFonts w:ascii="宋体" w:hAnsi="宋体" w:cs="宋体" w:eastAsia="宋体" w:hint="default"/>
                <w:sz w:val="18"/>
                <w:szCs w:val="18"/>
              </w:rPr>
            </w:pPr>
            <w:r>
              <w:rPr>
                <w:rFonts w:ascii="宋体" w:hAnsi="宋体" w:cs="宋体" w:eastAsia="宋体" w:hint="default"/>
                <w:spacing w:val="-3"/>
                <w:sz w:val="18"/>
                <w:szCs w:val="18"/>
              </w:rPr>
              <w:t>占年度销售总额比例</w:t>
            </w:r>
          </w:p>
        </w:tc>
      </w:tr>
      <w:tr>
        <w:trPr>
          <w:trHeight w:val="398"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165,438,711.34</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3.70%</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92,812,070.36</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2.08%</w:t>
            </w:r>
          </w:p>
        </w:tc>
      </w:tr>
      <w:tr>
        <w:trPr>
          <w:trHeight w:val="40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69,134,201.40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1.55%</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61,282,226.86</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1.37%</w:t>
            </w:r>
          </w:p>
        </w:tc>
      </w:tr>
      <w:tr>
        <w:trPr>
          <w:trHeight w:val="398"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60,888,427.21</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1.36%</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802"/>
        <w:gridCol w:w="3303"/>
        <w:gridCol w:w="2324"/>
        <w:gridCol w:w="3140"/>
      </w:tblGrid>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90" w:right="0"/>
              <w:jc w:val="left"/>
              <w:rPr>
                <w:rFonts w:ascii="Times New Roman" w:hAnsi="Times New Roman" w:cs="Times New Roman" w:eastAsia="Times New Roman" w:hint="default"/>
                <w:sz w:val="18"/>
                <w:szCs w:val="18"/>
              </w:rPr>
            </w:pPr>
            <w:r>
              <w:rPr>
                <w:rFonts w:ascii="Times New Roman"/>
                <w:sz w:val="18"/>
              </w:rPr>
              <w:t>449,555,637.17</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10.06%</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62" w:lineRule="auto" w:before="115"/>
        <w:ind w:left="113" w:right="769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pacing w:val="-3"/>
          <w:sz w:val="18"/>
          <w:szCs w:val="18"/>
        </w:rPr>
        <w:t>适用</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不适用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公司主要供应商情况</w:t>
      </w:r>
    </w:p>
    <w:tbl>
      <w:tblPr>
        <w:tblW w:w="0" w:type="auto"/>
        <w:jc w:val="left"/>
        <w:tblInd w:w="108" w:type="dxa"/>
        <w:tblLayout w:type="fixed"/>
        <w:tblCellMar>
          <w:top w:w="0" w:type="dxa"/>
          <w:left w:w="0" w:type="dxa"/>
          <w:bottom w:w="0" w:type="dxa"/>
          <w:right w:w="0" w:type="dxa"/>
        </w:tblCellMar>
        <w:tblLook w:val="01E0"/>
      </w:tblPr>
      <w:tblGrid>
        <w:gridCol w:w="4259"/>
        <w:gridCol w:w="5311"/>
      </w:tblGrid>
      <w:tr>
        <w:trPr>
          <w:trHeight w:val="403"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3,650,791,257.93</w:t>
            </w:r>
          </w:p>
        </w:tc>
      </w:tr>
      <w:tr>
        <w:trPr>
          <w:trHeight w:val="403"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90.97%</w:t>
            </w:r>
          </w:p>
        </w:tc>
      </w:tr>
      <w:tr>
        <w:trPr>
          <w:trHeight w:val="711"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76"/>
              <w:jc w:val="left"/>
              <w:rPr>
                <w:rFonts w:ascii="宋体" w:hAnsi="宋体" w:cs="宋体" w:eastAsia="宋体" w:hint="default"/>
                <w:sz w:val="18"/>
                <w:szCs w:val="18"/>
              </w:rPr>
            </w:pPr>
            <w:r>
              <w:rPr>
                <w:rFonts w:ascii="宋体" w:hAnsi="宋体" w:cs="宋体" w:eastAsia="宋体" w:hint="default"/>
                <w:spacing w:val="-3"/>
                <w:sz w:val="18"/>
                <w:szCs w:val="18"/>
              </w:rPr>
              <w:t>前五名供应商采购额中关联方采购额占年度采购总</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61"/>
        <w:ind w:left="113" w:right="1764"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937"/>
        <w:gridCol w:w="3169"/>
        <w:gridCol w:w="2324"/>
        <w:gridCol w:w="3140"/>
      </w:tblGrid>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9"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4" w:right="0"/>
              <w:jc w:val="left"/>
              <w:rPr>
                <w:rFonts w:ascii="宋体" w:hAnsi="宋体" w:cs="宋体" w:eastAsia="宋体" w:hint="default"/>
                <w:sz w:val="18"/>
                <w:szCs w:val="18"/>
              </w:rPr>
            </w:pPr>
            <w:r>
              <w:rPr>
                <w:rFonts w:ascii="宋体" w:hAnsi="宋体" w:cs="宋体" w:eastAsia="宋体" w:hint="default"/>
                <w:spacing w:val="-3"/>
                <w:sz w:val="18"/>
                <w:szCs w:val="18"/>
              </w:rPr>
              <w:t>占年度采购总额比例</w:t>
            </w:r>
          </w:p>
        </w:tc>
      </w:tr>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3,600,914,999.94</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89.73%</w:t>
            </w:r>
          </w:p>
        </w:tc>
      </w:tr>
      <w:tr>
        <w:trPr>
          <w:trHeight w:val="399"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18,883,695.20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0.47%</w:t>
            </w:r>
          </w:p>
        </w:tc>
      </w:tr>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12,039,227.00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0.30%</w:t>
            </w:r>
          </w:p>
        </w:tc>
      </w:tr>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9,975,773.54</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0.25%</w:t>
            </w:r>
          </w:p>
        </w:tc>
      </w:tr>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8,977,562.25</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0.22%</w:t>
            </w:r>
          </w:p>
        </w:tc>
      </w:tr>
      <w:tr>
        <w:trPr>
          <w:trHeight w:val="399"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3,650,791,257.93</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90.97%</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主要供应商其他情况说明</w:t>
      </w:r>
    </w:p>
    <w:p>
      <w:pPr>
        <w:spacing w:before="119"/>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3、费用" w:id="35"/>
      <w:bookmarkEnd w:id="35"/>
      <w:r>
        <w:rPr>
          <w:b w:val="0"/>
          <w:bCs w:val="0"/>
        </w:rPr>
      </w:r>
      <w:r>
        <w:rPr>
          <w:rFonts w:ascii="Times New Roman" w:hAnsi="Times New Roman" w:cs="Times New Roman" w:eastAsia="Times New Roman" w:hint="default"/>
        </w:rPr>
        <w:t>3</w:t>
      </w:r>
      <w:r>
        <w:rPr/>
        <w:t>、费用</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638"/>
        <w:gridCol w:w="1637"/>
        <w:gridCol w:w="1460"/>
        <w:gridCol w:w="2919"/>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130,448,862.50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141,896,765.53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-8.07%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156,696,723.16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160,537,865.89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-2.39%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67,149,778.05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43,712,247.01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53.62%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银行融资利息支出增加</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213,235,820.92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185,525,225.24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14.94%</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4、研发投入" w:id="36"/>
      <w:bookmarkEnd w:id="36"/>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9"/>
        <w:rPr>
          <w:rFonts w:ascii="宋体" w:hAnsi="宋体" w:cs="宋体" w:eastAsia="宋体" w:hint="default"/>
          <w:b/>
          <w:bCs/>
          <w:sz w:val="26"/>
          <w:szCs w:val="26"/>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1988"/>
        <w:gridCol w:w="2411"/>
        <w:gridCol w:w="4936"/>
        <w:gridCol w:w="1215"/>
      </w:tblGrid>
      <w:tr>
        <w:trPr>
          <w:trHeight w:val="329" w:hRule="exact"/>
        </w:trPr>
        <w:tc>
          <w:tcPr>
            <w:tcW w:w="198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当前进展情况</w:t>
            </w:r>
          </w:p>
        </w:tc>
        <w:tc>
          <w:tcPr>
            <w:tcW w:w="493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拟达到的目标</w:t>
            </w:r>
          </w:p>
        </w:tc>
        <w:tc>
          <w:tcPr>
            <w:tcW w:w="1215"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所属行业</w:t>
            </w:r>
          </w:p>
        </w:tc>
      </w:tr>
      <w:tr>
        <w:trPr>
          <w:trHeight w:val="1304" w:hRule="exact"/>
        </w:trPr>
        <w:tc>
          <w:tcPr>
            <w:tcW w:w="198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宋体" w:hAnsi="宋体" w:cs="宋体" w:eastAsia="宋体" w:hint="default"/>
                <w:sz w:val="18"/>
                <w:szCs w:val="18"/>
              </w:rPr>
            </w:pPr>
            <w:r>
              <w:rPr>
                <w:rFonts w:ascii="宋体" w:hAnsi="宋体" w:cs="宋体" w:eastAsia="宋体" w:hint="default"/>
                <w:sz w:val="18"/>
                <w:szCs w:val="18"/>
              </w:rPr>
              <w:t>新一代</w:t>
            </w:r>
            <w:r>
              <w:rPr>
                <w:rFonts w:ascii="宋体" w:hAnsi="宋体" w:cs="宋体" w:eastAsia="宋体" w:hint="default"/>
                <w:sz w:val="18"/>
                <w:szCs w:val="18"/>
              </w:rPr>
              <w:t>BSS3.0</w:t>
            </w:r>
            <w:r>
              <w:rPr>
                <w:rFonts w:ascii="宋体" w:hAnsi="宋体" w:cs="宋体" w:eastAsia="宋体" w:hint="default"/>
                <w:sz w:val="18"/>
                <w:szCs w:val="18"/>
              </w:rPr>
              <w:t>平台</w:t>
            </w:r>
          </w:p>
        </w:tc>
        <w:tc>
          <w:tcPr>
            <w:tcW w:w="241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7"/>
              <w:ind w:left="4" w:right="0"/>
              <w:jc w:val="center"/>
              <w:rPr>
                <w:rFonts w:ascii="宋体" w:hAnsi="宋体" w:cs="宋体" w:eastAsia="宋体" w:hint="default"/>
                <w:sz w:val="18"/>
                <w:szCs w:val="18"/>
              </w:rPr>
            </w:pPr>
            <w:r>
              <w:rPr>
                <w:rFonts w:ascii="宋体" w:hAnsi="宋体" w:cs="宋体" w:eastAsia="宋体" w:hint="default"/>
                <w:spacing w:val="-3"/>
                <w:sz w:val="18"/>
                <w:szCs w:val="18"/>
              </w:rPr>
              <w:t>开发、测试、试运行</w:t>
            </w:r>
          </w:p>
        </w:tc>
        <w:tc>
          <w:tcPr>
            <w:tcW w:w="4936" w:type="dxa"/>
            <w:tcBorders>
              <w:top w:val="single" w:sz="10" w:space="0" w:color="000000"/>
              <w:left w:val="single" w:sz="6" w:space="0" w:color="000000"/>
              <w:bottom w:val="single" w:sz="6" w:space="0" w:color="000000"/>
              <w:right w:val="single" w:sz="6" w:space="0" w:color="000000"/>
            </w:tcBorders>
          </w:tcPr>
          <w:p>
            <w:pPr>
              <w:pStyle w:val="TableParagraph"/>
              <w:spacing w:line="319" w:lineRule="auto" w:before="37"/>
              <w:ind w:left="4" w:right="0"/>
              <w:jc w:val="both"/>
              <w:rPr>
                <w:rFonts w:ascii="宋体" w:hAnsi="宋体" w:cs="宋体" w:eastAsia="宋体" w:hint="default"/>
                <w:sz w:val="18"/>
                <w:szCs w:val="18"/>
              </w:rPr>
            </w:pPr>
            <w:r>
              <w:rPr>
                <w:rFonts w:ascii="宋体" w:hAnsi="宋体" w:cs="宋体" w:eastAsia="宋体" w:hint="default"/>
                <w:spacing w:val="-4"/>
                <w:sz w:val="18"/>
                <w:szCs w:val="18"/>
              </w:rPr>
              <w:t>实现对</w:t>
            </w:r>
            <w:r>
              <w:rPr>
                <w:rFonts w:ascii="宋体" w:hAnsi="宋体" w:cs="宋体" w:eastAsia="宋体" w:hint="default"/>
                <w:spacing w:val="-4"/>
                <w:sz w:val="18"/>
                <w:szCs w:val="18"/>
              </w:rPr>
              <w:t>BSS</w:t>
            </w:r>
            <w:r>
              <w:rPr>
                <w:rFonts w:ascii="宋体" w:hAnsi="宋体" w:cs="宋体" w:eastAsia="宋体" w:hint="default"/>
                <w:spacing w:val="-4"/>
                <w:sz w:val="18"/>
                <w:szCs w:val="18"/>
              </w:rPr>
              <w:t>域整体架构和应用进行分布式化、中心化、服务化的</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升级改造，构建智慧型的数据服务化企业信息业务支撑运营体</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系。实现电信云计费建设，完成云平台改造及上线推广。完成</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3"/>
                <w:sz w:val="18"/>
                <w:szCs w:val="18"/>
              </w:rPr>
              <w:t>云平台运维监控可视化、数字化、智能化建设。</w:t>
            </w:r>
          </w:p>
        </w:tc>
        <w:tc>
          <w:tcPr>
            <w:tcW w:w="121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7"/>
              <w:ind w:left="10" w:right="0"/>
              <w:jc w:val="center"/>
              <w:rPr>
                <w:rFonts w:ascii="宋体" w:hAnsi="宋体" w:cs="宋体" w:eastAsia="宋体" w:hint="default"/>
                <w:sz w:val="18"/>
                <w:szCs w:val="18"/>
              </w:rPr>
            </w:pPr>
            <w:r>
              <w:rPr>
                <w:rFonts w:ascii="宋体" w:hAnsi="宋体" w:cs="宋体" w:eastAsia="宋体" w:hint="default"/>
                <w:sz w:val="18"/>
                <w:szCs w:val="18"/>
              </w:rPr>
              <w:t>电信</w:t>
            </w:r>
          </w:p>
        </w:tc>
      </w:tr>
      <w:tr>
        <w:trPr>
          <w:trHeight w:val="658"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联通虚拟运营开放平台</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3"/>
                <w:sz w:val="18"/>
                <w:szCs w:val="18"/>
              </w:rPr>
              <w:t>开发、测试、试运行</w:t>
            </w:r>
          </w:p>
        </w:tc>
        <w:tc>
          <w:tcPr>
            <w:tcW w:w="49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4"/>
                <w:sz w:val="18"/>
                <w:szCs w:val="18"/>
              </w:rPr>
              <w:t>开发虚拟运营开放平台</w:t>
            </w:r>
            <w:r>
              <w:rPr>
                <w:rFonts w:ascii="宋体" w:hAnsi="宋体" w:cs="宋体" w:eastAsia="宋体" w:hint="default"/>
                <w:spacing w:val="-4"/>
                <w:sz w:val="18"/>
                <w:szCs w:val="18"/>
              </w:rPr>
              <w:t>(VOP)</w:t>
            </w:r>
            <w:r>
              <w:rPr>
                <w:rFonts w:ascii="宋体" w:hAnsi="宋体" w:cs="宋体" w:eastAsia="宋体" w:hint="default"/>
                <w:spacing w:val="-4"/>
                <w:sz w:val="18"/>
                <w:szCs w:val="18"/>
              </w:rPr>
              <w:t>：完成与转售企业的统一对接、业</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务开通、计费结算、合作运营等工作。中国联通为支撑移动业</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514" w:right="-5" w:hanging="510"/>
              <w:jc w:val="left"/>
              <w:rPr>
                <w:rFonts w:ascii="宋体" w:hAnsi="宋体" w:cs="宋体" w:eastAsia="宋体" w:hint="default"/>
                <w:sz w:val="18"/>
                <w:szCs w:val="18"/>
              </w:rPr>
            </w:pPr>
            <w:r>
              <w:rPr>
                <w:rFonts w:ascii="宋体" w:hAnsi="宋体" w:cs="宋体" w:eastAsia="宋体" w:hint="default"/>
                <w:spacing w:val="-11"/>
                <w:w w:val="101"/>
                <w:sz w:val="18"/>
                <w:szCs w:val="18"/>
              </w:rPr>
              <w:t>电信、虚拟运营</w:t>
            </w:r>
            <w:r>
              <w:rPr>
                <w:rFonts w:ascii="宋体" w:hAnsi="宋体" w:cs="宋体" w:eastAsia="宋体" w:hint="default"/>
                <w:w w:val="101"/>
                <w:sz w:val="18"/>
                <w:szCs w:val="18"/>
              </w:rPr>
              <w:t> </w:t>
            </w:r>
            <w:r>
              <w:rPr>
                <w:rFonts w:ascii="宋体" w:hAnsi="宋体" w:cs="宋体" w:eastAsia="宋体" w:hint="default"/>
                <w:sz w:val="18"/>
                <w:szCs w:val="18"/>
              </w:rPr>
              <w:t>商</w:t>
            </w:r>
          </w:p>
        </w:tc>
      </w:tr>
    </w:tbl>
    <w:p>
      <w:pPr>
        <w:spacing w:after="0" w:line="316"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8"/>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906" w:footer="1022" w:top="1100" w:bottom="1220" w:left="1020" w:right="0"/>
        </w:sectPr>
      </w:pPr>
    </w:p>
    <w:p>
      <w:pPr>
        <w:spacing w:line="316" w:lineRule="auto" w:before="46"/>
        <w:ind w:left="4521" w:right="1" w:firstLine="0"/>
        <w:jc w:val="both"/>
        <w:rPr>
          <w:rFonts w:ascii="宋体" w:hAnsi="宋体" w:cs="宋体" w:eastAsia="宋体" w:hint="default"/>
          <w:sz w:val="18"/>
          <w:szCs w:val="18"/>
        </w:rPr>
      </w:pPr>
      <w:r>
        <w:rPr>
          <w:rFonts w:ascii="宋体" w:hAnsi="宋体" w:cs="宋体" w:eastAsia="宋体" w:hint="default"/>
          <w:spacing w:val="-1"/>
          <w:sz w:val="18"/>
          <w:szCs w:val="18"/>
        </w:rPr>
        <w:t>务转售这一新颖而重要的需求，建立统一、开放、总部一级架</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构的支撑系统，</w:t>
      </w:r>
    </w:p>
    <w:p>
      <w:pPr>
        <w:tabs>
          <w:tab w:pos="2494" w:val="left" w:leader="none"/>
          <w:tab w:pos="4521" w:val="left" w:leader="none"/>
        </w:tabs>
        <w:spacing w:before="52"/>
        <w:ind w:left="122" w:right="0" w:firstLine="0"/>
        <w:jc w:val="left"/>
        <w:rPr>
          <w:rFonts w:ascii="宋体" w:hAnsi="宋体" w:cs="宋体" w:eastAsia="宋体" w:hint="default"/>
          <w:sz w:val="18"/>
          <w:szCs w:val="18"/>
        </w:rPr>
      </w:pPr>
      <w:r>
        <w:rPr>
          <w:rFonts w:ascii="宋体" w:hAnsi="宋体" w:cs="宋体" w:eastAsia="宋体" w:hint="default"/>
          <w:spacing w:val="-3"/>
          <w:sz w:val="18"/>
          <w:szCs w:val="18"/>
        </w:rPr>
        <w:t>新零售清算中心平台</w:t>
        <w:tab/>
        <w:t>开发、测试、试运行</w:t>
        <w:tab/>
      </w:r>
      <w:r>
        <w:rPr>
          <w:rFonts w:ascii="宋体" w:hAnsi="宋体" w:cs="宋体" w:eastAsia="宋体" w:hint="default"/>
          <w:spacing w:val="-1"/>
          <w:sz w:val="18"/>
          <w:szCs w:val="18"/>
        </w:rPr>
        <w:t>为了尽快实现与异业互联网企业的业务合作的</w:t>
      </w:r>
      <w:r>
        <w:rPr>
          <w:rFonts w:ascii="宋体" w:hAnsi="宋体" w:cs="宋体" w:eastAsia="宋体" w:hint="default"/>
          <w:spacing w:val="-1"/>
          <w:sz w:val="18"/>
          <w:szCs w:val="18"/>
        </w:rPr>
        <w:t>IT</w:t>
      </w:r>
      <w:r>
        <w:rPr>
          <w:rFonts w:ascii="宋体" w:hAnsi="宋体" w:cs="宋体" w:eastAsia="宋体" w:hint="default"/>
          <w:spacing w:val="-1"/>
          <w:sz w:val="18"/>
          <w:szCs w:val="18"/>
        </w:rPr>
        <w:t>支撑，构建自</w:t>
      </w:r>
    </w:p>
    <w:p>
      <w:pPr>
        <w:spacing w:line="316" w:lineRule="auto" w:before="77"/>
        <w:ind w:left="4521" w:right="0" w:firstLine="0"/>
        <w:jc w:val="both"/>
        <w:rPr>
          <w:rFonts w:ascii="宋体" w:hAnsi="宋体" w:cs="宋体" w:eastAsia="宋体" w:hint="default"/>
          <w:sz w:val="18"/>
          <w:szCs w:val="18"/>
        </w:rPr>
      </w:pPr>
      <w:r>
        <w:rPr>
          <w:rFonts w:ascii="宋体" w:hAnsi="宋体" w:cs="宋体" w:eastAsia="宋体" w:hint="default"/>
          <w:spacing w:val="-1"/>
          <w:sz w:val="18"/>
          <w:szCs w:val="18"/>
        </w:rPr>
        <w:t>主研发的“新零售”支撑软件，增强在“新零售”领域的企业</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1"/>
          <w:sz w:val="18"/>
          <w:szCs w:val="18"/>
        </w:rPr>
        <w:t>核心竞争力，启动</w:t>
      </w:r>
      <w:r>
        <w:rPr>
          <w:rFonts w:ascii="宋体" w:hAnsi="宋体" w:cs="宋体" w:eastAsia="宋体" w:hint="default"/>
          <w:spacing w:val="-1"/>
          <w:sz w:val="18"/>
          <w:szCs w:val="18"/>
        </w:rPr>
        <w:t>2019</w:t>
      </w:r>
      <w:r>
        <w:rPr>
          <w:rFonts w:ascii="宋体" w:hAnsi="宋体" w:cs="宋体" w:eastAsia="宋体" w:hint="default"/>
          <w:spacing w:val="-1"/>
          <w:sz w:val="18"/>
          <w:szCs w:val="18"/>
        </w:rPr>
        <w:t>年新零售清算中心平台项目建设。零售</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pacing w:val="-1"/>
          <w:sz w:val="18"/>
          <w:szCs w:val="18"/>
        </w:rPr>
        <w:t>业依托新技术，开发新模式从而改善零售商供应链效率，提升</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用户体验，打破原有的行业边界，不断拓宽已有的营销渠道。</w:t>
      </w:r>
    </w:p>
    <w:p>
      <w:pPr>
        <w:tabs>
          <w:tab w:pos="2494" w:val="left" w:leader="none"/>
          <w:tab w:pos="4521" w:val="left" w:leader="none"/>
        </w:tabs>
        <w:spacing w:before="57"/>
        <w:ind w:left="122" w:right="0" w:firstLine="0"/>
        <w:jc w:val="left"/>
        <w:rPr>
          <w:rFonts w:ascii="宋体" w:hAnsi="宋体" w:cs="宋体" w:eastAsia="宋体" w:hint="default"/>
          <w:sz w:val="18"/>
          <w:szCs w:val="18"/>
        </w:rPr>
      </w:pPr>
      <w:r>
        <w:rPr>
          <w:rFonts w:ascii="宋体" w:hAnsi="宋体" w:cs="宋体" w:eastAsia="宋体" w:hint="default"/>
          <w:spacing w:val="-3"/>
          <w:sz w:val="18"/>
          <w:szCs w:val="18"/>
        </w:rPr>
        <w:t>大数据安全平台</w:t>
        <w:tab/>
        <w:t>开发、测试、试运行</w:t>
        <w:tab/>
      </w:r>
      <w:r>
        <w:rPr>
          <w:rFonts w:ascii="宋体" w:hAnsi="宋体" w:cs="宋体" w:eastAsia="宋体" w:hint="default"/>
          <w:spacing w:val="-1"/>
          <w:sz w:val="18"/>
          <w:szCs w:val="18"/>
        </w:rPr>
        <w:t>本项目主要基于人工智能安全、数据安全、异常流量分析、数</w:t>
      </w:r>
    </w:p>
    <w:p>
      <w:pPr>
        <w:spacing w:line="316" w:lineRule="auto" w:before="77"/>
        <w:ind w:left="4521" w:right="0" w:firstLine="0"/>
        <w:jc w:val="both"/>
        <w:rPr>
          <w:rFonts w:ascii="宋体" w:hAnsi="宋体" w:cs="宋体" w:eastAsia="宋体" w:hint="default"/>
          <w:sz w:val="18"/>
          <w:szCs w:val="18"/>
        </w:rPr>
      </w:pPr>
      <w:r>
        <w:rPr>
          <w:rFonts w:ascii="宋体" w:hAnsi="宋体" w:cs="宋体" w:eastAsia="宋体" w:hint="default"/>
          <w:spacing w:val="-1"/>
          <w:sz w:val="18"/>
          <w:szCs w:val="18"/>
        </w:rPr>
        <w:t>据安全规范对标分析、整合解决方案能力，解决由</w:t>
      </w:r>
      <w:r>
        <w:rPr>
          <w:rFonts w:ascii="宋体" w:hAnsi="宋体" w:cs="宋体" w:eastAsia="宋体" w:hint="default"/>
          <w:spacing w:val="-1"/>
          <w:sz w:val="18"/>
          <w:szCs w:val="18"/>
        </w:rPr>
        <w:t>AI</w:t>
      </w:r>
      <w:r>
        <w:rPr>
          <w:rFonts w:ascii="宋体" w:hAnsi="宋体" w:cs="宋体" w:eastAsia="宋体" w:hint="default"/>
          <w:spacing w:val="-1"/>
          <w:sz w:val="18"/>
          <w:szCs w:val="18"/>
        </w:rPr>
        <w:t>竞争与对</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pacing w:val="-1"/>
          <w:sz w:val="18"/>
          <w:szCs w:val="18"/>
        </w:rPr>
        <w:t>抗，攻击者窃取数据等安全行业威胁。从细分市场分析来说数</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据安全等领域市场已经逐渐成熟，市场商机巨大。</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spacing w:before="0"/>
        <w:ind w:left="122" w:right="0" w:firstLine="0"/>
        <w:jc w:val="left"/>
        <w:rPr>
          <w:rFonts w:ascii="宋体" w:hAnsi="宋体" w:cs="宋体" w:eastAsia="宋体" w:hint="default"/>
          <w:sz w:val="18"/>
          <w:szCs w:val="18"/>
        </w:rPr>
      </w:pPr>
      <w:r>
        <w:rPr>
          <w:rFonts w:ascii="宋体" w:hAnsi="宋体" w:cs="宋体" w:eastAsia="宋体" w:hint="default"/>
          <w:sz w:val="18"/>
          <w:szCs w:val="18"/>
        </w:rPr>
        <w:t>物联网</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spacing w:before="0"/>
        <w:ind w:left="122" w:right="0" w:firstLine="0"/>
        <w:jc w:val="left"/>
        <w:rPr>
          <w:rFonts w:ascii="宋体" w:hAnsi="宋体" w:cs="宋体" w:eastAsia="宋体" w:hint="default"/>
          <w:sz w:val="18"/>
          <w:szCs w:val="18"/>
        </w:rPr>
      </w:pPr>
      <w:r>
        <w:rPr>
          <w:rFonts w:ascii="宋体" w:hAnsi="宋体" w:cs="宋体" w:eastAsia="宋体" w:hint="default"/>
          <w:sz w:val="18"/>
          <w:szCs w:val="18"/>
        </w:rPr>
        <w:t>互联网</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9439" w:space="223"/>
            <w:col w:w="1228"/>
          </w:cols>
        </w:sectPr>
      </w:pPr>
    </w:p>
    <w:p>
      <w:pPr>
        <w:tabs>
          <w:tab w:pos="2494" w:val="left" w:leader="none"/>
          <w:tab w:pos="4521" w:val="left" w:leader="none"/>
        </w:tabs>
        <w:spacing w:before="52"/>
        <w:ind w:left="122" w:right="0" w:firstLine="0"/>
        <w:jc w:val="left"/>
        <w:rPr>
          <w:rFonts w:ascii="宋体" w:hAnsi="宋体" w:cs="宋体" w:eastAsia="宋体" w:hint="default"/>
          <w:sz w:val="18"/>
          <w:szCs w:val="18"/>
        </w:rPr>
      </w:pPr>
      <w:r>
        <w:rPr>
          <w:rFonts w:ascii="宋体" w:hAnsi="宋体" w:cs="宋体" w:eastAsia="宋体" w:hint="default"/>
          <w:spacing w:val="-2"/>
          <w:sz w:val="18"/>
          <w:szCs w:val="18"/>
        </w:rPr>
        <w:t>公安全息作战平台</w:t>
        <w:tab/>
      </w:r>
      <w:r>
        <w:rPr>
          <w:rFonts w:ascii="宋体" w:hAnsi="宋体" w:cs="宋体" w:eastAsia="宋体" w:hint="default"/>
          <w:spacing w:val="-3"/>
          <w:sz w:val="18"/>
          <w:szCs w:val="18"/>
        </w:rPr>
        <w:t>开发、测试、试运行</w:t>
        <w:tab/>
      </w:r>
      <w:r>
        <w:rPr>
          <w:rFonts w:ascii="宋体" w:hAnsi="宋体" w:cs="宋体" w:eastAsia="宋体" w:hint="default"/>
          <w:spacing w:val="-1"/>
          <w:sz w:val="18"/>
          <w:szCs w:val="18"/>
        </w:rPr>
        <w:t>公安全息作战部署在公安网上，与情报大数据综合应用平台集</w:t>
      </w:r>
      <w:r>
        <w:rPr>
          <w:rFonts w:ascii="宋体" w:hAnsi="宋体" w:cs="宋体" w:eastAsia="宋体" w:hint="default"/>
          <w:spacing w:val="86"/>
          <w:sz w:val="18"/>
          <w:szCs w:val="18"/>
        </w:rPr>
        <w:t> </w:t>
      </w:r>
      <w:r>
        <w:rPr>
          <w:rFonts w:ascii="宋体" w:hAnsi="宋体" w:cs="宋体" w:eastAsia="宋体" w:hint="default"/>
          <w:spacing w:val="-2"/>
          <w:sz w:val="18"/>
          <w:szCs w:val="18"/>
        </w:rPr>
        <w:t>政府公共事业</w:t>
      </w:r>
    </w:p>
    <w:p>
      <w:pPr>
        <w:spacing w:line="319" w:lineRule="auto" w:before="76"/>
        <w:ind w:left="4521" w:right="1444" w:firstLine="0"/>
        <w:jc w:val="both"/>
        <w:rPr>
          <w:rFonts w:ascii="宋体" w:hAnsi="宋体" w:cs="宋体" w:eastAsia="宋体" w:hint="default"/>
          <w:sz w:val="18"/>
          <w:szCs w:val="18"/>
        </w:rPr>
      </w:pPr>
      <w:r>
        <w:rPr>
          <w:rFonts w:ascii="宋体" w:hAnsi="宋体" w:cs="宋体" w:eastAsia="宋体" w:hint="default"/>
          <w:spacing w:val="-1"/>
          <w:sz w:val="18"/>
          <w:szCs w:val="18"/>
        </w:rPr>
        <w:t>成。能对异常监测信息进行迅速反应，为城市立体化信息化社</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1"/>
          <w:sz w:val="18"/>
          <w:szCs w:val="18"/>
        </w:rPr>
        <w:t>会治安防控体系建设提供全面、精准的支撑和保障，继续为公</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1"/>
          <w:sz w:val="18"/>
          <w:szCs w:val="18"/>
        </w:rPr>
        <w:t>安行业以及其他各行各业提供高质量服务。可视化全息作战是</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4"/>
          <w:sz w:val="18"/>
          <w:szCs w:val="18"/>
        </w:rPr>
        <w:t>以</w:t>
      </w:r>
      <w:r>
        <w:rPr>
          <w:rFonts w:ascii="宋体" w:hAnsi="宋体" w:cs="宋体" w:eastAsia="宋体" w:hint="default"/>
          <w:spacing w:val="-4"/>
          <w:sz w:val="18"/>
          <w:szCs w:val="18"/>
        </w:rPr>
        <w:t>GIS</w:t>
      </w:r>
      <w:r>
        <w:rPr>
          <w:rFonts w:ascii="宋体" w:hAnsi="宋体" w:cs="宋体" w:eastAsia="宋体" w:hint="default"/>
          <w:spacing w:val="-4"/>
          <w:sz w:val="18"/>
          <w:szCs w:val="18"/>
        </w:rPr>
        <w:t>地理信息系统为基础的可视化展示和应用深度挖掘，以服</w:t>
      </w:r>
      <w:r>
        <w:rPr>
          <w:rFonts w:ascii="宋体" w:hAnsi="宋体" w:cs="宋体" w:eastAsia="宋体" w:hint="default"/>
          <w:spacing w:val="-12"/>
          <w:sz w:val="18"/>
          <w:szCs w:val="18"/>
        </w:rPr>
        <w:t> </w:t>
      </w:r>
      <w:r>
        <w:rPr>
          <w:rFonts w:ascii="宋体" w:hAnsi="宋体" w:cs="宋体" w:eastAsia="宋体" w:hint="default"/>
          <w:spacing w:val="-12"/>
          <w:sz w:val="18"/>
          <w:szCs w:val="18"/>
        </w:rPr>
      </w:r>
      <w:r>
        <w:rPr>
          <w:rFonts w:ascii="宋体" w:hAnsi="宋体" w:cs="宋体" w:eastAsia="宋体" w:hint="default"/>
          <w:spacing w:val="-1"/>
          <w:sz w:val="18"/>
          <w:szCs w:val="18"/>
        </w:rPr>
        <w:t>务实战为根本目标，实现感知层的可视化全息展示，使用户能</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更直观的掌控全局态势。</w:t>
      </w:r>
    </w:p>
    <w:p>
      <w:pPr>
        <w:spacing w:after="0" w:line="319" w:lineRule="auto"/>
        <w:jc w:val="both"/>
        <w:rPr>
          <w:rFonts w:ascii="宋体" w:hAnsi="宋体" w:cs="宋体" w:eastAsia="宋体" w:hint="default"/>
          <w:sz w:val="18"/>
          <w:szCs w:val="18"/>
        </w:rPr>
        <w:sectPr>
          <w:type w:val="continuous"/>
          <w:pgSz w:w="11910" w:h="16840"/>
          <w:pgMar w:top="1100" w:bottom="1220" w:left="1020" w:right="0"/>
        </w:sectPr>
      </w:pPr>
    </w:p>
    <w:p>
      <w:pPr>
        <w:tabs>
          <w:tab w:pos="2494" w:val="left" w:leader="none"/>
          <w:tab w:pos="4612" w:val="left" w:leader="none"/>
        </w:tabs>
        <w:spacing w:before="50"/>
        <w:ind w:left="122" w:right="0" w:firstLine="0"/>
        <w:jc w:val="left"/>
        <w:rPr>
          <w:rFonts w:ascii="宋体" w:hAnsi="宋体" w:cs="宋体" w:eastAsia="宋体" w:hint="default"/>
          <w:sz w:val="18"/>
          <w:szCs w:val="18"/>
        </w:rPr>
      </w:pPr>
      <w:r>
        <w:rPr>
          <w:rFonts w:ascii="宋体" w:hAnsi="宋体" w:cs="宋体" w:eastAsia="宋体" w:hint="default"/>
          <w:spacing w:val="-2"/>
          <w:sz w:val="18"/>
          <w:szCs w:val="18"/>
        </w:rPr>
        <w:t>资源管控技术研究</w:t>
        <w:tab/>
      </w:r>
      <w:r>
        <w:rPr>
          <w:rFonts w:ascii="宋体" w:hAnsi="宋体" w:cs="宋体" w:eastAsia="宋体" w:hint="default"/>
          <w:spacing w:val="-3"/>
          <w:sz w:val="18"/>
          <w:szCs w:val="18"/>
        </w:rPr>
        <w:t>开发、测试、试运行</w:t>
        <w:tab/>
      </w:r>
      <w:r>
        <w:rPr>
          <w:rFonts w:ascii="宋体" w:hAnsi="宋体" w:cs="宋体" w:eastAsia="宋体" w:hint="default"/>
          <w:spacing w:val="-4"/>
          <w:sz w:val="18"/>
          <w:szCs w:val="18"/>
        </w:rPr>
        <w:t>实现机房资源、空间资源、管线资源、动力资源等的管理，可</w:t>
      </w:r>
    </w:p>
    <w:p>
      <w:pPr>
        <w:spacing w:line="316" w:lineRule="auto" w:before="77"/>
        <w:ind w:left="4521" w:right="0" w:firstLine="0"/>
        <w:jc w:val="left"/>
        <w:rPr>
          <w:rFonts w:ascii="宋体" w:hAnsi="宋体" w:cs="宋体" w:eastAsia="宋体" w:hint="default"/>
          <w:sz w:val="18"/>
          <w:szCs w:val="18"/>
        </w:rPr>
      </w:pPr>
      <w:r>
        <w:rPr>
          <w:rFonts w:ascii="宋体" w:hAnsi="宋体" w:cs="宋体" w:eastAsia="宋体" w:hint="default"/>
          <w:spacing w:val="-1"/>
          <w:sz w:val="18"/>
          <w:szCs w:val="18"/>
        </w:rPr>
        <w:t>视化数据配置。实现资源的调度分配等能力。建立报表门户，</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实现实时化、视图化报表能力。</w:t>
      </w:r>
    </w:p>
    <w:p>
      <w:pPr>
        <w:spacing w:before="50"/>
        <w:ind w:left="12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互联网</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9437" w:space="224"/>
            <w:col w:w="1229"/>
          </w:cols>
        </w:sectPr>
      </w:pPr>
    </w:p>
    <w:p>
      <w:pPr>
        <w:spacing w:line="316" w:lineRule="auto" w:before="57"/>
        <w:ind w:left="122" w:right="0" w:firstLine="0"/>
        <w:jc w:val="left"/>
        <w:rPr>
          <w:rFonts w:ascii="宋体" w:hAnsi="宋体" w:cs="宋体" w:eastAsia="宋体" w:hint="default"/>
          <w:sz w:val="18"/>
          <w:szCs w:val="18"/>
        </w:rPr>
      </w:pPr>
      <w:r>
        <w:rPr>
          <w:rFonts w:ascii="宋体" w:hAnsi="宋体" w:cs="宋体" w:eastAsia="宋体" w:hint="default"/>
          <w:spacing w:val="-2"/>
          <w:sz w:val="18"/>
          <w:szCs w:val="18"/>
        </w:rPr>
        <w:t>基于机器学习算法的人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工智能技术研究</w:t>
      </w:r>
    </w:p>
    <w:p>
      <w:pPr>
        <w:tabs>
          <w:tab w:pos="2149" w:val="left" w:leader="none"/>
        </w:tabs>
        <w:spacing w:line="316" w:lineRule="auto" w:before="57"/>
        <w:ind w:left="2149" w:right="0" w:hanging="2027"/>
        <w:jc w:val="left"/>
        <w:rPr>
          <w:rFonts w:ascii="宋体" w:hAnsi="宋体" w:cs="宋体" w:eastAsia="宋体" w:hint="default"/>
          <w:sz w:val="18"/>
          <w:szCs w:val="18"/>
        </w:rPr>
      </w:pPr>
      <w:r>
        <w:rPr>
          <w:spacing w:val="-3"/>
        </w:rPr>
        <w:br w:type="column"/>
      </w:r>
      <w:r>
        <w:rPr>
          <w:rFonts w:ascii="宋体" w:hAnsi="宋体" w:cs="宋体" w:eastAsia="宋体" w:hint="default"/>
          <w:spacing w:val="-3"/>
          <w:sz w:val="18"/>
          <w:szCs w:val="18"/>
        </w:rPr>
        <w:t>开发、测试、试运行</w:t>
        <w:tab/>
      </w:r>
      <w:r>
        <w:rPr>
          <w:rFonts w:ascii="宋体" w:hAnsi="宋体" w:cs="宋体" w:eastAsia="宋体" w:hint="default"/>
          <w:sz w:val="18"/>
          <w:szCs w:val="18"/>
        </w:rPr>
        <w:t>本项目的主要任务是建设以图形化拖拽的方式实现数据挖掘的</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人工智能平台。采用分布式计算框架，更加适用于电信、公安</w:t>
      </w:r>
      <w:r>
        <w:rPr>
          <w:rFonts w:ascii="宋体" w:hAnsi="宋体" w:cs="宋体" w:eastAsia="宋体" w:hint="default"/>
          <w:w w:val="101"/>
          <w:sz w:val="18"/>
          <w:szCs w:val="18"/>
        </w:rPr>
        <w:t> </w:t>
      </w:r>
      <w:r>
        <w:rPr>
          <w:rFonts w:ascii="宋体" w:hAnsi="宋体" w:cs="宋体" w:eastAsia="宋体" w:hint="default"/>
          <w:spacing w:val="-4"/>
          <w:sz w:val="18"/>
          <w:szCs w:val="18"/>
        </w:rPr>
        <w:t>等行业海量数据计算，丰富的模型算法，满足不同行业的需求，</w:t>
      </w:r>
      <w:r>
        <w:rPr>
          <w:rFonts w:ascii="宋体" w:hAnsi="宋体" w:cs="宋体" w:eastAsia="宋体" w:hint="default"/>
          <w:w w:val="101"/>
          <w:sz w:val="18"/>
          <w:szCs w:val="18"/>
        </w:rPr>
        <w:t> </w:t>
      </w:r>
      <w:r>
        <w:rPr>
          <w:rFonts w:ascii="宋体" w:hAnsi="宋体" w:cs="宋体" w:eastAsia="宋体" w:hint="default"/>
          <w:spacing w:val="-4"/>
          <w:sz w:val="18"/>
          <w:szCs w:val="18"/>
        </w:rPr>
        <w:t>实现从数据源、数据探索、数据预处理、特征工程、模型算法、</w:t>
      </w:r>
      <w:r>
        <w:rPr>
          <w:rFonts w:ascii="宋体" w:hAnsi="宋体" w:cs="宋体" w:eastAsia="宋体" w:hint="default"/>
          <w:w w:val="101"/>
          <w:sz w:val="18"/>
          <w:szCs w:val="18"/>
        </w:rPr>
        <w:t> </w:t>
      </w:r>
      <w:r>
        <w:rPr>
          <w:rFonts w:ascii="宋体" w:hAnsi="宋体" w:cs="宋体" w:eastAsia="宋体" w:hint="default"/>
          <w:sz w:val="18"/>
          <w:szCs w:val="18"/>
        </w:rPr>
        <w:t>模型评估一整套的数据挖掘流程处理。并集成深度学习框架，</w:t>
      </w:r>
      <w:r>
        <w:rPr>
          <w:rFonts w:ascii="宋体" w:hAnsi="宋体" w:cs="宋体" w:eastAsia="宋体" w:hint="default"/>
          <w:w w:val="101"/>
          <w:sz w:val="18"/>
          <w:szCs w:val="18"/>
        </w:rPr>
        <w:t> </w:t>
      </w:r>
      <w:r>
        <w:rPr>
          <w:rFonts w:ascii="宋体" w:hAnsi="宋体" w:cs="宋体" w:eastAsia="宋体" w:hint="default"/>
          <w:spacing w:val="-3"/>
          <w:sz w:val="18"/>
          <w:szCs w:val="18"/>
        </w:rPr>
        <w:t>实现人脸识别、自然语言处理等场景的建模、预测。</w:t>
      </w:r>
    </w:p>
    <w:p>
      <w:pPr>
        <w:spacing w:before="57"/>
        <w:ind w:left="12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人工智能</w:t>
      </w:r>
    </w:p>
    <w:p>
      <w:pPr>
        <w:spacing w:after="0"/>
        <w:jc w:val="left"/>
        <w:rPr>
          <w:rFonts w:ascii="宋体" w:hAnsi="宋体" w:cs="宋体" w:eastAsia="宋体" w:hint="default"/>
          <w:sz w:val="18"/>
          <w:szCs w:val="18"/>
        </w:rPr>
        <w:sectPr>
          <w:type w:val="continuous"/>
          <w:pgSz w:w="11910" w:h="16840"/>
          <w:pgMar w:top="1100" w:bottom="1220" w:left="1020" w:right="0"/>
          <w:cols w:num="3" w:equalWidth="0">
            <w:col w:w="1928" w:space="444"/>
            <w:col w:w="7157" w:space="42"/>
            <w:col w:w="1319"/>
          </w:cols>
        </w:sectPr>
      </w:pPr>
    </w:p>
    <w:p>
      <w:pPr>
        <w:spacing w:line="316" w:lineRule="auto" w:before="52"/>
        <w:ind w:left="122" w:right="0" w:firstLine="0"/>
        <w:jc w:val="left"/>
        <w:rPr>
          <w:rFonts w:ascii="宋体" w:hAnsi="宋体" w:cs="宋体" w:eastAsia="宋体" w:hint="default"/>
          <w:sz w:val="18"/>
          <w:szCs w:val="18"/>
        </w:rPr>
      </w:pPr>
      <w:r>
        <w:rPr>
          <w:rFonts w:ascii="宋体" w:hAnsi="宋体" w:cs="宋体" w:eastAsia="宋体" w:hint="default"/>
          <w:spacing w:val="-2"/>
          <w:sz w:val="18"/>
          <w:szCs w:val="18"/>
        </w:rPr>
        <w:t>智慧安保可视化布控技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术研究</w:t>
      </w:r>
    </w:p>
    <w:p>
      <w:pPr>
        <w:tabs>
          <w:tab w:pos="2149" w:val="left" w:leader="none"/>
          <w:tab w:pos="7594" w:val="left" w:leader="none"/>
        </w:tabs>
        <w:spacing w:line="319" w:lineRule="auto" w:before="52"/>
        <w:ind w:left="2149" w:right="224" w:hanging="2027"/>
        <w:jc w:val="left"/>
        <w:rPr>
          <w:rFonts w:ascii="宋体" w:hAnsi="宋体" w:cs="宋体" w:eastAsia="宋体" w:hint="default"/>
          <w:sz w:val="18"/>
          <w:szCs w:val="18"/>
        </w:rPr>
      </w:pPr>
      <w:r>
        <w:rPr>
          <w:spacing w:val="-3"/>
          <w:w w:val="101"/>
        </w:rPr>
        <w:br w:type="column"/>
      </w:r>
      <w:r>
        <w:rPr>
          <w:rFonts w:ascii="宋体" w:hAnsi="宋体" w:cs="宋体" w:eastAsia="宋体" w:hint="default"/>
          <w:spacing w:val="-3"/>
          <w:w w:val="101"/>
          <w:sz w:val="18"/>
          <w:szCs w:val="18"/>
        </w:rPr>
        <w:t>开发、测试、试运行</w:t>
        <w:tab/>
      </w:r>
      <w:r>
        <w:rPr>
          <w:rFonts w:ascii="宋体" w:hAnsi="宋体" w:cs="宋体" w:eastAsia="宋体" w:hint="default"/>
          <w:spacing w:val="-2"/>
          <w:w w:val="101"/>
          <w:sz w:val="18"/>
          <w:szCs w:val="18"/>
        </w:rPr>
        <w:t>通过多种类型的数据接口，从公安内外业务系统抽取各种安保公共事业、互联</w:t>
      </w:r>
      <w:r>
        <w:rPr>
          <w:rFonts w:ascii="宋体" w:hAnsi="宋体" w:cs="宋体" w:eastAsia="宋体" w:hint="default"/>
          <w:w w:val="101"/>
          <w:sz w:val="18"/>
          <w:szCs w:val="18"/>
        </w:rPr>
        <w:t> </w:t>
      </w:r>
      <w:r>
        <w:rPr>
          <w:rFonts w:ascii="宋体" w:hAnsi="宋体" w:cs="宋体" w:eastAsia="宋体" w:hint="default"/>
          <w:spacing w:val="-1"/>
          <w:sz w:val="18"/>
          <w:szCs w:val="18"/>
        </w:rPr>
        <w:t>相关数据，依据安保指挥业务应用逻辑，利用地理运算、数据</w:t>
        <w:tab/>
      </w:r>
      <w:r>
        <w:rPr>
          <w:rFonts w:ascii="宋体" w:hAnsi="宋体" w:cs="宋体" w:eastAsia="宋体" w:hint="default"/>
          <w:sz w:val="18"/>
          <w:szCs w:val="18"/>
        </w:rPr>
        <w:t>网</w:t>
      </w:r>
      <w:r>
        <w:rPr>
          <w:rFonts w:ascii="宋体" w:hAnsi="宋体" w:cs="宋体" w:eastAsia="宋体" w:hint="default"/>
          <w:w w:val="101"/>
          <w:sz w:val="18"/>
          <w:szCs w:val="18"/>
        </w:rPr>
        <w:t> </w:t>
      </w:r>
      <w:r>
        <w:rPr>
          <w:rFonts w:ascii="宋体" w:hAnsi="宋体" w:cs="宋体" w:eastAsia="宋体" w:hint="default"/>
          <w:sz w:val="18"/>
          <w:szCs w:val="18"/>
        </w:rPr>
        <w:t>分析、数据抽取等数据加工技术和数据渲染技术进行大数据可</w:t>
      </w:r>
      <w:r>
        <w:rPr>
          <w:rFonts w:ascii="宋体" w:hAnsi="宋体" w:cs="宋体" w:eastAsia="宋体" w:hint="default"/>
          <w:w w:val="101"/>
          <w:sz w:val="18"/>
          <w:szCs w:val="18"/>
        </w:rPr>
        <w:t> </w:t>
      </w:r>
      <w:r>
        <w:rPr>
          <w:rFonts w:ascii="宋体" w:hAnsi="宋体" w:cs="宋体" w:eastAsia="宋体" w:hint="default"/>
          <w:sz w:val="18"/>
          <w:szCs w:val="18"/>
        </w:rPr>
        <w:t>视化处理，各类警卫安保数据实时展示、多维度、多样化，呈</w:t>
      </w:r>
      <w:r>
        <w:rPr>
          <w:rFonts w:ascii="宋体" w:hAnsi="宋体" w:cs="宋体" w:eastAsia="宋体" w:hint="default"/>
          <w:w w:val="101"/>
          <w:sz w:val="18"/>
          <w:szCs w:val="18"/>
        </w:rPr>
        <w:t> </w:t>
      </w:r>
      <w:r>
        <w:rPr>
          <w:rFonts w:ascii="宋体" w:hAnsi="宋体" w:cs="宋体" w:eastAsia="宋体" w:hint="default"/>
          <w:sz w:val="18"/>
          <w:szCs w:val="18"/>
        </w:rPr>
        <w:t>现出全面、动态的安保指挥调度过程。平台功能模块可按照不</w:t>
      </w:r>
      <w:r>
        <w:rPr>
          <w:rFonts w:ascii="宋体" w:hAnsi="宋体" w:cs="宋体" w:eastAsia="宋体" w:hint="default"/>
          <w:w w:val="101"/>
          <w:sz w:val="18"/>
          <w:szCs w:val="18"/>
        </w:rPr>
        <w:t> </w:t>
      </w:r>
      <w:r>
        <w:rPr>
          <w:rFonts w:ascii="宋体" w:hAnsi="宋体" w:cs="宋体" w:eastAsia="宋体" w:hint="default"/>
          <w:spacing w:val="-4"/>
          <w:sz w:val="18"/>
          <w:szCs w:val="18"/>
        </w:rPr>
        <w:t>同的安保任务进行前台灵活配置，克服了模块功能静止、延时、</w:t>
      </w:r>
      <w:r>
        <w:rPr>
          <w:rFonts w:ascii="宋体" w:hAnsi="宋体" w:cs="宋体" w:eastAsia="宋体" w:hint="default"/>
          <w:w w:val="101"/>
          <w:sz w:val="18"/>
          <w:szCs w:val="18"/>
        </w:rPr>
        <w:t> </w:t>
      </w:r>
      <w:r>
        <w:rPr>
          <w:rFonts w:ascii="宋体" w:hAnsi="宋体" w:cs="宋体" w:eastAsia="宋体" w:hint="default"/>
          <w:sz w:val="18"/>
          <w:szCs w:val="18"/>
        </w:rPr>
        <w:t>僵化的弊端。针对不同的任务，可设定不同的系统门户、指挥</w:t>
      </w:r>
      <w:r>
        <w:rPr>
          <w:rFonts w:ascii="宋体" w:hAnsi="宋体" w:cs="宋体" w:eastAsia="宋体" w:hint="default"/>
          <w:w w:val="101"/>
          <w:sz w:val="18"/>
          <w:szCs w:val="18"/>
        </w:rPr>
        <w:t> </w:t>
      </w:r>
      <w:r>
        <w:rPr>
          <w:rFonts w:ascii="宋体" w:hAnsi="宋体" w:cs="宋体" w:eastAsia="宋体" w:hint="default"/>
          <w:sz w:val="18"/>
          <w:szCs w:val="18"/>
        </w:rPr>
        <w:t>体系框架、专项活动、场馆驻地、视频预案、线路绘制、警力</w:t>
      </w:r>
      <w:r>
        <w:rPr>
          <w:rFonts w:ascii="宋体" w:hAnsi="宋体" w:cs="宋体" w:eastAsia="宋体" w:hint="default"/>
          <w:w w:val="101"/>
          <w:sz w:val="18"/>
          <w:szCs w:val="18"/>
        </w:rPr>
        <w:t> </w:t>
      </w:r>
      <w:r>
        <w:rPr>
          <w:rFonts w:ascii="宋体" w:hAnsi="宋体" w:cs="宋体" w:eastAsia="宋体" w:hint="default"/>
          <w:spacing w:val="-3"/>
          <w:sz w:val="18"/>
          <w:szCs w:val="18"/>
        </w:rPr>
        <w:t>部署、车队定位等。</w:t>
      </w:r>
    </w:p>
    <w:p>
      <w:pPr>
        <w:spacing w:after="0" w:line="319" w:lineRule="auto"/>
        <w:jc w:val="left"/>
        <w:rPr>
          <w:rFonts w:ascii="宋体" w:hAnsi="宋体" w:cs="宋体" w:eastAsia="宋体" w:hint="default"/>
          <w:sz w:val="18"/>
          <w:szCs w:val="18"/>
        </w:rPr>
        <w:sectPr>
          <w:type w:val="continuous"/>
          <w:pgSz w:w="11910" w:h="16840"/>
          <w:pgMar w:top="1100" w:bottom="1220" w:left="1020" w:right="0"/>
          <w:cols w:num="2" w:equalWidth="0">
            <w:col w:w="1928" w:space="444"/>
            <w:col w:w="8518"/>
          </w:cols>
        </w:sectPr>
      </w:pPr>
    </w:p>
    <w:p>
      <w:pPr>
        <w:spacing w:line="316" w:lineRule="auto" w:before="50"/>
        <w:ind w:left="122" w:right="0" w:firstLine="0"/>
        <w:jc w:val="left"/>
        <w:rPr>
          <w:rFonts w:ascii="宋体" w:hAnsi="宋体" w:cs="宋体" w:eastAsia="宋体" w:hint="default"/>
          <w:sz w:val="18"/>
          <w:szCs w:val="18"/>
        </w:rPr>
      </w:pPr>
      <w:r>
        <w:rPr/>
        <w:pict>
          <v:group style="position:absolute;margin-left:56.183998pt;margin-top:71.659966pt;width:528.2pt;height:686.4pt;mso-position-horizontal-relative:page;mso-position-vertical-relative:page;z-index:-1185736" coordorigin="1124,1433" coordsize="10564,13728">
            <v:group style="position:absolute;left:1138;top:1448;width:1974;height:2" coordorigin="1138,1448" coordsize="1974,2">
              <v:shape style="position:absolute;left:1138;top:1448;width:1974;height:2" coordorigin="1138,1448" coordsize="1974,0" path="m1138,1448l3111,1448e" filled="false" stroked="true" strokeweight=".72pt" strokecolor="#000000">
                <v:path arrowok="t"/>
              </v:shape>
            </v:group>
            <v:group style="position:absolute;left:3126;top:1448;width:2397;height:2" coordorigin="3126,1448" coordsize="2397,2">
              <v:shape style="position:absolute;left:3126;top:1448;width:2397;height:2" coordorigin="3126,1448" coordsize="2397,0" path="m3126,1448l5522,1448e" filled="false" stroked="true" strokeweight=".72pt" strokecolor="#000000">
                <v:path arrowok="t"/>
              </v:shape>
            </v:group>
            <v:group style="position:absolute;left:5536;top:1448;width:4922;height:2" coordorigin="5536,1448" coordsize="4922,2">
              <v:shape style="position:absolute;left:5536;top:1448;width:4922;height:2" coordorigin="5536,1448" coordsize="4922,0" path="m5536,1448l10458,1448e" filled="false" stroked="true" strokeweight=".72pt" strokecolor="#000000">
                <v:path arrowok="t"/>
              </v:shape>
            </v:group>
            <v:group style="position:absolute;left:10473;top:1448;width:1201;height:2" coordorigin="10473,1448" coordsize="1201,2">
              <v:shape style="position:absolute;left:10473;top:1448;width:1201;height:2" coordorigin="10473,1448" coordsize="1201,0" path="m10473,1448l11673,1448e" filled="false" stroked="true" strokeweight=".72pt" strokecolor="#000000">
                <v:path arrowok="t"/>
              </v:shape>
            </v:group>
            <v:group style="position:absolute;left:1138;top:2105;width:1974;height:2" coordorigin="1138,2105" coordsize="1974,2">
              <v:shape style="position:absolute;left:1138;top:2105;width:1974;height:2" coordorigin="1138,2105" coordsize="1974,0" path="m1138,2105l3111,2105e" filled="false" stroked="true" strokeweight=".72pt" strokecolor="#000000">
                <v:path arrowok="t"/>
              </v:shape>
            </v:group>
            <v:group style="position:absolute;left:3126;top:2105;width:2397;height:2" coordorigin="3126,2105" coordsize="2397,2">
              <v:shape style="position:absolute;left:3126;top:2105;width:2397;height:2" coordorigin="3126,2105" coordsize="2397,0" path="m3126,2105l5522,2105e" filled="false" stroked="true" strokeweight=".72pt" strokecolor="#000000">
                <v:path arrowok="t"/>
              </v:shape>
            </v:group>
            <v:group style="position:absolute;left:5536;top:2105;width:4922;height:2" coordorigin="5536,2105" coordsize="4922,2">
              <v:shape style="position:absolute;left:5536;top:2105;width:4922;height:2" coordorigin="5536,2105" coordsize="4922,0" path="m5536,2105l10458,2105e" filled="false" stroked="true" strokeweight=".72pt" strokecolor="#000000">
                <v:path arrowok="t"/>
              </v:shape>
            </v:group>
            <v:group style="position:absolute;left:10473;top:2105;width:1201;height:2" coordorigin="10473,2105" coordsize="1201,2">
              <v:shape style="position:absolute;left:10473;top:2105;width:1201;height:2" coordorigin="10473,2105" coordsize="1201,0" path="m10473,2105l11673,2105e" filled="false" stroked="true" strokeweight=".72pt" strokecolor="#000000">
                <v:path arrowok="t"/>
              </v:shape>
            </v:group>
            <v:group style="position:absolute;left:1138;top:3704;width:1974;height:2" coordorigin="1138,3704" coordsize="1974,2">
              <v:shape style="position:absolute;left:1138;top:3704;width:1974;height:2" coordorigin="1138,3704" coordsize="1974,0" path="m1138,3704l3111,3704e" filled="false" stroked="true" strokeweight=".72pt" strokecolor="#000000">
                <v:path arrowok="t"/>
              </v:shape>
            </v:group>
            <v:group style="position:absolute;left:3126;top:3704;width:2397;height:2" coordorigin="3126,3704" coordsize="2397,2">
              <v:shape style="position:absolute;left:3126;top:3704;width:2397;height:2" coordorigin="3126,3704" coordsize="2397,0" path="m3126,3704l5522,3704e" filled="false" stroked="true" strokeweight=".72pt" strokecolor="#000000">
                <v:path arrowok="t"/>
              </v:shape>
            </v:group>
            <v:group style="position:absolute;left:5536;top:3704;width:4922;height:2" coordorigin="5536,3704" coordsize="4922,2">
              <v:shape style="position:absolute;left:5536;top:3704;width:4922;height:2" coordorigin="5536,3704" coordsize="4922,0" path="m5536,3704l10458,3704e" filled="false" stroked="true" strokeweight=".72pt" strokecolor="#000000">
                <v:path arrowok="t"/>
              </v:shape>
            </v:group>
            <v:group style="position:absolute;left:10473;top:3704;width:1201;height:2" coordorigin="10473,3704" coordsize="1201,2">
              <v:shape style="position:absolute;left:10473;top:3704;width:1201;height:2" coordorigin="10473,3704" coordsize="1201,0" path="m10473,3704l11673,3704e" filled="false" stroked="true" strokeweight=".72pt" strokecolor="#000000">
                <v:path arrowok="t"/>
              </v:shape>
            </v:group>
            <v:group style="position:absolute;left:1138;top:4986;width:1974;height:2" coordorigin="1138,4986" coordsize="1974,2">
              <v:shape style="position:absolute;left:1138;top:4986;width:1974;height:2" coordorigin="1138,4986" coordsize="1974,0" path="m1138,4986l3111,4986e" filled="false" stroked="true" strokeweight=".72pt" strokecolor="#000000">
                <v:path arrowok="t"/>
              </v:shape>
            </v:group>
            <v:group style="position:absolute;left:3126;top:4986;width:2397;height:2" coordorigin="3126,4986" coordsize="2397,2">
              <v:shape style="position:absolute;left:3126;top:4986;width:2397;height:2" coordorigin="3126,4986" coordsize="2397,0" path="m3126,4986l5522,4986e" filled="false" stroked="true" strokeweight=".72pt" strokecolor="#000000">
                <v:path arrowok="t"/>
              </v:shape>
            </v:group>
            <v:group style="position:absolute;left:5536;top:4986;width:4922;height:2" coordorigin="5536,4986" coordsize="4922,2">
              <v:shape style="position:absolute;left:5536;top:4986;width:4922;height:2" coordorigin="5536,4986" coordsize="4922,0" path="m5536,4986l10458,4986e" filled="false" stroked="true" strokeweight=".72pt" strokecolor="#000000">
                <v:path arrowok="t"/>
              </v:shape>
            </v:group>
            <v:group style="position:absolute;left:10473;top:4986;width:1201;height:2" coordorigin="10473,4986" coordsize="1201,2">
              <v:shape style="position:absolute;left:10473;top:4986;width:1201;height:2" coordorigin="10473,4986" coordsize="1201,0" path="m10473,4986l11673,4986e" filled="false" stroked="true" strokeweight=".72pt" strokecolor="#000000">
                <v:path arrowok="t"/>
              </v:shape>
            </v:group>
            <v:group style="position:absolute;left:1138;top:7204;width:1974;height:2" coordorigin="1138,7204" coordsize="1974,2">
              <v:shape style="position:absolute;left:1138;top:7204;width:1974;height:2" coordorigin="1138,7204" coordsize="1974,0" path="m1138,7204l3111,7204e" filled="false" stroked="true" strokeweight=".71997pt" strokecolor="#000000">
                <v:path arrowok="t"/>
              </v:shape>
            </v:group>
            <v:group style="position:absolute;left:3126;top:7204;width:2397;height:2" coordorigin="3126,7204" coordsize="2397,2">
              <v:shape style="position:absolute;left:3126;top:7204;width:2397;height:2" coordorigin="3126,7204" coordsize="2397,0" path="m3126,7204l5522,7204e" filled="false" stroked="true" strokeweight=".71997pt" strokecolor="#000000">
                <v:path arrowok="t"/>
              </v:shape>
            </v:group>
            <v:group style="position:absolute;left:5536;top:7204;width:4922;height:2" coordorigin="5536,7204" coordsize="4922,2">
              <v:shape style="position:absolute;left:5536;top:7204;width:4922;height:2" coordorigin="5536,7204" coordsize="4922,0" path="m5536,7204l10458,7204e" filled="false" stroked="true" strokeweight=".71997pt" strokecolor="#000000">
                <v:path arrowok="t"/>
              </v:shape>
            </v:group>
            <v:group style="position:absolute;left:10473;top:7204;width:1201;height:2" coordorigin="10473,7204" coordsize="1201,2">
              <v:shape style="position:absolute;left:10473;top:7204;width:1201;height:2" coordorigin="10473,7204" coordsize="1201,0" path="m10473,7204l11673,7204e" filled="false" stroked="true" strokeweight=".71997pt" strokecolor="#000000">
                <v:path arrowok="t"/>
              </v:shape>
            </v:group>
            <v:group style="position:absolute;left:1138;top:8174;width:1974;height:2" coordorigin="1138,8174" coordsize="1974,2">
              <v:shape style="position:absolute;left:1138;top:8174;width:1974;height:2" coordorigin="1138,8174" coordsize="1974,0" path="m1138,8174l3111,8174e" filled="false" stroked="true" strokeweight=".72pt" strokecolor="#000000">
                <v:path arrowok="t"/>
              </v:shape>
            </v:group>
            <v:group style="position:absolute;left:3126;top:8174;width:2397;height:2" coordorigin="3126,8174" coordsize="2397,2">
              <v:shape style="position:absolute;left:3126;top:8174;width:2397;height:2" coordorigin="3126,8174" coordsize="2397,0" path="m3126,8174l5522,8174e" filled="false" stroked="true" strokeweight=".72pt" strokecolor="#000000">
                <v:path arrowok="t"/>
              </v:shape>
            </v:group>
            <v:group style="position:absolute;left:5536;top:8174;width:4922;height:2" coordorigin="5536,8174" coordsize="4922,2">
              <v:shape style="position:absolute;left:5536;top:8174;width:4922;height:2" coordorigin="5536,8174" coordsize="4922,0" path="m5536,8174l10458,8174e" filled="false" stroked="true" strokeweight=".72pt" strokecolor="#000000">
                <v:path arrowok="t"/>
              </v:shape>
            </v:group>
            <v:group style="position:absolute;left:10473;top:8174;width:1201;height:2" coordorigin="10473,8174" coordsize="1201,2">
              <v:shape style="position:absolute;left:10473;top:8174;width:1201;height:2" coordorigin="10473,8174" coordsize="1201,0" path="m10473,8174l11673,8174e" filled="false" stroked="true" strokeweight=".72pt" strokecolor="#000000">
                <v:path arrowok="t"/>
              </v:shape>
            </v:group>
            <v:group style="position:absolute;left:1138;top:10085;width:1974;height:2" coordorigin="1138,10085" coordsize="1974,2">
              <v:shape style="position:absolute;left:1138;top:10085;width:1974;height:2" coordorigin="1138,10085" coordsize="1974,0" path="m1138,10085l3111,10085e" filled="false" stroked="true" strokeweight=".72pt" strokecolor="#000000">
                <v:path arrowok="t"/>
              </v:shape>
            </v:group>
            <v:group style="position:absolute;left:3126;top:10085;width:2397;height:2" coordorigin="3126,10085" coordsize="2397,2">
              <v:shape style="position:absolute;left:3126;top:10085;width:2397;height:2" coordorigin="3126,10085" coordsize="2397,0" path="m3126,10085l5522,10085e" filled="false" stroked="true" strokeweight=".72pt" strokecolor="#000000">
                <v:path arrowok="t"/>
              </v:shape>
            </v:group>
            <v:group style="position:absolute;left:5536;top:10085;width:4922;height:2" coordorigin="5536,10085" coordsize="4922,2">
              <v:shape style="position:absolute;left:5536;top:10085;width:4922;height:2" coordorigin="5536,10085" coordsize="4922,0" path="m5536,10085l10458,10085e" filled="false" stroked="true" strokeweight=".72pt" strokecolor="#000000">
                <v:path arrowok="t"/>
              </v:shape>
            </v:group>
            <v:group style="position:absolute;left:10473;top:10085;width:1201;height:2" coordorigin="10473,10085" coordsize="1201,2">
              <v:shape style="position:absolute;left:10473;top:10085;width:1201;height:2" coordorigin="10473,10085" coordsize="1201,0" path="m10473,10085l11673,10085e" filled="false" stroked="true" strokeweight=".72pt" strokecolor="#000000">
                <v:path arrowok="t"/>
              </v:shape>
            </v:group>
            <v:group style="position:absolute;left:1138;top:12928;width:1974;height:2" coordorigin="1138,12928" coordsize="1974,2">
              <v:shape style="position:absolute;left:1138;top:12928;width:1974;height:2" coordorigin="1138,12928" coordsize="1974,0" path="m1138,12928l3111,12928e" filled="false" stroked="true" strokeweight=".72003pt" strokecolor="#000000">
                <v:path arrowok="t"/>
              </v:shape>
            </v:group>
            <v:group style="position:absolute;left:3126;top:12928;width:2397;height:2" coordorigin="3126,12928" coordsize="2397,2">
              <v:shape style="position:absolute;left:3126;top:12928;width:2397;height:2" coordorigin="3126,12928" coordsize="2397,0" path="m3126,12928l5522,12928e" filled="false" stroked="true" strokeweight=".72003pt" strokecolor="#000000">
                <v:path arrowok="t"/>
              </v:shape>
            </v:group>
            <v:group style="position:absolute;left:5536;top:12928;width:4922;height:2" coordorigin="5536,12928" coordsize="4922,2">
              <v:shape style="position:absolute;left:5536;top:12928;width:4922;height:2" coordorigin="5536,12928" coordsize="4922,0" path="m5536,12928l10458,12928e" filled="false" stroked="true" strokeweight=".72003pt" strokecolor="#000000">
                <v:path arrowok="t"/>
              </v:shape>
            </v:group>
            <v:group style="position:absolute;left:10473;top:12928;width:1201;height:2" coordorigin="10473,12928" coordsize="1201,2">
              <v:shape style="position:absolute;left:10473;top:12928;width:1201;height:2" coordorigin="10473,12928" coordsize="1201,0" path="m10473,12928l11673,12928e" filled="false" stroked="true" strokeweight=".72003pt" strokecolor="#000000">
                <v:path arrowok="t"/>
              </v:shape>
            </v:group>
            <v:group style="position:absolute;left:1131;top:1440;width:2;height:13713" coordorigin="1131,1440" coordsize="2,13713">
              <v:shape style="position:absolute;left:1131;top:1440;width:2;height:13713" coordorigin="1131,1440" coordsize="0,13713" path="m1131,1440l1131,15153e" filled="false" stroked="true" strokeweight=".72pt" strokecolor="#000000">
                <v:path arrowok="t"/>
              </v:shape>
            </v:group>
            <v:group style="position:absolute;left:1138;top:15146;width:1974;height:2" coordorigin="1138,15146" coordsize="1974,2">
              <v:shape style="position:absolute;left:1138;top:15146;width:1974;height:2" coordorigin="1138,15146" coordsize="1974,0" path="m1138,15146l3111,15146e" filled="false" stroked="true" strokeweight=".71997pt" strokecolor="#000000">
                <v:path arrowok="t"/>
              </v:shape>
            </v:group>
            <v:group style="position:absolute;left:3119;top:1440;width:2;height:13713" coordorigin="3119,1440" coordsize="2,13713">
              <v:shape style="position:absolute;left:3119;top:1440;width:2;height:13713" coordorigin="3119,1440" coordsize="0,13713" path="m3119,1440l3119,15153e" filled="false" stroked="true" strokeweight=".71999pt" strokecolor="#000000">
                <v:path arrowok="t"/>
              </v:shape>
            </v:group>
            <v:group style="position:absolute;left:3126;top:15146;width:2397;height:2" coordorigin="3126,15146" coordsize="2397,2">
              <v:shape style="position:absolute;left:3126;top:15146;width:2397;height:2" coordorigin="3126,15146" coordsize="2397,0" path="m3126,15146l5522,15146e" filled="false" stroked="true" strokeweight=".71997pt" strokecolor="#000000">
                <v:path arrowok="t"/>
              </v:shape>
            </v:group>
            <v:group style="position:absolute;left:5529;top:1440;width:2;height:13713" coordorigin="5529,1440" coordsize="2,13713">
              <v:shape style="position:absolute;left:5529;top:1440;width:2;height:13713" coordorigin="5529,1440" coordsize="0,13713" path="m5529,1440l5529,15153e" filled="false" stroked="true" strokeweight=".72pt" strokecolor="#000000">
                <v:path arrowok="t"/>
              </v:shape>
            </v:group>
            <v:group style="position:absolute;left:5536;top:15146;width:4922;height:2" coordorigin="5536,15146" coordsize="4922,2">
              <v:shape style="position:absolute;left:5536;top:15146;width:4922;height:2" coordorigin="5536,15146" coordsize="4922,0" path="m5536,15146l10458,15146e" filled="false" stroked="true" strokeweight=".71997pt" strokecolor="#000000">
                <v:path arrowok="t"/>
              </v:shape>
            </v:group>
            <v:group style="position:absolute;left:10465;top:1440;width:2;height:13713" coordorigin="10465,1440" coordsize="2,13713">
              <v:shape style="position:absolute;left:10465;top:1440;width:2;height:13713" coordorigin="10465,1440" coordsize="0,13713" path="m10465,1440l10465,15153e" filled="false" stroked="true" strokeweight=".72003pt" strokecolor="#000000">
                <v:path arrowok="t"/>
              </v:shape>
            </v:group>
            <v:group style="position:absolute;left:10473;top:15146;width:1201;height:2" coordorigin="10473,15146" coordsize="1201,2">
              <v:shape style="position:absolute;left:10473;top:15146;width:1201;height:2" coordorigin="10473,15146" coordsize="1201,0" path="m10473,15146l11673,15146e" filled="false" stroked="true" strokeweight=".71997pt" strokecolor="#000000">
                <v:path arrowok="t"/>
              </v:shape>
            </v:group>
            <v:group style="position:absolute;left:11680;top:1440;width:2;height:13713" coordorigin="11680,1440" coordsize="2,13713">
              <v:shape style="position:absolute;left:11680;top:1440;width:2;height:13713" coordorigin="11680,1440" coordsize="0,13713" path="m11680,1440l11680,15153e" filled="false" stroked="true" strokeweight=".71997pt" strokecolor="#000000">
                <v:path arrowok="t"/>
              </v:shape>
            </v:group>
            <w10:wrap type="none"/>
          </v:group>
        </w:pict>
      </w:r>
      <w:r>
        <w:rPr>
          <w:rFonts w:ascii="宋体" w:hAnsi="宋体" w:cs="宋体" w:eastAsia="宋体" w:hint="default"/>
          <w:spacing w:val="-2"/>
          <w:sz w:val="18"/>
          <w:szCs w:val="18"/>
        </w:rPr>
        <w:t>迪智高级版产品孵化技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术研究</w:t>
      </w:r>
    </w:p>
    <w:p>
      <w:pPr>
        <w:tabs>
          <w:tab w:pos="2149" w:val="left" w:leader="none"/>
          <w:tab w:pos="7594" w:val="left" w:leader="none"/>
        </w:tabs>
        <w:spacing w:line="316" w:lineRule="auto" w:before="50"/>
        <w:ind w:left="2149" w:right="224" w:hanging="2027"/>
        <w:jc w:val="left"/>
        <w:rPr>
          <w:rFonts w:ascii="宋体" w:hAnsi="宋体" w:cs="宋体" w:eastAsia="宋体" w:hint="default"/>
          <w:sz w:val="18"/>
          <w:szCs w:val="18"/>
        </w:rPr>
      </w:pPr>
      <w:r>
        <w:rPr>
          <w:spacing w:val="-3"/>
          <w:w w:val="101"/>
        </w:rPr>
        <w:br w:type="column"/>
      </w:r>
      <w:r>
        <w:rPr>
          <w:rFonts w:ascii="宋体" w:hAnsi="宋体" w:cs="宋体" w:eastAsia="宋体" w:hint="default"/>
          <w:spacing w:val="-3"/>
          <w:w w:val="101"/>
          <w:sz w:val="18"/>
          <w:szCs w:val="18"/>
        </w:rPr>
        <w:t>开发、测试、试运行</w:t>
        <w:tab/>
      </w:r>
      <w:r>
        <w:rPr>
          <w:rFonts w:ascii="宋体" w:hAnsi="宋体" w:cs="宋体" w:eastAsia="宋体" w:hint="default"/>
          <w:spacing w:val="-1"/>
          <w:w w:val="101"/>
          <w:sz w:val="18"/>
          <w:szCs w:val="18"/>
        </w:rPr>
        <w:t>实现工作流面板开发和业务主题视角整合开发全过程的功能。</w:t>
      </w:r>
      <w:r>
        <w:rPr>
          <w:rFonts w:ascii="宋体" w:hAnsi="宋体" w:cs="宋体" w:eastAsia="宋体" w:hint="default"/>
          <w:spacing w:val="-56"/>
          <w:w w:val="101"/>
          <w:sz w:val="18"/>
          <w:szCs w:val="18"/>
        </w:rPr>
        <w:t> </w:t>
      </w:r>
      <w:r>
        <w:rPr>
          <w:rFonts w:ascii="宋体" w:hAnsi="宋体" w:cs="宋体" w:eastAsia="宋体" w:hint="default"/>
          <w:spacing w:val="-11"/>
          <w:w w:val="101"/>
          <w:sz w:val="18"/>
          <w:szCs w:val="18"/>
        </w:rPr>
        <w:t>人工智能、互联</w:t>
      </w:r>
      <w:r>
        <w:rPr>
          <w:rFonts w:ascii="宋体" w:hAnsi="宋体" w:cs="宋体" w:eastAsia="宋体" w:hint="default"/>
          <w:w w:val="101"/>
          <w:sz w:val="18"/>
          <w:szCs w:val="18"/>
        </w:rPr>
        <w:t> </w:t>
      </w:r>
      <w:r>
        <w:rPr>
          <w:rFonts w:ascii="宋体" w:hAnsi="宋体" w:cs="宋体" w:eastAsia="宋体" w:hint="default"/>
          <w:spacing w:val="-4"/>
          <w:sz w:val="18"/>
          <w:szCs w:val="18"/>
        </w:rPr>
        <w:t>新增实时抽取、交换加密脱敏、数据异常转储入库、支持</w:t>
      </w:r>
      <w:r>
        <w:rPr>
          <w:rFonts w:ascii="宋体" w:hAnsi="宋体" w:cs="宋体" w:eastAsia="宋体" w:hint="default"/>
          <w:spacing w:val="-4"/>
          <w:sz w:val="18"/>
          <w:szCs w:val="18"/>
        </w:rPr>
        <w:t>kafka</w:t>
        <w:tab/>
      </w:r>
      <w:r>
        <w:rPr>
          <w:rFonts w:ascii="宋体" w:hAnsi="宋体" w:cs="宋体" w:eastAsia="宋体" w:hint="default"/>
          <w:sz w:val="18"/>
          <w:szCs w:val="18"/>
        </w:rPr>
        <w:t>网</w:t>
      </w:r>
      <w:r>
        <w:rPr>
          <w:rFonts w:ascii="宋体" w:hAnsi="宋体" w:cs="宋体" w:eastAsia="宋体" w:hint="default"/>
          <w:w w:val="101"/>
          <w:sz w:val="18"/>
          <w:szCs w:val="18"/>
        </w:rPr>
        <w:t> </w:t>
      </w:r>
      <w:r>
        <w:rPr>
          <w:rFonts w:ascii="宋体" w:hAnsi="宋体" w:cs="宋体" w:eastAsia="宋体" w:hint="default"/>
          <w:sz w:val="18"/>
          <w:szCs w:val="18"/>
        </w:rPr>
        <w:t>类型的数据同步。引入智能辅助编程技术，实现</w:t>
      </w:r>
      <w:r>
        <w:rPr>
          <w:rFonts w:ascii="宋体" w:hAnsi="宋体" w:cs="宋体" w:eastAsia="宋体" w:hint="default"/>
          <w:sz w:val="18"/>
          <w:szCs w:val="18"/>
        </w:rPr>
        <w:t>5+</w:t>
      </w:r>
      <w:r>
        <w:rPr>
          <w:rFonts w:ascii="宋体" w:hAnsi="宋体" w:cs="宋体" w:eastAsia="宋体" w:hint="default"/>
          <w:sz w:val="18"/>
          <w:szCs w:val="18"/>
        </w:rPr>
        <w:t>智能辅助编</w:t>
      </w:r>
      <w:r>
        <w:rPr>
          <w:rFonts w:ascii="宋体" w:hAnsi="宋体" w:cs="宋体" w:eastAsia="宋体" w:hint="default"/>
          <w:w w:val="101"/>
          <w:sz w:val="18"/>
          <w:szCs w:val="18"/>
        </w:rPr>
        <w:t> </w:t>
      </w:r>
      <w:r>
        <w:rPr>
          <w:rFonts w:ascii="宋体" w:hAnsi="宋体" w:cs="宋体" w:eastAsia="宋体" w:hint="default"/>
          <w:sz w:val="18"/>
          <w:szCs w:val="18"/>
        </w:rPr>
        <w:t>程场景应用落地。新增实时</w:t>
      </w:r>
      <w:r>
        <w:rPr>
          <w:rFonts w:ascii="宋体" w:hAnsi="宋体" w:cs="宋体" w:eastAsia="宋体" w:hint="default"/>
          <w:sz w:val="18"/>
          <w:szCs w:val="18"/>
        </w:rPr>
        <w:t>Flink</w:t>
      </w:r>
      <w:r>
        <w:rPr>
          <w:rFonts w:ascii="宋体" w:hAnsi="宋体" w:cs="宋体" w:eastAsia="宋体" w:hint="default"/>
          <w:spacing w:val="4"/>
          <w:sz w:val="18"/>
          <w:szCs w:val="18"/>
        </w:rPr>
        <w:t> </w:t>
      </w:r>
      <w:r>
        <w:rPr>
          <w:rFonts w:ascii="宋体" w:hAnsi="宋体" w:cs="宋体" w:eastAsia="宋体" w:hint="default"/>
          <w:sz w:val="18"/>
          <w:szCs w:val="18"/>
        </w:rPr>
        <w:t>SQL</w:t>
      </w:r>
      <w:r>
        <w:rPr>
          <w:rFonts w:ascii="宋体" w:hAnsi="宋体" w:cs="宋体" w:eastAsia="宋体" w:hint="default"/>
          <w:sz w:val="18"/>
          <w:szCs w:val="18"/>
        </w:rPr>
        <w:t>化开发，研究</w:t>
      </w:r>
      <w:r>
        <w:rPr>
          <w:rFonts w:ascii="宋体" w:hAnsi="宋体" w:cs="宋体" w:eastAsia="宋体" w:hint="default"/>
          <w:sz w:val="18"/>
          <w:szCs w:val="18"/>
        </w:rPr>
        <w:t>Flink</w:t>
      </w:r>
      <w:r>
        <w:rPr>
          <w:rFonts w:ascii="宋体" w:hAnsi="宋体" w:cs="宋体" w:eastAsia="宋体" w:hint="default"/>
          <w:sz w:val="18"/>
          <w:szCs w:val="18"/>
        </w:rPr>
        <w:t>批处</w:t>
      </w:r>
      <w:r>
        <w:rPr>
          <w:rFonts w:ascii="宋体" w:hAnsi="宋体" w:cs="宋体" w:eastAsia="宋体" w:hint="default"/>
          <w:w w:val="101"/>
          <w:sz w:val="18"/>
          <w:szCs w:val="18"/>
        </w:rPr>
        <w:t> </w:t>
      </w:r>
      <w:r>
        <w:rPr>
          <w:rFonts w:ascii="宋体" w:hAnsi="宋体" w:cs="宋体" w:eastAsia="宋体" w:hint="default"/>
          <w:spacing w:val="-4"/>
          <w:sz w:val="18"/>
          <w:szCs w:val="18"/>
        </w:rPr>
        <w:t>理，实现流批一体化开发和运维。新增</w:t>
      </w:r>
      <w:r>
        <w:rPr>
          <w:rFonts w:ascii="宋体" w:hAnsi="宋体" w:cs="宋体" w:eastAsia="宋体" w:hint="default"/>
          <w:spacing w:val="-4"/>
          <w:sz w:val="18"/>
          <w:szCs w:val="18"/>
        </w:rPr>
        <w:t>AI</w:t>
      </w:r>
      <w:r>
        <w:rPr>
          <w:rFonts w:ascii="宋体" w:hAnsi="宋体" w:cs="宋体" w:eastAsia="宋体" w:hint="default"/>
          <w:spacing w:val="-4"/>
          <w:sz w:val="18"/>
          <w:szCs w:val="18"/>
        </w:rPr>
        <w:t>辅助标签自动化分类、</w:t>
      </w:r>
      <w:r>
        <w:rPr>
          <w:rFonts w:ascii="宋体" w:hAnsi="宋体" w:cs="宋体" w:eastAsia="宋体" w:hint="default"/>
          <w:w w:val="101"/>
          <w:sz w:val="18"/>
          <w:szCs w:val="18"/>
        </w:rPr>
        <w:t> </w:t>
      </w:r>
      <w:r>
        <w:rPr>
          <w:rFonts w:ascii="宋体" w:hAnsi="宋体" w:cs="宋体" w:eastAsia="宋体" w:hint="default"/>
          <w:sz w:val="18"/>
          <w:szCs w:val="18"/>
        </w:rPr>
        <w:t>升级元数据采集和属性补全、数据资产智能推荐。引入图数据</w:t>
      </w:r>
      <w:r>
        <w:rPr>
          <w:rFonts w:ascii="宋体" w:hAnsi="宋体" w:cs="宋体" w:eastAsia="宋体" w:hint="default"/>
          <w:w w:val="101"/>
          <w:sz w:val="18"/>
          <w:szCs w:val="18"/>
        </w:rPr>
        <w:t> </w:t>
      </w:r>
      <w:r>
        <w:rPr>
          <w:rFonts w:ascii="宋体" w:hAnsi="宋体" w:cs="宋体" w:eastAsia="宋体" w:hint="default"/>
          <w:sz w:val="18"/>
          <w:szCs w:val="18"/>
        </w:rPr>
        <w:t>库技术，实现血缘关系图谱和全链路业务分析，满足在运维场</w:t>
      </w:r>
    </w:p>
    <w:p>
      <w:pPr>
        <w:spacing w:after="0" w:line="316" w:lineRule="auto"/>
        <w:jc w:val="left"/>
        <w:rPr>
          <w:rFonts w:ascii="宋体" w:hAnsi="宋体" w:cs="宋体" w:eastAsia="宋体" w:hint="default"/>
          <w:sz w:val="18"/>
          <w:szCs w:val="18"/>
        </w:rPr>
        <w:sectPr>
          <w:type w:val="continuous"/>
          <w:pgSz w:w="11910" w:h="16840"/>
          <w:pgMar w:top="1100" w:bottom="1220" w:left="1020" w:right="0"/>
          <w:cols w:num="2" w:equalWidth="0">
            <w:col w:w="1928" w:space="444"/>
            <w:col w:w="8518"/>
          </w:cols>
        </w:sectPr>
      </w:pPr>
    </w:p>
    <w:p>
      <w:pPr>
        <w:spacing w:line="240" w:lineRule="auto" w:before="1"/>
        <w:rPr>
          <w:rFonts w:ascii="Times New Roman" w:hAnsi="Times New Roman" w:cs="Times New Roman" w:eastAsia="Times New Roman" w:hint="default"/>
          <w:sz w:val="29"/>
          <w:szCs w:val="29"/>
        </w:rPr>
      </w:pPr>
    </w:p>
    <w:tbl>
      <w:tblPr>
        <w:tblW w:w="0" w:type="auto"/>
        <w:jc w:val="left"/>
        <w:tblInd w:w="103" w:type="dxa"/>
        <w:tblLayout w:type="fixed"/>
        <w:tblCellMar>
          <w:top w:w="0" w:type="dxa"/>
          <w:left w:w="0" w:type="dxa"/>
          <w:bottom w:w="0" w:type="dxa"/>
          <w:right w:w="0" w:type="dxa"/>
        </w:tblCellMar>
        <w:tblLook w:val="01E0"/>
      </w:tblPr>
      <w:tblGrid>
        <w:gridCol w:w="1988"/>
        <w:gridCol w:w="2411"/>
        <w:gridCol w:w="4936"/>
        <w:gridCol w:w="465"/>
        <w:gridCol w:w="750"/>
      </w:tblGrid>
      <w:tr>
        <w:trPr>
          <w:trHeight w:val="1282" w:hRule="exact"/>
        </w:trPr>
        <w:tc>
          <w:tcPr>
            <w:tcW w:w="1988" w:type="dxa"/>
            <w:tcBorders>
              <w:top w:val="single" w:sz="6" w:space="0" w:color="000000"/>
              <w:left w:val="single" w:sz="6" w:space="0" w:color="000000"/>
              <w:bottom w:val="single" w:sz="6" w:space="0" w:color="000000"/>
              <w:right w:val="single" w:sz="6" w:space="0" w:color="000000"/>
            </w:tcBorders>
          </w:tcPr>
          <w:p>
            <w:pPr/>
          </w:p>
        </w:tc>
        <w:tc>
          <w:tcPr>
            <w:tcW w:w="2411" w:type="dxa"/>
            <w:tcBorders>
              <w:top w:val="single" w:sz="6" w:space="0" w:color="000000"/>
              <w:left w:val="single" w:sz="6" w:space="0" w:color="000000"/>
              <w:bottom w:val="single" w:sz="6" w:space="0" w:color="000000"/>
              <w:right w:val="single" w:sz="6" w:space="0" w:color="000000"/>
            </w:tcBorders>
          </w:tcPr>
          <w:p>
            <w:pPr/>
          </w:p>
        </w:tc>
        <w:tc>
          <w:tcPr>
            <w:tcW w:w="493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0"/>
              <w:jc w:val="both"/>
              <w:rPr>
                <w:rFonts w:ascii="宋体" w:hAnsi="宋体" w:cs="宋体" w:eastAsia="宋体" w:hint="default"/>
                <w:sz w:val="18"/>
                <w:szCs w:val="18"/>
              </w:rPr>
            </w:pPr>
            <w:r>
              <w:rPr>
                <w:rFonts w:ascii="宋体" w:hAnsi="宋体" w:cs="宋体" w:eastAsia="宋体" w:hint="default"/>
                <w:spacing w:val="-4"/>
                <w:sz w:val="18"/>
                <w:szCs w:val="18"/>
              </w:rPr>
              <w:t>景中使用。实现规则化管理及模板化应用，数据质量与</w:t>
            </w:r>
            <w:r>
              <w:rPr>
                <w:rFonts w:ascii="宋体" w:hAnsi="宋体" w:cs="宋体" w:eastAsia="宋体" w:hint="default"/>
                <w:spacing w:val="-4"/>
                <w:sz w:val="18"/>
                <w:szCs w:val="18"/>
              </w:rPr>
              <w:t>ETL</w:t>
            </w:r>
            <w:r>
              <w:rPr>
                <w:rFonts w:ascii="宋体" w:hAnsi="宋体" w:cs="宋体" w:eastAsia="宋体" w:hint="default"/>
                <w:spacing w:val="-4"/>
                <w:sz w:val="18"/>
                <w:szCs w:val="18"/>
              </w:rPr>
              <w:t>调度</w:t>
            </w:r>
            <w:r>
              <w:rPr>
                <w:rFonts w:ascii="宋体" w:hAnsi="宋体" w:cs="宋体" w:eastAsia="宋体" w:hint="default"/>
                <w:spacing w:val="-17"/>
                <w:sz w:val="18"/>
                <w:szCs w:val="18"/>
              </w:rPr>
              <w:t> </w:t>
            </w:r>
            <w:r>
              <w:rPr>
                <w:rFonts w:ascii="宋体" w:hAnsi="宋体" w:cs="宋体" w:eastAsia="宋体" w:hint="default"/>
                <w:sz w:val="18"/>
                <w:szCs w:val="18"/>
              </w:rPr>
              <w:t>及数据管理模块串通。主流大数据生态体系组件和监控组件、</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多物理</w:t>
            </w:r>
            <w:r>
              <w:rPr>
                <w:rFonts w:ascii="宋体" w:hAnsi="宋体" w:cs="宋体" w:eastAsia="宋体" w:hint="default"/>
                <w:sz w:val="18"/>
                <w:szCs w:val="18"/>
              </w:rPr>
              <w:t>Hadoop</w:t>
            </w:r>
            <w:r>
              <w:rPr>
                <w:rFonts w:ascii="宋体" w:hAnsi="宋体" w:cs="宋体" w:eastAsia="宋体" w:hint="default"/>
                <w:sz w:val="18"/>
                <w:szCs w:val="18"/>
              </w:rPr>
              <w:t>联邦管理、产品工具自动化部署持续集成、跨数</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3"/>
                <w:sz w:val="18"/>
                <w:szCs w:val="18"/>
              </w:rPr>
              <w:t>据库的联邦查询等研究。</w:t>
            </w:r>
          </w:p>
        </w:tc>
        <w:tc>
          <w:tcPr>
            <w:tcW w:w="1215" w:type="dxa"/>
            <w:gridSpan w:val="2"/>
            <w:tcBorders>
              <w:top w:val="single" w:sz="6" w:space="0" w:color="000000"/>
              <w:left w:val="single" w:sz="6" w:space="0" w:color="000000"/>
              <w:bottom w:val="single" w:sz="6" w:space="0" w:color="000000"/>
              <w:right w:val="single" w:sz="6" w:space="0" w:color="000000"/>
            </w:tcBorders>
          </w:tcPr>
          <w:p>
            <w:pPr/>
          </w:p>
        </w:tc>
      </w:tr>
      <w:tr>
        <w:trPr>
          <w:trHeight w:val="3159"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61"/>
              <w:jc w:val="left"/>
              <w:rPr>
                <w:rFonts w:ascii="宋体" w:hAnsi="宋体" w:cs="宋体" w:eastAsia="宋体" w:hint="default"/>
                <w:sz w:val="18"/>
                <w:szCs w:val="18"/>
              </w:rPr>
            </w:pPr>
            <w:r>
              <w:rPr>
                <w:rFonts w:ascii="宋体" w:hAnsi="宋体" w:cs="宋体" w:eastAsia="宋体" w:hint="default"/>
                <w:spacing w:val="-2"/>
                <w:sz w:val="18"/>
                <w:szCs w:val="18"/>
              </w:rPr>
              <w:t>大数据人工智能实时决</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策关键技术研究</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开发、测试、试运行</w:t>
            </w:r>
          </w:p>
        </w:tc>
        <w:tc>
          <w:tcPr>
            <w:tcW w:w="49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both"/>
              <w:rPr>
                <w:rFonts w:ascii="宋体" w:hAnsi="宋体" w:cs="宋体" w:eastAsia="宋体" w:hint="default"/>
                <w:sz w:val="18"/>
                <w:szCs w:val="18"/>
              </w:rPr>
            </w:pPr>
            <w:r>
              <w:rPr>
                <w:rFonts w:ascii="宋体" w:hAnsi="宋体" w:cs="宋体" w:eastAsia="宋体" w:hint="default"/>
                <w:spacing w:val="5"/>
                <w:sz w:val="18"/>
                <w:szCs w:val="18"/>
              </w:rPr>
              <w:t>开发出云计算生态下大数据人工智能实时决策自动化管理系</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统，主要技术指标达到国内领先水平，提供个人移动金融业务</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能力管控的一体化平台，平台基于数据中台的用户数据，整合</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用户行为数据，实现用户数据的统一视图和分析，深度识别和</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挖掘用户需求、用户价值和风险贡献价值。同时，平台对接权</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7"/>
                <w:w w:val="101"/>
                <w:sz w:val="18"/>
                <w:szCs w:val="18"/>
              </w:rPr>
              <w:t>益管理系统（新建或在渠道端简易实现）、统一消息分发平台以</w:t>
            </w:r>
            <w:r>
              <w:rPr>
                <w:rFonts w:ascii="宋体" w:hAnsi="宋体" w:cs="宋体" w:eastAsia="宋体" w:hint="default"/>
                <w:w w:val="101"/>
                <w:sz w:val="18"/>
                <w:szCs w:val="18"/>
              </w:rPr>
              <w:t> </w:t>
            </w:r>
            <w:r>
              <w:rPr>
                <w:rFonts w:ascii="宋体" w:hAnsi="宋体" w:cs="宋体" w:eastAsia="宋体" w:hint="default"/>
                <w:sz w:val="18"/>
                <w:szCs w:val="18"/>
              </w:rPr>
              <w:t>及手机银行、个人网银、微信银行等渠道，构建集业务活动设</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计、部署、运行、监控、效果评估全流程的管理，提升业务活</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4"/>
                <w:sz w:val="18"/>
                <w:szCs w:val="18"/>
              </w:rPr>
              <w:t>动的部署速度、决策自动化和快速精准触达效果，实现大数据</w:t>
            </w:r>
            <w:r>
              <w:rPr>
                <w:rFonts w:ascii="宋体" w:hAnsi="宋体" w:cs="宋体" w:eastAsia="宋体" w:hint="default"/>
                <w:spacing w:val="-4"/>
                <w:sz w:val="18"/>
                <w:szCs w:val="18"/>
              </w:rPr>
              <w:t>+</w:t>
            </w:r>
            <w:r>
              <w:rPr>
                <w:rFonts w:ascii="宋体" w:hAnsi="宋体" w:cs="宋体" w:eastAsia="宋体" w:hint="default"/>
                <w:spacing w:val="-16"/>
                <w:sz w:val="18"/>
                <w:szCs w:val="18"/>
              </w:rPr>
              <w:t> </w:t>
            </w:r>
            <w:r>
              <w:rPr>
                <w:rFonts w:ascii="宋体" w:hAnsi="宋体" w:cs="宋体" w:eastAsia="宋体" w:hint="default"/>
                <w:spacing w:val="-3"/>
                <w:sz w:val="18"/>
                <w:szCs w:val="18"/>
              </w:rPr>
              <w:t>云计算</w:t>
            </w:r>
            <w:r>
              <w:rPr>
                <w:rFonts w:ascii="宋体" w:hAnsi="宋体" w:cs="宋体" w:eastAsia="宋体" w:hint="default"/>
                <w:spacing w:val="-3"/>
                <w:sz w:val="18"/>
                <w:szCs w:val="18"/>
              </w:rPr>
              <w:t>+AI+</w:t>
            </w:r>
            <w:r>
              <w:rPr>
                <w:rFonts w:ascii="宋体" w:hAnsi="宋体" w:cs="宋体" w:eastAsia="宋体" w:hint="default"/>
                <w:spacing w:val="-3"/>
                <w:sz w:val="18"/>
                <w:szCs w:val="18"/>
              </w:rPr>
              <w:t>实时决策自动化体系的优化升级。</w:t>
            </w:r>
          </w:p>
        </w:tc>
        <w:tc>
          <w:tcPr>
            <w:tcW w:w="121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5"/>
              <w:jc w:val="left"/>
              <w:rPr>
                <w:rFonts w:ascii="宋体" w:hAnsi="宋体" w:cs="宋体" w:eastAsia="宋体" w:hint="default"/>
                <w:sz w:val="18"/>
                <w:szCs w:val="18"/>
              </w:rPr>
            </w:pPr>
            <w:r>
              <w:rPr>
                <w:rFonts w:ascii="宋体" w:hAnsi="宋体" w:cs="宋体" w:eastAsia="宋体" w:hint="default"/>
                <w:w w:val="101"/>
                <w:sz w:val="18"/>
                <w:szCs w:val="18"/>
              </w:rPr>
              <w:t>金融</w:t>
            </w:r>
            <w:r>
              <w:rPr>
                <w:rFonts w:ascii="宋体" w:hAnsi="宋体" w:cs="宋体" w:eastAsia="宋体" w:hint="default"/>
                <w:spacing w:val="-73"/>
                <w:w w:val="101"/>
                <w:sz w:val="18"/>
                <w:szCs w:val="18"/>
              </w:rPr>
              <w:t>、</w:t>
            </w:r>
            <w:r>
              <w:rPr>
                <w:rFonts w:ascii="宋体" w:hAnsi="宋体" w:cs="宋体" w:eastAsia="宋体" w:hint="default"/>
                <w:w w:val="101"/>
                <w:sz w:val="18"/>
                <w:szCs w:val="18"/>
              </w:rPr>
              <w:t>人</w:t>
            </w:r>
            <w:r>
              <w:rPr>
                <w:rFonts w:ascii="宋体" w:hAnsi="宋体" w:cs="宋体" w:eastAsia="宋体" w:hint="default"/>
                <w:spacing w:val="-5"/>
                <w:w w:val="101"/>
                <w:sz w:val="18"/>
                <w:szCs w:val="18"/>
              </w:rPr>
              <w:t>工</w:t>
            </w:r>
            <w:r>
              <w:rPr>
                <w:rFonts w:ascii="宋体" w:hAnsi="宋体" w:cs="宋体" w:eastAsia="宋体" w:hint="default"/>
                <w:w w:val="101"/>
                <w:sz w:val="18"/>
                <w:szCs w:val="18"/>
              </w:rPr>
              <w:t>智能</w:t>
            </w:r>
            <w:r>
              <w:rPr>
                <w:rFonts w:ascii="宋体" w:hAnsi="宋体" w:cs="宋体" w:eastAsia="宋体" w:hint="default"/>
                <w:sz w:val="18"/>
                <w:szCs w:val="18"/>
              </w:rPr>
            </w:r>
          </w:p>
        </w:tc>
      </w:tr>
      <w:tr>
        <w:trPr>
          <w:trHeight w:val="1594"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61"/>
              <w:jc w:val="left"/>
              <w:rPr>
                <w:rFonts w:ascii="宋体" w:hAnsi="宋体" w:cs="宋体" w:eastAsia="宋体" w:hint="default"/>
                <w:sz w:val="18"/>
                <w:szCs w:val="18"/>
              </w:rPr>
            </w:pPr>
            <w:r>
              <w:rPr>
                <w:rFonts w:ascii="宋体" w:hAnsi="宋体" w:cs="宋体" w:eastAsia="宋体" w:hint="default"/>
                <w:spacing w:val="-2"/>
                <w:sz w:val="18"/>
                <w:szCs w:val="18"/>
              </w:rPr>
              <w:t>直销银行系统的关键技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术研发</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开发、测试、试运行</w:t>
            </w:r>
          </w:p>
        </w:tc>
        <w:tc>
          <w:tcPr>
            <w:tcW w:w="49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pacing w:val="-4"/>
                <w:sz w:val="18"/>
                <w:szCs w:val="18"/>
              </w:rPr>
              <w:t>开发出新一代直销银行系统，主要技术指标达到国内领先水平</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z w:val="18"/>
                <w:szCs w:val="18"/>
              </w:rPr>
              <w:t>提供适用于金融行业的业务引擎和高性能高可用的对外服务，</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使银行金融产品能够快速接入使用，快速个性化开发和拓展，</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建立差异化产品体系，实现金融产品创新，打造有效兼顾易用</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3"/>
                <w:sz w:val="18"/>
                <w:szCs w:val="18"/>
              </w:rPr>
              <w:t>性、安全性、创新性、可持续性的直销银行系统。</w:t>
            </w:r>
          </w:p>
        </w:tc>
        <w:tc>
          <w:tcPr>
            <w:tcW w:w="4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107"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7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382" w:right="-5"/>
              <w:jc w:val="left"/>
              <w:rPr>
                <w:rFonts w:ascii="宋体" w:hAnsi="宋体" w:cs="宋体" w:eastAsia="宋体" w:hint="default"/>
                <w:sz w:val="18"/>
                <w:szCs w:val="18"/>
              </w:rPr>
            </w:pPr>
            <w:r>
              <w:rPr>
                <w:rFonts w:ascii="宋体" w:hAnsi="宋体" w:cs="宋体" w:eastAsia="宋体" w:hint="default"/>
                <w:sz w:val="18"/>
                <w:szCs w:val="18"/>
              </w:rPr>
              <w:t>金融</w:t>
            </w:r>
          </w:p>
        </w:tc>
      </w:tr>
      <w:tr>
        <w:trPr>
          <w:trHeight w:val="970"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61"/>
              <w:jc w:val="left"/>
              <w:rPr>
                <w:rFonts w:ascii="宋体" w:hAnsi="宋体" w:cs="宋体" w:eastAsia="宋体" w:hint="default"/>
                <w:sz w:val="18"/>
                <w:szCs w:val="18"/>
              </w:rPr>
            </w:pPr>
            <w:r>
              <w:rPr>
                <w:rFonts w:ascii="宋体" w:hAnsi="宋体" w:cs="宋体" w:eastAsia="宋体" w:hint="default"/>
                <w:spacing w:val="-2"/>
                <w:sz w:val="18"/>
                <w:szCs w:val="18"/>
              </w:rPr>
              <w:t>行业互联网电子超市标</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准版产品研发项目</w:t>
            </w:r>
          </w:p>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2019</w:t>
            </w:r>
            <w:r>
              <w:rPr>
                <w:rFonts w:ascii="宋体" w:hAnsi="宋体" w:cs="宋体" w:eastAsia="宋体" w:hint="default"/>
                <w:sz w:val="18"/>
                <w:szCs w:val="18"/>
              </w:rPr>
              <w:t>】</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开发、测试、试运行</w:t>
            </w:r>
          </w:p>
        </w:tc>
        <w:tc>
          <w:tcPr>
            <w:tcW w:w="49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both"/>
              <w:rPr>
                <w:rFonts w:ascii="宋体" w:hAnsi="宋体" w:cs="宋体" w:eastAsia="宋体" w:hint="default"/>
                <w:sz w:val="18"/>
                <w:szCs w:val="18"/>
              </w:rPr>
            </w:pPr>
            <w:r>
              <w:rPr>
                <w:rFonts w:ascii="宋体" w:hAnsi="宋体" w:cs="宋体" w:eastAsia="宋体" w:hint="default"/>
                <w:sz w:val="18"/>
                <w:szCs w:val="18"/>
              </w:rPr>
              <w:t>本项目通过航天新商务系统研发和实施运维工作，积累系统项</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目实施和运维经验，熟悉各子系统模型和功能，熟悉新增加模</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3"/>
                <w:sz w:val="18"/>
                <w:szCs w:val="18"/>
              </w:rPr>
              <w:t>块的功能，培养人力资源。</w:t>
            </w:r>
          </w:p>
        </w:tc>
        <w:tc>
          <w:tcPr>
            <w:tcW w:w="121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62" w:right="-5"/>
              <w:jc w:val="left"/>
              <w:rPr>
                <w:rFonts w:ascii="宋体" w:hAnsi="宋体" w:cs="宋体" w:eastAsia="宋体" w:hint="default"/>
                <w:sz w:val="18"/>
                <w:szCs w:val="18"/>
              </w:rPr>
            </w:pPr>
            <w:r>
              <w:rPr>
                <w:rFonts w:ascii="宋体" w:hAnsi="宋体" w:cs="宋体" w:eastAsia="宋体" w:hint="default"/>
                <w:sz w:val="18"/>
                <w:szCs w:val="18"/>
              </w:rPr>
              <w:t>互联网</w:t>
            </w:r>
          </w:p>
        </w:tc>
      </w:tr>
      <w:tr>
        <w:trPr>
          <w:trHeight w:val="2843"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5"/>
              <w:jc w:val="left"/>
              <w:rPr>
                <w:rFonts w:ascii="宋体" w:hAnsi="宋体" w:cs="宋体" w:eastAsia="宋体" w:hint="default"/>
                <w:sz w:val="18"/>
                <w:szCs w:val="18"/>
              </w:rPr>
            </w:pPr>
            <w:r>
              <w:rPr>
                <w:rFonts w:ascii="宋体" w:hAnsi="宋体" w:cs="宋体" w:eastAsia="宋体" w:hint="default"/>
                <w:sz w:val="18"/>
                <w:szCs w:val="18"/>
              </w:rPr>
              <w:t>产品技术服务线研发体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系产品研发项目【</w:t>
            </w:r>
            <w:r>
              <w:rPr>
                <w:rFonts w:ascii="宋体" w:hAnsi="宋体" w:cs="宋体" w:eastAsia="宋体" w:hint="default"/>
                <w:spacing w:val="-2"/>
                <w:sz w:val="18"/>
                <w:szCs w:val="18"/>
              </w:rPr>
              <w:t>2019</w:t>
            </w:r>
            <w:r>
              <w:rPr>
                <w:rFonts w:ascii="宋体" w:hAnsi="宋体" w:cs="宋体" w:eastAsia="宋体" w:hint="default"/>
                <w:spacing w:val="-2"/>
                <w:sz w:val="18"/>
                <w:szCs w:val="18"/>
              </w:rPr>
              <w:t>】</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开发、测试、试运行</w:t>
            </w:r>
          </w:p>
        </w:tc>
        <w:tc>
          <w:tcPr>
            <w:tcW w:w="493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1"/>
              <w:jc w:val="both"/>
              <w:rPr>
                <w:rFonts w:ascii="宋体" w:hAnsi="宋体" w:cs="宋体" w:eastAsia="宋体" w:hint="default"/>
                <w:sz w:val="18"/>
                <w:szCs w:val="18"/>
              </w:rPr>
            </w:pPr>
            <w:r>
              <w:rPr>
                <w:rFonts w:ascii="宋体" w:hAnsi="宋体" w:cs="宋体" w:eastAsia="宋体" w:hint="default"/>
                <w:sz w:val="18"/>
                <w:szCs w:val="18"/>
              </w:rPr>
              <w:t>本项目研发体系是公司项目研发的基础需求，是指导各项目实</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施的具体操作办法、工具以及制度。统一研发体系有利于公司</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各项目降本提效，有利于项目高峰期人员借调以及人员快速上</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手。研发体系包含多个模块，主要为：规范体系、研发工具和</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运维工具。规范体系中定义项目中需求的各个角色，描述各角</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色分工以及工作流程，还将描述项目各阶段交付物编制标准，</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模板等内容。研发工具包含项目管理工具，共享知识工具，代</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码管理仓库，持续集成工具，配置中心等内容。运维工具包含</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3"/>
                <w:sz w:val="18"/>
                <w:szCs w:val="18"/>
              </w:rPr>
              <w:t>资源管控、监控平台、告警平台、业务运营报表等工具。</w:t>
            </w:r>
          </w:p>
        </w:tc>
        <w:tc>
          <w:tcPr>
            <w:tcW w:w="121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62" w:right="-5"/>
              <w:jc w:val="left"/>
              <w:rPr>
                <w:rFonts w:ascii="宋体" w:hAnsi="宋体" w:cs="宋体" w:eastAsia="宋体" w:hint="default"/>
                <w:sz w:val="18"/>
                <w:szCs w:val="18"/>
              </w:rPr>
            </w:pPr>
            <w:r>
              <w:rPr>
                <w:rFonts w:ascii="宋体" w:hAnsi="宋体" w:cs="宋体" w:eastAsia="宋体" w:hint="default"/>
                <w:sz w:val="18"/>
                <w:szCs w:val="18"/>
              </w:rPr>
              <w:t>互联网</w:t>
            </w:r>
          </w:p>
        </w:tc>
      </w:tr>
      <w:tr>
        <w:trPr>
          <w:trHeight w:val="2535"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智能助手系统研发项目</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开发、测试、试运行</w:t>
            </w:r>
          </w:p>
        </w:tc>
        <w:tc>
          <w:tcPr>
            <w:tcW w:w="49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4" w:right="1"/>
              <w:jc w:val="both"/>
              <w:rPr>
                <w:rFonts w:ascii="宋体" w:hAnsi="宋体" w:cs="宋体" w:eastAsia="宋体" w:hint="default"/>
                <w:sz w:val="18"/>
                <w:szCs w:val="18"/>
              </w:rPr>
            </w:pPr>
            <w:r>
              <w:rPr>
                <w:rFonts w:ascii="宋体" w:hAnsi="宋体" w:cs="宋体" w:eastAsia="宋体" w:hint="default"/>
                <w:sz w:val="18"/>
                <w:szCs w:val="18"/>
              </w:rPr>
              <w:t>本项目通过集成数据挖掘、搜索、语言转文本、自然语音处理</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等前沿技术，实现智能工作助手，提供日常信息查询和故障协</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同处置等四大功能，打造一套服务于运检指挥中心工作任务的</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智能化服务体系。并通过项目的实施，沉淀出一套公司自己的</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对话机器人系统，利于后续相似项目的的复制。通过项目的实</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施培养出对话机器人产品的研发人员，以及可以进行模型调优</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的研发人员。</w:t>
            </w:r>
          </w:p>
        </w:tc>
        <w:tc>
          <w:tcPr>
            <w:tcW w:w="121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80" w:right="-5"/>
              <w:jc w:val="left"/>
              <w:rPr>
                <w:rFonts w:ascii="宋体" w:hAnsi="宋体" w:cs="宋体" w:eastAsia="宋体" w:hint="default"/>
                <w:sz w:val="18"/>
                <w:szCs w:val="18"/>
              </w:rPr>
            </w:pPr>
            <w:r>
              <w:rPr>
                <w:rFonts w:ascii="宋体" w:hAnsi="宋体" w:cs="宋体" w:eastAsia="宋体" w:hint="default"/>
                <w:sz w:val="18"/>
                <w:szCs w:val="18"/>
              </w:rPr>
              <w:t>人工智能</w:t>
            </w:r>
          </w:p>
        </w:tc>
      </w:tr>
      <w:tr>
        <w:trPr>
          <w:trHeight w:val="1282" w:hRule="exact"/>
        </w:trPr>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161"/>
              <w:jc w:val="left"/>
              <w:rPr>
                <w:rFonts w:ascii="宋体" w:hAnsi="宋体" w:cs="宋体" w:eastAsia="宋体" w:hint="default"/>
                <w:sz w:val="18"/>
                <w:szCs w:val="18"/>
              </w:rPr>
            </w:pPr>
            <w:r>
              <w:rPr>
                <w:rFonts w:ascii="宋体" w:hAnsi="宋体" w:cs="宋体" w:eastAsia="宋体" w:hint="default"/>
                <w:spacing w:val="-2"/>
                <w:sz w:val="18"/>
                <w:szCs w:val="18"/>
              </w:rPr>
              <w:t>基于微服务技术框架的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实时服务推送平台开发</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开发、测试、试运行</w:t>
            </w:r>
          </w:p>
        </w:tc>
        <w:tc>
          <w:tcPr>
            <w:tcW w:w="493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38"/>
              <w:jc w:val="both"/>
              <w:rPr>
                <w:rFonts w:ascii="宋体" w:hAnsi="宋体" w:cs="宋体" w:eastAsia="宋体" w:hint="default"/>
                <w:sz w:val="18"/>
                <w:szCs w:val="18"/>
              </w:rPr>
            </w:pPr>
            <w:r>
              <w:rPr>
                <w:rFonts w:ascii="宋体" w:hAnsi="宋体" w:cs="宋体" w:eastAsia="宋体" w:hint="default"/>
                <w:spacing w:val="-4"/>
                <w:sz w:val="18"/>
                <w:szCs w:val="18"/>
              </w:rPr>
              <w:t>建设一个依托于</w:t>
            </w:r>
            <w:r>
              <w:rPr>
                <w:rFonts w:ascii="宋体" w:hAnsi="宋体" w:cs="宋体" w:eastAsia="宋体" w:hint="default"/>
                <w:spacing w:val="-4"/>
                <w:sz w:val="18"/>
                <w:szCs w:val="18"/>
              </w:rPr>
              <w:t>CBSS</w:t>
            </w:r>
            <w:r>
              <w:rPr>
                <w:rFonts w:ascii="宋体" w:hAnsi="宋体" w:cs="宋体" w:eastAsia="宋体" w:hint="default"/>
                <w:spacing w:val="-4"/>
                <w:sz w:val="18"/>
                <w:szCs w:val="18"/>
              </w:rPr>
              <w:t>核心能力，以广东、广西为试点服务于</w:t>
            </w:r>
            <w:r>
              <w:rPr>
                <w:rFonts w:ascii="宋体" w:hAnsi="宋体" w:cs="宋体" w:eastAsia="宋体" w:hint="default"/>
                <w:spacing w:val="-4"/>
                <w:sz w:val="18"/>
                <w:szCs w:val="18"/>
              </w:rPr>
              <w:t>OCS</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z w:val="18"/>
                <w:szCs w:val="18"/>
              </w:rPr>
              <w:t>迁转用户，实现实时服务推送的营销服务平台，拉齐</w:t>
            </w:r>
            <w:r>
              <w:rPr>
                <w:rFonts w:ascii="宋体" w:hAnsi="宋体" w:cs="宋体" w:eastAsia="宋体" w:hint="default"/>
                <w:sz w:val="18"/>
                <w:szCs w:val="18"/>
              </w:rPr>
              <w:t>CBSS</w:t>
            </w:r>
            <w:r>
              <w:rPr>
                <w:rFonts w:ascii="宋体" w:hAnsi="宋体" w:cs="宋体" w:eastAsia="宋体" w:hint="default"/>
                <w:sz w:val="18"/>
                <w:szCs w:val="18"/>
              </w:rPr>
              <w:t>较省</w:t>
            </w:r>
            <w:r>
              <w:rPr>
                <w:rFonts w:ascii="宋体" w:hAnsi="宋体" w:cs="宋体" w:eastAsia="宋体" w:hint="default"/>
                <w:spacing w:val="-41"/>
                <w:sz w:val="18"/>
                <w:szCs w:val="18"/>
              </w:rPr>
              <w:t> </w:t>
            </w:r>
            <w:r>
              <w:rPr>
                <w:rFonts w:ascii="宋体" w:hAnsi="宋体" w:cs="宋体" w:eastAsia="宋体" w:hint="default"/>
                <w:spacing w:val="-3"/>
                <w:sz w:val="18"/>
                <w:szCs w:val="18"/>
              </w:rPr>
              <w:t>份</w:t>
            </w:r>
            <w:r>
              <w:rPr>
                <w:rFonts w:ascii="宋体" w:hAnsi="宋体" w:cs="宋体" w:eastAsia="宋体" w:hint="default"/>
                <w:spacing w:val="-3"/>
                <w:sz w:val="18"/>
                <w:szCs w:val="18"/>
              </w:rPr>
              <w:t>OCS</w:t>
            </w:r>
            <w:r>
              <w:rPr>
                <w:rFonts w:ascii="宋体" w:hAnsi="宋体" w:cs="宋体" w:eastAsia="宋体" w:hint="default"/>
                <w:spacing w:val="-3"/>
                <w:sz w:val="18"/>
                <w:szCs w:val="18"/>
              </w:rPr>
              <w:t>不足能力，推出多种场景营销服务，提高用户使用感知，</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增加用户黏度，大大提高对存量用户的维系力度</w:t>
            </w:r>
          </w:p>
        </w:tc>
        <w:tc>
          <w:tcPr>
            <w:tcW w:w="121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hAnsi="宋体" w:cs="宋体" w:eastAsia="宋体" w:hint="default"/>
                <w:sz w:val="18"/>
                <w:szCs w:val="18"/>
              </w:rPr>
              <w:t>电信</w:t>
            </w:r>
          </w:p>
        </w:tc>
      </w:tr>
    </w:tbl>
    <w:p>
      <w:pPr>
        <w:spacing w:after="0" w:line="240" w:lineRule="auto"/>
        <w:jc w:val="right"/>
        <w:rPr>
          <w:rFonts w:ascii="宋体" w:hAnsi="宋体" w:cs="宋体" w:eastAsia="宋体" w:hint="default"/>
          <w:sz w:val="18"/>
          <w:szCs w:val="18"/>
        </w:rPr>
        <w:sectPr>
          <w:pgSz w:w="11910" w:h="16840"/>
          <w:pgMar w:header="906" w:footer="1022" w:top="1100" w:bottom="1220" w:left="1020" w:right="0"/>
        </w:sectPr>
      </w:pPr>
    </w:p>
    <w:p>
      <w:pPr>
        <w:spacing w:line="240" w:lineRule="auto" w:before="0"/>
        <w:rPr>
          <w:rFonts w:ascii="Times New Roman" w:hAnsi="Times New Roman" w:cs="Times New Roman" w:eastAsia="Times New Roman" w:hint="default"/>
          <w:sz w:val="28"/>
          <w:szCs w:val="28"/>
        </w:rPr>
      </w:pPr>
    </w:p>
    <w:p>
      <w:pPr>
        <w:spacing w:after="0" w:line="240" w:lineRule="auto"/>
        <w:rPr>
          <w:rFonts w:ascii="Times New Roman" w:hAnsi="Times New Roman" w:cs="Times New Roman" w:eastAsia="Times New Roman" w:hint="default"/>
          <w:sz w:val="28"/>
          <w:szCs w:val="28"/>
        </w:rPr>
        <w:sectPr>
          <w:pgSz w:w="11910" w:h="16840"/>
          <w:pgMar w:header="906" w:footer="1022" w:top="1100" w:bottom="1220" w:left="1020" w:right="0"/>
        </w:sectPr>
      </w:pPr>
    </w:p>
    <w:p>
      <w:pPr>
        <w:spacing w:line="316" w:lineRule="auto" w:before="46"/>
        <w:ind w:left="122" w:right="0" w:firstLine="0"/>
        <w:jc w:val="left"/>
        <w:rPr>
          <w:rFonts w:ascii="宋体" w:hAnsi="宋体" w:cs="宋体" w:eastAsia="宋体" w:hint="default"/>
          <w:sz w:val="18"/>
          <w:szCs w:val="18"/>
        </w:rPr>
      </w:pPr>
      <w:r>
        <w:rPr>
          <w:rFonts w:ascii="宋体" w:hAnsi="宋体" w:cs="宋体" w:eastAsia="宋体" w:hint="default"/>
          <w:spacing w:val="-2"/>
          <w:sz w:val="18"/>
          <w:szCs w:val="18"/>
        </w:rPr>
        <w:t>基于计算机视觉分析技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术的智能视频监控开发</w:t>
      </w:r>
    </w:p>
    <w:p>
      <w:pPr>
        <w:tabs>
          <w:tab w:pos="2533" w:val="left" w:leader="none"/>
          <w:tab w:pos="8305" w:val="left" w:leader="none"/>
        </w:tabs>
        <w:spacing w:line="316" w:lineRule="auto" w:before="46"/>
        <w:ind w:left="2533" w:right="224" w:hanging="2411"/>
        <w:jc w:val="left"/>
        <w:rPr>
          <w:rFonts w:ascii="宋体" w:hAnsi="宋体" w:cs="宋体" w:eastAsia="宋体" w:hint="default"/>
          <w:sz w:val="18"/>
          <w:szCs w:val="18"/>
        </w:rPr>
      </w:pPr>
      <w:r>
        <w:rPr>
          <w:spacing w:val="-3"/>
        </w:rPr>
        <w:br w:type="column"/>
      </w:r>
      <w:r>
        <w:rPr>
          <w:rFonts w:ascii="宋体" w:hAnsi="宋体" w:cs="宋体" w:eastAsia="宋体" w:hint="default"/>
          <w:spacing w:val="-3"/>
          <w:sz w:val="18"/>
          <w:szCs w:val="18"/>
        </w:rPr>
        <w:t>开发、测试、试运行</w:t>
        <w:tab/>
      </w:r>
      <w:r>
        <w:rPr>
          <w:rFonts w:ascii="宋体" w:hAnsi="宋体" w:cs="宋体" w:eastAsia="宋体" w:hint="default"/>
          <w:spacing w:val="-1"/>
          <w:sz w:val="18"/>
          <w:szCs w:val="18"/>
        </w:rPr>
        <w:t>计算机视觉，是人工智能研究的分支之一，它在图像及图像描</w:t>
        <w:tab/>
      </w:r>
      <w:r>
        <w:rPr>
          <w:rFonts w:ascii="宋体" w:hAnsi="宋体" w:cs="宋体" w:eastAsia="宋体" w:hint="default"/>
          <w:sz w:val="18"/>
          <w:szCs w:val="18"/>
        </w:rPr>
        <w:t>企业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述之间建立映射关系，从而通过数字图像处理和分析来理解视</w:t>
      </w:r>
      <w:r>
        <w:rPr>
          <w:rFonts w:ascii="宋体" w:hAnsi="宋体" w:cs="宋体" w:eastAsia="宋体" w:hint="default"/>
          <w:w w:val="101"/>
          <w:sz w:val="18"/>
          <w:szCs w:val="18"/>
        </w:rPr>
        <w:t> </w:t>
      </w:r>
      <w:r>
        <w:rPr>
          <w:rFonts w:ascii="宋体" w:hAnsi="宋体" w:cs="宋体" w:eastAsia="宋体" w:hint="default"/>
          <w:sz w:val="18"/>
          <w:szCs w:val="18"/>
        </w:rPr>
        <w:t>频画面中的内容。它使计算机得以从纷繁的视频图像中分辩、</w:t>
      </w:r>
      <w:r>
        <w:rPr>
          <w:rFonts w:ascii="宋体" w:hAnsi="宋体" w:cs="宋体" w:eastAsia="宋体" w:hint="default"/>
          <w:w w:val="101"/>
          <w:sz w:val="18"/>
          <w:szCs w:val="18"/>
        </w:rPr>
        <w:t> </w:t>
      </w:r>
      <w:r>
        <w:rPr>
          <w:rFonts w:ascii="宋体" w:hAnsi="宋体" w:cs="宋体" w:eastAsia="宋体" w:hint="default"/>
          <w:sz w:val="18"/>
          <w:szCs w:val="18"/>
        </w:rPr>
        <w:t>识别出关键目标。应用于安防视频监控系统后，其可借助计算</w:t>
      </w:r>
      <w:r>
        <w:rPr>
          <w:rFonts w:ascii="宋体" w:hAnsi="宋体" w:cs="宋体" w:eastAsia="宋体" w:hint="default"/>
          <w:w w:val="101"/>
          <w:sz w:val="18"/>
          <w:szCs w:val="18"/>
        </w:rPr>
        <w:t> </w:t>
      </w:r>
      <w:r>
        <w:rPr>
          <w:rFonts w:ascii="宋体" w:hAnsi="宋体" w:cs="宋体" w:eastAsia="宋体" w:hint="default"/>
          <w:sz w:val="18"/>
          <w:szCs w:val="18"/>
        </w:rPr>
        <w:t>机强大的数据处理能力过滤掉图像中无用的或干扰信息，并自</w:t>
      </w:r>
      <w:r>
        <w:rPr>
          <w:rFonts w:ascii="宋体" w:hAnsi="宋体" w:cs="宋体" w:eastAsia="宋体" w:hint="default"/>
          <w:w w:val="101"/>
          <w:sz w:val="18"/>
          <w:szCs w:val="18"/>
        </w:rPr>
        <w:t> </w:t>
      </w:r>
      <w:r>
        <w:rPr>
          <w:rFonts w:ascii="宋体" w:hAnsi="宋体" w:cs="宋体" w:eastAsia="宋体" w:hint="default"/>
          <w:sz w:val="18"/>
          <w:szCs w:val="18"/>
        </w:rPr>
        <w:t>动分析、抽取视频源中关键的有用信息，使监控系统不但有眼</w:t>
      </w:r>
      <w:r>
        <w:rPr>
          <w:rFonts w:ascii="宋体" w:hAnsi="宋体" w:cs="宋体" w:eastAsia="宋体" w:hint="default"/>
          <w:w w:val="101"/>
          <w:sz w:val="18"/>
          <w:szCs w:val="18"/>
        </w:rPr>
        <w:t> </w:t>
      </w:r>
      <w:r>
        <w:rPr>
          <w:rFonts w:ascii="宋体" w:hAnsi="宋体" w:cs="宋体" w:eastAsia="宋体" w:hint="default"/>
          <w:spacing w:val="-4"/>
          <w:sz w:val="18"/>
          <w:szCs w:val="18"/>
        </w:rPr>
        <w:t>睛</w:t>
      </w:r>
      <w:r>
        <w:rPr>
          <w:rFonts w:ascii="宋体" w:hAnsi="宋体" w:cs="宋体" w:eastAsia="宋体" w:hint="default"/>
          <w:spacing w:val="-4"/>
          <w:sz w:val="18"/>
          <w:szCs w:val="18"/>
        </w:rPr>
        <w:t>(</w:t>
      </w:r>
      <w:r>
        <w:rPr>
          <w:rFonts w:ascii="宋体" w:hAnsi="宋体" w:cs="宋体" w:eastAsia="宋体" w:hint="default"/>
          <w:spacing w:val="-4"/>
          <w:sz w:val="18"/>
          <w:szCs w:val="18"/>
        </w:rPr>
        <w:t>摄像机</w:t>
      </w:r>
      <w:r>
        <w:rPr>
          <w:rFonts w:ascii="宋体" w:hAnsi="宋体" w:cs="宋体" w:eastAsia="宋体" w:hint="default"/>
          <w:spacing w:val="-4"/>
          <w:sz w:val="18"/>
          <w:szCs w:val="18"/>
        </w:rPr>
        <w:t>)</w:t>
      </w:r>
      <w:r>
        <w:rPr>
          <w:rFonts w:ascii="宋体" w:hAnsi="宋体" w:cs="宋体" w:eastAsia="宋体" w:hint="default"/>
          <w:spacing w:val="-4"/>
          <w:sz w:val="18"/>
          <w:szCs w:val="18"/>
        </w:rPr>
        <w:t>，更由于智能视频分析计算机或专用</w:t>
      </w:r>
      <w:r>
        <w:rPr>
          <w:rFonts w:ascii="宋体" w:hAnsi="宋体" w:cs="宋体" w:eastAsia="宋体" w:hint="default"/>
          <w:spacing w:val="-4"/>
          <w:sz w:val="18"/>
          <w:szCs w:val="18"/>
        </w:rPr>
        <w:t>DSP</w:t>
      </w:r>
      <w:r>
        <w:rPr>
          <w:rFonts w:ascii="宋体" w:hAnsi="宋体" w:cs="宋体" w:eastAsia="宋体" w:hint="default"/>
          <w:spacing w:val="-4"/>
          <w:sz w:val="18"/>
          <w:szCs w:val="18"/>
        </w:rPr>
        <w:t>处理器，使</w:t>
      </w:r>
      <w:r>
        <w:rPr>
          <w:rFonts w:ascii="宋体" w:hAnsi="宋体" w:cs="宋体" w:eastAsia="宋体" w:hint="default"/>
          <w:w w:val="101"/>
          <w:sz w:val="18"/>
          <w:szCs w:val="18"/>
        </w:rPr>
        <w:t> </w:t>
      </w:r>
      <w:r>
        <w:rPr>
          <w:rFonts w:ascii="宋体" w:hAnsi="宋体" w:cs="宋体" w:eastAsia="宋体" w:hint="default"/>
          <w:spacing w:val="-7"/>
          <w:w w:val="101"/>
          <w:sz w:val="18"/>
          <w:szCs w:val="18"/>
        </w:rPr>
        <w:t>监控系统具有智慧的大脑功能，使监控变得“聪明”，能自动学</w:t>
      </w:r>
      <w:r>
        <w:rPr>
          <w:rFonts w:ascii="宋体" w:hAnsi="宋体" w:cs="宋体" w:eastAsia="宋体" w:hint="default"/>
          <w:w w:val="101"/>
          <w:sz w:val="18"/>
          <w:szCs w:val="18"/>
        </w:rPr>
        <w:t> </w:t>
      </w:r>
      <w:r>
        <w:rPr>
          <w:rFonts w:ascii="宋体" w:hAnsi="宋体" w:cs="宋体" w:eastAsia="宋体" w:hint="default"/>
          <w:spacing w:val="-3"/>
          <w:sz w:val="18"/>
          <w:szCs w:val="18"/>
        </w:rPr>
        <w:t>习和思考，从而替代人力或者协助人力进行监控。</w:t>
      </w:r>
    </w:p>
    <w:p>
      <w:pPr>
        <w:spacing w:after="0" w:line="316" w:lineRule="auto"/>
        <w:jc w:val="left"/>
        <w:rPr>
          <w:rFonts w:ascii="宋体" w:hAnsi="宋体" w:cs="宋体" w:eastAsia="宋体" w:hint="default"/>
          <w:sz w:val="18"/>
          <w:szCs w:val="18"/>
        </w:rPr>
        <w:sectPr>
          <w:type w:val="continuous"/>
          <w:pgSz w:w="11910" w:h="16840"/>
          <w:pgMar w:top="1100" w:bottom="1220" w:left="1020" w:right="0"/>
          <w:cols w:num="2" w:equalWidth="0">
            <w:col w:w="1928" w:space="59"/>
            <w:col w:w="8903"/>
          </w:cols>
        </w:sectPr>
      </w:pPr>
    </w:p>
    <w:p>
      <w:pPr>
        <w:tabs>
          <w:tab w:pos="2110" w:val="left" w:leader="none"/>
          <w:tab w:pos="4521" w:val="left" w:leader="none"/>
          <w:tab w:pos="10293" w:val="left" w:leader="none"/>
        </w:tabs>
        <w:spacing w:before="53"/>
        <w:ind w:left="122" w:right="0" w:firstLine="0"/>
        <w:jc w:val="left"/>
        <w:rPr>
          <w:rFonts w:ascii="宋体" w:hAnsi="宋体" w:cs="宋体" w:eastAsia="宋体" w:hint="default"/>
          <w:sz w:val="18"/>
          <w:szCs w:val="18"/>
        </w:rPr>
      </w:pPr>
      <w:r>
        <w:rPr>
          <w:rFonts w:ascii="宋体" w:hAnsi="宋体" w:cs="宋体" w:eastAsia="宋体" w:hint="default"/>
          <w:spacing w:val="-3"/>
          <w:sz w:val="18"/>
          <w:szCs w:val="18"/>
        </w:rPr>
        <w:t>智能风控云平台</w:t>
        <w:tab/>
        <w:t>开发、测试、试运行</w:t>
        <w:tab/>
      </w:r>
      <w:r>
        <w:rPr>
          <w:rFonts w:ascii="宋体" w:hAnsi="宋体" w:cs="宋体" w:eastAsia="宋体" w:hint="default"/>
          <w:spacing w:val="-1"/>
          <w:sz w:val="18"/>
          <w:szCs w:val="18"/>
        </w:rPr>
        <w:t>应用区块链、安全计算技术，搭建多方安全计算平台，基于多</w:t>
        <w:tab/>
      </w:r>
      <w:r>
        <w:rPr>
          <w:rFonts w:ascii="宋体" w:hAnsi="宋体" w:cs="宋体" w:eastAsia="宋体" w:hint="default"/>
          <w:sz w:val="18"/>
          <w:szCs w:val="18"/>
        </w:rPr>
        <w:t>金融</w:t>
      </w:r>
    </w:p>
    <w:p>
      <w:pPr>
        <w:spacing w:line="316" w:lineRule="auto" w:before="76"/>
        <w:ind w:left="4521" w:right="1445" w:firstLine="0"/>
        <w:jc w:val="both"/>
        <w:rPr>
          <w:rFonts w:ascii="宋体" w:hAnsi="宋体" w:cs="宋体" w:eastAsia="宋体" w:hint="default"/>
          <w:sz w:val="18"/>
          <w:szCs w:val="18"/>
        </w:rPr>
      </w:pPr>
      <w:r>
        <w:rPr>
          <w:rFonts w:ascii="宋体" w:hAnsi="宋体" w:cs="宋体" w:eastAsia="宋体" w:hint="default"/>
          <w:spacing w:val="-1"/>
          <w:sz w:val="18"/>
          <w:szCs w:val="18"/>
        </w:rPr>
        <w:t>方数据安全交互，研发普惠金融联合风控相关模型。通过数据</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7"/>
          <w:w w:val="101"/>
          <w:sz w:val="18"/>
          <w:szCs w:val="18"/>
        </w:rPr>
        <w:t>合作（政务开放数据、金融机构、互联网等），为金融机构提供</w:t>
      </w:r>
      <w:r>
        <w:rPr>
          <w:rFonts w:ascii="宋体" w:hAnsi="宋体" w:cs="宋体" w:eastAsia="宋体" w:hint="default"/>
          <w:w w:val="101"/>
          <w:sz w:val="18"/>
          <w:szCs w:val="18"/>
        </w:rPr>
        <w:t> </w:t>
      </w:r>
      <w:r>
        <w:rPr>
          <w:rFonts w:ascii="宋体" w:hAnsi="宋体" w:cs="宋体" w:eastAsia="宋体" w:hint="default"/>
          <w:spacing w:val="-1"/>
          <w:sz w:val="18"/>
          <w:szCs w:val="18"/>
        </w:rPr>
        <w:t>普惠金融业务（中小微企业、三农客户、个体工商户等）风控</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信息服务。</w:t>
      </w:r>
    </w:p>
    <w:p>
      <w:pPr>
        <w:spacing w:after="0" w:line="316" w:lineRule="auto"/>
        <w:jc w:val="both"/>
        <w:rPr>
          <w:rFonts w:ascii="宋体" w:hAnsi="宋体" w:cs="宋体" w:eastAsia="宋体" w:hint="default"/>
          <w:sz w:val="18"/>
          <w:szCs w:val="18"/>
        </w:rPr>
        <w:sectPr>
          <w:type w:val="continuous"/>
          <w:pgSz w:w="11910" w:h="16840"/>
          <w:pgMar w:top="1100" w:bottom="1220" w:left="1020" w:right="0"/>
        </w:sectPr>
      </w:pPr>
    </w:p>
    <w:p>
      <w:pPr>
        <w:spacing w:line="316" w:lineRule="auto" w:before="58"/>
        <w:ind w:left="122" w:right="0" w:firstLine="0"/>
        <w:jc w:val="left"/>
        <w:rPr>
          <w:rFonts w:ascii="宋体" w:hAnsi="宋体" w:cs="宋体" w:eastAsia="宋体" w:hint="default"/>
          <w:sz w:val="18"/>
          <w:szCs w:val="18"/>
        </w:rPr>
      </w:pPr>
      <w:r>
        <w:rPr>
          <w:rFonts w:ascii="宋体" w:hAnsi="宋体" w:cs="宋体" w:eastAsia="宋体" w:hint="default"/>
          <w:spacing w:val="-2"/>
          <w:sz w:val="18"/>
          <w:szCs w:val="18"/>
        </w:rPr>
        <w:t>天源迪科数据库安全代</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理平台软件的研发</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line="316" w:lineRule="auto" w:before="0"/>
        <w:ind w:left="122" w:right="0" w:firstLine="0"/>
        <w:jc w:val="left"/>
        <w:rPr>
          <w:rFonts w:ascii="宋体" w:hAnsi="宋体" w:cs="宋体" w:eastAsia="宋体" w:hint="default"/>
          <w:sz w:val="18"/>
          <w:szCs w:val="18"/>
        </w:rPr>
      </w:pPr>
      <w:r>
        <w:rPr>
          <w:rFonts w:ascii="宋体" w:hAnsi="宋体" w:cs="宋体" w:eastAsia="宋体" w:hint="default"/>
          <w:spacing w:val="-2"/>
          <w:sz w:val="18"/>
          <w:szCs w:val="18"/>
        </w:rPr>
        <w:t>天源迪科境外人员电子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档案软件</w:t>
      </w:r>
      <w:r>
        <w:rPr>
          <w:rFonts w:ascii="宋体" w:hAnsi="宋体" w:cs="宋体" w:eastAsia="宋体" w:hint="default"/>
          <w:sz w:val="18"/>
          <w:szCs w:val="18"/>
        </w:rPr>
        <w:t>V1.0</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6"/>
          <w:szCs w:val="26"/>
        </w:rPr>
      </w:pPr>
    </w:p>
    <w:p>
      <w:pPr>
        <w:spacing w:line="316" w:lineRule="auto" w:before="0"/>
        <w:ind w:left="122" w:right="0" w:firstLine="0"/>
        <w:jc w:val="left"/>
        <w:rPr>
          <w:rFonts w:ascii="宋体" w:hAnsi="宋体" w:cs="宋体" w:eastAsia="宋体" w:hint="default"/>
          <w:sz w:val="18"/>
          <w:szCs w:val="18"/>
        </w:rPr>
      </w:pPr>
      <w:r>
        <w:rPr>
          <w:rFonts w:ascii="宋体" w:hAnsi="宋体" w:cs="宋体" w:eastAsia="宋体" w:hint="default"/>
          <w:spacing w:val="-2"/>
          <w:sz w:val="18"/>
          <w:szCs w:val="18"/>
        </w:rPr>
        <w:t>宝贝团无线优惠券推广</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系统</w:t>
      </w:r>
    </w:p>
    <w:p>
      <w:pPr>
        <w:tabs>
          <w:tab w:pos="2533" w:val="left" w:leader="none"/>
        </w:tabs>
        <w:spacing w:before="58"/>
        <w:ind w:left="122" w:right="0" w:firstLine="0"/>
        <w:jc w:val="left"/>
        <w:rPr>
          <w:rFonts w:ascii="宋体" w:hAnsi="宋体" w:cs="宋体" w:eastAsia="宋体" w:hint="default"/>
          <w:sz w:val="18"/>
          <w:szCs w:val="18"/>
        </w:rPr>
      </w:pPr>
      <w:r>
        <w:rPr>
          <w:spacing w:val="-3"/>
        </w:rPr>
        <w:br w:type="column"/>
      </w:r>
      <w:r>
        <w:rPr>
          <w:rFonts w:ascii="宋体" w:hAnsi="宋体" w:cs="宋体" w:eastAsia="宋体" w:hint="default"/>
          <w:spacing w:val="-3"/>
          <w:sz w:val="18"/>
          <w:szCs w:val="18"/>
        </w:rPr>
        <w:t>开发、测试、试运行</w:t>
        <w:tab/>
      </w:r>
      <w:r>
        <w:rPr>
          <w:rFonts w:ascii="宋体" w:hAnsi="宋体" w:cs="宋体" w:eastAsia="宋体" w:hint="default"/>
          <w:sz w:val="18"/>
          <w:szCs w:val="18"/>
        </w:rPr>
        <w:t>天源迪科数据库安全平台通过对数据库传输协议进行获取，并</w:t>
      </w:r>
    </w:p>
    <w:p>
      <w:pPr>
        <w:spacing w:line="316" w:lineRule="auto" w:before="76"/>
        <w:ind w:left="2533" w:right="89" w:firstLine="0"/>
        <w:jc w:val="both"/>
        <w:rPr>
          <w:rFonts w:ascii="宋体" w:hAnsi="宋体" w:cs="宋体" w:eastAsia="宋体" w:hint="default"/>
          <w:sz w:val="18"/>
          <w:szCs w:val="18"/>
        </w:rPr>
      </w:pPr>
      <w:r>
        <w:rPr>
          <w:rFonts w:ascii="宋体" w:hAnsi="宋体" w:cs="宋体" w:eastAsia="宋体" w:hint="default"/>
          <w:spacing w:val="-1"/>
          <w:sz w:val="18"/>
          <w:szCs w:val="18"/>
        </w:rPr>
        <w:t>解析、处理、转发等动作完成对数据库访问的代理工作，在次</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1"/>
          <w:sz w:val="18"/>
          <w:szCs w:val="18"/>
        </w:rPr>
        <w:t>过程中可以实现账号的统一认证、访问控制、敏感数据识别、</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1"/>
          <w:sz w:val="18"/>
          <w:szCs w:val="18"/>
        </w:rPr>
        <w:t>敏感数据加解密、脱敏、用户访问行为审计，从而进一步提高</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数据库中数据的安全系数，降低数据泄露的风险。</w:t>
      </w:r>
    </w:p>
    <w:p>
      <w:pPr>
        <w:tabs>
          <w:tab w:pos="2533" w:val="left" w:leader="none"/>
        </w:tabs>
        <w:spacing w:before="53"/>
        <w:ind w:left="122" w:right="0" w:firstLine="0"/>
        <w:jc w:val="left"/>
        <w:rPr>
          <w:rFonts w:ascii="宋体" w:hAnsi="宋体" w:cs="宋体" w:eastAsia="宋体" w:hint="default"/>
          <w:sz w:val="18"/>
          <w:szCs w:val="18"/>
        </w:rPr>
      </w:pPr>
      <w:r>
        <w:rPr>
          <w:rFonts w:ascii="宋体" w:hAnsi="宋体" w:cs="宋体" w:eastAsia="宋体" w:hint="default"/>
          <w:spacing w:val="-3"/>
          <w:sz w:val="18"/>
          <w:szCs w:val="18"/>
        </w:rPr>
        <w:t>开发、测试、试运行</w:t>
        <w:tab/>
      </w:r>
      <w:r>
        <w:rPr>
          <w:rFonts w:ascii="宋体" w:hAnsi="宋体" w:cs="宋体" w:eastAsia="宋体" w:hint="default"/>
          <w:sz w:val="18"/>
          <w:szCs w:val="18"/>
        </w:rPr>
        <w:t>境外人员电子档案系统紧密围绕“感知泛在、研判多维、指挥</w:t>
      </w:r>
    </w:p>
    <w:p>
      <w:pPr>
        <w:spacing w:line="316" w:lineRule="auto" w:before="76"/>
        <w:ind w:left="2533" w:right="88" w:firstLine="0"/>
        <w:jc w:val="both"/>
        <w:rPr>
          <w:rFonts w:ascii="宋体" w:hAnsi="宋体" w:cs="宋体" w:eastAsia="宋体" w:hint="default"/>
          <w:sz w:val="18"/>
          <w:szCs w:val="18"/>
        </w:rPr>
      </w:pPr>
      <w:r>
        <w:rPr>
          <w:rFonts w:ascii="宋体" w:hAnsi="宋体" w:cs="宋体" w:eastAsia="宋体" w:hint="default"/>
          <w:spacing w:val="-1"/>
          <w:sz w:val="18"/>
          <w:szCs w:val="18"/>
        </w:rPr>
        <w:t>扁平、处置高效”的现代警务流程理念，按照警务活动科技含</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1"/>
          <w:sz w:val="18"/>
          <w:szCs w:val="18"/>
        </w:rPr>
        <w:t>量提升、现代警务流程再造和队伍管理手段升级三位一体迭代</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1"/>
          <w:sz w:val="18"/>
          <w:szCs w:val="18"/>
        </w:rPr>
        <w:t>优化推进的工作要求，依托市局“一中心、一平台”的数据和</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1"/>
          <w:sz w:val="18"/>
          <w:szCs w:val="18"/>
        </w:rPr>
        <w:t>技术服务支撑，充分结合“智慧</w:t>
      </w:r>
      <w:r>
        <w:rPr>
          <w:rFonts w:ascii="宋体" w:hAnsi="宋体" w:cs="宋体" w:eastAsia="宋体" w:hint="default"/>
          <w:spacing w:val="-1"/>
          <w:sz w:val="18"/>
          <w:szCs w:val="18"/>
        </w:rPr>
        <w:t>GA</w:t>
      </w:r>
      <w:r>
        <w:rPr>
          <w:rFonts w:ascii="宋体" w:hAnsi="宋体" w:cs="宋体" w:eastAsia="宋体" w:hint="default"/>
          <w:spacing w:val="-1"/>
          <w:sz w:val="18"/>
          <w:szCs w:val="18"/>
        </w:rPr>
        <w:t>”建设成果，构建“涉外数</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pacing w:val="-1"/>
          <w:sz w:val="18"/>
          <w:szCs w:val="18"/>
        </w:rPr>
        <w:t>据全域感知、境外人员动态管控、涉外警情高效指挥、涉外情</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1"/>
          <w:sz w:val="18"/>
          <w:szCs w:val="18"/>
        </w:rPr>
        <w:t>报专业研判、信息服务互通共享”的一体化境外人员全流程管</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1"/>
          <w:sz w:val="18"/>
          <w:szCs w:val="18"/>
        </w:rPr>
        <w:t>控平台，全面实现上海境外人员管理“底数清，情况明，管得</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住，服务好”的总体目标。</w:t>
      </w:r>
    </w:p>
    <w:p>
      <w:pPr>
        <w:tabs>
          <w:tab w:pos="2533" w:val="left" w:leader="none"/>
        </w:tabs>
        <w:spacing w:before="52"/>
        <w:ind w:left="122" w:right="0" w:firstLine="0"/>
        <w:jc w:val="left"/>
        <w:rPr>
          <w:rFonts w:ascii="宋体" w:hAnsi="宋体" w:cs="宋体" w:eastAsia="宋体" w:hint="default"/>
          <w:sz w:val="18"/>
          <w:szCs w:val="18"/>
        </w:rPr>
      </w:pPr>
      <w:r>
        <w:rPr>
          <w:rFonts w:ascii="宋体" w:hAnsi="宋体" w:cs="宋体" w:eastAsia="宋体" w:hint="default"/>
          <w:spacing w:val="-3"/>
          <w:sz w:val="18"/>
          <w:szCs w:val="18"/>
        </w:rPr>
        <w:t>开发、测试、试运行</w:t>
        <w:tab/>
      </w:r>
      <w:r>
        <w:rPr>
          <w:rFonts w:ascii="宋体" w:hAnsi="宋体" w:cs="宋体" w:eastAsia="宋体" w:hint="default"/>
          <w:sz w:val="18"/>
          <w:szCs w:val="18"/>
        </w:rPr>
        <w:t>实现淘宝京麦移动平台的接入，实现对三万家淘宝第三方店铺</w:t>
      </w:r>
    </w:p>
    <w:p>
      <w:pPr>
        <w:spacing w:before="76"/>
        <w:ind w:left="2533" w:right="0" w:firstLine="0"/>
        <w:jc w:val="both"/>
        <w:rPr>
          <w:rFonts w:ascii="宋体" w:hAnsi="宋体" w:cs="宋体" w:eastAsia="宋体" w:hint="default"/>
          <w:sz w:val="18"/>
          <w:szCs w:val="18"/>
        </w:rPr>
      </w:pPr>
      <w:r>
        <w:rPr>
          <w:rFonts w:ascii="宋体" w:hAnsi="宋体" w:cs="宋体" w:eastAsia="宋体" w:hint="default"/>
          <w:spacing w:val="-4"/>
          <w:sz w:val="18"/>
          <w:szCs w:val="18"/>
        </w:rPr>
        <w:t>的服务，实现对淘宝平台商家站内推广和站外推广的功能支持。</w:t>
      </w:r>
    </w:p>
    <w:p>
      <w:pPr>
        <w:spacing w:before="58"/>
        <w:ind w:left="12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信息安全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spacing w:before="0"/>
        <w:ind w:left="122" w:right="0" w:firstLine="360"/>
        <w:jc w:val="left"/>
        <w:rPr>
          <w:rFonts w:ascii="宋体" w:hAnsi="宋体" w:cs="宋体" w:eastAsia="宋体" w:hint="default"/>
          <w:sz w:val="18"/>
          <w:szCs w:val="18"/>
        </w:rPr>
      </w:pPr>
      <w:r>
        <w:rPr>
          <w:rFonts w:ascii="宋体" w:hAnsi="宋体" w:cs="宋体" w:eastAsia="宋体" w:hint="default"/>
          <w:sz w:val="18"/>
          <w:szCs w:val="18"/>
        </w:rPr>
        <w:t>公安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9"/>
          <w:szCs w:val="19"/>
        </w:rPr>
      </w:pPr>
    </w:p>
    <w:p>
      <w:pPr>
        <w:spacing w:before="0"/>
        <w:ind w:left="122" w:right="0" w:firstLine="0"/>
        <w:jc w:val="left"/>
        <w:rPr>
          <w:rFonts w:ascii="宋体" w:hAnsi="宋体" w:cs="宋体" w:eastAsia="宋体" w:hint="default"/>
          <w:sz w:val="18"/>
          <w:szCs w:val="18"/>
        </w:rPr>
      </w:pPr>
      <w:r>
        <w:rPr>
          <w:rFonts w:ascii="宋体" w:hAnsi="宋体" w:cs="宋体" w:eastAsia="宋体" w:hint="default"/>
          <w:sz w:val="18"/>
          <w:szCs w:val="18"/>
        </w:rPr>
        <w:t>电子商务</w:t>
      </w:r>
    </w:p>
    <w:p>
      <w:pPr>
        <w:spacing w:after="0"/>
        <w:jc w:val="left"/>
        <w:rPr>
          <w:rFonts w:ascii="宋体" w:hAnsi="宋体" w:cs="宋体" w:eastAsia="宋体" w:hint="default"/>
          <w:sz w:val="18"/>
          <w:szCs w:val="18"/>
        </w:rPr>
        <w:sectPr>
          <w:type w:val="continuous"/>
          <w:pgSz w:w="11910" w:h="16840"/>
          <w:pgMar w:top="1100" w:bottom="1220" w:left="1020" w:right="0"/>
          <w:cols w:num="3" w:equalWidth="0">
            <w:col w:w="1928" w:space="59"/>
            <w:col w:w="7541" w:space="282"/>
            <w:col w:w="1080"/>
          </w:cols>
        </w:sectPr>
      </w:pPr>
    </w:p>
    <w:p>
      <w:pPr>
        <w:tabs>
          <w:tab w:pos="2110" w:val="left" w:leader="none"/>
          <w:tab w:pos="4521" w:val="left" w:leader="none"/>
        </w:tabs>
        <w:spacing w:before="58"/>
        <w:ind w:left="122" w:right="0" w:firstLine="0"/>
        <w:jc w:val="left"/>
        <w:rPr>
          <w:rFonts w:ascii="宋体" w:hAnsi="宋体" w:cs="宋体" w:eastAsia="宋体" w:hint="default"/>
          <w:sz w:val="18"/>
          <w:szCs w:val="18"/>
        </w:rPr>
      </w:pPr>
      <w:r>
        <w:rPr>
          <w:rFonts w:ascii="宋体" w:hAnsi="宋体" w:cs="宋体" w:eastAsia="宋体" w:hint="default"/>
          <w:spacing w:val="-3"/>
          <w:sz w:val="18"/>
          <w:szCs w:val="18"/>
        </w:rPr>
        <w:t>车联网运营平台研发</w:t>
        <w:tab/>
        <w:t>开发、测试、试运行</w:t>
        <w:tab/>
      </w:r>
      <w:r>
        <w:rPr>
          <w:rFonts w:ascii="宋体" w:hAnsi="宋体" w:cs="宋体" w:eastAsia="宋体" w:hint="default"/>
          <w:spacing w:val="-1"/>
          <w:sz w:val="18"/>
          <w:szCs w:val="18"/>
        </w:rPr>
        <w:t>车联网运营平台总体目标是在满足车辆产品需求和运营需求的</w:t>
      </w:r>
    </w:p>
    <w:p>
      <w:pPr>
        <w:spacing w:line="316" w:lineRule="auto" w:before="76"/>
        <w:ind w:left="4521" w:right="0" w:firstLine="0"/>
        <w:jc w:val="both"/>
        <w:rPr>
          <w:rFonts w:ascii="宋体" w:hAnsi="宋体" w:cs="宋体" w:eastAsia="宋体" w:hint="default"/>
          <w:sz w:val="18"/>
          <w:szCs w:val="18"/>
        </w:rPr>
      </w:pPr>
      <w:r>
        <w:rPr>
          <w:rFonts w:ascii="宋体" w:hAnsi="宋体" w:cs="宋体" w:eastAsia="宋体" w:hint="default"/>
          <w:spacing w:val="-1"/>
          <w:sz w:val="18"/>
          <w:szCs w:val="18"/>
        </w:rPr>
        <w:t>基础上，构建基于云、微服务架构，开放的，可以自主掌控的</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1"/>
          <w:sz w:val="18"/>
          <w:szCs w:val="18"/>
        </w:rPr>
        <w:t>智能网联平台，以支撑企业自主运营商业车队的经营战略。并</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4"/>
          <w:sz w:val="18"/>
          <w:szCs w:val="18"/>
        </w:rPr>
        <w:t>以此为契机，构建以</w:t>
      </w:r>
      <w:r>
        <w:rPr>
          <w:rFonts w:ascii="宋体" w:hAnsi="宋体" w:cs="宋体" w:eastAsia="宋体" w:hint="default"/>
          <w:spacing w:val="-4"/>
          <w:sz w:val="18"/>
          <w:szCs w:val="18"/>
        </w:rPr>
        <w:t>API</w:t>
      </w:r>
      <w:r>
        <w:rPr>
          <w:rFonts w:ascii="宋体" w:hAnsi="宋体" w:cs="宋体" w:eastAsia="宋体" w:hint="default"/>
          <w:spacing w:val="-4"/>
          <w:sz w:val="18"/>
          <w:szCs w:val="18"/>
        </w:rPr>
        <w:t>管理、</w:t>
      </w:r>
      <w:r>
        <w:rPr>
          <w:rFonts w:ascii="宋体" w:hAnsi="宋体" w:cs="宋体" w:eastAsia="宋体" w:hint="default"/>
          <w:spacing w:val="-4"/>
          <w:sz w:val="18"/>
          <w:szCs w:val="18"/>
        </w:rPr>
        <w:t>DevOps</w:t>
      </w:r>
      <w:r>
        <w:rPr>
          <w:rFonts w:ascii="宋体" w:hAnsi="宋体" w:cs="宋体" w:eastAsia="宋体" w:hint="default"/>
          <w:spacing w:val="-4"/>
          <w:sz w:val="18"/>
          <w:szCs w:val="18"/>
        </w:rPr>
        <w:t>为基础的开发管理服务体</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系。</w:t>
      </w:r>
    </w:p>
    <w:p>
      <w:pPr>
        <w:spacing w:before="58"/>
        <w:ind w:left="94"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互联网、交通</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9439" w:space="40"/>
            <w:col w:w="1411"/>
          </w:cols>
        </w:sectPr>
      </w:pPr>
    </w:p>
    <w:p>
      <w:pPr>
        <w:spacing w:line="316" w:lineRule="auto" w:before="53"/>
        <w:ind w:left="122" w:right="0" w:firstLine="0"/>
        <w:jc w:val="left"/>
        <w:rPr>
          <w:rFonts w:ascii="宋体" w:hAnsi="宋体" w:cs="宋体" w:eastAsia="宋体" w:hint="default"/>
          <w:sz w:val="18"/>
          <w:szCs w:val="18"/>
        </w:rPr>
      </w:pPr>
      <w:r>
        <w:rPr>
          <w:rFonts w:ascii="宋体" w:hAnsi="宋体" w:cs="宋体" w:eastAsia="宋体" w:hint="default"/>
          <w:spacing w:val="-2"/>
          <w:sz w:val="18"/>
          <w:szCs w:val="18"/>
        </w:rPr>
        <w:t>基于</w:t>
      </w:r>
      <w:r>
        <w:rPr>
          <w:rFonts w:ascii="宋体" w:hAnsi="宋体" w:cs="宋体" w:eastAsia="宋体" w:hint="default"/>
          <w:spacing w:val="-2"/>
          <w:sz w:val="18"/>
          <w:szCs w:val="18"/>
        </w:rPr>
        <w:t>VR</w:t>
      </w:r>
      <w:r>
        <w:rPr>
          <w:rFonts w:ascii="宋体" w:hAnsi="宋体" w:cs="宋体" w:eastAsia="宋体" w:hint="default"/>
          <w:spacing w:val="-2"/>
          <w:sz w:val="18"/>
          <w:szCs w:val="18"/>
        </w:rPr>
        <w:t>技术的大视频互</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动系统软件</w:t>
      </w:r>
    </w:p>
    <w:p>
      <w:pPr>
        <w:spacing w:line="240" w:lineRule="auto" w:before="0"/>
        <w:rPr>
          <w:rFonts w:ascii="宋体" w:hAnsi="宋体" w:cs="宋体" w:eastAsia="宋体" w:hint="default"/>
          <w:sz w:val="18"/>
          <w:szCs w:val="18"/>
        </w:rPr>
      </w:pPr>
    </w:p>
    <w:p>
      <w:pPr>
        <w:spacing w:line="316" w:lineRule="auto" w:before="129"/>
        <w:ind w:left="122" w:right="0" w:firstLine="0"/>
        <w:jc w:val="left"/>
        <w:rPr>
          <w:rFonts w:ascii="宋体" w:hAnsi="宋体" w:cs="宋体" w:eastAsia="宋体" w:hint="default"/>
          <w:sz w:val="18"/>
          <w:szCs w:val="18"/>
        </w:rPr>
      </w:pPr>
      <w:r>
        <w:rPr>
          <w:rFonts w:ascii="宋体" w:hAnsi="宋体" w:cs="宋体" w:eastAsia="宋体" w:hint="default"/>
          <w:spacing w:val="-2"/>
          <w:sz w:val="18"/>
          <w:szCs w:val="18"/>
        </w:rPr>
        <w:t>基于移动互联网的农业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险</w:t>
      </w:r>
      <w:r>
        <w:rPr>
          <w:rFonts w:ascii="宋体" w:hAnsi="宋体" w:cs="宋体" w:eastAsia="宋体" w:hint="default"/>
          <w:sz w:val="18"/>
          <w:szCs w:val="18"/>
        </w:rPr>
        <w:t>APP</w:t>
      </w:r>
      <w:r>
        <w:rPr>
          <w:rFonts w:ascii="宋体" w:hAnsi="宋体" w:cs="宋体" w:eastAsia="宋体" w:hint="default"/>
          <w:sz w:val="18"/>
          <w:szCs w:val="18"/>
        </w:rPr>
        <w:t>系统研发</w:t>
      </w:r>
    </w:p>
    <w:p>
      <w:pPr>
        <w:tabs>
          <w:tab w:pos="2533" w:val="left" w:leader="none"/>
        </w:tabs>
        <w:spacing w:before="53"/>
        <w:ind w:left="122" w:right="-10" w:firstLine="0"/>
        <w:jc w:val="left"/>
        <w:rPr>
          <w:rFonts w:ascii="宋体" w:hAnsi="宋体" w:cs="宋体" w:eastAsia="宋体" w:hint="default"/>
          <w:sz w:val="18"/>
          <w:szCs w:val="18"/>
        </w:rPr>
      </w:pPr>
      <w:r>
        <w:rPr>
          <w:spacing w:val="-3"/>
        </w:rPr>
        <w:br w:type="column"/>
      </w:r>
      <w:r>
        <w:rPr>
          <w:rFonts w:ascii="宋体" w:hAnsi="宋体" w:cs="宋体" w:eastAsia="宋体" w:hint="default"/>
          <w:spacing w:val="-3"/>
          <w:sz w:val="18"/>
          <w:szCs w:val="18"/>
        </w:rPr>
        <w:t>开发、测试、试运行</w:t>
        <w:tab/>
      </w:r>
      <w:r>
        <w:rPr>
          <w:rFonts w:ascii="宋体" w:hAnsi="宋体" w:cs="宋体" w:eastAsia="宋体" w:hint="default"/>
          <w:spacing w:val="4"/>
          <w:sz w:val="18"/>
          <w:szCs w:val="18"/>
        </w:rPr>
        <w:t>本项目通过内容聚合实现众多</w:t>
      </w:r>
      <w:r>
        <w:rPr>
          <w:rFonts w:ascii="宋体" w:hAnsi="宋体" w:cs="宋体" w:eastAsia="宋体" w:hint="default"/>
          <w:spacing w:val="4"/>
          <w:sz w:val="18"/>
          <w:szCs w:val="18"/>
        </w:rPr>
        <w:t>VR</w:t>
      </w:r>
      <w:r>
        <w:rPr>
          <w:rFonts w:ascii="宋体" w:hAnsi="宋体" w:cs="宋体" w:eastAsia="宋体" w:hint="default"/>
          <w:spacing w:val="4"/>
          <w:sz w:val="18"/>
          <w:szCs w:val="18"/>
        </w:rPr>
        <w:t>内容和应用合作伙伴内容注</w:t>
      </w:r>
    </w:p>
    <w:p>
      <w:pPr>
        <w:spacing w:line="316" w:lineRule="auto" w:before="76"/>
        <w:ind w:left="2533" w:right="-10" w:firstLine="0"/>
        <w:jc w:val="left"/>
        <w:rPr>
          <w:rFonts w:ascii="宋体" w:hAnsi="宋体" w:cs="宋体" w:eastAsia="宋体" w:hint="default"/>
          <w:sz w:val="18"/>
          <w:szCs w:val="18"/>
        </w:rPr>
      </w:pPr>
      <w:r>
        <w:rPr>
          <w:rFonts w:ascii="宋体" w:hAnsi="宋体" w:cs="宋体" w:eastAsia="宋体" w:hint="default"/>
          <w:spacing w:val="-15"/>
          <w:w w:val="101"/>
          <w:sz w:val="18"/>
          <w:szCs w:val="18"/>
        </w:rPr>
        <w:t>入，平台层提供转码、</w:t>
      </w:r>
      <w:r>
        <w:rPr>
          <w:rFonts w:ascii="宋体" w:hAnsi="宋体" w:cs="宋体" w:eastAsia="宋体" w:hint="default"/>
          <w:spacing w:val="-15"/>
          <w:w w:val="101"/>
          <w:sz w:val="18"/>
          <w:szCs w:val="18"/>
        </w:rPr>
        <w:t>8K</w:t>
      </w:r>
      <w:r>
        <w:rPr>
          <w:rFonts w:ascii="宋体" w:hAnsi="宋体" w:cs="宋体" w:eastAsia="宋体" w:hint="default"/>
          <w:spacing w:val="-41"/>
          <w:w w:val="101"/>
          <w:sz w:val="18"/>
          <w:szCs w:val="18"/>
        </w:rPr>
        <w:t> </w:t>
      </w:r>
      <w:r>
        <w:rPr>
          <w:rFonts w:ascii="宋体" w:hAnsi="宋体" w:cs="宋体" w:eastAsia="宋体" w:hint="default"/>
          <w:spacing w:val="-11"/>
          <w:w w:val="101"/>
          <w:sz w:val="18"/>
          <w:szCs w:val="18"/>
        </w:rPr>
        <w:t>FOV</w:t>
      </w:r>
      <w:r>
        <w:rPr>
          <w:rFonts w:ascii="宋体" w:hAnsi="宋体" w:cs="宋体" w:eastAsia="宋体" w:hint="default"/>
          <w:spacing w:val="-11"/>
          <w:w w:val="101"/>
          <w:sz w:val="18"/>
          <w:szCs w:val="18"/>
        </w:rPr>
        <w:t>、</w:t>
      </w:r>
      <w:r>
        <w:rPr>
          <w:rFonts w:ascii="宋体" w:hAnsi="宋体" w:cs="宋体" w:eastAsia="宋体" w:hint="default"/>
          <w:spacing w:val="-11"/>
          <w:w w:val="101"/>
          <w:sz w:val="18"/>
          <w:szCs w:val="18"/>
        </w:rPr>
        <w:t>CDN</w:t>
      </w:r>
      <w:r>
        <w:rPr>
          <w:rFonts w:ascii="宋体" w:hAnsi="宋体" w:cs="宋体" w:eastAsia="宋体" w:hint="default"/>
          <w:spacing w:val="-11"/>
          <w:w w:val="101"/>
          <w:sz w:val="18"/>
          <w:szCs w:val="18"/>
        </w:rPr>
        <w:t>等功能，终端层提供</w:t>
      </w:r>
      <w:r>
        <w:rPr>
          <w:rFonts w:ascii="宋体" w:hAnsi="宋体" w:cs="宋体" w:eastAsia="宋体" w:hint="default"/>
          <w:spacing w:val="-11"/>
          <w:w w:val="101"/>
          <w:sz w:val="18"/>
          <w:szCs w:val="18"/>
        </w:rPr>
        <w:t>VR</w:t>
      </w:r>
      <w:r>
        <w:rPr>
          <w:rFonts w:ascii="宋体" w:hAnsi="宋体" w:cs="宋体" w:eastAsia="宋体" w:hint="default"/>
          <w:spacing w:val="-41"/>
          <w:w w:val="101"/>
          <w:sz w:val="18"/>
          <w:szCs w:val="18"/>
        </w:rPr>
        <w:t> </w:t>
      </w:r>
      <w:r>
        <w:rPr>
          <w:rFonts w:ascii="宋体" w:hAnsi="宋体" w:cs="宋体" w:eastAsia="宋体" w:hint="default"/>
          <w:spacing w:val="-2"/>
          <w:w w:val="101"/>
          <w:sz w:val="18"/>
          <w:szCs w:val="18"/>
        </w:rPr>
        <w:t>player</w:t>
      </w:r>
      <w:r>
        <w:rPr>
          <w:rFonts w:ascii="宋体" w:hAnsi="宋体" w:cs="宋体" w:eastAsia="宋体" w:hint="default"/>
          <w:spacing w:val="-2"/>
          <w:w w:val="101"/>
          <w:sz w:val="18"/>
          <w:szCs w:val="18"/>
        </w:rPr>
        <w:t>，</w:t>
      </w:r>
      <w:r>
        <w:rPr>
          <w:rFonts w:ascii="宋体" w:hAnsi="宋体" w:cs="宋体" w:eastAsia="宋体" w:hint="default"/>
          <w:w w:val="101"/>
          <w:sz w:val="18"/>
          <w:szCs w:val="18"/>
        </w:rPr>
        <w:t> </w:t>
      </w:r>
      <w:r>
        <w:rPr>
          <w:rFonts w:ascii="宋体" w:hAnsi="宋体" w:cs="宋体" w:eastAsia="宋体" w:hint="default"/>
          <w:spacing w:val="-7"/>
          <w:sz w:val="18"/>
          <w:szCs w:val="18"/>
        </w:rPr>
        <w:t>支持</w:t>
      </w:r>
      <w:r>
        <w:rPr>
          <w:rFonts w:ascii="宋体" w:hAnsi="宋体" w:cs="宋体" w:eastAsia="宋体" w:hint="default"/>
          <w:spacing w:val="-7"/>
          <w:sz w:val="18"/>
          <w:szCs w:val="18"/>
        </w:rPr>
        <w:t>FOV</w:t>
      </w:r>
      <w:r>
        <w:rPr>
          <w:rFonts w:ascii="宋体" w:hAnsi="宋体" w:cs="宋体" w:eastAsia="宋体" w:hint="default"/>
          <w:spacing w:val="-7"/>
          <w:sz w:val="18"/>
          <w:szCs w:val="18"/>
        </w:rPr>
        <w:t>、智能下载播放，实现云端解码，达到互动播放的目的。</w:t>
      </w:r>
    </w:p>
    <w:p>
      <w:pPr>
        <w:tabs>
          <w:tab w:pos="2533" w:val="left" w:leader="none"/>
        </w:tabs>
        <w:spacing w:before="52"/>
        <w:ind w:left="122" w:right="-10" w:firstLine="0"/>
        <w:jc w:val="left"/>
        <w:rPr>
          <w:rFonts w:ascii="宋体" w:hAnsi="宋体" w:cs="宋体" w:eastAsia="宋体" w:hint="default"/>
          <w:sz w:val="18"/>
          <w:szCs w:val="18"/>
        </w:rPr>
      </w:pPr>
      <w:r>
        <w:rPr>
          <w:rFonts w:ascii="宋体" w:hAnsi="宋体" w:cs="宋体" w:eastAsia="宋体" w:hint="default"/>
          <w:spacing w:val="-3"/>
          <w:sz w:val="18"/>
          <w:szCs w:val="18"/>
        </w:rPr>
        <w:t>开发、测试、试运行</w:t>
        <w:tab/>
        <w:t>实现农村协保员、政府驻村干部通过手机</w:t>
      </w:r>
      <w:r>
        <w:rPr>
          <w:rFonts w:ascii="宋体" w:hAnsi="宋体" w:cs="宋体" w:eastAsia="宋体" w:hint="default"/>
          <w:spacing w:val="-3"/>
          <w:sz w:val="18"/>
          <w:szCs w:val="18"/>
        </w:rPr>
        <w:t>APP</w:t>
      </w:r>
      <w:r>
        <w:rPr>
          <w:rFonts w:ascii="宋体" w:hAnsi="宋体" w:cs="宋体" w:eastAsia="宋体" w:hint="default"/>
          <w:spacing w:val="-3"/>
          <w:sz w:val="18"/>
          <w:szCs w:val="18"/>
        </w:rPr>
        <w:t>现场出单、缴费、</w:t>
      </w:r>
    </w:p>
    <w:p>
      <w:pPr>
        <w:spacing w:line="319" w:lineRule="auto" w:before="76"/>
        <w:ind w:left="2533" w:right="-10" w:firstLine="0"/>
        <w:jc w:val="left"/>
        <w:rPr>
          <w:rFonts w:ascii="宋体" w:hAnsi="宋体" w:cs="宋体" w:eastAsia="宋体" w:hint="default"/>
          <w:sz w:val="18"/>
          <w:szCs w:val="18"/>
        </w:rPr>
      </w:pPr>
      <w:r>
        <w:rPr>
          <w:rFonts w:ascii="宋体" w:hAnsi="宋体" w:cs="宋体" w:eastAsia="宋体" w:hint="default"/>
          <w:spacing w:val="-4"/>
          <w:sz w:val="18"/>
          <w:szCs w:val="18"/>
        </w:rPr>
        <w:t>协助农户报案、上传查勘信息、统计报表，提高保险扶贫效率、</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理赔速度。</w:t>
      </w:r>
    </w:p>
    <w:p>
      <w:pPr>
        <w:spacing w:before="53"/>
        <w:ind w:left="300" w:right="0" w:hanging="178"/>
        <w:jc w:val="left"/>
        <w:rPr>
          <w:rFonts w:ascii="宋体" w:hAnsi="宋体" w:cs="宋体" w:eastAsia="宋体" w:hint="default"/>
          <w:sz w:val="18"/>
          <w:szCs w:val="18"/>
        </w:rPr>
      </w:pPr>
      <w:r>
        <w:rPr/>
        <w:br w:type="column"/>
      </w:r>
      <w:r>
        <w:rPr>
          <w:rFonts w:ascii="宋体" w:hAnsi="宋体" w:cs="宋体" w:eastAsia="宋体" w:hint="default"/>
          <w:sz w:val="18"/>
          <w:szCs w:val="18"/>
        </w:rPr>
        <w:t>互联网</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0"/>
          <w:szCs w:val="20"/>
        </w:rPr>
      </w:pPr>
    </w:p>
    <w:p>
      <w:pPr>
        <w:spacing w:before="0"/>
        <w:ind w:left="300" w:right="0" w:firstLine="0"/>
        <w:jc w:val="left"/>
        <w:rPr>
          <w:rFonts w:ascii="宋体" w:hAnsi="宋体" w:cs="宋体" w:eastAsia="宋体" w:hint="default"/>
          <w:sz w:val="18"/>
          <w:szCs w:val="18"/>
        </w:rPr>
      </w:pPr>
      <w:r>
        <w:rPr>
          <w:rFonts w:ascii="宋体" w:hAnsi="宋体" w:cs="宋体" w:eastAsia="宋体" w:hint="default"/>
          <w:sz w:val="18"/>
          <w:szCs w:val="18"/>
        </w:rPr>
        <w:t>保险</w:t>
      </w:r>
    </w:p>
    <w:p>
      <w:pPr>
        <w:spacing w:after="0"/>
        <w:jc w:val="left"/>
        <w:rPr>
          <w:rFonts w:ascii="宋体" w:hAnsi="宋体" w:cs="宋体" w:eastAsia="宋体" w:hint="default"/>
          <w:sz w:val="18"/>
          <w:szCs w:val="18"/>
        </w:rPr>
        <w:sectPr>
          <w:type w:val="continuous"/>
          <w:pgSz w:w="11910" w:h="16840"/>
          <w:pgMar w:top="1100" w:bottom="1220" w:left="1020" w:right="0"/>
          <w:cols w:num="3" w:equalWidth="0">
            <w:col w:w="1928" w:space="59"/>
            <w:col w:w="7542" w:space="463"/>
            <w:col w:w="898"/>
          </w:cols>
        </w:sectPr>
      </w:pPr>
    </w:p>
    <w:p>
      <w:pPr>
        <w:spacing w:line="240" w:lineRule="auto" w:before="9"/>
        <w:rPr>
          <w:rFonts w:ascii="宋体" w:hAnsi="宋体" w:cs="宋体" w:eastAsia="宋体" w:hint="default"/>
          <w:sz w:val="26"/>
          <w:szCs w:val="26"/>
        </w:rPr>
      </w:pPr>
      <w:r>
        <w:rPr/>
        <w:pict>
          <v:group style="position:absolute;margin-left:56.183998pt;margin-top:71.659966pt;width:528.2pt;height:655.2pt;mso-position-horizontal-relative:page;mso-position-vertical-relative:page;z-index:-1185712" coordorigin="1124,1433" coordsize="10564,13104">
            <v:group style="position:absolute;left:1138;top:1448;width:1974;height:2" coordorigin="1138,1448" coordsize="1974,2">
              <v:shape style="position:absolute;left:1138;top:1448;width:1974;height:2" coordorigin="1138,1448" coordsize="1974,0" path="m1138,1448l3111,1448e" filled="false" stroked="true" strokeweight=".72pt" strokecolor="#000000">
                <v:path arrowok="t"/>
              </v:shape>
            </v:group>
            <v:group style="position:absolute;left:3126;top:1448;width:2397;height:2" coordorigin="3126,1448" coordsize="2397,2">
              <v:shape style="position:absolute;left:3126;top:1448;width:2397;height:2" coordorigin="3126,1448" coordsize="2397,0" path="m3126,1448l5522,1448e" filled="false" stroked="true" strokeweight=".72pt" strokecolor="#000000">
                <v:path arrowok="t"/>
              </v:shape>
            </v:group>
            <v:group style="position:absolute;left:5536;top:1448;width:4922;height:2" coordorigin="5536,1448" coordsize="4922,2">
              <v:shape style="position:absolute;left:5536;top:1448;width:4922;height:2" coordorigin="5536,1448" coordsize="4922,0" path="m5536,1448l10458,1448e" filled="false" stroked="true" strokeweight=".72pt" strokecolor="#000000">
                <v:path arrowok="t"/>
              </v:shape>
            </v:group>
            <v:group style="position:absolute;left:10473;top:1448;width:1201;height:2" coordorigin="10473,1448" coordsize="1201,2">
              <v:shape style="position:absolute;left:10473;top:1448;width:1201;height:2" coordorigin="10473,1448" coordsize="1201,0" path="m10473,1448l11673,1448e" filled="false" stroked="true" strokeweight=".72pt" strokecolor="#000000">
                <v:path arrowok="t"/>
              </v:shape>
            </v:group>
            <v:group style="position:absolute;left:1138;top:4290;width:1974;height:2" coordorigin="1138,4290" coordsize="1974,2">
              <v:shape style="position:absolute;left:1138;top:4290;width:1974;height:2" coordorigin="1138,4290" coordsize="1974,0" path="m1138,4290l3111,4290e" filled="false" stroked="true" strokeweight=".72pt" strokecolor="#000000">
                <v:path arrowok="t"/>
              </v:shape>
            </v:group>
            <v:group style="position:absolute;left:3126;top:4290;width:2397;height:2" coordorigin="3126,4290" coordsize="2397,2">
              <v:shape style="position:absolute;left:3126;top:4290;width:2397;height:2" coordorigin="3126,4290" coordsize="2397,0" path="m3126,4290l5522,4290e" filled="false" stroked="true" strokeweight=".72pt" strokecolor="#000000">
                <v:path arrowok="t"/>
              </v:shape>
            </v:group>
            <v:group style="position:absolute;left:5536;top:4290;width:4922;height:2" coordorigin="5536,4290" coordsize="4922,2">
              <v:shape style="position:absolute;left:5536;top:4290;width:4922;height:2" coordorigin="5536,4290" coordsize="4922,0" path="m5536,4290l10458,4290e" filled="false" stroked="true" strokeweight=".72pt" strokecolor="#000000">
                <v:path arrowok="t"/>
              </v:shape>
            </v:group>
            <v:group style="position:absolute;left:10473;top:4290;width:1201;height:2" coordorigin="10473,4290" coordsize="1201,2">
              <v:shape style="position:absolute;left:10473;top:4290;width:1201;height:2" coordorigin="10473,4290" coordsize="1201,0" path="m10473,4290l11673,4290e" filled="false" stroked="true" strokeweight=".72pt" strokecolor="#000000">
                <v:path arrowok="t"/>
              </v:shape>
            </v:group>
            <v:group style="position:absolute;left:1138;top:5889;width:1974;height:2" coordorigin="1138,5889" coordsize="1974,2">
              <v:shape style="position:absolute;left:1138;top:5889;width:1974;height:2" coordorigin="1138,5889" coordsize="1974,0" path="m1138,5889l3111,5889e" filled="false" stroked="true" strokeweight=".74402pt" strokecolor="#000000">
                <v:path arrowok="t"/>
              </v:shape>
            </v:group>
            <v:group style="position:absolute;left:3126;top:5889;width:2397;height:2" coordorigin="3126,5889" coordsize="2397,2">
              <v:shape style="position:absolute;left:3126;top:5889;width:2397;height:2" coordorigin="3126,5889" coordsize="2397,0" path="m3126,5889l5522,5889e" filled="false" stroked="true" strokeweight=".74402pt" strokecolor="#000000">
                <v:path arrowok="t"/>
              </v:shape>
            </v:group>
            <v:group style="position:absolute;left:5536;top:5889;width:4922;height:2" coordorigin="5536,5889" coordsize="4922,2">
              <v:shape style="position:absolute;left:5536;top:5889;width:4922;height:2" coordorigin="5536,5889" coordsize="4922,0" path="m5536,5889l10458,5889e" filled="false" stroked="true" strokeweight=".74402pt" strokecolor="#000000">
                <v:path arrowok="t"/>
              </v:shape>
            </v:group>
            <v:group style="position:absolute;left:10473;top:5889;width:1201;height:2" coordorigin="10473,5889" coordsize="1201,2">
              <v:shape style="position:absolute;left:10473;top:5889;width:1201;height:2" coordorigin="10473,5889" coordsize="1201,0" path="m10473,5889l11673,5889e" filled="false" stroked="true" strokeweight=".74402pt" strokecolor="#000000">
                <v:path arrowok="t"/>
              </v:shape>
            </v:group>
            <v:group style="position:absolute;left:1138;top:7483;width:1974;height:2" coordorigin="1138,7483" coordsize="1974,2">
              <v:shape style="position:absolute;left:1138;top:7483;width:1974;height:2" coordorigin="1138,7483" coordsize="1974,0" path="m1138,7483l3111,7483e" filled="false" stroked="true" strokeweight=".72pt" strokecolor="#000000">
                <v:path arrowok="t"/>
              </v:shape>
            </v:group>
            <v:group style="position:absolute;left:3126;top:7483;width:2397;height:2" coordorigin="3126,7483" coordsize="2397,2">
              <v:shape style="position:absolute;left:3126;top:7483;width:2397;height:2" coordorigin="3126,7483" coordsize="2397,0" path="m3126,7483l5522,7483e" filled="false" stroked="true" strokeweight=".72pt" strokecolor="#000000">
                <v:path arrowok="t"/>
              </v:shape>
            </v:group>
            <v:group style="position:absolute;left:5536;top:7483;width:4922;height:2" coordorigin="5536,7483" coordsize="4922,2">
              <v:shape style="position:absolute;left:5536;top:7483;width:4922;height:2" coordorigin="5536,7483" coordsize="4922,0" path="m5536,7483l10458,7483e" filled="false" stroked="true" strokeweight=".72pt" strokecolor="#000000">
                <v:path arrowok="t"/>
              </v:shape>
            </v:group>
            <v:group style="position:absolute;left:10473;top:7483;width:1201;height:2" coordorigin="10473,7483" coordsize="1201,2">
              <v:shape style="position:absolute;left:10473;top:7483;width:1201;height:2" coordorigin="10473,7483" coordsize="1201,0" path="m10473,7483l11673,7483e" filled="false" stroked="true" strokeweight=".72pt" strokecolor="#000000">
                <v:path arrowok="t"/>
              </v:shape>
            </v:group>
            <v:group style="position:absolute;left:1138;top:10325;width:1974;height:2" coordorigin="1138,10325" coordsize="1974,2">
              <v:shape style="position:absolute;left:1138;top:10325;width:1974;height:2" coordorigin="1138,10325" coordsize="1974,0" path="m1138,10325l3111,10325e" filled="false" stroked="true" strokeweight=".72003pt" strokecolor="#000000">
                <v:path arrowok="t"/>
              </v:shape>
            </v:group>
            <v:group style="position:absolute;left:3126;top:10325;width:2397;height:2" coordorigin="3126,10325" coordsize="2397,2">
              <v:shape style="position:absolute;left:3126;top:10325;width:2397;height:2" coordorigin="3126,10325" coordsize="2397,0" path="m3126,10325l5522,10325e" filled="false" stroked="true" strokeweight=".72003pt" strokecolor="#000000">
                <v:path arrowok="t"/>
              </v:shape>
            </v:group>
            <v:group style="position:absolute;left:5536;top:10325;width:4922;height:2" coordorigin="5536,10325" coordsize="4922,2">
              <v:shape style="position:absolute;left:5536;top:10325;width:4922;height:2" coordorigin="5536,10325" coordsize="4922,0" path="m5536,10325l10458,10325e" filled="false" stroked="true" strokeweight=".72003pt" strokecolor="#000000">
                <v:path arrowok="t"/>
              </v:shape>
            </v:group>
            <v:group style="position:absolute;left:10473;top:10325;width:1201;height:2" coordorigin="10473,10325" coordsize="1201,2">
              <v:shape style="position:absolute;left:10473;top:10325;width:1201;height:2" coordorigin="10473,10325" coordsize="1201,0" path="m10473,10325l11673,10325e" filled="false" stroked="true" strokeweight=".72003pt" strokecolor="#000000">
                <v:path arrowok="t"/>
              </v:shape>
            </v:group>
            <v:group style="position:absolute;left:1138;top:10983;width:1974;height:2" coordorigin="1138,10983" coordsize="1974,2">
              <v:shape style="position:absolute;left:1138;top:10983;width:1974;height:2" coordorigin="1138,10983" coordsize="1974,0" path="m1138,10983l3111,10983e" filled="false" stroked="true" strokeweight=".72003pt" strokecolor="#000000">
                <v:path arrowok="t"/>
              </v:shape>
            </v:group>
            <v:group style="position:absolute;left:3126;top:10983;width:2397;height:2" coordorigin="3126,10983" coordsize="2397,2">
              <v:shape style="position:absolute;left:3126;top:10983;width:2397;height:2" coordorigin="3126,10983" coordsize="2397,0" path="m3126,10983l5522,10983e" filled="false" stroked="true" strokeweight=".72003pt" strokecolor="#000000">
                <v:path arrowok="t"/>
              </v:shape>
            </v:group>
            <v:group style="position:absolute;left:5536;top:10983;width:4922;height:2" coordorigin="5536,10983" coordsize="4922,2">
              <v:shape style="position:absolute;left:5536;top:10983;width:4922;height:2" coordorigin="5536,10983" coordsize="4922,0" path="m5536,10983l10458,10983e" filled="false" stroked="true" strokeweight=".72003pt" strokecolor="#000000">
                <v:path arrowok="t"/>
              </v:shape>
            </v:group>
            <v:group style="position:absolute;left:10473;top:10983;width:1201;height:2" coordorigin="10473,10983" coordsize="1201,2">
              <v:shape style="position:absolute;left:10473;top:10983;width:1201;height:2" coordorigin="10473,10983" coordsize="1201,0" path="m10473,10983l11673,10983e" filled="false" stroked="true" strokeweight=".72003pt" strokecolor="#000000">
                <v:path arrowok="t"/>
              </v:shape>
            </v:group>
            <v:group style="position:absolute;left:1138;top:12582;width:1974;height:2" coordorigin="1138,12582" coordsize="1974,2">
              <v:shape style="position:absolute;left:1138;top:12582;width:1974;height:2" coordorigin="1138,12582" coordsize="1974,0" path="m1138,12582l3111,12582e" filled="false" stroked="true" strokeweight=".71997pt" strokecolor="#000000">
                <v:path arrowok="t"/>
              </v:shape>
            </v:group>
            <v:group style="position:absolute;left:3126;top:12582;width:2397;height:2" coordorigin="3126,12582" coordsize="2397,2">
              <v:shape style="position:absolute;left:3126;top:12582;width:2397;height:2" coordorigin="3126,12582" coordsize="2397,0" path="m3126,12582l5522,12582e" filled="false" stroked="true" strokeweight=".71997pt" strokecolor="#000000">
                <v:path arrowok="t"/>
              </v:shape>
            </v:group>
            <v:group style="position:absolute;left:5536;top:12582;width:4922;height:2" coordorigin="5536,12582" coordsize="4922,2">
              <v:shape style="position:absolute;left:5536;top:12582;width:4922;height:2" coordorigin="5536,12582" coordsize="4922,0" path="m5536,12582l10458,12582e" filled="false" stroked="true" strokeweight=".71997pt" strokecolor="#000000">
                <v:path arrowok="t"/>
              </v:shape>
            </v:group>
            <v:group style="position:absolute;left:10473;top:12582;width:1201;height:2" coordorigin="10473,12582" coordsize="1201,2">
              <v:shape style="position:absolute;left:10473;top:12582;width:1201;height:2" coordorigin="10473,12582" coordsize="1201,0" path="m10473,12582l11673,12582e" filled="false" stroked="true" strokeweight=".71997pt" strokecolor="#000000">
                <v:path arrowok="t"/>
              </v:shape>
            </v:group>
            <v:group style="position:absolute;left:1138;top:13552;width:1974;height:2" coordorigin="1138,13552" coordsize="1974,2">
              <v:shape style="position:absolute;left:1138;top:13552;width:1974;height:2" coordorigin="1138,13552" coordsize="1974,0" path="m1138,13552l3111,13552e" filled="false" stroked="true" strokeweight=".72003pt" strokecolor="#000000">
                <v:path arrowok="t"/>
              </v:shape>
            </v:group>
            <v:group style="position:absolute;left:3126;top:13552;width:2397;height:2" coordorigin="3126,13552" coordsize="2397,2">
              <v:shape style="position:absolute;left:3126;top:13552;width:2397;height:2" coordorigin="3126,13552" coordsize="2397,0" path="m3126,13552l5522,13552e" filled="false" stroked="true" strokeweight=".72003pt" strokecolor="#000000">
                <v:path arrowok="t"/>
              </v:shape>
            </v:group>
            <v:group style="position:absolute;left:5536;top:13552;width:4922;height:2" coordorigin="5536,13552" coordsize="4922,2">
              <v:shape style="position:absolute;left:5536;top:13552;width:4922;height:2" coordorigin="5536,13552" coordsize="4922,0" path="m5536,13552l10458,13552e" filled="false" stroked="true" strokeweight=".72003pt" strokecolor="#000000">
                <v:path arrowok="t"/>
              </v:shape>
            </v:group>
            <v:group style="position:absolute;left:10473;top:13552;width:1201;height:2" coordorigin="10473,13552" coordsize="1201,2">
              <v:shape style="position:absolute;left:10473;top:13552;width:1201;height:2" coordorigin="10473,13552" coordsize="1201,0" path="m10473,13552l11673,13552e" filled="false" stroked="true" strokeweight=".72003pt" strokecolor="#000000">
                <v:path arrowok="t"/>
              </v:shape>
            </v:group>
            <v:group style="position:absolute;left:1131;top:1440;width:2;height:13089" coordorigin="1131,1440" coordsize="2,13089">
              <v:shape style="position:absolute;left:1131;top:1440;width:2;height:13089" coordorigin="1131,1440" coordsize="0,13089" path="m1131,1440l1131,14529e" filled="false" stroked="true" strokeweight=".72pt" strokecolor="#000000">
                <v:path arrowok="t"/>
              </v:shape>
            </v:group>
            <v:group style="position:absolute;left:1138;top:14522;width:1974;height:2" coordorigin="1138,14522" coordsize="1974,2">
              <v:shape style="position:absolute;left:1138;top:14522;width:1974;height:2" coordorigin="1138,14522" coordsize="1974,0" path="m1138,14522l3111,14522e" filled="false" stroked="true" strokeweight=".71997pt" strokecolor="#000000">
                <v:path arrowok="t"/>
              </v:shape>
            </v:group>
            <v:group style="position:absolute;left:3119;top:1440;width:2;height:13089" coordorigin="3119,1440" coordsize="2,13089">
              <v:shape style="position:absolute;left:3119;top:1440;width:2;height:13089" coordorigin="3119,1440" coordsize="0,13089" path="m3119,1440l3119,14529e" filled="false" stroked="true" strokeweight=".71999pt" strokecolor="#000000">
                <v:path arrowok="t"/>
              </v:shape>
            </v:group>
            <v:group style="position:absolute;left:3126;top:14522;width:2397;height:2" coordorigin="3126,14522" coordsize="2397,2">
              <v:shape style="position:absolute;left:3126;top:14522;width:2397;height:2" coordorigin="3126,14522" coordsize="2397,0" path="m3126,14522l5522,14522e" filled="false" stroked="true" strokeweight=".71997pt" strokecolor="#000000">
                <v:path arrowok="t"/>
              </v:shape>
            </v:group>
            <v:group style="position:absolute;left:5529;top:1440;width:2;height:13089" coordorigin="5529,1440" coordsize="2,13089">
              <v:shape style="position:absolute;left:5529;top:1440;width:2;height:13089" coordorigin="5529,1440" coordsize="0,13089" path="m5529,1440l5529,14529e" filled="false" stroked="true" strokeweight=".72pt" strokecolor="#000000">
                <v:path arrowok="t"/>
              </v:shape>
            </v:group>
            <v:group style="position:absolute;left:5536;top:14522;width:4922;height:2" coordorigin="5536,14522" coordsize="4922,2">
              <v:shape style="position:absolute;left:5536;top:14522;width:4922;height:2" coordorigin="5536,14522" coordsize="4922,0" path="m5536,14522l10458,14522e" filled="false" stroked="true" strokeweight=".71997pt" strokecolor="#000000">
                <v:path arrowok="t"/>
              </v:shape>
            </v:group>
            <v:group style="position:absolute;left:10465;top:1440;width:2;height:13089" coordorigin="10465,1440" coordsize="2,13089">
              <v:shape style="position:absolute;left:10465;top:1440;width:2;height:13089" coordorigin="10465,1440" coordsize="0,13089" path="m10465,1440l10465,14529e" filled="false" stroked="true" strokeweight=".72003pt" strokecolor="#000000">
                <v:path arrowok="t"/>
              </v:shape>
            </v:group>
            <v:group style="position:absolute;left:10473;top:14522;width:1201;height:2" coordorigin="10473,14522" coordsize="1201,2">
              <v:shape style="position:absolute;left:10473;top:14522;width:1201;height:2" coordorigin="10473,14522" coordsize="1201,0" path="m10473,14522l11673,14522e" filled="false" stroked="true" strokeweight=".71997pt" strokecolor="#000000">
                <v:path arrowok="t"/>
              </v:shape>
            </v:group>
            <v:group style="position:absolute;left:11680;top:1440;width:2;height:13089" coordorigin="11680,1440" coordsize="2,13089">
              <v:shape style="position:absolute;left:11680;top:1440;width:2;height:13089" coordorigin="11680,1440" coordsize="0,13089" path="m11680,1440l11680,14529e" filled="false" stroked="true" strokeweight=".71997pt" strokecolor="#000000">
                <v:path arrowok="t"/>
              </v:shape>
            </v:group>
            <w10:wrap type="none"/>
          </v:group>
        </w:pict>
      </w:r>
    </w:p>
    <w:p>
      <w:pPr>
        <w:spacing w:before="46"/>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近三年公司研发投入金额及占营业收入的比例</w:t>
      </w:r>
    </w:p>
    <w:p>
      <w:pPr>
        <w:spacing w:after="0"/>
        <w:jc w:val="left"/>
        <w:rPr>
          <w:rFonts w:ascii="宋体" w:hAnsi="宋体" w:cs="宋体" w:eastAsia="宋体" w:hint="default"/>
          <w:sz w:val="18"/>
          <w:szCs w:val="18"/>
        </w:rPr>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研发人员数量（人）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1,811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1,481</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33.66%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34.21%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31.00%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研发投入金额（元）</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316,950,249.35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289,495,853.16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237,103,847.42</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研发投入占营业收入比例</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7.09%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7.69%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8.00%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研</w:t>
            </w:r>
            <w:r>
              <w:rPr>
                <w:rFonts w:ascii="宋体" w:hAnsi="宋体" w:cs="宋体" w:eastAsia="宋体" w:hint="default"/>
                <w:spacing w:val="-5"/>
                <w:w w:val="101"/>
                <w:sz w:val="18"/>
                <w:szCs w:val="18"/>
              </w:rPr>
              <w:t>发</w:t>
            </w:r>
            <w:r>
              <w:rPr>
                <w:rFonts w:ascii="宋体" w:hAnsi="宋体" w:cs="宋体" w:eastAsia="宋体" w:hint="default"/>
                <w:w w:val="101"/>
                <w:sz w:val="18"/>
                <w:szCs w:val="18"/>
              </w:rPr>
              <w:t>支</w:t>
            </w:r>
            <w:r>
              <w:rPr>
                <w:rFonts w:ascii="宋体" w:hAnsi="宋体" w:cs="宋体" w:eastAsia="宋体" w:hint="default"/>
                <w:spacing w:val="-5"/>
                <w:w w:val="101"/>
                <w:sz w:val="18"/>
                <w:szCs w:val="18"/>
              </w:rPr>
              <w:t>出</w:t>
            </w:r>
            <w:r>
              <w:rPr>
                <w:rFonts w:ascii="宋体" w:hAnsi="宋体" w:cs="宋体" w:eastAsia="宋体" w:hint="default"/>
                <w:w w:val="101"/>
                <w:sz w:val="18"/>
                <w:szCs w:val="18"/>
              </w:rPr>
              <w:t>资</w:t>
            </w:r>
            <w:r>
              <w:rPr>
                <w:rFonts w:ascii="宋体" w:hAnsi="宋体" w:cs="宋体" w:eastAsia="宋体" w:hint="default"/>
                <w:spacing w:val="-5"/>
                <w:w w:val="101"/>
                <w:sz w:val="18"/>
                <w:szCs w:val="18"/>
              </w:rPr>
              <w:t>本</w:t>
            </w:r>
            <w:r>
              <w:rPr>
                <w:rFonts w:ascii="宋体" w:hAnsi="宋体" w:cs="宋体" w:eastAsia="宋体" w:hint="default"/>
                <w:w w:val="101"/>
                <w:sz w:val="18"/>
                <w:szCs w:val="18"/>
              </w:rPr>
              <w:t>化</w:t>
            </w:r>
            <w:r>
              <w:rPr>
                <w:rFonts w:ascii="宋体" w:hAnsi="宋体" w:cs="宋体" w:eastAsia="宋体" w:hint="default"/>
                <w:spacing w:val="-5"/>
                <w:w w:val="101"/>
                <w:sz w:val="18"/>
                <w:szCs w:val="18"/>
              </w:rPr>
              <w:t>的</w:t>
            </w:r>
            <w:r>
              <w:rPr>
                <w:rFonts w:ascii="宋体" w:hAnsi="宋体" w:cs="宋体" w:eastAsia="宋体" w:hint="default"/>
                <w:w w:val="101"/>
                <w:sz w:val="18"/>
                <w:szCs w:val="18"/>
              </w:rPr>
              <w:t>金</w:t>
            </w:r>
            <w:r>
              <w:rPr>
                <w:rFonts w:ascii="宋体" w:hAnsi="宋体" w:cs="宋体" w:eastAsia="宋体" w:hint="default"/>
                <w:spacing w:val="-77"/>
                <w:w w:val="101"/>
                <w:sz w:val="18"/>
                <w:szCs w:val="18"/>
              </w:rPr>
              <w:t>额</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w w:val="101"/>
                <w:sz w:val="18"/>
                <w:szCs w:val="18"/>
              </w:rPr>
              <w:t>）</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103,714,428.43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103,970,627.92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95,660,153.66</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05" w:right="109"/>
              <w:jc w:val="left"/>
              <w:rPr>
                <w:rFonts w:ascii="宋体" w:hAnsi="宋体" w:cs="宋体" w:eastAsia="宋体" w:hint="default"/>
                <w:sz w:val="18"/>
                <w:szCs w:val="18"/>
              </w:rPr>
            </w:pPr>
            <w:r>
              <w:rPr>
                <w:rFonts w:ascii="宋体" w:hAnsi="宋体" w:cs="宋体" w:eastAsia="宋体" w:hint="default"/>
                <w:spacing w:val="-3"/>
                <w:sz w:val="18"/>
                <w:szCs w:val="18"/>
              </w:rPr>
              <w:t>资本化研发支出占研发投入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40.35%</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09"/>
              <w:jc w:val="left"/>
              <w:rPr>
                <w:rFonts w:ascii="宋体" w:hAnsi="宋体" w:cs="宋体" w:eastAsia="宋体" w:hint="default"/>
                <w:sz w:val="18"/>
                <w:szCs w:val="18"/>
              </w:rPr>
            </w:pPr>
            <w:r>
              <w:rPr>
                <w:rFonts w:ascii="宋体" w:hAnsi="宋体" w:cs="宋体" w:eastAsia="宋体" w:hint="default"/>
                <w:spacing w:val="-3"/>
                <w:sz w:val="18"/>
                <w:szCs w:val="18"/>
              </w:rPr>
              <w:t>资本化研发支出占当期净利</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润的比重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53.34%</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before="53"/>
        <w:ind w:left="113" w:right="3521" w:firstLine="0"/>
        <w:jc w:val="left"/>
        <w:rPr>
          <w:rFonts w:ascii="宋体" w:hAnsi="宋体" w:cs="宋体" w:eastAsia="宋体" w:hint="default"/>
          <w:sz w:val="18"/>
          <w:szCs w:val="18"/>
        </w:rPr>
      </w:pPr>
      <w:r>
        <w:rPr>
          <w:rFonts w:ascii="宋体" w:hAnsi="宋体" w:cs="宋体" w:eastAsia="宋体" w:hint="default"/>
          <w:spacing w:val="-3"/>
          <w:sz w:val="18"/>
          <w:szCs w:val="18"/>
        </w:rPr>
        <w:t>研发投入总额占营业收入的比重较上年发生显著变化的原因</w:t>
      </w:r>
    </w:p>
    <w:p>
      <w:pPr>
        <w:spacing w:line="357" w:lineRule="auto" w:before="120"/>
        <w:ind w:left="113" w:right="3521"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研发投入资本化率大幅变动的原因及其合理性说明</w:t>
      </w:r>
    </w:p>
    <w:p>
      <w:pPr>
        <w:spacing w:before="26"/>
        <w:ind w:left="113" w:right="3521"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before="119"/>
        <w:ind w:left="113" w:right="-13" w:firstLine="0"/>
        <w:jc w:val="left"/>
        <w:rPr>
          <w:rFonts w:ascii="宋体" w:hAnsi="宋体" w:cs="宋体" w:eastAsia="宋体" w:hint="default"/>
          <w:sz w:val="18"/>
          <w:szCs w:val="18"/>
        </w:rPr>
      </w:pPr>
      <w:r>
        <w:rPr>
          <w:rFonts w:ascii="宋体" w:hAnsi="宋体" w:cs="宋体" w:eastAsia="宋体" w:hint="default"/>
          <w:spacing w:val="-3"/>
          <w:sz w:val="18"/>
          <w:szCs w:val="18"/>
        </w:rPr>
        <w:t>公司需遵守《深圳证券交易所行业信息披露指引第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号——上市公司从事软件与信息技术服务业务》的披露要求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2"/>
          <w:szCs w:val="12"/>
        </w:rPr>
      </w:pPr>
    </w:p>
    <w:p>
      <w:pPr>
        <w:spacing w:before="0"/>
        <w:ind w:left="-35"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9030" w:space="40"/>
            <w:col w:w="1820"/>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61" w:right="0"/>
              <w:jc w:val="left"/>
              <w:rPr>
                <w:rFonts w:ascii="宋体" w:hAnsi="宋体" w:cs="宋体" w:eastAsia="宋体" w:hint="default"/>
                <w:sz w:val="18"/>
                <w:szCs w:val="18"/>
              </w:rPr>
            </w:pPr>
            <w:r>
              <w:rPr>
                <w:rFonts w:ascii="宋体" w:hAnsi="宋体" w:cs="宋体" w:eastAsia="宋体" w:hint="default"/>
                <w:spacing w:val="-3"/>
                <w:sz w:val="18"/>
                <w:szCs w:val="18"/>
              </w:rPr>
              <w:t>研发资本化金额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9" w:right="0"/>
              <w:jc w:val="left"/>
              <w:rPr>
                <w:rFonts w:ascii="宋体" w:hAnsi="宋体" w:cs="宋体" w:eastAsia="宋体" w:hint="default"/>
                <w:sz w:val="18"/>
                <w:szCs w:val="18"/>
              </w:rPr>
            </w:pPr>
            <w:r>
              <w:rPr>
                <w:rFonts w:ascii="宋体" w:hAnsi="宋体" w:cs="宋体" w:eastAsia="宋体" w:hint="default"/>
                <w:spacing w:val="-3"/>
                <w:sz w:val="18"/>
                <w:szCs w:val="18"/>
              </w:rPr>
              <w:t>相关项目的基本情况</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290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5" w:right="0"/>
              <w:jc w:val="left"/>
              <w:rPr>
                <w:rFonts w:ascii="宋体" w:hAnsi="宋体" w:cs="宋体" w:eastAsia="宋体" w:hint="default"/>
                <w:sz w:val="18"/>
                <w:szCs w:val="18"/>
              </w:rPr>
            </w:pPr>
            <w:r>
              <w:rPr>
                <w:rFonts w:ascii="宋体" w:hAnsi="宋体" w:cs="宋体" w:eastAsia="宋体" w:hint="default"/>
                <w:sz w:val="18"/>
                <w:szCs w:val="18"/>
              </w:rPr>
              <w:t>新一代</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BSS3.0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平台</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37,090,533.48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0" w:right="8"/>
              <w:jc w:val="left"/>
              <w:rPr>
                <w:rFonts w:ascii="宋体" w:hAnsi="宋体" w:cs="宋体" w:eastAsia="宋体" w:hint="default"/>
                <w:sz w:val="18"/>
                <w:szCs w:val="18"/>
              </w:rPr>
            </w:pPr>
            <w:r>
              <w:rPr>
                <w:rFonts w:ascii="宋体" w:hAnsi="宋体" w:cs="宋体" w:eastAsia="宋体" w:hint="default"/>
                <w:sz w:val="18"/>
                <w:szCs w:val="18"/>
              </w:rPr>
              <w:t>实现对</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BSS</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域整体架构和应</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用进行分布式化、中心化、</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服务化的升级改造，构建智</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慧型的数据服务化企业信息</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业务支撑运营体系。实现电</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信云计费建设，完成云平台</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改造及上线推广。完成云平</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8"/>
                <w:w w:val="101"/>
                <w:sz w:val="18"/>
                <w:szCs w:val="18"/>
              </w:rPr>
              <w:t>台运维监控可视化、数字化、</w:t>
            </w:r>
            <w:r>
              <w:rPr>
                <w:rFonts w:ascii="宋体" w:hAnsi="宋体" w:cs="宋体" w:eastAsia="宋体" w:hint="default"/>
                <w:w w:val="101"/>
                <w:sz w:val="18"/>
                <w:szCs w:val="18"/>
              </w:rPr>
              <w:t> </w:t>
            </w:r>
            <w:r>
              <w:rPr>
                <w:rFonts w:ascii="宋体" w:hAnsi="宋体" w:cs="宋体" w:eastAsia="宋体" w:hint="default"/>
                <w:sz w:val="18"/>
                <w:szCs w:val="18"/>
              </w:rPr>
              <w:t>智能化建设。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5" w:right="0"/>
              <w:jc w:val="left"/>
              <w:rPr>
                <w:rFonts w:ascii="宋体" w:hAnsi="宋体" w:cs="宋体" w:eastAsia="宋体" w:hint="default"/>
                <w:sz w:val="18"/>
                <w:szCs w:val="18"/>
              </w:rPr>
            </w:pPr>
            <w:r>
              <w:rPr>
                <w:rFonts w:ascii="宋体" w:hAnsi="宋体" w:cs="宋体" w:eastAsia="宋体" w:hint="default"/>
                <w:spacing w:val="-3"/>
                <w:sz w:val="18"/>
                <w:szCs w:val="18"/>
              </w:rPr>
              <w:t>开发、测试、试运行</w:t>
            </w:r>
          </w:p>
        </w:tc>
      </w:tr>
      <w:tr>
        <w:trPr>
          <w:trHeight w:val="258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联通虚拟运营开放平台</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18,701,594.37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100" w:right="113"/>
              <w:jc w:val="left"/>
              <w:rPr>
                <w:rFonts w:ascii="宋体" w:hAnsi="宋体" w:cs="宋体" w:eastAsia="宋体" w:hint="default"/>
                <w:sz w:val="18"/>
                <w:szCs w:val="18"/>
              </w:rPr>
            </w:pPr>
            <w:r>
              <w:rPr>
                <w:rFonts w:ascii="宋体" w:hAnsi="宋体" w:cs="宋体" w:eastAsia="宋体" w:hint="default"/>
                <w:sz w:val="18"/>
                <w:szCs w:val="18"/>
              </w:rPr>
              <w:t>开发虚拟运营开放平台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(VOP)</w:t>
            </w:r>
            <w:r>
              <w:rPr>
                <w:rFonts w:ascii="宋体" w:hAnsi="宋体" w:cs="宋体" w:eastAsia="宋体" w:hint="default"/>
                <w:sz w:val="18"/>
                <w:szCs w:val="18"/>
              </w:rPr>
              <w:t>：完成与转售企业的</w:t>
            </w:r>
            <w:r>
              <w:rPr>
                <w:rFonts w:ascii="宋体" w:hAnsi="宋体" w:cs="宋体" w:eastAsia="宋体" w:hint="default"/>
                <w:w w:val="101"/>
                <w:sz w:val="18"/>
                <w:szCs w:val="18"/>
              </w:rPr>
              <w:t> </w:t>
            </w:r>
            <w:r>
              <w:rPr>
                <w:rFonts w:ascii="宋体" w:hAnsi="宋体" w:cs="宋体" w:eastAsia="宋体" w:hint="default"/>
                <w:spacing w:val="-3"/>
                <w:sz w:val="18"/>
                <w:szCs w:val="18"/>
              </w:rPr>
              <w:t>统一对接、业务开通、计费</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结算、合作运营等工作。中</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国联通为支撑移动业务转售</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这一新颖而重要的需求，建</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立统一、开放、总部一级架</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构的支撑系统，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开发、测试、试运行</w:t>
            </w:r>
          </w:p>
        </w:tc>
      </w:tr>
      <w:tr>
        <w:trPr>
          <w:trHeight w:val="192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新零售清算中心平台</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pacing w:val="-1"/>
                <w:sz w:val="18"/>
              </w:rPr>
              <w:t>24,312,979.23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0" w:right="8"/>
              <w:jc w:val="left"/>
              <w:rPr>
                <w:rFonts w:ascii="宋体" w:hAnsi="宋体" w:cs="宋体" w:eastAsia="宋体" w:hint="default"/>
                <w:sz w:val="18"/>
                <w:szCs w:val="18"/>
              </w:rPr>
            </w:pPr>
            <w:r>
              <w:rPr>
                <w:rFonts w:ascii="宋体" w:hAnsi="宋体" w:cs="宋体" w:eastAsia="宋体" w:hint="default"/>
                <w:spacing w:val="-3"/>
                <w:sz w:val="18"/>
                <w:szCs w:val="18"/>
              </w:rPr>
              <w:t>为了尽快实现与异业互联网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企业的业务合作的</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支撑，</w:t>
            </w:r>
            <w:r>
              <w:rPr>
                <w:rFonts w:ascii="宋体" w:hAnsi="宋体" w:cs="宋体" w:eastAsia="宋体" w:hint="default"/>
                <w:spacing w:val="-86"/>
                <w:sz w:val="18"/>
                <w:szCs w:val="18"/>
              </w:rPr>
              <w:t> </w:t>
            </w:r>
            <w:r>
              <w:rPr>
                <w:rFonts w:ascii="宋体" w:hAnsi="宋体" w:cs="宋体" w:eastAsia="宋体" w:hint="default"/>
                <w:spacing w:val="-3"/>
                <w:sz w:val="18"/>
                <w:szCs w:val="18"/>
              </w:rPr>
              <w:t>构建自主研发的“新零售”</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8"/>
                <w:sz w:val="18"/>
                <w:szCs w:val="18"/>
              </w:rPr>
              <w:t>支撑软件，增强在“新零售”</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3"/>
                <w:sz w:val="18"/>
                <w:szCs w:val="18"/>
              </w:rPr>
              <w:t>领域的企业核心竞争力，启</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动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年新零售清算中心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开发、测试、试运行</w:t>
            </w:r>
          </w:p>
        </w:tc>
      </w:tr>
    </w:tbl>
    <w:p>
      <w:pPr>
        <w:spacing w:after="0" w:line="240" w:lineRule="auto"/>
        <w:jc w:val="left"/>
        <w:rPr>
          <w:rFonts w:ascii="宋体" w:hAnsi="宋体" w:cs="宋体" w:eastAsia="宋体" w:hint="default"/>
          <w:sz w:val="18"/>
          <w:szCs w:val="18"/>
        </w:rPr>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192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0" w:right="113"/>
              <w:jc w:val="both"/>
              <w:rPr>
                <w:rFonts w:ascii="宋体" w:hAnsi="宋体" w:cs="宋体" w:eastAsia="宋体" w:hint="default"/>
                <w:sz w:val="18"/>
                <w:szCs w:val="18"/>
              </w:rPr>
            </w:pPr>
            <w:r>
              <w:rPr>
                <w:rFonts w:ascii="宋体" w:hAnsi="宋体" w:cs="宋体" w:eastAsia="宋体" w:hint="default"/>
                <w:spacing w:val="-3"/>
                <w:sz w:val="18"/>
                <w:szCs w:val="18"/>
              </w:rPr>
              <w:t>平台项目建设。零售业依托</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新技术，开发新模式从而改</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善零售商供应链效率，提升</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用户体验，打破原有的行业</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边界，不断拓宽已有的营销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渠道。</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90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5" w:right="0"/>
              <w:jc w:val="left"/>
              <w:rPr>
                <w:rFonts w:ascii="宋体" w:hAnsi="宋体" w:cs="宋体" w:eastAsia="宋体" w:hint="default"/>
                <w:sz w:val="18"/>
                <w:szCs w:val="18"/>
              </w:rPr>
            </w:pPr>
            <w:r>
              <w:rPr>
                <w:rFonts w:ascii="宋体" w:hAnsi="宋体" w:cs="宋体" w:eastAsia="宋体" w:hint="default"/>
                <w:spacing w:val="-3"/>
                <w:sz w:val="18"/>
                <w:szCs w:val="18"/>
              </w:rPr>
              <w:t>大数据安全平台</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14,345,363.47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0" w:right="8"/>
              <w:jc w:val="left"/>
              <w:rPr>
                <w:rFonts w:ascii="宋体" w:hAnsi="宋体" w:cs="宋体" w:eastAsia="宋体" w:hint="default"/>
                <w:sz w:val="18"/>
                <w:szCs w:val="18"/>
              </w:rPr>
            </w:pPr>
            <w:r>
              <w:rPr>
                <w:rFonts w:ascii="宋体" w:hAnsi="宋体" w:cs="宋体" w:eastAsia="宋体" w:hint="default"/>
                <w:spacing w:val="-3"/>
                <w:sz w:val="18"/>
                <w:szCs w:val="18"/>
              </w:rPr>
              <w:t>本项目主要基于人工智能安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全、数据安全、异常流量分</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8"/>
                <w:w w:val="101"/>
                <w:sz w:val="18"/>
                <w:szCs w:val="18"/>
              </w:rPr>
              <w:t>析、数据安全规范对标分析、</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整合解决方案能力，解决由</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Times New Roman" w:hAnsi="Times New Roman" w:cs="Times New Roman" w:eastAsia="Times New Roman" w:hint="default"/>
                <w:sz w:val="18"/>
                <w:szCs w:val="18"/>
              </w:rPr>
              <w:t>AI </w:t>
            </w:r>
            <w:r>
              <w:rPr>
                <w:rFonts w:ascii="宋体" w:hAnsi="宋体" w:cs="宋体" w:eastAsia="宋体" w:hint="default"/>
                <w:spacing w:val="-5"/>
                <w:sz w:val="18"/>
                <w:szCs w:val="18"/>
              </w:rPr>
              <w:t>竞争与对抗，攻击者窃取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数据等安全行业威胁。从细</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分市场分析来说数据安全等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领域市场已经逐渐成熟，市</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场商机巨大。</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5" w:right="0"/>
              <w:jc w:val="left"/>
              <w:rPr>
                <w:rFonts w:ascii="宋体" w:hAnsi="宋体" w:cs="宋体" w:eastAsia="宋体" w:hint="default"/>
                <w:sz w:val="18"/>
                <w:szCs w:val="18"/>
              </w:rPr>
            </w:pPr>
            <w:r>
              <w:rPr>
                <w:rFonts w:ascii="宋体" w:hAnsi="宋体" w:cs="宋体" w:eastAsia="宋体" w:hint="default"/>
                <w:spacing w:val="-3"/>
                <w:sz w:val="18"/>
                <w:szCs w:val="18"/>
              </w:rPr>
              <w:t>开发、测试、试运行</w:t>
            </w:r>
          </w:p>
        </w:tc>
      </w:tr>
      <w:tr>
        <w:trPr>
          <w:trHeight w:val="477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105" w:right="0"/>
              <w:jc w:val="left"/>
              <w:rPr>
                <w:rFonts w:ascii="宋体" w:hAnsi="宋体" w:cs="宋体" w:eastAsia="宋体" w:hint="default"/>
                <w:sz w:val="18"/>
                <w:szCs w:val="18"/>
              </w:rPr>
            </w:pPr>
            <w:r>
              <w:rPr>
                <w:rFonts w:ascii="宋体" w:hAnsi="宋体" w:cs="宋体" w:eastAsia="宋体" w:hint="default"/>
                <w:sz w:val="18"/>
                <w:szCs w:val="18"/>
              </w:rPr>
              <w:t>公安全息作战平台</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99"/>
              <w:jc w:val="right"/>
              <w:rPr>
                <w:rFonts w:ascii="Times New Roman" w:hAnsi="Times New Roman" w:cs="Times New Roman" w:eastAsia="Times New Roman" w:hint="default"/>
                <w:sz w:val="18"/>
                <w:szCs w:val="18"/>
              </w:rPr>
            </w:pPr>
            <w:r>
              <w:rPr>
                <w:rFonts w:ascii="Times New Roman"/>
                <w:spacing w:val="-1"/>
                <w:sz w:val="18"/>
              </w:rPr>
              <w:t>9,263,957.88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0" w:right="8"/>
              <w:jc w:val="left"/>
              <w:rPr>
                <w:rFonts w:ascii="宋体" w:hAnsi="宋体" w:cs="宋体" w:eastAsia="宋体" w:hint="default"/>
                <w:sz w:val="18"/>
                <w:szCs w:val="18"/>
              </w:rPr>
            </w:pPr>
            <w:r>
              <w:rPr>
                <w:rFonts w:ascii="宋体" w:hAnsi="宋体" w:cs="宋体" w:eastAsia="宋体" w:hint="default"/>
                <w:spacing w:val="-3"/>
                <w:sz w:val="18"/>
                <w:szCs w:val="18"/>
              </w:rPr>
              <w:t>公安全息作战部署在公安网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上，与情报大数据综合应用</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平台集成。能对异常监测信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息进行迅速反应，为城市立</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体化信息化社会治安防控体</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系建设提供全面、精准的支</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撑和保障，继续为公安行业</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以及其他各行各业提供高质</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量服务。可视化全息作战是</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以</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GIS</w:t>
            </w:r>
            <w:r>
              <w:rPr>
                <w:rFonts w:ascii="Times New Roman" w:hAnsi="Times New Roman" w:cs="Times New Roman" w:eastAsia="Times New Roman" w:hint="default"/>
                <w:sz w:val="18"/>
                <w:szCs w:val="18"/>
              </w:rPr>
              <w:t> </w:t>
            </w:r>
            <w:r>
              <w:rPr>
                <w:rFonts w:ascii="宋体" w:hAnsi="宋体" w:cs="宋体" w:eastAsia="宋体" w:hint="default"/>
                <w:sz w:val="18"/>
                <w:szCs w:val="18"/>
              </w:rPr>
              <w:t>地理信息系统为基础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的可视化展示和应用深度挖</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8"/>
                <w:w w:val="101"/>
                <w:sz w:val="18"/>
                <w:szCs w:val="18"/>
              </w:rPr>
              <w:t>掘，以服务实战为根本目标，</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实现感知层的可视化全息展</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示，使用户能更直观的掌控</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全局态势。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105" w:right="0"/>
              <w:jc w:val="left"/>
              <w:rPr>
                <w:rFonts w:ascii="宋体" w:hAnsi="宋体" w:cs="宋体" w:eastAsia="宋体" w:hint="default"/>
                <w:sz w:val="18"/>
                <w:szCs w:val="18"/>
              </w:rPr>
            </w:pPr>
            <w:r>
              <w:rPr>
                <w:rFonts w:ascii="宋体" w:hAnsi="宋体" w:cs="宋体" w:eastAsia="宋体" w:hint="default"/>
                <w:spacing w:val="-3"/>
                <w:sz w:val="18"/>
                <w:szCs w:val="18"/>
              </w:rPr>
              <w:t>开发、测试、试运行</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5、现金流" w:id="37"/>
      <w:bookmarkEnd w:id="37"/>
      <w:r>
        <w:rPr>
          <w:b w:val="0"/>
          <w:bCs w:val="0"/>
        </w:rPr>
      </w:r>
      <w:r>
        <w:rPr>
          <w:rFonts w:ascii="Times New Roman" w:hAnsi="Times New Roman" w:cs="Times New Roman" w:eastAsia="Times New Roman" w:hint="default"/>
        </w:rPr>
        <w:t>5</w:t>
      </w:r>
      <w:r>
        <w:rPr/>
        <w:t>、现金流</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399"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5,064,973,885.73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4,135,087,794.67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22.49%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5,427,456,951.33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4,229,090,073.88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28.34%</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09"/>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-362,483,065.60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-94,002,279.21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-285.61%</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4,604,198.10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58,257.00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7,803.25%</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151,536,122.77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177,709,121.57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-14.73%</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09"/>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-146,931,924.67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-177,650,864.57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17.29%</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2,243,710,000.00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1,169,312,450.00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91.88%</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1,654,236,565.22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984,556,969.82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68.02%</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09"/>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589,473,434.78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184,755,480.18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219.06%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79,683,062.54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-85,863,707.67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192.80%</w:t>
            </w:r>
          </w:p>
        </w:tc>
      </w:tr>
    </w:tbl>
    <w:p>
      <w:pPr>
        <w:spacing w:before="54"/>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相关数据同比发生重大变动的主要影响因素说明</w:t>
      </w:r>
    </w:p>
    <w:p>
      <w:pPr>
        <w:spacing w:before="115"/>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338" w:lineRule="auto" w:before="119"/>
        <w:ind w:left="113" w:right="1007" w:firstLine="0"/>
        <w:jc w:val="left"/>
        <w:rPr>
          <w:rFonts w:ascii="宋体" w:hAnsi="宋体" w:cs="宋体" w:eastAsia="宋体" w:hint="default"/>
          <w:sz w:val="18"/>
          <w:szCs w:val="18"/>
        </w:rPr>
      </w:pPr>
      <w:r>
        <w:rPr>
          <w:rFonts w:ascii="宋体" w:hAnsi="宋体" w:cs="宋体" w:eastAsia="宋体" w:hint="default"/>
          <w:sz w:val="18"/>
          <w:szCs w:val="18"/>
        </w:rPr>
        <w:t>经营活动产生的现金流量净额本期为</w:t>
      </w:r>
      <w:r>
        <w:rPr>
          <w:rFonts w:ascii="Times New Roman" w:hAnsi="Times New Roman" w:cs="Times New Roman" w:eastAsia="Times New Roman" w:hint="default"/>
          <w:sz w:val="18"/>
          <w:szCs w:val="18"/>
        </w:rPr>
        <w:t>-362,483,065.60 </w:t>
      </w:r>
      <w:r>
        <w:rPr>
          <w:rFonts w:ascii="宋体" w:hAnsi="宋体" w:cs="宋体" w:eastAsia="宋体" w:hint="default"/>
          <w:spacing w:val="-3"/>
          <w:sz w:val="18"/>
          <w:szCs w:val="18"/>
        </w:rPr>
        <w:t>元，较上年减少 </w:t>
      </w:r>
      <w:r>
        <w:rPr>
          <w:rFonts w:ascii="Times New Roman" w:hAnsi="Times New Roman" w:cs="Times New Roman" w:eastAsia="Times New Roman" w:hint="default"/>
          <w:spacing w:val="-3"/>
          <w:sz w:val="18"/>
          <w:szCs w:val="18"/>
        </w:rPr>
        <w:t>285.61%</w:t>
      </w:r>
      <w:r>
        <w:rPr>
          <w:rFonts w:ascii="宋体" w:hAnsi="宋体" w:cs="宋体" w:eastAsia="宋体" w:hint="default"/>
          <w:spacing w:val="-3"/>
          <w:sz w:val="18"/>
          <w:szCs w:val="18"/>
        </w:rPr>
        <w:t>，主要原因是网络产品销售期末备货增加。</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筹资活动产生的现金流量净额本期为 </w:t>
      </w:r>
      <w:r>
        <w:rPr>
          <w:rFonts w:ascii="Times New Roman" w:hAnsi="Times New Roman" w:cs="Times New Roman" w:eastAsia="Times New Roman" w:hint="default"/>
          <w:sz w:val="18"/>
          <w:szCs w:val="18"/>
        </w:rPr>
        <w:t>589,473,434.78  </w:t>
      </w:r>
      <w:r>
        <w:rPr>
          <w:rFonts w:ascii="宋体" w:hAnsi="宋体" w:cs="宋体" w:eastAsia="宋体" w:hint="default"/>
          <w:sz w:val="18"/>
          <w:szCs w:val="18"/>
        </w:rPr>
        <w:t>元，较上年增加</w:t>
      </w:r>
      <w:r>
        <w:rPr>
          <w:rFonts w:ascii="宋体" w:hAnsi="宋体" w:cs="宋体" w:eastAsia="宋体" w:hint="default"/>
          <w:spacing w:val="-25"/>
          <w:sz w:val="18"/>
          <w:szCs w:val="18"/>
        </w:rPr>
        <w:t> </w:t>
      </w:r>
      <w:r>
        <w:rPr>
          <w:rFonts w:ascii="Times New Roman" w:hAnsi="Times New Roman" w:cs="Times New Roman" w:eastAsia="Times New Roman" w:hint="default"/>
          <w:spacing w:val="-3"/>
          <w:sz w:val="18"/>
          <w:szCs w:val="18"/>
        </w:rPr>
        <w:t>219.06%</w:t>
      </w:r>
      <w:r>
        <w:rPr>
          <w:rFonts w:ascii="宋体" w:hAnsi="宋体" w:cs="宋体" w:eastAsia="宋体" w:hint="default"/>
          <w:spacing w:val="-3"/>
          <w:sz w:val="18"/>
          <w:szCs w:val="18"/>
        </w:rPr>
        <w:t>，主要原因是银行融资增加。</w:t>
      </w:r>
    </w:p>
    <w:p>
      <w:pPr>
        <w:spacing w:line="240" w:lineRule="auto" w:before="0"/>
        <w:rPr>
          <w:rFonts w:ascii="宋体" w:hAnsi="宋体" w:cs="宋体" w:eastAsia="宋体" w:hint="default"/>
          <w:sz w:val="18"/>
          <w:szCs w:val="18"/>
        </w:rPr>
      </w:pPr>
    </w:p>
    <w:p>
      <w:pPr>
        <w:spacing w:before="135"/>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报告期内公司经营活动产生的现金净流量与本年度净利润存在重大差异的原因说明</w:t>
      </w:r>
    </w:p>
    <w:p>
      <w:pPr>
        <w:spacing w:before="119"/>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304" w:lineRule="auto" w:before="110"/>
        <w:ind w:left="113" w:right="1007" w:firstLine="0"/>
        <w:jc w:val="left"/>
        <w:rPr>
          <w:rFonts w:ascii="宋体" w:hAnsi="宋体" w:cs="宋体" w:eastAsia="宋体" w:hint="default"/>
          <w:sz w:val="18"/>
          <w:szCs w:val="18"/>
        </w:rPr>
      </w:pPr>
      <w:r>
        <w:rPr>
          <w:rFonts w:ascii="宋体" w:hAnsi="宋体" w:cs="宋体" w:eastAsia="宋体" w:hint="default"/>
          <w:spacing w:val="-3"/>
          <w:sz w:val="18"/>
          <w:szCs w:val="18"/>
        </w:rPr>
        <w:t>报告期内公司实现归属于母公司股东的净利润 </w:t>
      </w:r>
      <w:r>
        <w:rPr>
          <w:rFonts w:ascii="Times New Roman" w:hAnsi="Times New Roman" w:cs="Times New Roman" w:eastAsia="Times New Roman" w:hint="default"/>
          <w:sz w:val="18"/>
          <w:szCs w:val="18"/>
        </w:rPr>
        <w:t>116,717,268.15 </w:t>
      </w:r>
      <w:r>
        <w:rPr>
          <w:rFonts w:ascii="宋体" w:hAnsi="宋体" w:cs="宋体" w:eastAsia="宋体" w:hint="default"/>
          <w:sz w:val="18"/>
          <w:szCs w:val="18"/>
        </w:rPr>
        <w:t>元，经营活动产生的现金流量净额</w:t>
      </w:r>
      <w:r>
        <w:rPr>
          <w:rFonts w:ascii="Times New Roman" w:hAnsi="Times New Roman" w:cs="Times New Roman" w:eastAsia="Times New Roman" w:hint="default"/>
          <w:sz w:val="18"/>
          <w:szCs w:val="18"/>
        </w:rPr>
        <w:t>-362,483,065.60 </w:t>
      </w:r>
      <w:r>
        <w:rPr>
          <w:rFonts w:ascii="宋体" w:hAnsi="宋体" w:cs="宋体" w:eastAsia="宋体" w:hint="default"/>
          <w:sz w:val="18"/>
          <w:szCs w:val="18"/>
        </w:rPr>
        <w:t>元，主要原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因是报告期内网络产品销售业务采购支出大于销售回款的增长。</w:t>
      </w:r>
    </w:p>
    <w:p>
      <w:pPr>
        <w:spacing w:line="240" w:lineRule="auto" w:before="8"/>
        <w:rPr>
          <w:rFonts w:ascii="宋体" w:hAnsi="宋体" w:cs="宋体" w:eastAsia="宋体" w:hint="default"/>
          <w:sz w:val="20"/>
          <w:szCs w:val="20"/>
        </w:rPr>
      </w:pPr>
    </w:p>
    <w:p>
      <w:pPr>
        <w:pStyle w:val="Heading2"/>
        <w:spacing w:line="240" w:lineRule="auto"/>
        <w:ind w:right="1764"/>
        <w:jc w:val="left"/>
        <w:rPr>
          <w:b w:val="0"/>
          <w:bCs w:val="0"/>
        </w:rPr>
      </w:pPr>
      <w:bookmarkStart w:name="三、非主营业务情况" w:id="38"/>
      <w:bookmarkEnd w:id="38"/>
      <w:r>
        <w:rPr>
          <w:b w:val="0"/>
          <w:bCs w:val="0"/>
        </w:rPr>
      </w:r>
      <w:r>
        <w:rPr/>
        <w:t>三、非主营业务情况</w:t>
      </w:r>
      <w:r>
        <w:rPr>
          <w:b w:val="0"/>
          <w:bCs w:val="0"/>
        </w:rPr>
      </w:r>
    </w:p>
    <w:p>
      <w:pPr>
        <w:spacing w:line="240" w:lineRule="auto" w:before="0"/>
        <w:rPr>
          <w:rFonts w:ascii="宋体" w:hAnsi="宋体" w:cs="宋体" w:eastAsia="宋体" w:hint="default"/>
          <w:b/>
          <w:bCs/>
          <w:sz w:val="24"/>
          <w:szCs w:val="24"/>
        </w:rPr>
      </w:pPr>
    </w:p>
    <w:p>
      <w:pPr>
        <w:spacing w:before="46"/>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22"/>
        <w:gridCol w:w="1916"/>
        <w:gridCol w:w="1628"/>
        <w:gridCol w:w="2166"/>
        <w:gridCol w:w="2338"/>
      </w:tblGrid>
      <w:tr>
        <w:trPr>
          <w:trHeight w:val="401"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77" w:right="0"/>
              <w:jc w:val="left"/>
              <w:rPr>
                <w:rFonts w:ascii="宋体" w:hAnsi="宋体" w:cs="宋体" w:eastAsia="宋体" w:hint="default"/>
                <w:sz w:val="18"/>
                <w:szCs w:val="18"/>
              </w:rPr>
            </w:pPr>
            <w:r>
              <w:rPr>
                <w:rFonts w:ascii="宋体" w:hAnsi="宋体" w:cs="宋体" w:eastAsia="宋体" w:hint="default"/>
                <w:spacing w:val="-3"/>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3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16"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7,411,066.30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4.32%</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100" w:right="248"/>
              <w:jc w:val="left"/>
              <w:rPr>
                <w:rFonts w:ascii="宋体" w:hAnsi="宋体" w:cs="宋体" w:eastAsia="宋体" w:hint="default"/>
                <w:sz w:val="18"/>
                <w:szCs w:val="18"/>
              </w:rPr>
            </w:pPr>
            <w:r>
              <w:rPr>
                <w:rFonts w:ascii="宋体" w:hAnsi="宋体" w:cs="宋体" w:eastAsia="宋体" w:hint="default"/>
                <w:spacing w:val="-2"/>
                <w:sz w:val="18"/>
                <w:szCs w:val="18"/>
              </w:rPr>
              <w:t>权益法核算下投资收益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的确认</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2"/>
              <w:jc w:val="left"/>
              <w:rPr>
                <w:rFonts w:ascii="宋体" w:hAnsi="宋体" w:cs="宋体" w:eastAsia="宋体" w:hint="default"/>
                <w:sz w:val="18"/>
                <w:szCs w:val="18"/>
              </w:rPr>
            </w:pPr>
            <w:r>
              <w:rPr>
                <w:rFonts w:ascii="宋体" w:hAnsi="宋体" w:cs="宋体" w:eastAsia="宋体" w:hint="default"/>
                <w:spacing w:val="-3"/>
                <w:sz w:val="18"/>
                <w:szCs w:val="18"/>
              </w:rPr>
              <w:t>公允价值变动损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510,336.00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0.30%</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153,675.77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0.09%</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785,282.64</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0.46%</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line="240" w:lineRule="auto" w:before="9"/>
        <w:rPr>
          <w:rFonts w:ascii="宋体" w:hAnsi="宋体" w:cs="宋体" w:eastAsia="宋体" w:hint="default"/>
          <w:sz w:val="17"/>
          <w:szCs w:val="17"/>
        </w:rPr>
      </w:pPr>
    </w:p>
    <w:p>
      <w:pPr>
        <w:pStyle w:val="Heading2"/>
        <w:spacing w:line="240" w:lineRule="auto" w:before="26"/>
        <w:ind w:right="1764"/>
        <w:jc w:val="left"/>
        <w:rPr>
          <w:b w:val="0"/>
          <w:bCs w:val="0"/>
        </w:rPr>
      </w:pPr>
      <w:bookmarkStart w:name="四、资产及负债状况" w:id="39"/>
      <w:bookmarkEnd w:id="39"/>
      <w:r>
        <w:rPr>
          <w:b w:val="0"/>
          <w:bCs w:val="0"/>
        </w:rPr>
      </w: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764"/>
        <w:jc w:val="left"/>
        <w:rPr>
          <w:b w:val="0"/>
          <w:bCs w:val="0"/>
        </w:rPr>
      </w:pPr>
      <w:bookmarkStart w:name="1、资产构成重大变动情况" w:id="40"/>
      <w:bookmarkEnd w:id="40"/>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6" w:footer="1022" w:top="1100" w:bottom="1220" w:left="1020" w:right="0"/>
        </w:sectPr>
      </w:pPr>
    </w:p>
    <w:p>
      <w:pPr>
        <w:spacing w:before="46"/>
        <w:ind w:left="113" w:right="-14" w:firstLine="0"/>
        <w:jc w:val="left"/>
        <w:rPr>
          <w:rFonts w:ascii="宋体" w:hAnsi="宋体" w:cs="宋体" w:eastAsia="宋体"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37"/>
          <w:sz w:val="18"/>
          <w:szCs w:val="18"/>
        </w:rPr>
        <w:t> </w:t>
      </w:r>
      <w:r>
        <w:rPr>
          <w:rFonts w:ascii="宋体" w:hAnsi="宋体" w:cs="宋体" w:eastAsia="宋体" w:hint="default"/>
          <w:spacing w:val="-3"/>
          <w:sz w:val="18"/>
          <w:szCs w:val="18"/>
        </w:rPr>
        <w:t>年起首次执行新金融工具准则、新收入准则或新租赁准则且调整执行当年年初财务报表相关项目</w:t>
      </w:r>
    </w:p>
    <w:p>
      <w:pPr>
        <w:spacing w:before="101"/>
        <w:ind w:left="113" w:right="-1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8491" w:space="430"/>
            <w:col w:w="1969"/>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167"/>
        <w:gridCol w:w="1061"/>
        <w:gridCol w:w="1196"/>
        <w:gridCol w:w="1061"/>
        <w:gridCol w:w="802"/>
        <w:gridCol w:w="2920"/>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22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7" w:right="122" w:hanging="183"/>
              <w:jc w:val="left"/>
              <w:rPr>
                <w:rFonts w:ascii="宋体" w:hAnsi="宋体" w:cs="宋体" w:eastAsia="宋体" w:hint="default"/>
                <w:sz w:val="18"/>
                <w:szCs w:val="18"/>
              </w:rPr>
            </w:pPr>
            <w:r>
              <w:rPr>
                <w:rFonts w:ascii="宋体" w:hAnsi="宋体" w:cs="宋体" w:eastAsia="宋体" w:hint="default"/>
                <w:sz w:val="18"/>
                <w:szCs w:val="18"/>
              </w:rPr>
              <w:t>比重增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减</w:t>
            </w:r>
          </w:p>
        </w:tc>
        <w:tc>
          <w:tcPr>
            <w:tcW w:w="29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63" w:right="0"/>
              <w:jc w:val="left"/>
              <w:rPr>
                <w:rFonts w:ascii="宋体" w:hAnsi="宋体" w:cs="宋体" w:eastAsia="宋体" w:hint="default"/>
                <w:sz w:val="18"/>
                <w:szCs w:val="18"/>
              </w:rPr>
            </w:pPr>
            <w:r>
              <w:rPr>
                <w:rFonts w:ascii="宋体" w:hAnsi="宋体" w:cs="宋体" w:eastAsia="宋体" w:hint="default"/>
                <w:sz w:val="18"/>
                <w:szCs w:val="18"/>
              </w:rPr>
              <w:t>占总资产</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68" w:right="0"/>
              <w:jc w:val="left"/>
              <w:rPr>
                <w:rFonts w:ascii="宋体" w:hAnsi="宋体" w:cs="宋体" w:eastAsia="宋体" w:hint="default"/>
                <w:sz w:val="18"/>
                <w:szCs w:val="18"/>
              </w:rPr>
            </w:pPr>
            <w:r>
              <w:rPr>
                <w:rFonts w:ascii="宋体" w:hAnsi="宋体" w:cs="宋体" w:eastAsia="宋体" w:hint="default"/>
                <w:sz w:val="18"/>
                <w:szCs w:val="18"/>
              </w:rPr>
              <w:t>占总资产</w:t>
            </w:r>
          </w:p>
        </w:tc>
        <w:tc>
          <w:tcPr>
            <w:tcW w:w="802" w:type="dxa"/>
            <w:vMerge/>
            <w:tcBorders>
              <w:left w:val="single" w:sz="4" w:space="0" w:color="000000"/>
              <w:bottom w:val="single" w:sz="4" w:space="0" w:color="000000"/>
              <w:right w:val="single" w:sz="4" w:space="0" w:color="000000"/>
            </w:tcBorders>
            <w:shd w:val="clear" w:color="auto" w:fill="D2D2D2"/>
          </w:tcPr>
          <w:p>
            <w:pPr/>
          </w:p>
        </w:tc>
        <w:tc>
          <w:tcPr>
            <w:tcW w:w="2920"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69"/>
        <w:gridCol w:w="1167"/>
        <w:gridCol w:w="1061"/>
        <w:gridCol w:w="1196"/>
        <w:gridCol w:w="1061"/>
        <w:gridCol w:w="802"/>
        <w:gridCol w:w="2920"/>
      </w:tblGrid>
      <w:tr>
        <w:trPr>
          <w:trHeight w:val="360"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4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2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476,350,307.</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27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303,584,918.</w:t>
            </w:r>
          </w:p>
          <w:p>
            <w:pPr>
              <w:pStyle w:val="TableParagraph"/>
              <w:spacing w:line="240" w:lineRule="auto" w:before="110"/>
              <w:ind w:right="94"/>
              <w:jc w:val="right"/>
              <w:rPr>
                <w:rFonts w:ascii="Times New Roman" w:hAnsi="Times New Roman" w:cs="Times New Roman" w:eastAsia="Times New Roman" w:hint="default"/>
                <w:sz w:val="18"/>
                <w:szCs w:val="18"/>
              </w:rPr>
            </w:pPr>
            <w:r>
              <w:rPr>
                <w:rFonts w:ascii="Times New Roman"/>
                <w:sz w:val="18"/>
              </w:rPr>
              <w:t>01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6.49%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1.81%</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0" w:right="104"/>
              <w:jc w:val="left"/>
              <w:rPr>
                <w:rFonts w:ascii="宋体" w:hAnsi="宋体" w:cs="宋体" w:eastAsia="宋体" w:hint="default"/>
                <w:sz w:val="18"/>
                <w:szCs w:val="18"/>
              </w:rPr>
            </w:pPr>
            <w:r>
              <w:rPr>
                <w:rFonts w:ascii="宋体" w:hAnsi="宋体" w:cs="宋体" w:eastAsia="宋体" w:hint="default"/>
                <w:spacing w:val="-3"/>
                <w:sz w:val="18"/>
                <w:szCs w:val="18"/>
              </w:rPr>
              <w:t>主要原因是融资保证金和年底收款</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增加</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1,577,124,63</w:t>
            </w:r>
          </w:p>
          <w:p>
            <w:pPr>
              <w:pStyle w:val="TableParagraph"/>
              <w:spacing w:line="240" w:lineRule="auto" w:before="110"/>
              <w:ind w:left="734" w:right="0"/>
              <w:jc w:val="left"/>
              <w:rPr>
                <w:rFonts w:ascii="Times New Roman" w:hAnsi="Times New Roman" w:cs="Times New Roman" w:eastAsia="Times New Roman" w:hint="default"/>
                <w:sz w:val="18"/>
                <w:szCs w:val="18"/>
              </w:rPr>
            </w:pPr>
            <w:r>
              <w:rPr>
                <w:rFonts w:ascii="Times New Roman"/>
                <w:sz w:val="18"/>
              </w:rPr>
              <w:t>8.39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1,535,388,63</w:t>
            </w:r>
          </w:p>
          <w:p>
            <w:pPr>
              <w:pStyle w:val="TableParagraph"/>
              <w:spacing w:line="240" w:lineRule="auto" w:before="110"/>
              <w:ind w:left="767" w:right="0"/>
              <w:jc w:val="left"/>
              <w:rPr>
                <w:rFonts w:ascii="Times New Roman" w:hAnsi="Times New Roman" w:cs="Times New Roman" w:eastAsia="Times New Roman" w:hint="default"/>
                <w:sz w:val="18"/>
                <w:szCs w:val="18"/>
              </w:rPr>
            </w:pPr>
            <w:r>
              <w:rPr>
                <w:rFonts w:ascii="Times New Roman"/>
                <w:sz w:val="18"/>
              </w:rPr>
              <w:t>5.95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32.81%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-5.34%</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营业收入下降所致</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1,213,989,14</w:t>
            </w:r>
          </w:p>
          <w:p>
            <w:pPr>
              <w:pStyle w:val="TableParagraph"/>
              <w:spacing w:line="240" w:lineRule="auto" w:before="105"/>
              <w:ind w:left="734" w:right="0"/>
              <w:jc w:val="left"/>
              <w:rPr>
                <w:rFonts w:ascii="Times New Roman" w:hAnsi="Times New Roman" w:cs="Times New Roman" w:eastAsia="Times New Roman" w:hint="default"/>
                <w:sz w:val="18"/>
                <w:szCs w:val="18"/>
              </w:rPr>
            </w:pPr>
            <w:r>
              <w:rPr>
                <w:rFonts w:ascii="Times New Roman"/>
                <w:sz w:val="18"/>
              </w:rPr>
              <w:t>3.82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862,716,944.</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z w:val="18"/>
              </w:rPr>
              <w:t>43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18.44%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2.71%</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
                <w:sz w:val="18"/>
                <w:szCs w:val="18"/>
              </w:rPr>
              <w:t>主要原因是网络产品销售备货增加</w:t>
            </w: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209,238,428.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69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139,855,897.</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z w:val="18"/>
              </w:rPr>
              <w:t>27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2.99%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0.65%</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
                <w:sz w:val="18"/>
                <w:szCs w:val="18"/>
              </w:rPr>
              <w:t>主要原因是武汉子公司房产重分类</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87,058,470.2</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71,648,171.5</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1.53%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-0.01%</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292,040,542.</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78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367,568,656.</w:t>
            </w:r>
          </w:p>
          <w:p>
            <w:pPr>
              <w:pStyle w:val="TableParagraph"/>
              <w:spacing w:line="240" w:lineRule="auto" w:before="110"/>
              <w:ind w:right="94"/>
              <w:jc w:val="right"/>
              <w:rPr>
                <w:rFonts w:ascii="Times New Roman" w:hAnsi="Times New Roman" w:cs="Times New Roman" w:eastAsia="Times New Roman" w:hint="default"/>
                <w:sz w:val="18"/>
                <w:szCs w:val="18"/>
              </w:rPr>
            </w:pPr>
            <w:r>
              <w:rPr>
                <w:rFonts w:ascii="Times New Roman"/>
                <w:sz w:val="18"/>
              </w:rPr>
              <w:t>89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7.86%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-2.77%</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2,030,035,04</w:t>
            </w:r>
          </w:p>
          <w:p>
            <w:pPr>
              <w:pStyle w:val="TableParagraph"/>
              <w:spacing w:line="240" w:lineRule="auto" w:before="105"/>
              <w:ind w:left="734" w:right="0"/>
              <w:jc w:val="left"/>
              <w:rPr>
                <w:rFonts w:ascii="Times New Roman" w:hAnsi="Times New Roman" w:cs="Times New Roman" w:eastAsia="Times New Roman" w:hint="default"/>
                <w:sz w:val="18"/>
                <w:szCs w:val="18"/>
              </w:rPr>
            </w:pPr>
            <w:r>
              <w:rPr>
                <w:rFonts w:ascii="Times New Roman"/>
                <w:sz w:val="18"/>
              </w:rPr>
              <w:t>9.30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966,000,000.</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z w:val="18"/>
              </w:rPr>
              <w:t>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20.65%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14.71%</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银行融资增加</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2、以公允价值计量的资产和负债" w:id="41"/>
      <w:bookmarkEnd w:id="41"/>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3、截至报告期末的资产权利受限情况" w:id="42"/>
      <w:bookmarkEnd w:id="42"/>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4"/>
        <w:rPr>
          <w:rFonts w:ascii="宋体" w:hAnsi="宋体" w:cs="宋体" w:eastAsia="宋体" w:hint="default"/>
          <w:b/>
          <w:bCs/>
          <w:sz w:val="26"/>
          <w:szCs w:val="26"/>
        </w:rPr>
      </w:pPr>
    </w:p>
    <w:tbl>
      <w:tblPr>
        <w:tblW w:w="0" w:type="auto"/>
        <w:jc w:val="left"/>
        <w:tblInd w:w="103" w:type="dxa"/>
        <w:tblLayout w:type="fixed"/>
        <w:tblCellMar>
          <w:top w:w="0" w:type="dxa"/>
          <w:left w:w="0" w:type="dxa"/>
          <w:bottom w:w="0" w:type="dxa"/>
          <w:right w:w="0" w:type="dxa"/>
        </w:tblCellMar>
        <w:tblLook w:val="01E0"/>
      </w:tblPr>
      <w:tblGrid>
        <w:gridCol w:w="2147"/>
        <w:gridCol w:w="2170"/>
        <w:gridCol w:w="2569"/>
        <w:gridCol w:w="2564"/>
      </w:tblGrid>
      <w:tr>
        <w:trPr>
          <w:trHeight w:val="422" w:hRule="exact"/>
        </w:trPr>
        <w:tc>
          <w:tcPr>
            <w:tcW w:w="2147"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70"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58"/>
              <w:ind w:left="54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569"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58"/>
              <w:ind w:left="739"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564"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27" w:hRule="exact"/>
        </w:trPr>
        <w:tc>
          <w:tcPr>
            <w:tcW w:w="2147"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63"/>
              <w:ind w:left="3"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0"/>
              <w:jc w:val="right"/>
              <w:rPr>
                <w:rFonts w:ascii="宋体" w:hAnsi="宋体" w:cs="宋体" w:eastAsia="宋体" w:hint="default"/>
                <w:sz w:val="18"/>
                <w:szCs w:val="18"/>
              </w:rPr>
            </w:pPr>
            <w:r>
              <w:rPr>
                <w:rFonts w:ascii="宋体"/>
                <w:spacing w:val="-2"/>
                <w:sz w:val="18"/>
              </w:rPr>
              <w:t>155,342,822.29</w:t>
            </w:r>
          </w:p>
        </w:tc>
        <w:tc>
          <w:tcPr>
            <w:tcW w:w="2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2"/>
                <w:sz w:val="18"/>
              </w:rPr>
              <w:t>62,260,495.57</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票据保证金、保函保证金</w:t>
            </w:r>
          </w:p>
        </w:tc>
      </w:tr>
      <w:tr>
        <w:trPr>
          <w:trHeight w:val="427" w:hRule="exact"/>
        </w:trPr>
        <w:tc>
          <w:tcPr>
            <w:tcW w:w="2147"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63"/>
              <w:ind w:left="3"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2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2"/>
                <w:sz w:val="18"/>
              </w:rPr>
              <w:t>400,000,000.00</w:t>
            </w:r>
          </w:p>
        </w:tc>
        <w:tc>
          <w:tcPr>
            <w:tcW w:w="2564" w:type="dxa"/>
            <w:tcBorders>
              <w:top w:val="single" w:sz="6" w:space="0" w:color="000000"/>
              <w:left w:val="single" w:sz="6" w:space="0" w:color="000000"/>
              <w:bottom w:val="single" w:sz="6" w:space="0" w:color="000000"/>
              <w:right w:val="single" w:sz="6" w:space="0" w:color="000000"/>
            </w:tcBorders>
          </w:tcPr>
          <w:p>
            <w:pPr/>
          </w:p>
        </w:tc>
      </w:tr>
      <w:tr>
        <w:trPr>
          <w:trHeight w:val="428" w:hRule="exact"/>
        </w:trPr>
        <w:tc>
          <w:tcPr>
            <w:tcW w:w="2147"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0"/>
              <w:jc w:val="right"/>
              <w:rPr>
                <w:rFonts w:ascii="宋体" w:hAnsi="宋体" w:cs="宋体" w:eastAsia="宋体" w:hint="default"/>
                <w:sz w:val="18"/>
                <w:szCs w:val="18"/>
              </w:rPr>
            </w:pPr>
            <w:r>
              <w:rPr>
                <w:rFonts w:ascii="宋体"/>
                <w:spacing w:val="-2"/>
                <w:sz w:val="18"/>
              </w:rPr>
              <w:t>155,342,822.29</w:t>
            </w:r>
          </w:p>
        </w:tc>
        <w:tc>
          <w:tcPr>
            <w:tcW w:w="2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2"/>
                <w:sz w:val="18"/>
              </w:rPr>
              <w:t>462,260,495.57</w:t>
            </w:r>
          </w:p>
        </w:tc>
        <w:tc>
          <w:tcPr>
            <w:tcW w:w="256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9"/>
        <w:rPr>
          <w:rFonts w:ascii="宋体" w:hAnsi="宋体" w:cs="宋体" w:eastAsia="宋体" w:hint="default"/>
          <w:b/>
          <w:bCs/>
          <w:sz w:val="17"/>
          <w:szCs w:val="17"/>
        </w:rPr>
      </w:pPr>
    </w:p>
    <w:p>
      <w:pPr>
        <w:pStyle w:val="Heading2"/>
        <w:spacing w:line="240" w:lineRule="auto" w:before="26"/>
        <w:ind w:right="1764"/>
        <w:jc w:val="left"/>
        <w:rPr>
          <w:b w:val="0"/>
          <w:bCs w:val="0"/>
        </w:rPr>
      </w:pPr>
      <w:bookmarkStart w:name="五、投资状况分析" w:id="43"/>
      <w:bookmarkEnd w:id="43"/>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764"/>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1"/>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6"/>
          <w:szCs w:val="26"/>
        </w:rPr>
      </w:pPr>
    </w:p>
    <w:p>
      <w:pPr>
        <w:pStyle w:val="Heading3"/>
        <w:spacing w:line="240" w:lineRule="auto"/>
        <w:ind w:right="1764"/>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3"/>
        <w:spacing w:line="240" w:lineRule="auto" w:before="36"/>
        <w:ind w:left="713" w:right="6969"/>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6"/>
        <w:rPr>
          <w:rFonts w:ascii="宋体" w:hAnsi="宋体" w:cs="宋体" w:eastAsia="宋体" w:hint="default"/>
          <w:b/>
          <w:bCs/>
          <w:sz w:val="23"/>
          <w:szCs w:val="23"/>
        </w:rPr>
      </w:pPr>
    </w:p>
    <w:p>
      <w:pPr>
        <w:spacing w:before="46"/>
        <w:ind w:left="713" w:right="6969"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0"/>
        <w:rPr>
          <w:rFonts w:ascii="宋体" w:hAnsi="宋体" w:cs="宋体" w:eastAsia="宋体" w:hint="default"/>
          <w:sz w:val="7"/>
          <w:szCs w:val="7"/>
        </w:rPr>
      </w:pPr>
    </w:p>
    <w:tbl>
      <w:tblPr>
        <w:tblW w:w="0" w:type="auto"/>
        <w:jc w:val="left"/>
        <w:tblInd w:w="492" w:type="dxa"/>
        <w:tblLayout w:type="fixed"/>
        <w:tblCellMar>
          <w:top w:w="0" w:type="dxa"/>
          <w:left w:w="0" w:type="dxa"/>
          <w:bottom w:w="0" w:type="dxa"/>
          <w:right w:w="0" w:type="dxa"/>
        </w:tblCellMar>
        <w:tblLook w:val="01E0"/>
      </w:tblPr>
      <w:tblGrid>
        <w:gridCol w:w="994"/>
        <w:gridCol w:w="1292"/>
        <w:gridCol w:w="1090"/>
        <w:gridCol w:w="1306"/>
        <w:gridCol w:w="1066"/>
        <w:gridCol w:w="956"/>
        <w:gridCol w:w="956"/>
        <w:gridCol w:w="1277"/>
        <w:gridCol w:w="1133"/>
      </w:tblGrid>
      <w:tr>
        <w:trPr>
          <w:trHeight w:val="1025"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134"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552" w:right="185" w:hanging="360"/>
              <w:jc w:val="left"/>
              <w:rPr>
                <w:rFonts w:ascii="宋体" w:hAnsi="宋体" w:cs="宋体" w:eastAsia="宋体" w:hint="default"/>
                <w:sz w:val="18"/>
                <w:szCs w:val="18"/>
              </w:rPr>
            </w:pPr>
            <w:r>
              <w:rPr>
                <w:rFonts w:ascii="宋体" w:hAnsi="宋体" w:cs="宋体" w:eastAsia="宋体" w:hint="default"/>
                <w:spacing w:val="-2"/>
                <w:sz w:val="18"/>
                <w:szCs w:val="18"/>
              </w:rPr>
              <w:t>初始投资成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本</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82" w:right="170"/>
              <w:jc w:val="center"/>
              <w:rPr>
                <w:rFonts w:ascii="宋体" w:hAnsi="宋体" w:cs="宋体" w:eastAsia="宋体" w:hint="default"/>
                <w:sz w:val="18"/>
                <w:szCs w:val="18"/>
              </w:rPr>
            </w:pPr>
            <w:r>
              <w:rPr>
                <w:rFonts w:ascii="宋体" w:hAnsi="宋体" w:cs="宋体" w:eastAsia="宋体" w:hint="default"/>
                <w:spacing w:val="-2"/>
                <w:sz w:val="18"/>
                <w:szCs w:val="18"/>
              </w:rPr>
              <w:t>本期公允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价值变动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损益</w:t>
            </w:r>
          </w:p>
        </w:tc>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05" w:right="104"/>
              <w:jc w:val="center"/>
              <w:rPr>
                <w:rFonts w:ascii="宋体" w:hAnsi="宋体" w:cs="宋体" w:eastAsia="宋体" w:hint="default"/>
                <w:sz w:val="18"/>
                <w:szCs w:val="18"/>
              </w:rPr>
            </w:pPr>
            <w:r>
              <w:rPr>
                <w:rFonts w:ascii="宋体" w:hAnsi="宋体" w:cs="宋体" w:eastAsia="宋体" w:hint="default"/>
                <w:spacing w:val="-2"/>
                <w:sz w:val="18"/>
                <w:szCs w:val="18"/>
              </w:rPr>
              <w:t>计入权益的累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计公允价值变</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动</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168" w:right="161"/>
              <w:jc w:val="left"/>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购入金额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115" w:right="103"/>
              <w:jc w:val="left"/>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售出金额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92" w:right="104" w:hanging="178"/>
              <w:jc w:val="left"/>
              <w:rPr>
                <w:rFonts w:ascii="宋体" w:hAnsi="宋体" w:cs="宋体" w:eastAsia="宋体" w:hint="default"/>
                <w:sz w:val="18"/>
                <w:szCs w:val="18"/>
              </w:rPr>
            </w:pPr>
            <w:r>
              <w:rPr>
                <w:rFonts w:ascii="宋体" w:hAnsi="宋体" w:cs="宋体" w:eastAsia="宋体" w:hint="default"/>
                <w:sz w:val="18"/>
                <w:szCs w:val="18"/>
              </w:rPr>
              <w:t>累计投资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73"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4"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110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4,199,678.00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510,336.00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-1,966,958.00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26,580.00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2,232,720.00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3"/>
              <w:ind w:left="105" w:right="36"/>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自有资金，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维恩贝特并</w:t>
            </w:r>
            <w:r>
              <w:rPr>
                <w:rFonts w:ascii="宋体" w:hAnsi="宋体" w:cs="宋体" w:eastAsia="宋体" w:hint="default"/>
                <w:w w:val="101"/>
                <w:sz w:val="18"/>
                <w:szCs w:val="18"/>
              </w:rPr>
              <w:t> </w:t>
            </w:r>
            <w:r>
              <w:rPr>
                <w:rFonts w:ascii="宋体" w:hAnsi="宋体" w:cs="宋体" w:eastAsia="宋体" w:hint="default"/>
                <w:spacing w:val="-11"/>
                <w:sz w:val="18"/>
                <w:szCs w:val="18"/>
              </w:rPr>
              <w:t>表前投资。</w:t>
            </w:r>
            <w:r>
              <w:rPr>
                <w:rFonts w:ascii="Times New Roman" w:hAnsi="Times New Roman" w:cs="Times New Roman" w:eastAsia="Times New Roman" w:hint="default"/>
                <w:spacing w:val="-11"/>
                <w:sz w:val="18"/>
                <w:szCs w:val="18"/>
              </w:rPr>
              <w:t>"</w:t>
            </w:r>
          </w:p>
        </w:tc>
      </w:tr>
      <w:tr>
        <w:trPr>
          <w:trHeight w:val="398"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4,199,678.00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center"/>
              <w:rPr>
                <w:rFonts w:ascii="Times New Roman" w:hAnsi="Times New Roman" w:cs="Times New Roman" w:eastAsia="Times New Roman" w:hint="default"/>
                <w:sz w:val="18"/>
                <w:szCs w:val="18"/>
              </w:rPr>
            </w:pPr>
            <w:r>
              <w:rPr>
                <w:rFonts w:ascii="Times New Roman"/>
                <w:sz w:val="18"/>
              </w:rPr>
              <w:t>510,336.00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-1,966,958.00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38" w:right="0"/>
              <w:jc w:val="lef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8" w:right="0"/>
              <w:jc w:val="lef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26,580.00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0" w:right="0"/>
              <w:jc w:val="left"/>
              <w:rPr>
                <w:rFonts w:ascii="Times New Roman" w:hAnsi="Times New Roman" w:cs="Times New Roman" w:eastAsia="Times New Roman" w:hint="default"/>
                <w:sz w:val="18"/>
                <w:szCs w:val="18"/>
              </w:rPr>
            </w:pPr>
            <w:r>
              <w:rPr>
                <w:rFonts w:ascii="Times New Roman"/>
                <w:sz w:val="18"/>
              </w:rPr>
              <w:t>2,232,720.00</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left="713" w:right="6969"/>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1"/>
        <w:rPr>
          <w:rFonts w:ascii="宋体" w:hAnsi="宋体" w:cs="宋体" w:eastAsia="宋体" w:hint="default"/>
          <w:b/>
          <w:bCs/>
          <w:sz w:val="27"/>
          <w:szCs w:val="27"/>
        </w:rPr>
      </w:pPr>
    </w:p>
    <w:p>
      <w:pPr>
        <w:spacing w:line="357" w:lineRule="auto" w:before="0"/>
        <w:ind w:left="713" w:right="6969"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公司报告期无募集资金使用情况。</w:t>
      </w:r>
    </w:p>
    <w:p>
      <w:pPr>
        <w:spacing w:line="240" w:lineRule="auto" w:before="3"/>
        <w:rPr>
          <w:rFonts w:ascii="宋体" w:hAnsi="宋体" w:cs="宋体" w:eastAsia="宋体" w:hint="default"/>
          <w:sz w:val="17"/>
          <w:szCs w:val="17"/>
        </w:rPr>
      </w:pPr>
    </w:p>
    <w:p>
      <w:pPr>
        <w:pStyle w:val="Heading2"/>
        <w:spacing w:line="240" w:lineRule="auto"/>
        <w:ind w:left="713" w:right="6969"/>
        <w:jc w:val="left"/>
        <w:rPr>
          <w:b w:val="0"/>
          <w:bCs w:val="0"/>
        </w:rPr>
      </w:pPr>
      <w:bookmarkStart w:name="六、重大资产和股权出售" w:id="49"/>
      <w:bookmarkEnd w:id="49"/>
      <w:r>
        <w:rPr>
          <w:b w:val="0"/>
          <w:bCs w:val="0"/>
        </w:rPr>
      </w:r>
      <w:r>
        <w:rPr/>
        <w:t>六、重大资产和股权出售</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left="713" w:right="6969"/>
        <w:jc w:val="left"/>
        <w:rPr>
          <w:b w:val="0"/>
          <w:bCs w:val="0"/>
        </w:rPr>
      </w:pPr>
      <w:bookmarkStart w:name="1、出售重大资产情况" w:id="50"/>
      <w:bookmarkEnd w:id="50"/>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1"/>
        <w:rPr>
          <w:rFonts w:ascii="宋体" w:hAnsi="宋体" w:cs="宋体" w:eastAsia="宋体" w:hint="default"/>
          <w:b/>
          <w:bCs/>
          <w:sz w:val="27"/>
          <w:szCs w:val="27"/>
        </w:rPr>
      </w:pPr>
    </w:p>
    <w:p>
      <w:pPr>
        <w:spacing w:line="357" w:lineRule="auto" w:before="0"/>
        <w:ind w:left="713" w:right="6969"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公司报告期未出售重大资产。</w:t>
      </w:r>
    </w:p>
    <w:p>
      <w:pPr>
        <w:spacing w:line="240" w:lineRule="auto" w:before="12"/>
        <w:rPr>
          <w:rFonts w:ascii="宋体" w:hAnsi="宋体" w:cs="宋体" w:eastAsia="宋体" w:hint="default"/>
          <w:sz w:val="19"/>
          <w:szCs w:val="19"/>
        </w:rPr>
      </w:pPr>
    </w:p>
    <w:p>
      <w:pPr>
        <w:pStyle w:val="Heading3"/>
        <w:spacing w:line="240" w:lineRule="auto"/>
        <w:ind w:left="713" w:right="6969"/>
        <w:jc w:val="left"/>
        <w:rPr>
          <w:b w:val="0"/>
          <w:bCs w:val="0"/>
        </w:rPr>
      </w:pPr>
      <w:bookmarkStart w:name="2、出售重大股权情况" w:id="51"/>
      <w:bookmarkEnd w:id="51"/>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1"/>
        <w:rPr>
          <w:rFonts w:ascii="宋体" w:hAnsi="宋体" w:cs="宋体" w:eastAsia="宋体" w:hint="default"/>
          <w:b/>
          <w:bCs/>
          <w:sz w:val="27"/>
          <w:szCs w:val="27"/>
        </w:rPr>
      </w:pPr>
    </w:p>
    <w:p>
      <w:pPr>
        <w:spacing w:before="0"/>
        <w:ind w:left="713" w:right="6969"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left="713" w:right="6969"/>
        <w:jc w:val="left"/>
        <w:rPr>
          <w:b w:val="0"/>
          <w:bCs w:val="0"/>
        </w:rPr>
      </w:pPr>
      <w:bookmarkStart w:name="七、主要控股参股公司分析" w:id="52"/>
      <w:bookmarkEnd w:id="52"/>
      <w:r>
        <w:rPr>
          <w:b w:val="0"/>
          <w:bCs w:val="0"/>
        </w:rPr>
      </w:r>
      <w:r>
        <w:rPr/>
        <w:t>七、主要控股参股公司分析</w:t>
      </w:r>
      <w:r>
        <w:rPr>
          <w:b w:val="0"/>
          <w:bCs w:val="0"/>
        </w:rPr>
      </w:r>
    </w:p>
    <w:p>
      <w:pPr>
        <w:spacing w:line="240" w:lineRule="auto" w:before="1"/>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906" w:footer="1022" w:top="1100" w:bottom="1220" w:left="420" w:right="0"/>
        </w:sectPr>
      </w:pPr>
    </w:p>
    <w:p>
      <w:pPr>
        <w:spacing w:before="46"/>
        <w:ind w:left="713" w:right="-16"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before="115"/>
        <w:ind w:left="713" w:right="-16"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8"/>
          <w:sz w:val="18"/>
          <w:szCs w:val="18"/>
        </w:rPr>
        <w:t> </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71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220" w:left="420" w:right="0"/>
          <w:cols w:num="2" w:equalWidth="0">
            <w:col w:w="5414" w:space="3508"/>
            <w:col w:w="2568"/>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056"/>
        <w:gridCol w:w="1196"/>
        <w:gridCol w:w="1047"/>
        <w:gridCol w:w="1042"/>
        <w:gridCol w:w="1047"/>
        <w:gridCol w:w="1047"/>
        <w:gridCol w:w="1046"/>
        <w:gridCol w:w="1042"/>
        <w:gridCol w:w="1047"/>
        <w:gridCol w:w="1273"/>
      </w:tblGrid>
      <w:tr>
        <w:trPr>
          <w:trHeight w:val="716" w:hRule="exact"/>
        </w:trPr>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68" w:right="176" w:hanging="87"/>
              <w:jc w:val="left"/>
              <w:rPr>
                <w:rFonts w:ascii="宋体" w:hAnsi="宋体" w:cs="宋体" w:eastAsia="宋体" w:hint="default"/>
                <w:sz w:val="18"/>
                <w:szCs w:val="18"/>
              </w:rPr>
            </w:pPr>
            <w:r>
              <w:rPr>
                <w:rFonts w:ascii="宋体" w:hAnsi="宋体" w:cs="宋体" w:eastAsia="宋体" w:hint="default"/>
                <w:spacing w:val="-2"/>
                <w:sz w:val="18"/>
                <w:szCs w:val="18"/>
              </w:rPr>
              <w:t>归属于母公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司净利润</w:t>
            </w:r>
          </w:p>
        </w:tc>
      </w:tr>
      <w:tr>
        <w:trPr>
          <w:trHeight w:val="1066"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3"/>
              <w:ind w:left="106" w:right="213"/>
              <w:jc w:val="both"/>
              <w:rPr>
                <w:rFonts w:ascii="宋体" w:hAnsi="宋体" w:cs="宋体" w:eastAsia="宋体" w:hint="default"/>
                <w:sz w:val="18"/>
                <w:szCs w:val="18"/>
              </w:rPr>
            </w:pPr>
            <w:r>
              <w:rPr>
                <w:rFonts w:ascii="宋体" w:hAnsi="宋体" w:cs="宋体" w:eastAsia="宋体" w:hint="default"/>
                <w:sz w:val="18"/>
                <w:szCs w:val="18"/>
              </w:rPr>
              <w:t>维恩贝特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73"/>
              <w:ind w:left="105" w:right="13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金融行业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软件开发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和服务</w:t>
            </w:r>
            <w:r>
              <w:rPr>
                <w:rFonts w:ascii="Times New Roman" w:hAnsi="Times New Roman" w:cs="Times New Roman" w:eastAsia="Times New Roman" w:hint="default"/>
                <w:sz w:val="18"/>
                <w:szCs w:val="18"/>
              </w:rPr>
              <w:t>"</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13341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476,283,68</w:t>
            </w:r>
          </w:p>
          <w:p>
            <w:pPr>
              <w:pStyle w:val="TableParagraph"/>
              <w:spacing w:line="240" w:lineRule="auto" w:before="110"/>
              <w:ind w:left="619" w:right="0"/>
              <w:jc w:val="left"/>
              <w:rPr>
                <w:rFonts w:ascii="Times New Roman" w:hAnsi="Times New Roman" w:cs="Times New Roman" w:eastAsia="Times New Roman" w:hint="default"/>
                <w:sz w:val="18"/>
                <w:szCs w:val="18"/>
              </w:rPr>
            </w:pPr>
            <w:r>
              <w:rPr>
                <w:rFonts w:ascii="Times New Roman"/>
                <w:sz w:val="18"/>
              </w:rPr>
              <w:t>7.88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423,065,34</w:t>
            </w:r>
          </w:p>
          <w:p>
            <w:pPr>
              <w:pStyle w:val="TableParagraph"/>
              <w:spacing w:line="240" w:lineRule="auto" w:before="110"/>
              <w:ind w:left="619" w:right="0"/>
              <w:jc w:val="left"/>
              <w:rPr>
                <w:rFonts w:ascii="Times New Roman" w:hAnsi="Times New Roman" w:cs="Times New Roman" w:eastAsia="Times New Roman" w:hint="default"/>
                <w:sz w:val="18"/>
                <w:szCs w:val="18"/>
              </w:rPr>
            </w:pPr>
            <w:r>
              <w:rPr>
                <w:rFonts w:ascii="Times New Roman"/>
                <w:sz w:val="18"/>
              </w:rPr>
              <w:t>0.83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250,260,57</w:t>
            </w:r>
          </w:p>
          <w:p>
            <w:pPr>
              <w:pStyle w:val="TableParagraph"/>
              <w:spacing w:line="240" w:lineRule="auto" w:before="110"/>
              <w:ind w:left="619" w:right="0"/>
              <w:jc w:val="left"/>
              <w:rPr>
                <w:rFonts w:ascii="Times New Roman" w:hAnsi="Times New Roman" w:cs="Times New Roman" w:eastAsia="Times New Roman" w:hint="default"/>
                <w:sz w:val="18"/>
                <w:szCs w:val="18"/>
              </w:rPr>
            </w:pPr>
            <w:r>
              <w:rPr>
                <w:rFonts w:ascii="Times New Roman"/>
                <w:sz w:val="18"/>
              </w:rPr>
              <w:t>6.74</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64,310,845</w:t>
            </w:r>
          </w:p>
          <w:p>
            <w:pPr>
              <w:pStyle w:val="TableParagraph"/>
              <w:spacing w:line="240" w:lineRule="auto" w:before="110"/>
              <w:ind w:right="94"/>
              <w:jc w:val="right"/>
              <w:rPr>
                <w:rFonts w:ascii="Times New Roman" w:hAnsi="Times New Roman" w:cs="Times New Roman" w:eastAsia="Times New Roman" w:hint="default"/>
                <w:sz w:val="18"/>
                <w:szCs w:val="18"/>
              </w:rPr>
            </w:pPr>
            <w:r>
              <w:rPr>
                <w:rFonts w:ascii="Times New Roman"/>
                <w:sz w:val="18"/>
              </w:rPr>
              <w:t>.49</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60,484,426</w:t>
            </w:r>
          </w:p>
          <w:p>
            <w:pPr>
              <w:pStyle w:val="TableParagraph"/>
              <w:spacing w:line="240" w:lineRule="auto" w:before="110"/>
              <w:ind w:right="94"/>
              <w:jc w:val="right"/>
              <w:rPr>
                <w:rFonts w:ascii="Times New Roman" w:hAnsi="Times New Roman" w:cs="Times New Roman" w:eastAsia="Times New Roman" w:hint="default"/>
                <w:sz w:val="18"/>
                <w:szCs w:val="18"/>
              </w:rPr>
            </w:pPr>
            <w:r>
              <w:rPr>
                <w:rFonts w:ascii="Times New Roman"/>
                <w:spacing w:val="-3"/>
                <w:sz w:val="18"/>
              </w:rPr>
              <w:t>.11</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61,023,998.76</w:t>
            </w:r>
          </w:p>
        </w:tc>
      </w:tr>
      <w:tr>
        <w:trPr>
          <w:trHeight w:val="1028"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6" w:right="213"/>
              <w:jc w:val="both"/>
              <w:rPr>
                <w:rFonts w:ascii="宋体" w:hAnsi="宋体" w:cs="宋体" w:eastAsia="宋体" w:hint="default"/>
                <w:sz w:val="18"/>
                <w:szCs w:val="18"/>
              </w:rPr>
            </w:pPr>
            <w:r>
              <w:rPr>
                <w:rFonts w:ascii="宋体" w:hAnsi="宋体" w:cs="宋体" w:eastAsia="宋体" w:hint="default"/>
                <w:sz w:val="18"/>
                <w:szCs w:val="18"/>
              </w:rPr>
              <w:t>安徽迪科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数金科技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4"/>
              <w:ind w:left="105" w:right="13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金融行业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软件开发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和服务</w:t>
            </w:r>
            <w:r>
              <w:rPr>
                <w:rFonts w:ascii="Times New Roman" w:hAnsi="Times New Roman" w:cs="Times New Roman" w:eastAsia="Times New Roman" w:hint="default"/>
                <w:sz w:val="18"/>
                <w:szCs w:val="18"/>
              </w:rPr>
              <w:t>"</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65,558,388</w:t>
            </w:r>
          </w:p>
          <w:p>
            <w:pPr>
              <w:pStyle w:val="TableParagraph"/>
              <w:spacing w:line="240" w:lineRule="auto" w:before="110"/>
              <w:ind w:right="94"/>
              <w:jc w:val="right"/>
              <w:rPr>
                <w:rFonts w:ascii="Times New Roman" w:hAnsi="Times New Roman" w:cs="Times New Roman" w:eastAsia="Times New Roman" w:hint="default"/>
                <w:sz w:val="18"/>
                <w:szCs w:val="18"/>
              </w:rPr>
            </w:pPr>
            <w:r>
              <w:rPr>
                <w:rFonts w:ascii="Times New Roman"/>
                <w:sz w:val="18"/>
              </w:rPr>
              <w:t>.96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53,674,677</w:t>
            </w:r>
          </w:p>
          <w:p>
            <w:pPr>
              <w:pStyle w:val="TableParagraph"/>
              <w:spacing w:line="240" w:lineRule="auto" w:before="110"/>
              <w:ind w:right="94"/>
              <w:jc w:val="right"/>
              <w:rPr>
                <w:rFonts w:ascii="Times New Roman" w:hAnsi="Times New Roman" w:cs="Times New Roman" w:eastAsia="Times New Roman" w:hint="default"/>
                <w:sz w:val="18"/>
                <w:szCs w:val="18"/>
              </w:rPr>
            </w:pPr>
            <w:r>
              <w:rPr>
                <w:rFonts w:ascii="Times New Roman"/>
                <w:sz w:val="18"/>
              </w:rPr>
              <w:t>.48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284,007,13</w:t>
            </w:r>
          </w:p>
          <w:p>
            <w:pPr>
              <w:pStyle w:val="TableParagraph"/>
              <w:spacing w:line="240" w:lineRule="auto" w:before="110"/>
              <w:ind w:left="619" w:right="0"/>
              <w:jc w:val="left"/>
              <w:rPr>
                <w:rFonts w:ascii="Times New Roman" w:hAnsi="Times New Roman" w:cs="Times New Roman" w:eastAsia="Times New Roman" w:hint="default"/>
                <w:sz w:val="18"/>
                <w:szCs w:val="18"/>
              </w:rPr>
            </w:pPr>
            <w:r>
              <w:rPr>
                <w:rFonts w:ascii="Times New Roman"/>
                <w:sz w:val="18"/>
              </w:rPr>
              <w:t>8.26</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24,613,615</w:t>
            </w:r>
          </w:p>
          <w:p>
            <w:pPr>
              <w:pStyle w:val="TableParagraph"/>
              <w:spacing w:line="240" w:lineRule="auto" w:before="110"/>
              <w:ind w:right="94"/>
              <w:jc w:val="right"/>
              <w:rPr>
                <w:rFonts w:ascii="Times New Roman" w:hAnsi="Times New Roman" w:cs="Times New Roman" w:eastAsia="Times New Roman" w:hint="default"/>
                <w:sz w:val="18"/>
                <w:szCs w:val="18"/>
              </w:rPr>
            </w:pPr>
            <w:r>
              <w:rPr>
                <w:rFonts w:ascii="Times New Roman"/>
                <w:sz w:val="18"/>
              </w:rPr>
              <w:t>.58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22,357,006</w:t>
            </w:r>
          </w:p>
          <w:p>
            <w:pPr>
              <w:pStyle w:val="TableParagraph"/>
              <w:spacing w:line="240" w:lineRule="auto" w:before="110"/>
              <w:ind w:right="94"/>
              <w:jc w:val="right"/>
              <w:rPr>
                <w:rFonts w:ascii="Times New Roman" w:hAnsi="Times New Roman" w:cs="Times New Roman" w:eastAsia="Times New Roman" w:hint="default"/>
                <w:sz w:val="18"/>
                <w:szCs w:val="18"/>
              </w:rPr>
            </w:pPr>
            <w:r>
              <w:rPr>
                <w:rFonts w:ascii="Times New Roman"/>
                <w:sz w:val="18"/>
              </w:rPr>
              <w:t>.15</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18,779,885.17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20" w:left="4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056"/>
        <w:gridCol w:w="1196"/>
        <w:gridCol w:w="1047"/>
        <w:gridCol w:w="1042"/>
        <w:gridCol w:w="1047"/>
        <w:gridCol w:w="1047"/>
        <w:gridCol w:w="1046"/>
        <w:gridCol w:w="1042"/>
        <w:gridCol w:w="1047"/>
        <w:gridCol w:w="1273"/>
      </w:tblGrid>
      <w:tr>
        <w:trPr>
          <w:trHeight w:val="1378"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3"/>
              <w:ind w:left="106" w:right="213"/>
              <w:jc w:val="both"/>
              <w:rPr>
                <w:rFonts w:ascii="宋体" w:hAnsi="宋体" w:cs="宋体" w:eastAsia="宋体" w:hint="default"/>
                <w:sz w:val="18"/>
                <w:szCs w:val="18"/>
              </w:rPr>
            </w:pPr>
            <w:r>
              <w:rPr>
                <w:rFonts w:ascii="宋体" w:hAnsi="宋体" w:cs="宋体" w:eastAsia="宋体" w:hint="default"/>
                <w:sz w:val="18"/>
                <w:szCs w:val="18"/>
              </w:rPr>
              <w:t>深圳市金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华威数码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309" w:lineRule="auto"/>
              <w:ind w:left="105" w:right="1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"ICT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产品</w:t>
            </w:r>
            <w:r>
              <w:rPr>
                <w:rFonts w:ascii="宋体" w:hAnsi="宋体" w:cs="宋体" w:eastAsia="宋体" w:hint="default"/>
                <w:w w:val="101"/>
                <w:sz w:val="18"/>
                <w:szCs w:val="18"/>
              </w:rPr>
              <w:t> </w:t>
            </w:r>
            <w:r>
              <w:rPr>
                <w:rFonts w:ascii="宋体" w:hAnsi="宋体" w:cs="宋体" w:eastAsia="宋体" w:hint="default"/>
                <w:sz w:val="18"/>
                <w:szCs w:val="18"/>
              </w:rPr>
              <w:t>的增值销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w:t>
            </w:r>
            <w:r>
              <w:rPr>
                <w:rFonts w:ascii="Times New Roman" w:hAnsi="Times New Roman" w:cs="Times New Roman" w:eastAsia="Times New Roman" w:hint="default"/>
                <w:sz w:val="18"/>
                <w:szCs w:val="18"/>
              </w:rPr>
              <w:t>"</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2,170,750,</w:t>
            </w:r>
          </w:p>
          <w:p>
            <w:pPr>
              <w:pStyle w:val="TableParagraph"/>
              <w:spacing w:line="240" w:lineRule="auto" w:before="110"/>
              <w:ind w:left="441" w:right="0"/>
              <w:jc w:val="left"/>
              <w:rPr>
                <w:rFonts w:ascii="Times New Roman" w:hAnsi="Times New Roman" w:cs="Times New Roman" w:eastAsia="Times New Roman" w:hint="default"/>
                <w:sz w:val="18"/>
                <w:szCs w:val="18"/>
              </w:rPr>
            </w:pPr>
            <w:r>
              <w:rPr>
                <w:rFonts w:ascii="Times New Roman"/>
                <w:sz w:val="18"/>
              </w:rPr>
              <w:t>268.14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269,740,95</w:t>
            </w:r>
          </w:p>
          <w:p>
            <w:pPr>
              <w:pStyle w:val="TableParagraph"/>
              <w:spacing w:line="240" w:lineRule="auto" w:before="110"/>
              <w:ind w:left="619" w:right="0"/>
              <w:jc w:val="left"/>
              <w:rPr>
                <w:rFonts w:ascii="Times New Roman" w:hAnsi="Times New Roman" w:cs="Times New Roman" w:eastAsia="Times New Roman" w:hint="default"/>
                <w:sz w:val="18"/>
                <w:szCs w:val="18"/>
              </w:rPr>
            </w:pPr>
            <w:r>
              <w:rPr>
                <w:rFonts w:ascii="Times New Roman"/>
                <w:sz w:val="18"/>
              </w:rPr>
              <w:t>6.83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2,881,926,</w:t>
            </w:r>
          </w:p>
          <w:p>
            <w:pPr>
              <w:pStyle w:val="TableParagraph"/>
              <w:spacing w:line="240" w:lineRule="auto" w:before="110"/>
              <w:ind w:left="441" w:right="0"/>
              <w:jc w:val="left"/>
              <w:rPr>
                <w:rFonts w:ascii="Times New Roman" w:hAnsi="Times New Roman" w:cs="Times New Roman" w:eastAsia="Times New Roman" w:hint="default"/>
                <w:sz w:val="18"/>
                <w:szCs w:val="18"/>
              </w:rPr>
            </w:pPr>
            <w:r>
              <w:rPr>
                <w:rFonts w:ascii="Times New Roman"/>
                <w:sz w:val="18"/>
              </w:rPr>
              <w:t>374.65</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83,302,967</w:t>
            </w:r>
          </w:p>
          <w:p>
            <w:pPr>
              <w:pStyle w:val="TableParagraph"/>
              <w:spacing w:line="240" w:lineRule="auto" w:before="110"/>
              <w:ind w:right="94"/>
              <w:jc w:val="right"/>
              <w:rPr>
                <w:rFonts w:ascii="Times New Roman" w:hAnsi="Times New Roman" w:cs="Times New Roman" w:eastAsia="Times New Roman" w:hint="default"/>
                <w:sz w:val="18"/>
                <w:szCs w:val="18"/>
              </w:rPr>
            </w:pPr>
            <w:r>
              <w:rPr>
                <w:rFonts w:ascii="Times New Roman"/>
                <w:sz w:val="18"/>
              </w:rPr>
              <w:t>.91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67,458,172</w:t>
            </w:r>
          </w:p>
          <w:p>
            <w:pPr>
              <w:pStyle w:val="TableParagraph"/>
              <w:spacing w:line="240" w:lineRule="auto" w:before="110"/>
              <w:ind w:right="94"/>
              <w:jc w:val="right"/>
              <w:rPr>
                <w:rFonts w:ascii="Times New Roman" w:hAnsi="Times New Roman" w:cs="Times New Roman" w:eastAsia="Times New Roman" w:hint="default"/>
                <w:sz w:val="18"/>
                <w:szCs w:val="18"/>
              </w:rPr>
            </w:pPr>
            <w:r>
              <w:rPr>
                <w:rFonts w:ascii="Times New Roman"/>
                <w:sz w:val="18"/>
              </w:rPr>
              <w:t>.72</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37,101,995.0</w:t>
            </w:r>
          </w:p>
          <w:p>
            <w:pPr>
              <w:pStyle w:val="TableParagraph"/>
              <w:spacing w:line="240" w:lineRule="auto" w:before="87"/>
              <w:ind w:right="103"/>
              <w:jc w:val="right"/>
              <w:rPr>
                <w:rFonts w:ascii="Times New Roman" w:hAnsi="Times New Roman" w:cs="Times New Roman" w:eastAsia="Times New Roman" w:hint="default"/>
                <w:sz w:val="20"/>
                <w:szCs w:val="20"/>
              </w:rPr>
            </w:pPr>
            <w:r>
              <w:rPr>
                <w:rFonts w:ascii="Times New Roman"/>
                <w:w w:val="100"/>
                <w:sz w:val="20"/>
              </w:rPr>
              <w:t>0</w:t>
            </w:r>
          </w:p>
        </w:tc>
      </w:tr>
    </w:tbl>
    <w:p>
      <w:pPr>
        <w:spacing w:before="53"/>
        <w:ind w:left="713" w:right="6969" w:firstLine="0"/>
        <w:jc w:val="left"/>
        <w:rPr>
          <w:rFonts w:ascii="宋体" w:hAnsi="宋体" w:cs="宋体" w:eastAsia="宋体" w:hint="default"/>
          <w:sz w:val="18"/>
          <w:szCs w:val="18"/>
        </w:rPr>
      </w:pPr>
      <w:r>
        <w:rPr>
          <w:rFonts w:ascii="宋体" w:hAnsi="宋体" w:cs="宋体" w:eastAsia="宋体" w:hint="default"/>
          <w:spacing w:val="-3"/>
          <w:sz w:val="18"/>
          <w:szCs w:val="18"/>
        </w:rPr>
        <w:t>报告期内取得和处置子公司的情况</w:t>
      </w:r>
    </w:p>
    <w:p>
      <w:pPr>
        <w:spacing w:before="119"/>
        <w:ind w:left="713" w:right="6969"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7"/>
          <w:szCs w:val="7"/>
        </w:rPr>
      </w:pPr>
    </w:p>
    <w:tbl>
      <w:tblPr>
        <w:tblW w:w="0" w:type="auto"/>
        <w:jc w:val="left"/>
        <w:tblInd w:w="7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31" w:right="0"/>
              <w:jc w:val="left"/>
              <w:rPr>
                <w:rFonts w:ascii="宋体" w:hAnsi="宋体" w:cs="宋体" w:eastAsia="宋体" w:hint="default"/>
                <w:sz w:val="18"/>
                <w:szCs w:val="18"/>
              </w:rPr>
            </w:pPr>
            <w:r>
              <w:rPr>
                <w:rFonts w:ascii="宋体" w:hAnsi="宋体" w:cs="宋体" w:eastAsia="宋体" w:hint="default"/>
                <w:spacing w:val="-3"/>
                <w:sz w:val="18"/>
                <w:szCs w:val="18"/>
              </w:rPr>
              <w:t>报告期内取得和处置子公司方式</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7" w:right="0"/>
              <w:jc w:val="left"/>
              <w:rPr>
                <w:rFonts w:ascii="宋体" w:hAnsi="宋体" w:cs="宋体" w:eastAsia="宋体" w:hint="default"/>
                <w:sz w:val="18"/>
                <w:szCs w:val="18"/>
              </w:rPr>
            </w:pPr>
            <w:r>
              <w:rPr>
                <w:rFonts w:ascii="宋体" w:hAnsi="宋体" w:cs="宋体" w:eastAsia="宋体" w:hint="default"/>
                <w:spacing w:val="-3"/>
                <w:sz w:val="18"/>
                <w:szCs w:val="18"/>
              </w:rPr>
              <w:t>对整体生产经营和业绩的影响</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深圳前海维恩贝特科技有限公司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6" w:right="0"/>
              <w:jc w:val="left"/>
              <w:rPr>
                <w:rFonts w:ascii="宋体" w:hAnsi="宋体" w:cs="宋体" w:eastAsia="宋体" w:hint="default"/>
                <w:sz w:val="18"/>
                <w:szCs w:val="18"/>
              </w:rPr>
            </w:pPr>
            <w:r>
              <w:rPr>
                <w:rFonts w:ascii="宋体" w:hAnsi="宋体" w:cs="宋体" w:eastAsia="宋体" w:hint="default"/>
                <w:sz w:val="18"/>
                <w:szCs w:val="18"/>
              </w:rPr>
              <w:t>股权转让，丧失控制权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line="240" w:lineRule="auto" w:before="9"/>
        <w:rPr>
          <w:rFonts w:ascii="宋体" w:hAnsi="宋体" w:cs="宋体" w:eastAsia="宋体" w:hint="default"/>
          <w:sz w:val="17"/>
          <w:szCs w:val="17"/>
        </w:rPr>
      </w:pPr>
    </w:p>
    <w:p>
      <w:pPr>
        <w:pStyle w:val="Heading2"/>
        <w:spacing w:line="240" w:lineRule="auto" w:before="26"/>
        <w:ind w:left="713" w:right="0"/>
        <w:jc w:val="both"/>
        <w:rPr>
          <w:b w:val="0"/>
          <w:bCs w:val="0"/>
        </w:rPr>
      </w:pPr>
      <w:bookmarkStart w:name="八、公司控制的结构化主体情况" w:id="53"/>
      <w:bookmarkEnd w:id="53"/>
      <w:r>
        <w:rPr>
          <w:b w:val="0"/>
          <w:bCs w:val="0"/>
        </w:rPr>
      </w:r>
      <w:r>
        <w:rPr/>
        <w:t>八、公司控制的结构化主体情况</w:t>
      </w:r>
      <w:r>
        <w:rPr>
          <w:b w:val="0"/>
          <w:bCs w:val="0"/>
        </w:rPr>
      </w:r>
    </w:p>
    <w:p>
      <w:pPr>
        <w:spacing w:line="240" w:lineRule="auto" w:before="3"/>
        <w:rPr>
          <w:rFonts w:ascii="宋体" w:hAnsi="宋体" w:cs="宋体" w:eastAsia="宋体" w:hint="default"/>
          <w:b/>
          <w:bCs/>
          <w:sz w:val="27"/>
          <w:szCs w:val="27"/>
        </w:rPr>
      </w:pPr>
    </w:p>
    <w:p>
      <w:pPr>
        <w:spacing w:before="0"/>
        <w:ind w:left="713" w:right="0" w:firstLine="0"/>
        <w:jc w:val="both"/>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left="713" w:right="0"/>
        <w:jc w:val="both"/>
        <w:rPr>
          <w:b w:val="0"/>
          <w:bCs w:val="0"/>
        </w:rPr>
      </w:pPr>
      <w:bookmarkStart w:name="九、公司未来发展的展望" w:id="54"/>
      <w:bookmarkEnd w:id="54"/>
      <w:r>
        <w:rPr>
          <w:b w:val="0"/>
          <w:bCs w:val="0"/>
        </w:rPr>
      </w:r>
      <w:r>
        <w:rPr/>
        <w:t>九、公司未来发展的展望</w:t>
      </w:r>
      <w:r>
        <w:rPr>
          <w:b w:val="0"/>
          <w:bCs w:val="0"/>
        </w:rPr>
      </w:r>
    </w:p>
    <w:p>
      <w:pPr>
        <w:spacing w:line="240" w:lineRule="auto" w:before="8"/>
        <w:rPr>
          <w:rFonts w:ascii="宋体" w:hAnsi="宋体" w:cs="宋体" w:eastAsia="宋体" w:hint="default"/>
          <w:b/>
          <w:bCs/>
          <w:sz w:val="25"/>
          <w:szCs w:val="25"/>
        </w:rPr>
      </w:pPr>
    </w:p>
    <w:p>
      <w:pPr>
        <w:pStyle w:val="Heading3"/>
        <w:spacing w:line="240" w:lineRule="auto"/>
        <w:ind w:left="1140" w:right="6969"/>
        <w:jc w:val="left"/>
        <w:rPr>
          <w:b w:val="0"/>
          <w:bCs w:val="0"/>
        </w:rPr>
      </w:pPr>
      <w:r>
        <w:rPr/>
        <w:t>（一）行业格局和趋势</w:t>
      </w:r>
      <w:r>
        <w:rPr>
          <w:b w:val="0"/>
          <w:bCs w:val="0"/>
        </w:rPr>
      </w:r>
    </w:p>
    <w:p>
      <w:pPr>
        <w:pStyle w:val="BodyText"/>
        <w:spacing w:line="420" w:lineRule="atLeast" w:before="28"/>
        <w:ind w:left="1140" w:right="1110"/>
        <w:jc w:val="left"/>
      </w:pPr>
      <w:r>
        <w:rPr>
          <w:rFonts w:ascii="Times New Roman" w:hAnsi="Times New Roman" w:cs="Times New Roman" w:eastAsia="Times New Roman" w:hint="default"/>
          <w:b/>
          <w:bCs/>
        </w:rPr>
        <w:t>1</w:t>
      </w:r>
      <w:r>
        <w:rPr>
          <w:rFonts w:ascii="宋体" w:hAnsi="宋体" w:cs="宋体" w:eastAsia="宋体" w:hint="default"/>
          <w:b/>
          <w:bCs/>
        </w:rPr>
        <w:t>、大数据、人工智能</w:t>
      </w:r>
      <w:r>
        <w:rPr>
          <w:rFonts w:ascii="宋体" w:hAnsi="宋体" w:cs="宋体" w:eastAsia="宋体" w:hint="default"/>
          <w:b/>
          <w:bCs/>
          <w:spacing w:val="-102"/>
        </w:rPr>
        <w:t> </w:t>
      </w:r>
      <w:r>
        <w:rPr>
          <w:spacing w:val="-3"/>
          <w:w w:val="100"/>
        </w:rPr>
        <w:t>数据是未来产业发展的核心控制点，信息技术</w:t>
      </w:r>
      <w:r>
        <w:rPr>
          <w:rFonts w:ascii="Times New Roman" w:hAnsi="Times New Roman" w:cs="Times New Roman" w:eastAsia="Times New Roman" w:hint="default"/>
          <w:spacing w:val="-3"/>
          <w:w w:val="100"/>
        </w:rPr>
        <w:t>IT</w:t>
      </w:r>
      <w:r>
        <w:rPr>
          <w:spacing w:val="-3"/>
          <w:w w:val="100"/>
        </w:rPr>
        <w:t>演变为数据技术</w:t>
      </w:r>
      <w:r>
        <w:rPr>
          <w:rFonts w:ascii="Times New Roman" w:hAnsi="Times New Roman" w:cs="Times New Roman" w:eastAsia="Times New Roman" w:hint="default"/>
          <w:spacing w:val="-3"/>
          <w:w w:val="100"/>
        </w:rPr>
        <w:t>DT</w:t>
      </w:r>
      <w:r>
        <w:rPr>
          <w:spacing w:val="-3"/>
          <w:w w:val="100"/>
        </w:rPr>
        <w:t>，引领驱动产业转型升级。《新一</w:t>
      </w:r>
    </w:p>
    <w:p>
      <w:pPr>
        <w:pStyle w:val="BodyText"/>
        <w:spacing w:line="261" w:lineRule="auto" w:before="21"/>
        <w:ind w:left="713" w:right="1106"/>
        <w:jc w:val="both"/>
      </w:pPr>
      <w:r>
        <w:rPr>
          <w:spacing w:val="-2"/>
          <w:w w:val="100"/>
        </w:rPr>
        <w:t>代人工智能发展规划》（由国务院于</w:t>
      </w:r>
      <w:r>
        <w:rPr>
          <w:rFonts w:ascii="Times New Roman" w:hAnsi="Times New Roman" w:cs="Times New Roman" w:eastAsia="Times New Roman" w:hint="default"/>
          <w:spacing w:val="-2"/>
          <w:w w:val="100"/>
        </w:rPr>
        <w:t>2017</w:t>
      </w:r>
      <w:r>
        <w:rPr>
          <w:spacing w:val="-2"/>
          <w:w w:val="100"/>
        </w:rPr>
        <w:t>年</w:t>
      </w:r>
      <w:r>
        <w:rPr>
          <w:rFonts w:ascii="Times New Roman" w:hAnsi="Times New Roman" w:cs="Times New Roman" w:eastAsia="Times New Roman" w:hint="default"/>
          <w:spacing w:val="-2"/>
          <w:w w:val="100"/>
        </w:rPr>
        <w:t>7</w:t>
      </w:r>
      <w:r>
        <w:rPr>
          <w:spacing w:val="-2"/>
          <w:w w:val="100"/>
        </w:rPr>
        <w:t>月</w:t>
      </w:r>
      <w:r>
        <w:rPr>
          <w:rFonts w:ascii="Times New Roman" w:hAnsi="Times New Roman" w:cs="Times New Roman" w:eastAsia="Times New Roman" w:hint="default"/>
          <w:spacing w:val="-2"/>
          <w:w w:val="100"/>
        </w:rPr>
        <w:t>8</w:t>
      </w:r>
      <w:r>
        <w:rPr>
          <w:spacing w:val="-2"/>
          <w:w w:val="100"/>
        </w:rPr>
        <w:t>日印发并实施）明确了我国新一代人工智能发展的战略目</w:t>
      </w:r>
      <w:r>
        <w:rPr>
          <w:spacing w:val="-92"/>
          <w:w w:val="100"/>
        </w:rPr>
        <w:t> </w:t>
      </w:r>
      <w:r>
        <w:rPr>
          <w:spacing w:val="-92"/>
          <w:w w:val="100"/>
        </w:rPr>
      </w:r>
      <w:r>
        <w:rPr>
          <w:spacing w:val="-2"/>
        </w:rPr>
        <w:t>标：到</w:t>
      </w:r>
      <w:r>
        <w:rPr>
          <w:rFonts w:ascii="Times New Roman" w:hAnsi="Times New Roman" w:cs="Times New Roman" w:eastAsia="Times New Roman" w:hint="default"/>
          <w:spacing w:val="-2"/>
        </w:rPr>
        <w:t>2020</w:t>
      </w:r>
      <w:r>
        <w:rPr>
          <w:spacing w:val="-2"/>
        </w:rPr>
        <w:t>年，人工智能总体技术和应用与世界先进水平同步，人工智能产业成为新的重要经济增长点，</w:t>
      </w:r>
      <w:r>
        <w:rPr>
          <w:spacing w:val="-9"/>
        </w:rPr>
        <w:t> </w:t>
      </w:r>
      <w:r>
        <w:rPr>
          <w:spacing w:val="-9"/>
        </w:rPr>
      </w:r>
      <w:r>
        <w:rPr>
          <w:spacing w:val="-2"/>
        </w:rPr>
        <w:t>人工智能技术应用成为改善民生的新途径；到</w:t>
      </w:r>
      <w:r>
        <w:rPr>
          <w:rFonts w:ascii="Times New Roman" w:hAnsi="Times New Roman" w:cs="Times New Roman" w:eastAsia="Times New Roman" w:hint="default"/>
          <w:spacing w:val="-2"/>
        </w:rPr>
        <w:t>2025</w:t>
      </w:r>
      <w:r>
        <w:rPr>
          <w:spacing w:val="-2"/>
        </w:rPr>
        <w:t>年，人工智能基础理论实现重大突破，部分技术与应用</w:t>
      </w:r>
      <w:r>
        <w:rPr>
          <w:spacing w:val="-28"/>
        </w:rPr>
        <w:t> </w:t>
      </w:r>
      <w:r>
        <w:rPr>
          <w:spacing w:val="-28"/>
        </w:rPr>
      </w:r>
      <w:r>
        <w:rPr>
          <w:spacing w:val="-2"/>
        </w:rPr>
        <w:t>达到世界领先水平，人工智能成为我国产业升级和经济转型的主要动力，智能社会建设取得积极进展；到</w:t>
      </w:r>
      <w:r>
        <w:rPr>
          <w:spacing w:val="-33"/>
        </w:rPr>
        <w:t> </w:t>
      </w:r>
      <w:r>
        <w:rPr>
          <w:spacing w:val="-33"/>
        </w:rPr>
      </w:r>
      <w:r>
        <w:rPr>
          <w:rFonts w:ascii="Times New Roman" w:hAnsi="Times New Roman" w:cs="Times New Roman" w:eastAsia="Times New Roman" w:hint="default"/>
        </w:rPr>
        <w:t>2030</w:t>
      </w:r>
      <w:r>
        <w:rPr/>
        <w:t>年，人工智能理论、技术与应用总体达到世界领先水平，成为世界主要人工智能创新中心。</w:t>
      </w:r>
    </w:p>
    <w:p>
      <w:pPr>
        <w:spacing w:line="428" w:lineRule="exact" w:before="23"/>
        <w:ind w:left="1140" w:right="11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、第五代移动通信系统（</w:t>
      </w:r>
      <w:r>
        <w:rPr>
          <w:rFonts w:ascii="Times New Roman" w:hAnsi="Times New Roman" w:cs="Times New Roman" w:eastAsia="Times New Roman" w:hint="default"/>
          <w:b/>
          <w:bCs/>
          <w:sz w:val="21"/>
          <w:szCs w:val="21"/>
        </w:rPr>
        <w:t>5G</w:t>
      </w:r>
      <w:r>
        <w:rPr>
          <w:rFonts w:ascii="宋体" w:hAnsi="宋体" w:cs="宋体" w:eastAsia="宋体" w:hint="default"/>
          <w:b/>
          <w:bCs/>
          <w:sz w:val="21"/>
          <w:szCs w:val="21"/>
        </w:rPr>
        <w:t>）</w:t>
      </w:r>
      <w:r>
        <w:rPr>
          <w:rFonts w:ascii="宋体" w:hAnsi="宋体" w:cs="宋体" w:eastAsia="宋体" w:hint="default"/>
          <w:b/>
          <w:bCs/>
          <w:w w:val="100"/>
          <w:sz w:val="21"/>
          <w:szCs w:val="21"/>
        </w:rPr>
        <w:t> </w:t>
      </w:r>
      <w:r>
        <w:rPr>
          <w:rFonts w:ascii="宋体" w:hAnsi="宋体" w:cs="宋体" w:eastAsia="宋体" w:hint="default"/>
          <w:sz w:val="21"/>
          <w:szCs w:val="21"/>
        </w:rPr>
        <w:t>全球大多数国家都对</w:t>
      </w:r>
      <w:r>
        <w:rPr>
          <w:rFonts w:ascii="Times New Roman" w:hAnsi="Times New Roman" w:cs="Times New Roman" w:eastAsia="Times New Roman" w:hint="default"/>
          <w:sz w:val="21"/>
          <w:szCs w:val="21"/>
        </w:rPr>
        <w:t>5G</w:t>
      </w:r>
      <w:r>
        <w:rPr>
          <w:rFonts w:ascii="宋体" w:hAnsi="宋体" w:cs="宋体" w:eastAsia="宋体" w:hint="default"/>
          <w:sz w:val="21"/>
          <w:szCs w:val="21"/>
        </w:rPr>
        <w:t>新一代移动通信网络建设给予高度重视，认为</w:t>
      </w:r>
      <w:r>
        <w:rPr>
          <w:rFonts w:ascii="Times New Roman" w:hAnsi="Times New Roman" w:cs="Times New Roman" w:eastAsia="Times New Roman" w:hint="default"/>
          <w:sz w:val="21"/>
          <w:szCs w:val="21"/>
        </w:rPr>
        <w:t>5G</w:t>
      </w:r>
      <w:r>
        <w:rPr>
          <w:rFonts w:ascii="宋体" w:hAnsi="宋体" w:cs="宋体" w:eastAsia="宋体" w:hint="default"/>
          <w:sz w:val="21"/>
          <w:szCs w:val="21"/>
        </w:rPr>
        <w:t>将与</w:t>
      </w:r>
      <w:r>
        <w:rPr>
          <w:rFonts w:ascii="Times New Roman" w:hAnsi="Times New Roman" w:cs="Times New Roman" w:eastAsia="Times New Roman" w:hint="default"/>
          <w:sz w:val="21"/>
          <w:szCs w:val="21"/>
        </w:rPr>
        <w:t>AI</w:t>
      </w:r>
      <w:r>
        <w:rPr>
          <w:rFonts w:ascii="宋体" w:hAnsi="宋体" w:cs="宋体" w:eastAsia="宋体" w:hint="default"/>
          <w:sz w:val="21"/>
          <w:szCs w:val="21"/>
        </w:rPr>
        <w:t>一样成为未来几年大</w:t>
      </w:r>
    </w:p>
    <w:p>
      <w:pPr>
        <w:pStyle w:val="BodyText"/>
        <w:spacing w:line="272" w:lineRule="exact" w:before="0"/>
        <w:ind w:left="713" w:right="0"/>
        <w:jc w:val="both"/>
      </w:pPr>
      <w:r>
        <w:rPr>
          <w:spacing w:val="-3"/>
        </w:rPr>
        <w:t>型经济体增长的核心引擎。</w:t>
      </w:r>
      <w:r>
        <w:rPr>
          <w:rFonts w:ascii="Times New Roman" w:hAnsi="Times New Roman" w:cs="Times New Roman" w:eastAsia="Times New Roman" w:hint="default"/>
          <w:spacing w:val="-3"/>
        </w:rPr>
        <w:t>5G</w:t>
      </w:r>
      <w:r>
        <w:rPr>
          <w:spacing w:val="-3"/>
        </w:rPr>
        <w:t>并不等于</w:t>
      </w:r>
      <w:r>
        <w:rPr>
          <w:rFonts w:ascii="Times New Roman" w:hAnsi="Times New Roman" w:cs="Times New Roman" w:eastAsia="Times New Roman" w:hint="default"/>
          <w:spacing w:val="-3"/>
        </w:rPr>
        <w:t>4G+1G</w:t>
      </w:r>
      <w:r>
        <w:rPr>
          <w:spacing w:val="-3"/>
        </w:rPr>
        <w:t>，其应用场景远远超出人们的想象空间，万物互联的时代的</w:t>
      </w:r>
    </w:p>
    <w:p>
      <w:pPr>
        <w:pStyle w:val="BodyText"/>
        <w:spacing w:line="266" w:lineRule="auto" w:before="21"/>
        <w:ind w:left="713" w:right="1128"/>
        <w:jc w:val="both"/>
      </w:pPr>
      <w:r>
        <w:rPr/>
        <w:t>的确确已经来临。带来的市场机会绝不仅仅是运营支撑系统软件的叠加式升级，很可能是软件定义网络</w:t>
      </w:r>
      <w:r>
        <w:rPr>
          <w:spacing w:val="60"/>
        </w:rPr>
        <w:t> </w:t>
      </w:r>
      <w:r>
        <w:rPr>
          <w:spacing w:val="60"/>
        </w:rPr>
      </w:r>
      <w:r>
        <w:rPr>
          <w:rFonts w:ascii="Times New Roman" w:hAnsi="Times New Roman" w:cs="Times New Roman" w:eastAsia="Times New Roman" w:hint="default"/>
          <w:spacing w:val="-2"/>
        </w:rPr>
        <w:t>SDN</w:t>
      </w:r>
      <w:r>
        <w:rPr>
          <w:spacing w:val="-2"/>
        </w:rPr>
        <w:t>（</w:t>
      </w:r>
      <w:r>
        <w:rPr>
          <w:rFonts w:ascii="Times New Roman" w:hAnsi="Times New Roman" w:cs="Times New Roman" w:eastAsia="Times New Roman" w:hint="default"/>
          <w:spacing w:val="-2"/>
        </w:rPr>
        <w:t>Software</w:t>
      </w:r>
      <w:r>
        <w:rPr>
          <w:rFonts w:ascii="Times New Roman" w:hAnsi="Times New Roman" w:cs="Times New Roman" w:eastAsia="Times New Roman" w:hint="default"/>
        </w:rPr>
        <w:t> </w:t>
      </w:r>
      <w:r>
        <w:rPr>
          <w:rFonts w:ascii="Times New Roman" w:hAnsi="Times New Roman" w:cs="Times New Roman" w:eastAsia="Times New Roman" w:hint="default"/>
          <w:spacing w:val="-1"/>
        </w:rPr>
        <w:t>Defined</w:t>
      </w:r>
      <w:r>
        <w:rPr>
          <w:rFonts w:ascii="Times New Roman" w:hAnsi="Times New Roman" w:cs="Times New Roman" w:eastAsia="Times New Roman" w:hint="default"/>
        </w:rPr>
        <w:t> </w:t>
      </w:r>
      <w:r>
        <w:rPr>
          <w:rFonts w:ascii="Times New Roman" w:hAnsi="Times New Roman" w:cs="Times New Roman" w:eastAsia="Times New Roman" w:hint="default"/>
          <w:spacing w:val="-2"/>
        </w:rPr>
        <w:t>Network)</w:t>
      </w:r>
      <w:r>
        <w:rPr>
          <w:spacing w:val="-2"/>
        </w:rPr>
        <w:t>化后，互联网基础设施由软件能力（</w:t>
      </w:r>
      <w:r>
        <w:rPr>
          <w:rFonts w:ascii="Times New Roman" w:hAnsi="Times New Roman" w:cs="Times New Roman" w:eastAsia="Times New Roman" w:hint="default"/>
          <w:spacing w:val="-2"/>
        </w:rPr>
        <w:t>SOA</w:t>
      </w:r>
      <w:r>
        <w:rPr>
          <w:spacing w:val="-2"/>
        </w:rPr>
        <w:t>，微服务）重新定义。对电信软</w:t>
      </w:r>
      <w:r>
        <w:rPr>
          <w:spacing w:val="-65"/>
        </w:rPr>
        <w:t> </w:t>
      </w:r>
      <w:r>
        <w:rPr>
          <w:spacing w:val="-65"/>
        </w:rPr>
      </w:r>
      <w:r>
        <w:rPr/>
        <w:t>件公司而言，蓄势而发有可能碾压对手，仓促应战也可能被扫地出门。</w:t>
      </w:r>
    </w:p>
    <w:p>
      <w:pPr>
        <w:pStyle w:val="Heading3"/>
        <w:spacing w:line="240" w:lineRule="auto" w:before="57"/>
        <w:ind w:left="1140" w:right="6969"/>
        <w:jc w:val="left"/>
        <w:rPr>
          <w:b w:val="0"/>
          <w:bCs w:val="0"/>
        </w:rPr>
      </w:pPr>
      <w:r>
        <w:rPr>
          <w:rFonts w:ascii="Times New Roman" w:hAnsi="Times New Roman" w:cs="Times New Roman" w:eastAsia="Times New Roman" w:hint="default"/>
        </w:rPr>
        <w:t>2.1  </w:t>
      </w:r>
      <w:r>
        <w:rPr>
          <w:rFonts w:ascii="Times New Roman" w:hAnsi="Times New Roman" w:cs="Times New Roman" w:eastAsia="Times New Roman" w:hint="default"/>
          <w:spacing w:val="26"/>
        </w:rPr>
        <w:t> </w:t>
      </w:r>
      <w:r>
        <w:rPr>
          <w:rFonts w:ascii="Times New Roman" w:hAnsi="Times New Roman" w:cs="Times New Roman" w:eastAsia="Times New Roman" w:hint="default"/>
        </w:rPr>
        <w:t>5G</w:t>
      </w:r>
      <w:r>
        <w:rPr/>
        <w:t>包含以下三大类应用场景：</w:t>
      </w:r>
      <w:r>
        <w:rPr>
          <w:b w:val="0"/>
          <w:bCs w:val="0"/>
        </w:rPr>
      </w:r>
    </w:p>
    <w:p>
      <w:pPr>
        <w:pStyle w:val="BodyText"/>
        <w:spacing w:line="266" w:lineRule="auto" w:before="55"/>
        <w:ind w:left="713" w:right="1123" w:firstLine="427"/>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eMBB(Enhanced Mobile Broadband</w:t>
      </w:r>
      <w:r>
        <w:rPr>
          <w:rFonts w:ascii="Times New Roman" w:hAnsi="Times New Roman" w:cs="Times New Roman" w:eastAsia="Times New Roman" w:hint="default"/>
          <w:spacing w:val="24"/>
        </w:rPr>
        <w:t> </w:t>
      </w:r>
      <w:r>
        <w:rPr/>
        <w:t>增强移动宽带</w:t>
      </w:r>
      <w:r>
        <w:rPr>
          <w:rFonts w:ascii="Times New Roman" w:hAnsi="Times New Roman" w:cs="Times New Roman" w:eastAsia="Times New Roman" w:hint="default"/>
        </w:rPr>
        <w:t>)</w:t>
      </w:r>
      <w:r>
        <w:rPr/>
        <w:t>：</w:t>
      </w:r>
      <w:r>
        <w:rPr>
          <w:rFonts w:ascii="Times New Roman" w:hAnsi="Times New Roman" w:cs="Times New Roman" w:eastAsia="Times New Roman" w:hint="default"/>
        </w:rPr>
        <w:t>eMBB</w:t>
      </w:r>
      <w:r>
        <w:rPr/>
        <w:t>将为移动互联网业务提供前所未有的</w:t>
      </w:r>
      <w:r>
        <w:rPr>
          <w:w w:val="100"/>
        </w:rPr>
        <w:t> </w:t>
      </w:r>
      <w:r>
        <w:rPr>
          <w:spacing w:val="-2"/>
        </w:rPr>
        <w:t>极致体验。主要满足超高清视频、下一代社交网络、浸入式游戏、全息视频等移动互联网业务需求，随时</w:t>
      </w:r>
      <w:r>
        <w:rPr>
          <w:spacing w:val="-38"/>
        </w:rPr>
        <w:t> </w:t>
      </w:r>
      <w:r>
        <w:rPr>
          <w:spacing w:val="-38"/>
        </w:rPr>
      </w:r>
      <w:r>
        <w:rPr/>
        <w:t>随地</w:t>
      </w:r>
      <w:r>
        <w:rPr>
          <w:rFonts w:ascii="Times New Roman" w:hAnsi="Times New Roman" w:cs="Times New Roman" w:eastAsia="Times New Roman" w:hint="default"/>
        </w:rPr>
        <w:t>(</w:t>
      </w:r>
      <w:r>
        <w:rPr/>
        <w:t>包括小区边缘、高速移动等恶劣环境和局部热点地区</w:t>
      </w:r>
      <w:r>
        <w:rPr>
          <w:rFonts w:ascii="Times New Roman" w:hAnsi="Times New Roman" w:cs="Times New Roman" w:eastAsia="Times New Roman" w:hint="default"/>
        </w:rPr>
        <w:t>)</w:t>
      </w:r>
      <w:r>
        <w:rPr/>
        <w:t>为用户提供无缝的高速业务。</w:t>
      </w:r>
    </w:p>
    <w:p>
      <w:pPr>
        <w:pStyle w:val="BodyText"/>
        <w:spacing w:line="266" w:lineRule="auto" w:before="29"/>
        <w:ind w:left="713" w:right="1122" w:firstLine="427"/>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uRLLC(Ultra-Reliable and Low Latency Communications </w:t>
      </w:r>
      <w:r>
        <w:rPr/>
        <w:t>低时延高可靠通讯</w:t>
      </w:r>
      <w:r>
        <w:rPr>
          <w:rFonts w:ascii="Times New Roman" w:hAnsi="Times New Roman" w:cs="Times New Roman" w:eastAsia="Times New Roman" w:hint="default"/>
        </w:rPr>
        <w:t>)</w:t>
      </w:r>
      <w:r>
        <w:rPr/>
        <w:t>：</w:t>
      </w:r>
      <w:r>
        <w:rPr>
          <w:rFonts w:ascii="Times New Roman" w:hAnsi="Times New Roman" w:cs="Times New Roman" w:eastAsia="Times New Roman" w:hint="default"/>
        </w:rPr>
        <w:t>uRLLC</w:t>
      </w:r>
      <w:r>
        <w:rPr>
          <w:rFonts w:ascii="Times New Roman" w:hAnsi="Times New Roman" w:cs="Times New Roman" w:eastAsia="Times New Roman" w:hint="default"/>
          <w:spacing w:val="-9"/>
        </w:rPr>
        <w:t> </w:t>
      </w:r>
      <w:r>
        <w:rPr/>
        <w:t>主要面向车</w:t>
      </w:r>
      <w:r>
        <w:rPr>
          <w:w w:val="100"/>
        </w:rPr>
        <w:t> </w:t>
      </w:r>
      <w:r>
        <w:rPr>
          <w:spacing w:val="-2"/>
        </w:rPr>
        <w:t>联网、工业控制、远程手术等对时延和可靠性具有极高要求的垂直行业，为用户提供毫秒级的端到端时延</w:t>
      </w:r>
      <w:r>
        <w:rPr>
          <w:spacing w:val="-32"/>
        </w:rPr>
        <w:t> </w:t>
      </w:r>
      <w:r>
        <w:rPr>
          <w:spacing w:val="-32"/>
        </w:rPr>
      </w:r>
      <w:r>
        <w:rPr/>
        <w:t>和接近</w:t>
      </w:r>
      <w:r>
        <w:rPr>
          <w:rFonts w:ascii="Times New Roman" w:hAnsi="Times New Roman" w:cs="Times New Roman" w:eastAsia="Times New Roman" w:hint="default"/>
        </w:rPr>
        <w:t>100%</w:t>
      </w:r>
      <w:r>
        <w:rPr>
          <w:rFonts w:ascii="Times New Roman" w:hAnsi="Times New Roman" w:cs="Times New Roman" w:eastAsia="Times New Roman" w:hint="default"/>
          <w:spacing w:val="37"/>
        </w:rPr>
        <w:t> </w:t>
      </w:r>
      <w:r>
        <w:rPr/>
        <w:t>的业务可靠性保证。</w:t>
      </w:r>
    </w:p>
    <w:p>
      <w:pPr>
        <w:pStyle w:val="BodyText"/>
        <w:spacing w:line="266" w:lineRule="auto" w:before="34"/>
        <w:ind w:left="713" w:right="1122" w:firstLine="427"/>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mMTC(Massive Machine </w:t>
      </w:r>
      <w:r>
        <w:rPr>
          <w:rFonts w:ascii="Times New Roman" w:hAnsi="Times New Roman" w:cs="Times New Roman" w:eastAsia="Times New Roman" w:hint="default"/>
          <w:spacing w:val="-5"/>
        </w:rPr>
        <w:t>Type</w:t>
      </w:r>
      <w:r>
        <w:rPr>
          <w:rFonts w:ascii="Times New Roman" w:hAnsi="Times New Roman" w:cs="Times New Roman" w:eastAsia="Times New Roman" w:hint="default"/>
          <w:spacing w:val="-24"/>
        </w:rPr>
        <w:t> </w:t>
      </w:r>
      <w:r>
        <w:rPr>
          <w:rFonts w:ascii="Times New Roman" w:hAnsi="Times New Roman" w:cs="Times New Roman" w:eastAsia="Times New Roman" w:hint="default"/>
        </w:rPr>
        <w:t>Communications</w:t>
      </w:r>
      <w:r>
        <w:rPr/>
        <w:t>海量大连接</w:t>
      </w:r>
      <w:r>
        <w:rPr>
          <w:rFonts w:ascii="Times New Roman" w:hAnsi="Times New Roman" w:cs="Times New Roman" w:eastAsia="Times New Roman" w:hint="default"/>
        </w:rPr>
        <w:t>)</w:t>
      </w:r>
      <w:r>
        <w:rPr/>
        <w:t>：</w:t>
      </w:r>
      <w:r>
        <w:rPr>
          <w:rFonts w:ascii="Times New Roman" w:hAnsi="Times New Roman" w:cs="Times New Roman" w:eastAsia="Times New Roman" w:hint="default"/>
        </w:rPr>
        <w:t>mMTC</w:t>
      </w:r>
      <w:r>
        <w:rPr/>
        <w:t>主要面向智慧城市、环境监</w:t>
      </w:r>
      <w:r>
        <w:rPr>
          <w:w w:val="100"/>
        </w:rPr>
        <w:t> </w:t>
      </w:r>
      <w:r>
        <w:rPr/>
        <w:t>测、智慧农业、森林 防火等以传感和数据采集为目标的应用场景，具有小数据包、低功耗、海量连接等</w:t>
      </w:r>
      <w:r>
        <w:rPr>
          <w:spacing w:val="-34"/>
        </w:rPr>
        <w:t> </w:t>
      </w:r>
      <w:r>
        <w:rPr>
          <w:spacing w:val="-34"/>
        </w:rPr>
      </w:r>
      <w:r>
        <w:rPr/>
        <w:t>特点。</w:t>
      </w:r>
    </w:p>
    <w:p>
      <w:pPr>
        <w:pStyle w:val="Heading3"/>
        <w:spacing w:line="240" w:lineRule="auto" w:before="52"/>
        <w:ind w:left="1140" w:right="1110"/>
        <w:jc w:val="left"/>
        <w:rPr>
          <w:b w:val="0"/>
          <w:bCs w:val="0"/>
        </w:rPr>
      </w:pPr>
      <w:r>
        <w:rPr>
          <w:rFonts w:ascii="Times New Roman" w:hAnsi="Times New Roman" w:cs="Times New Roman" w:eastAsia="Times New Roman" w:hint="default"/>
        </w:rPr>
        <w:t>2.2  </w:t>
      </w:r>
      <w:r>
        <w:rPr>
          <w:rFonts w:ascii="Times New Roman" w:hAnsi="Times New Roman" w:cs="Times New Roman" w:eastAsia="Times New Roman" w:hint="default"/>
          <w:spacing w:val="19"/>
        </w:rPr>
        <w:t> </w:t>
      </w:r>
      <w:r>
        <w:rPr>
          <w:rFonts w:ascii="Times New Roman" w:hAnsi="Times New Roman" w:cs="Times New Roman" w:eastAsia="Times New Roman" w:hint="default"/>
        </w:rPr>
        <w:t>5G</w:t>
      </w:r>
      <w:r>
        <w:rPr/>
        <w:t>的核心技术突破主要是基于软件技术实现的：</w:t>
      </w:r>
      <w:r>
        <w:rPr>
          <w:b w:val="0"/>
          <w:bCs w:val="0"/>
        </w:rPr>
      </w:r>
    </w:p>
    <w:p>
      <w:pPr>
        <w:pStyle w:val="BodyText"/>
        <w:spacing w:line="240" w:lineRule="auto" w:before="59"/>
        <w:ind w:left="1265" w:right="1110"/>
        <w:jc w:val="left"/>
      </w:pPr>
      <w:r>
        <w:rPr/>
        <w:t>（</w:t>
      </w:r>
      <w:r>
        <w:rPr>
          <w:rFonts w:ascii="Times New Roman" w:hAnsi="Times New Roman" w:cs="Times New Roman" w:eastAsia="Times New Roman" w:hint="default"/>
        </w:rPr>
        <w:t>1</w:t>
      </w:r>
      <w:r>
        <w:rPr/>
        <w:t>）支持</w:t>
      </w:r>
      <w:r>
        <w:rPr>
          <w:rFonts w:ascii="Times New Roman" w:hAnsi="Times New Roman" w:cs="Times New Roman" w:eastAsia="Times New Roman" w:hint="default"/>
        </w:rPr>
        <w:t>5G</w:t>
      </w:r>
      <w:r>
        <w:rPr/>
        <w:t>网络切片实现的底层技术</w:t>
      </w:r>
    </w:p>
    <w:p>
      <w:pPr>
        <w:spacing w:after="0" w:line="240" w:lineRule="auto"/>
        <w:jc w:val="left"/>
        <w:sectPr>
          <w:pgSz w:w="11910" w:h="16840"/>
          <w:pgMar w:header="906" w:footer="1022" w:top="1100" w:bottom="1220" w:left="420" w:right="0"/>
        </w:sectPr>
      </w:pPr>
    </w:p>
    <w:p>
      <w:pPr>
        <w:spacing w:line="240" w:lineRule="auto" w:before="8"/>
        <w:rPr>
          <w:rFonts w:ascii="宋体" w:hAnsi="宋体" w:cs="宋体" w:eastAsia="宋体" w:hint="default"/>
          <w:sz w:val="21"/>
          <w:szCs w:val="21"/>
        </w:rPr>
      </w:pPr>
    </w:p>
    <w:p>
      <w:pPr>
        <w:pStyle w:val="BodyText"/>
        <w:spacing w:line="273" w:lineRule="auto" w:before="36"/>
        <w:ind w:right="1122" w:firstLine="422"/>
        <w:jc w:val="both"/>
        <w:rPr>
          <w:rFonts w:ascii="宋体" w:hAnsi="宋体" w:cs="宋体" w:eastAsia="宋体" w:hint="default"/>
        </w:rPr>
      </w:pPr>
      <w:r>
        <w:rPr>
          <w:spacing w:val="-2"/>
        </w:rPr>
        <w:t>实现</w:t>
      </w:r>
      <w:r>
        <w:rPr>
          <w:rFonts w:ascii="宋体" w:hAnsi="宋体" w:cs="宋体" w:eastAsia="宋体" w:hint="default"/>
          <w:spacing w:val="-2"/>
        </w:rPr>
        <w:t>5G</w:t>
      </w:r>
      <w:r>
        <w:rPr>
          <w:spacing w:val="-2"/>
        </w:rPr>
        <w:t>网络切片的基础是网络功能虚拟化（</w:t>
      </w:r>
      <w:r>
        <w:rPr>
          <w:rFonts w:ascii="宋体" w:hAnsi="宋体" w:cs="宋体" w:eastAsia="宋体" w:hint="default"/>
          <w:spacing w:val="-2"/>
        </w:rPr>
        <w:t>NFV</w:t>
      </w:r>
      <w:r>
        <w:rPr>
          <w:spacing w:val="-2"/>
        </w:rPr>
        <w:t>）和如那件定义网络（</w:t>
      </w:r>
      <w:r>
        <w:rPr>
          <w:rFonts w:ascii="宋体" w:hAnsi="宋体" w:cs="宋体" w:eastAsia="宋体" w:hint="default"/>
          <w:spacing w:val="-2"/>
        </w:rPr>
        <w:t>SDN</w:t>
      </w:r>
      <w:r>
        <w:rPr>
          <w:spacing w:val="-2"/>
        </w:rPr>
        <w:t>）技术。</w:t>
      </w:r>
      <w:r>
        <w:rPr>
          <w:rFonts w:ascii="宋体" w:hAnsi="宋体" w:cs="宋体" w:eastAsia="宋体" w:hint="default"/>
          <w:spacing w:val="-2"/>
        </w:rPr>
        <w:t>NFV</w:t>
      </w:r>
      <w:r>
        <w:rPr>
          <w:spacing w:val="-2"/>
        </w:rPr>
        <w:t>和</w:t>
      </w:r>
      <w:r>
        <w:rPr>
          <w:rFonts w:ascii="宋体" w:hAnsi="宋体" w:cs="宋体" w:eastAsia="宋体" w:hint="default"/>
          <w:spacing w:val="-2"/>
        </w:rPr>
        <w:t>SDN</w:t>
      </w:r>
      <w:r>
        <w:rPr>
          <w:spacing w:val="-2"/>
        </w:rPr>
        <w:t>技术被定</w:t>
      </w:r>
      <w:r>
        <w:rPr>
          <w:w w:val="100"/>
        </w:rPr>
        <w:t> </w:t>
      </w:r>
      <w:r>
        <w:rPr>
          <w:spacing w:val="-2"/>
        </w:rPr>
        <w:t>义为第四次网络变革的两大关键框架，事实上已成为国际主流通信运营商下一代电信网络核心技术。网络</w:t>
      </w:r>
      <w:r>
        <w:rPr>
          <w:spacing w:val="-33"/>
        </w:rPr>
        <w:t> </w:t>
      </w:r>
      <w:r>
        <w:rPr>
          <w:spacing w:val="-33"/>
        </w:rPr>
      </w:r>
      <w:r>
        <w:rPr>
          <w:w w:val="100"/>
        </w:rPr>
        <w:t>功能虚拟化 </w:t>
      </w:r>
      <w:r>
        <w:rPr>
          <w:spacing w:val="-1"/>
          <w:w w:val="100"/>
        </w:rPr>
        <w:t>（</w:t>
      </w:r>
      <w:r>
        <w:rPr>
          <w:rFonts w:ascii="宋体" w:hAnsi="宋体" w:cs="宋体" w:eastAsia="宋体" w:hint="default"/>
          <w:spacing w:val="-1"/>
          <w:w w:val="100"/>
        </w:rPr>
        <w:t>Network</w:t>
      </w:r>
      <w:r>
        <w:rPr>
          <w:rFonts w:ascii="宋体" w:hAnsi="宋体" w:cs="宋体" w:eastAsia="宋体" w:hint="default"/>
          <w:w w:val="100"/>
        </w:rPr>
        <w:t> </w:t>
      </w:r>
      <w:r>
        <w:rPr>
          <w:rFonts w:ascii="宋体" w:hAnsi="宋体" w:cs="宋体" w:eastAsia="宋体" w:hint="default"/>
          <w:spacing w:val="-1"/>
          <w:w w:val="100"/>
        </w:rPr>
        <w:t>Functions</w:t>
      </w:r>
      <w:r>
        <w:rPr>
          <w:rFonts w:ascii="宋体" w:hAnsi="宋体" w:cs="宋体" w:eastAsia="宋体" w:hint="default"/>
          <w:spacing w:val="-10"/>
          <w:w w:val="100"/>
        </w:rPr>
        <w:t> </w:t>
      </w:r>
      <w:r>
        <w:rPr>
          <w:rFonts w:ascii="宋体" w:hAnsi="宋体" w:cs="宋体" w:eastAsia="宋体" w:hint="default"/>
          <w:spacing w:val="-4"/>
          <w:w w:val="100"/>
        </w:rPr>
        <w:t>Virtualization</w:t>
      </w:r>
      <w:r>
        <w:rPr>
          <w:spacing w:val="-4"/>
          <w:w w:val="100"/>
        </w:rPr>
        <w:t>），一种用于网络架构的概念，利用</w:t>
      </w:r>
      <w:hyperlink r:id="rId13">
        <w:r>
          <w:rPr>
            <w:spacing w:val="-4"/>
            <w:w w:val="100"/>
          </w:rPr>
          <w:t>虚拟化技术</w:t>
        </w:r>
      </w:hyperlink>
      <w:r>
        <w:rPr>
          <w:spacing w:val="-4"/>
          <w:w w:val="100"/>
        </w:rPr>
        <w:t>，将网</w:t>
      </w:r>
      <w:r>
        <w:rPr>
          <w:w w:val="100"/>
        </w:rPr>
        <w:t> </w:t>
      </w:r>
      <w:r>
        <w:rPr>
          <w:spacing w:val="-4"/>
        </w:rPr>
        <w:t>络节点阶层的功能，分割成几个功能区块，分别以软件方式实作，不再局限于硬件架构。软件定义网络</w:t>
      </w:r>
      <w:r>
        <w:rPr>
          <w:rFonts w:ascii="宋体" w:hAnsi="宋体" w:cs="宋体" w:eastAsia="宋体" w:hint="default"/>
          <w:spacing w:val="-4"/>
        </w:rPr>
        <w:t>SDN</w:t>
      </w:r>
    </w:p>
    <w:p>
      <w:pPr>
        <w:pStyle w:val="BodyText"/>
        <w:spacing w:line="240" w:lineRule="auto" w:before="12"/>
        <w:ind w:right="0"/>
        <w:jc w:val="both"/>
      </w:pPr>
      <w:r>
        <w:rPr/>
        <w:t>（</w:t>
      </w:r>
      <w:r>
        <w:rPr>
          <w:rFonts w:ascii="宋体" w:hAnsi="宋体" w:cs="宋体" w:eastAsia="宋体" w:hint="default"/>
        </w:rPr>
        <w:t>SoftwareDefined</w:t>
      </w:r>
      <w:r>
        <w:rPr/>
        <w:t>） </w:t>
      </w:r>
      <w:r>
        <w:rPr>
          <w:spacing w:val="3"/>
        </w:rPr>
        <w:t> </w:t>
      </w:r>
      <w:r>
        <w:rPr/>
        <w:t>。</w:t>
      </w:r>
    </w:p>
    <w:p>
      <w:pPr>
        <w:pStyle w:val="BodyText"/>
        <w:spacing w:line="290" w:lineRule="auto" w:before="75"/>
        <w:ind w:left="540" w:right="1007" w:firstLine="38"/>
        <w:jc w:val="left"/>
      </w:pPr>
      <w:r>
        <w:rPr>
          <w:spacing w:val="-8"/>
          <w:w w:val="100"/>
        </w:rPr>
        <w:t>（</w:t>
      </w:r>
      <w:r>
        <w:rPr>
          <w:rFonts w:ascii="Times New Roman" w:hAnsi="Times New Roman" w:cs="Times New Roman" w:eastAsia="Times New Roman" w:hint="default"/>
          <w:spacing w:val="-8"/>
          <w:w w:val="100"/>
        </w:rPr>
        <w:t>2</w:t>
      </w:r>
      <w:r>
        <w:rPr>
          <w:spacing w:val="-8"/>
          <w:w w:val="100"/>
        </w:rPr>
        <w:t>）移动边缘计算（（</w:t>
      </w:r>
      <w:r>
        <w:rPr>
          <w:rFonts w:ascii="Times New Roman" w:hAnsi="Times New Roman" w:cs="Times New Roman" w:eastAsia="Times New Roman" w:hint="default"/>
          <w:spacing w:val="-8"/>
          <w:w w:val="100"/>
        </w:rPr>
        <w:t>Mobile</w:t>
      </w:r>
      <w:r>
        <w:rPr>
          <w:rFonts w:ascii="Times New Roman" w:hAnsi="Times New Roman" w:cs="Times New Roman" w:eastAsia="Times New Roman" w:hint="default"/>
          <w:w w:val="100"/>
        </w:rPr>
        <w:t> </w:t>
      </w:r>
      <w:r>
        <w:rPr>
          <w:rFonts w:ascii="Times New Roman" w:hAnsi="Times New Roman" w:cs="Times New Roman" w:eastAsia="Times New Roman" w:hint="default"/>
          <w:spacing w:val="-2"/>
          <w:w w:val="100"/>
        </w:rPr>
        <w:t>Edge</w:t>
      </w:r>
      <w:r>
        <w:rPr>
          <w:rFonts w:ascii="Times New Roman" w:hAnsi="Times New Roman" w:cs="Times New Roman" w:eastAsia="Times New Roman" w:hint="default"/>
          <w:w w:val="100"/>
        </w:rPr>
        <w:t> </w:t>
      </w:r>
      <w:r>
        <w:rPr>
          <w:rFonts w:ascii="Times New Roman" w:hAnsi="Times New Roman" w:cs="Times New Roman" w:eastAsia="Times New Roman" w:hint="default"/>
          <w:spacing w:val="-1"/>
          <w:w w:val="100"/>
        </w:rPr>
        <w:t>Computing</w:t>
      </w:r>
      <w:r>
        <w:rPr>
          <w:rFonts w:ascii="Times New Roman" w:hAnsi="Times New Roman" w:cs="Times New Roman" w:eastAsia="Times New Roman" w:hint="default"/>
          <w:spacing w:val="4"/>
          <w:w w:val="100"/>
        </w:rPr>
        <w:t> </w:t>
      </w:r>
      <w:r>
        <w:rPr>
          <w:rFonts w:ascii="Times New Roman" w:hAnsi="Times New Roman" w:cs="Times New Roman" w:eastAsia="Times New Roman" w:hint="default"/>
          <w:spacing w:val="-1"/>
          <w:w w:val="100"/>
        </w:rPr>
        <w:t>MEC</w:t>
      </w:r>
      <w:r>
        <w:rPr>
          <w:spacing w:val="-1"/>
          <w:w w:val="100"/>
        </w:rPr>
        <w:t>）</w:t>
      </w:r>
      <w:r>
        <w:rPr>
          <w:w w:val="100"/>
        </w:rPr>
        <w:t> </w:t>
      </w:r>
      <w:r>
        <w:rPr>
          <w:spacing w:val="-2"/>
        </w:rPr>
        <w:t>根据</w:t>
      </w:r>
      <w:r>
        <w:rPr>
          <w:rFonts w:ascii="宋体" w:hAnsi="宋体" w:cs="宋体" w:eastAsia="宋体" w:hint="default"/>
          <w:spacing w:val="-2"/>
        </w:rPr>
        <w:t>Gartner</w:t>
      </w:r>
      <w:r>
        <w:rPr>
          <w:spacing w:val="-2"/>
        </w:rPr>
        <w:t>的报告，</w:t>
      </w:r>
      <w:r>
        <w:rPr>
          <w:rFonts w:ascii="宋体" w:hAnsi="宋体" w:cs="宋体" w:eastAsia="宋体" w:hint="default"/>
          <w:spacing w:val="-2"/>
        </w:rPr>
        <w:t>2020</w:t>
      </w:r>
      <w:r>
        <w:rPr>
          <w:spacing w:val="-2"/>
        </w:rPr>
        <w:t>年全球连接到网络的设备将达到约</w:t>
      </w:r>
      <w:r>
        <w:rPr>
          <w:rFonts w:ascii="宋体" w:hAnsi="宋体" w:cs="宋体" w:eastAsia="宋体" w:hint="default"/>
          <w:spacing w:val="-2"/>
        </w:rPr>
        <w:t>208</w:t>
      </w:r>
      <w:r>
        <w:rPr>
          <w:spacing w:val="-2"/>
        </w:rPr>
        <w:t>亿台。移动边缘计算的出现是为了应</w:t>
      </w:r>
    </w:p>
    <w:p>
      <w:pPr>
        <w:pStyle w:val="BodyText"/>
        <w:spacing w:line="273" w:lineRule="auto" w:before="0"/>
        <w:ind w:right="1122"/>
        <w:jc w:val="both"/>
      </w:pPr>
      <w:r>
        <w:rPr>
          <w:spacing w:val="-2"/>
        </w:rPr>
        <w:t>对通信运营商被管道化，支持全新的移动应用和商业模式。移动边缘计算是又欧洲电信标准协会</w:t>
      </w:r>
      <w:r>
        <w:rPr>
          <w:rFonts w:ascii="宋体" w:hAnsi="宋体" w:cs="宋体" w:eastAsia="宋体" w:hint="default"/>
          <w:spacing w:val="-2"/>
        </w:rPr>
        <w:t>ETSI</w:t>
      </w:r>
      <w:r>
        <w:rPr>
          <w:spacing w:val="-2"/>
        </w:rPr>
        <w:t>提出</w:t>
      </w:r>
      <w:r>
        <w:rPr>
          <w:spacing w:val="-26"/>
        </w:rPr>
        <w:t> </w:t>
      </w:r>
      <w:r>
        <w:rPr/>
        <w:t>的，基于</w:t>
      </w:r>
      <w:r>
        <w:rPr>
          <w:rFonts w:ascii="宋体" w:hAnsi="宋体" w:cs="宋体" w:eastAsia="宋体" w:hint="default"/>
        </w:rPr>
        <w:t>5G</w:t>
      </w:r>
      <w:r>
        <w:rPr/>
        <w:t>演进的架构，并将移动接入网与互联网深度融合。</w:t>
      </w:r>
      <w:r>
        <w:rPr>
          <w:rFonts w:ascii="宋体" w:hAnsi="宋体" w:cs="宋体" w:eastAsia="宋体" w:hint="default"/>
        </w:rPr>
        <w:t>MEC</w:t>
      </w:r>
      <w:r>
        <w:rPr/>
        <w:t>一方面可以改善用户体验，节省带宽资</w:t>
      </w:r>
      <w:r>
        <w:rPr>
          <w:spacing w:val="-30"/>
        </w:rPr>
        <w:t> </w:t>
      </w:r>
      <w:r>
        <w:rPr>
          <w:spacing w:val="-30"/>
        </w:rPr>
      </w:r>
      <w:r>
        <w:rPr>
          <w:spacing w:val="-2"/>
        </w:rPr>
        <w:t>源，另一方面通过计算能力下沉到移动边缘节点，提供第三方应用集成，为移动边缘入口的服务创新提供</w:t>
      </w:r>
      <w:r>
        <w:rPr>
          <w:spacing w:val="-31"/>
        </w:rPr>
        <w:t> </w:t>
      </w:r>
      <w:r>
        <w:rPr>
          <w:spacing w:val="-31"/>
        </w:rPr>
      </w:r>
      <w:r>
        <w:rPr/>
        <w:t>了无限可能性。</w:t>
      </w:r>
    </w:p>
    <w:p>
      <w:pPr>
        <w:spacing w:line="357" w:lineRule="auto" w:before="123"/>
        <w:ind w:left="535" w:right="1007" w:firstLine="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5G</w:t>
      </w:r>
      <w:r>
        <w:rPr>
          <w:rFonts w:ascii="宋体" w:hAnsi="宋体" w:cs="宋体" w:eastAsia="宋体" w:hint="default"/>
          <w:b/>
          <w:bCs/>
          <w:sz w:val="21"/>
          <w:szCs w:val="21"/>
        </w:rPr>
        <w:t>时代电信运营商</w:t>
      </w:r>
      <w:r>
        <w:rPr>
          <w:rFonts w:ascii="Times New Roman" w:hAnsi="Times New Roman" w:cs="Times New Roman" w:eastAsia="Times New Roman" w:hint="default"/>
          <w:b/>
          <w:bCs/>
          <w:sz w:val="21"/>
          <w:szCs w:val="21"/>
        </w:rPr>
        <w:t>IT</w:t>
      </w:r>
      <w:r>
        <w:rPr>
          <w:rFonts w:ascii="宋体" w:hAnsi="宋体" w:cs="宋体" w:eastAsia="宋体" w:hint="default"/>
          <w:b/>
          <w:bCs/>
          <w:sz w:val="21"/>
          <w:szCs w:val="21"/>
        </w:rPr>
        <w:t>支撑系统建设及业务创新</w:t>
      </w:r>
      <w:r>
        <w:rPr>
          <w:rFonts w:ascii="宋体" w:hAnsi="宋体" w:cs="宋体" w:eastAsia="宋体" w:hint="default"/>
          <w:b/>
          <w:bCs/>
          <w:w w:val="100"/>
          <w:sz w:val="21"/>
          <w:szCs w:val="21"/>
        </w:rPr>
        <w:t> </w:t>
      </w:r>
      <w:r>
        <w:rPr>
          <w:rFonts w:ascii="宋体" w:hAnsi="宋体" w:cs="宋体" w:eastAsia="宋体" w:hint="default"/>
          <w:spacing w:val="-1"/>
          <w:sz w:val="21"/>
          <w:szCs w:val="21"/>
        </w:rPr>
        <w:t>根据电信运营商年报公开的资本化开支计划，</w:t>
      </w:r>
      <w:r>
        <w:rPr>
          <w:rFonts w:ascii="宋体" w:hAnsi="宋体" w:cs="宋体" w:eastAsia="宋体" w:hint="default"/>
          <w:spacing w:val="-1"/>
          <w:sz w:val="21"/>
          <w:szCs w:val="21"/>
        </w:rPr>
        <w:t>2020</w:t>
      </w:r>
      <w:r>
        <w:rPr>
          <w:rFonts w:ascii="宋体" w:hAnsi="宋体" w:cs="宋体" w:eastAsia="宋体" w:hint="default"/>
          <w:spacing w:val="-1"/>
          <w:sz w:val="21"/>
          <w:szCs w:val="21"/>
        </w:rPr>
        <w:t>年中国移动计划在业务支撑网投资</w:t>
      </w:r>
      <w:r>
        <w:rPr>
          <w:rFonts w:ascii="宋体" w:hAnsi="宋体" w:cs="宋体" w:eastAsia="宋体" w:hint="default"/>
          <w:spacing w:val="-1"/>
          <w:sz w:val="21"/>
          <w:szCs w:val="21"/>
        </w:rPr>
        <w:t>275</w:t>
      </w:r>
      <w:r>
        <w:rPr>
          <w:rFonts w:ascii="宋体" w:hAnsi="宋体" w:cs="宋体" w:eastAsia="宋体" w:hint="default"/>
          <w:spacing w:val="-1"/>
          <w:sz w:val="21"/>
          <w:szCs w:val="21"/>
        </w:rPr>
        <w:t>亿元，主要</w:t>
      </w:r>
    </w:p>
    <w:p>
      <w:pPr>
        <w:pStyle w:val="BodyText"/>
        <w:spacing w:line="210" w:lineRule="exact" w:before="0"/>
        <w:ind w:right="0"/>
        <w:jc w:val="both"/>
      </w:pPr>
      <w:r>
        <w:rPr/>
        <w:t>用于打造智慧中台，进一步提升</w:t>
      </w:r>
      <w:r>
        <w:rPr>
          <w:rFonts w:ascii="宋体" w:hAnsi="宋体" w:cs="宋体" w:eastAsia="宋体" w:hint="default"/>
        </w:rPr>
        <w:t>IT</w:t>
      </w:r>
      <w:r>
        <w:rPr/>
        <w:t>云化，提高支撑效率。</w:t>
      </w:r>
      <w:r>
        <w:rPr>
          <w:rFonts w:ascii="宋体" w:hAnsi="宋体" w:cs="宋体" w:eastAsia="宋体" w:hint="default"/>
        </w:rPr>
        <w:t>2020</w:t>
      </w:r>
      <w:r>
        <w:rPr/>
        <w:t>年中国电信</w:t>
      </w:r>
      <w:r>
        <w:rPr>
          <w:rFonts w:ascii="宋体" w:hAnsi="宋体" w:cs="宋体" w:eastAsia="宋体" w:hint="default"/>
        </w:rPr>
        <w:t>IT</w:t>
      </w:r>
      <w:r>
        <w:rPr/>
        <w:t>支撑系统投入</w:t>
      </w:r>
      <w:r>
        <w:rPr>
          <w:rFonts w:ascii="宋体" w:hAnsi="宋体" w:cs="宋体" w:eastAsia="宋体" w:hint="default"/>
        </w:rPr>
        <w:t>25</w:t>
      </w:r>
      <w:r>
        <w:rPr/>
        <w:t>亿元，信息及</w:t>
      </w:r>
    </w:p>
    <w:p>
      <w:pPr>
        <w:pStyle w:val="BodyText"/>
        <w:spacing w:line="273" w:lineRule="auto" w:before="37"/>
        <w:ind w:right="1209"/>
        <w:jc w:val="both"/>
      </w:pPr>
      <w:r>
        <w:rPr>
          <w:spacing w:val="-2"/>
        </w:rPr>
        <w:t>应用服务</w:t>
      </w:r>
      <w:r>
        <w:rPr>
          <w:rFonts w:ascii="宋体" w:hAnsi="宋体" w:cs="宋体" w:eastAsia="宋体" w:hint="default"/>
          <w:spacing w:val="-2"/>
        </w:rPr>
        <w:t>124</w:t>
      </w:r>
      <w:r>
        <w:rPr>
          <w:spacing w:val="-2"/>
        </w:rPr>
        <w:t>亿元，聚焦</w:t>
      </w:r>
      <w:r>
        <w:rPr>
          <w:rFonts w:ascii="宋体" w:hAnsi="宋体" w:cs="宋体" w:eastAsia="宋体" w:hint="default"/>
          <w:spacing w:val="-2"/>
        </w:rPr>
        <w:t>5G</w:t>
      </w:r>
      <w:r>
        <w:rPr>
          <w:spacing w:val="-2"/>
        </w:rPr>
        <w:t>、云化改造和云资源建设。三大运营商创新业务增长强劲，</w:t>
      </w:r>
      <w:r>
        <w:rPr>
          <w:rFonts w:ascii="宋体" w:hAnsi="宋体" w:cs="宋体" w:eastAsia="宋体" w:hint="default"/>
          <w:spacing w:val="-2"/>
        </w:rPr>
        <w:t>2B</w:t>
      </w:r>
      <w:r>
        <w:rPr>
          <w:spacing w:val="-2"/>
        </w:rPr>
        <w:t>业务有望赋能运</w:t>
      </w:r>
      <w:r>
        <w:rPr>
          <w:spacing w:val="-6"/>
        </w:rPr>
        <w:t> </w:t>
      </w:r>
      <w:r>
        <w:rPr>
          <w:spacing w:val="-6"/>
        </w:rPr>
      </w:r>
      <w:r>
        <w:rPr/>
        <w:t>营商重塑产业生态，占据万物互联时代更大的产业链价值。</w:t>
      </w:r>
    </w:p>
    <w:p>
      <w:pPr>
        <w:pStyle w:val="BodyText"/>
        <w:spacing w:line="273" w:lineRule="auto" w:before="127"/>
        <w:ind w:right="1021" w:firstLine="422"/>
        <w:jc w:val="both"/>
      </w:pPr>
      <w:r>
        <w:rPr>
          <w:rFonts w:ascii="宋体" w:hAnsi="宋体" w:cs="宋体" w:eastAsia="宋体" w:hint="default"/>
          <w:spacing w:val="-5"/>
          <w:w w:val="100"/>
        </w:rPr>
        <w:t>2020</w:t>
      </w:r>
      <w:r>
        <w:rPr>
          <w:spacing w:val="-5"/>
          <w:w w:val="100"/>
        </w:rPr>
        <w:t>年</w:t>
      </w:r>
      <w:r>
        <w:rPr>
          <w:rFonts w:ascii="宋体" w:hAnsi="宋体" w:cs="宋体" w:eastAsia="宋体" w:hint="default"/>
          <w:spacing w:val="-5"/>
          <w:w w:val="100"/>
        </w:rPr>
        <w:t>4</w:t>
      </w:r>
      <w:r>
        <w:rPr>
          <w:spacing w:val="-5"/>
          <w:w w:val="100"/>
        </w:rPr>
        <w:t>月</w:t>
      </w:r>
      <w:r>
        <w:rPr>
          <w:rFonts w:ascii="宋体" w:hAnsi="宋体" w:cs="宋体" w:eastAsia="宋体" w:hint="default"/>
          <w:spacing w:val="-5"/>
          <w:w w:val="100"/>
        </w:rPr>
        <w:t>7</w:t>
      </w:r>
      <w:r>
        <w:rPr>
          <w:spacing w:val="-5"/>
          <w:w w:val="100"/>
        </w:rPr>
        <w:t>日，三大运营商联合发布“</w:t>
      </w:r>
      <w:r>
        <w:rPr>
          <w:rFonts w:ascii="宋体" w:hAnsi="宋体" w:cs="宋体" w:eastAsia="宋体" w:hint="default"/>
          <w:spacing w:val="-5"/>
          <w:w w:val="100"/>
        </w:rPr>
        <w:t>5G</w:t>
      </w:r>
      <w:r>
        <w:rPr>
          <w:spacing w:val="-5"/>
          <w:w w:val="100"/>
        </w:rPr>
        <w:t>消息”，作为“可连接的统一标准平台”有</w:t>
      </w:r>
      <w:r>
        <w:rPr>
          <w:w w:val="100"/>
        </w:rPr>
        <w:t> </w:t>
      </w:r>
      <w:r>
        <w:rPr>
          <w:rFonts w:ascii="宋体" w:hAnsi="宋体" w:cs="宋体" w:eastAsia="宋体" w:hint="default"/>
          <w:w w:val="100"/>
        </w:rPr>
        <w:t>OTT</w:t>
      </w:r>
      <w:r>
        <w:rPr>
          <w:rFonts w:ascii="宋体" w:hAnsi="宋体" w:cs="宋体" w:eastAsia="宋体" w:hint="default"/>
          <w:spacing w:val="18"/>
          <w:w w:val="100"/>
        </w:rPr>
        <w:t> </w:t>
      </w:r>
      <w:r>
        <w:rPr>
          <w:spacing w:val="-1"/>
          <w:w w:val="100"/>
        </w:rPr>
        <w:t>通讯无法比</w:t>
      </w:r>
      <w:r>
        <w:rPr>
          <w:w w:val="100"/>
        </w:rPr>
        <w:t> </w:t>
      </w:r>
      <w:r>
        <w:rPr/>
        <w:t>拟的互联互通性，将真正实现消息即服务。运营商具备</w:t>
      </w:r>
      <w:r>
        <w:rPr>
          <w:rFonts w:ascii="宋体" w:hAnsi="宋体" w:cs="宋体" w:eastAsia="宋体" w:hint="default"/>
        </w:rPr>
        <w:t>16</w:t>
      </w:r>
      <w:r>
        <w:rPr/>
        <w:t>亿消息入口的全面覆盖基础，通道模式基于</w:t>
      </w:r>
      <w:r>
        <w:rPr>
          <w:rFonts w:ascii="宋体" w:hAnsi="宋体" w:cs="宋体" w:eastAsia="宋体" w:hint="default"/>
        </w:rPr>
        <w:t>IP</w:t>
      </w:r>
      <w:r>
        <w:rPr/>
        <w:t>技</w:t>
      </w:r>
      <w:r>
        <w:rPr>
          <w:w w:val="100"/>
        </w:rPr>
        <w:t> </w:t>
      </w:r>
      <w:r>
        <w:rPr/>
        <w:t>术实现底层传输，可实现与全球其他运营商用户的互联互通。</w:t>
      </w:r>
      <w:r>
        <w:rPr>
          <w:rFonts w:ascii="宋体" w:hAnsi="宋体" w:cs="宋体" w:eastAsia="宋体" w:hint="default"/>
        </w:rPr>
        <w:t>5G</w:t>
      </w:r>
      <w:r>
        <w:rPr/>
        <w:t>消息的强大行业应用商业属性，未来行业</w:t>
      </w:r>
      <w:r>
        <w:rPr>
          <w:w w:val="100"/>
        </w:rPr>
        <w:t> </w:t>
      </w:r>
      <w:r>
        <w:rPr/>
        <w:t>客户将贡献</w:t>
      </w:r>
      <w:r>
        <w:rPr>
          <w:rFonts w:ascii="宋体" w:hAnsi="宋体" w:cs="宋体" w:eastAsia="宋体" w:hint="default"/>
        </w:rPr>
        <w:t>5G</w:t>
      </w:r>
      <w:r>
        <w:rPr/>
        <w:t>消息的主要市场规模。</w:t>
      </w:r>
      <w:r>
        <w:rPr>
          <w:rFonts w:ascii="宋体" w:hAnsi="宋体" w:cs="宋体" w:eastAsia="宋体" w:hint="default"/>
        </w:rPr>
        <w:t>Juniper</w:t>
      </w:r>
      <w:r>
        <w:rPr>
          <w:rFonts w:ascii="宋体" w:hAnsi="宋体" w:cs="宋体" w:eastAsia="宋体" w:hint="default"/>
          <w:spacing w:val="-22"/>
        </w:rPr>
        <w:t> </w:t>
      </w:r>
      <w:r>
        <w:rPr>
          <w:rFonts w:ascii="宋体" w:hAnsi="宋体" w:cs="宋体" w:eastAsia="宋体" w:hint="default"/>
        </w:rPr>
        <w:t>Research</w:t>
      </w:r>
      <w:r>
        <w:rPr/>
        <w:t>预计到</w:t>
      </w:r>
      <w:r>
        <w:rPr>
          <w:rFonts w:ascii="宋体" w:hAnsi="宋体" w:cs="宋体" w:eastAsia="宋体" w:hint="default"/>
        </w:rPr>
        <w:t>2022</w:t>
      </w:r>
      <w:r>
        <w:rPr/>
        <w:t>年全球</w:t>
      </w:r>
      <w:r>
        <w:rPr>
          <w:rFonts w:ascii="宋体" w:hAnsi="宋体" w:cs="宋体" w:eastAsia="宋体" w:hint="default"/>
        </w:rPr>
        <w:t>RCS</w:t>
      </w:r>
      <w:r>
        <w:rPr/>
        <w:t>消息的收入将超过</w:t>
      </w:r>
      <w:r>
        <w:rPr>
          <w:rFonts w:ascii="宋体" w:hAnsi="宋体" w:cs="宋体" w:eastAsia="宋体" w:hint="default"/>
        </w:rPr>
        <w:t>90</w:t>
      </w:r>
      <w:r>
        <w:rPr/>
        <w:t>亿美元。</w:t>
      </w:r>
    </w:p>
    <w:p>
      <w:pPr>
        <w:spacing w:line="466" w:lineRule="exact" w:before="38"/>
        <w:ind w:left="535" w:right="1007"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、未来是金融科技的时代，商业银行备战数字货币打开长期成长空间，并带来新机遇</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在报告期内，银行布局金融科技子公司速度明显加快，包括兴业银行、平安银行、招商银行、光大银</w:t>
      </w:r>
    </w:p>
    <w:p>
      <w:pPr>
        <w:pStyle w:val="BodyText"/>
        <w:spacing w:line="249" w:lineRule="exact" w:before="0"/>
        <w:ind w:right="0"/>
        <w:jc w:val="both"/>
      </w:pPr>
      <w:r>
        <w:rPr/>
        <w:t>行、建设银行、民生银行、</w:t>
      </w:r>
      <w:r>
        <w:rPr>
          <w:spacing w:val="74"/>
        </w:rPr>
        <w:t> </w:t>
      </w:r>
      <w:r>
        <w:rPr/>
        <w:t>华夏银行、工商银行、中国银行等银行陆续成立了金融科技子公司。中国人</w:t>
      </w:r>
    </w:p>
    <w:p>
      <w:pPr>
        <w:pStyle w:val="BodyText"/>
        <w:spacing w:line="273" w:lineRule="auto" w:before="37"/>
        <w:ind w:right="1106"/>
        <w:jc w:val="both"/>
      </w:pPr>
      <w:r>
        <w:rPr>
          <w:w w:val="100"/>
        </w:rPr>
        <w:t>民银行于</w:t>
      </w:r>
      <w:r>
        <w:rPr>
          <w:rFonts w:ascii="宋体" w:hAnsi="宋体" w:cs="宋体" w:eastAsia="宋体" w:hint="default"/>
          <w:w w:val="100"/>
        </w:rPr>
        <w:t>2019</w:t>
      </w:r>
      <w:r>
        <w:rPr>
          <w:w w:val="100"/>
        </w:rPr>
        <w:t>年</w:t>
      </w:r>
      <w:r>
        <w:rPr>
          <w:rFonts w:ascii="宋体" w:hAnsi="宋体" w:cs="宋体" w:eastAsia="宋体" w:hint="default"/>
          <w:w w:val="100"/>
        </w:rPr>
        <w:t>9</w:t>
      </w:r>
      <w:r>
        <w:rPr>
          <w:w w:val="100"/>
        </w:rPr>
        <w:t>月发布《金融科技</w:t>
      </w:r>
      <w:r>
        <w:rPr>
          <w:spacing w:val="25"/>
          <w:w w:val="100"/>
        </w:rPr>
        <w:t> </w:t>
      </w:r>
      <w:r>
        <w:rPr>
          <w:rFonts w:ascii="宋体" w:hAnsi="宋体" w:cs="宋体" w:eastAsia="宋体" w:hint="default"/>
          <w:spacing w:val="-3"/>
          <w:w w:val="100"/>
        </w:rPr>
        <w:t>(FinTech)</w:t>
      </w:r>
      <w:r>
        <w:rPr>
          <w:spacing w:val="-3"/>
          <w:w w:val="100"/>
        </w:rPr>
        <w:t>发展规划</w:t>
      </w:r>
      <w:r>
        <w:rPr>
          <w:rFonts w:ascii="宋体" w:hAnsi="宋体" w:cs="宋体" w:eastAsia="宋体" w:hint="default"/>
          <w:spacing w:val="-3"/>
          <w:w w:val="100"/>
        </w:rPr>
        <w:t>(2019-2021</w:t>
      </w:r>
      <w:r>
        <w:rPr>
          <w:spacing w:val="-3"/>
          <w:w w:val="100"/>
        </w:rPr>
        <w:t>年</w:t>
      </w:r>
      <w:r>
        <w:rPr>
          <w:rFonts w:ascii="宋体" w:hAnsi="宋体" w:cs="宋体" w:eastAsia="宋体" w:hint="default"/>
          <w:spacing w:val="-3"/>
          <w:w w:val="100"/>
        </w:rPr>
        <w:t>)</w:t>
      </w:r>
      <w:r>
        <w:rPr>
          <w:spacing w:val="-3"/>
          <w:w w:val="100"/>
        </w:rPr>
        <w:t>》。明确提出未来三年金融科技工</w:t>
      </w:r>
      <w:r>
        <w:rPr>
          <w:spacing w:val="-96"/>
          <w:w w:val="100"/>
        </w:rPr>
        <w:t> </w:t>
      </w:r>
      <w:r>
        <w:rPr>
          <w:spacing w:val="-96"/>
          <w:w w:val="100"/>
        </w:rPr>
      </w:r>
      <w:r>
        <w:rPr>
          <w:spacing w:val="-2"/>
        </w:rPr>
        <w:t>作的指导思想、基本原则、发展目标、重点任务和保障措施。要求金融业要秉持“守正创新、安全可控、</w:t>
      </w:r>
      <w:r>
        <w:rPr>
          <w:spacing w:val="-13"/>
        </w:rPr>
        <w:t> </w:t>
      </w:r>
      <w:r>
        <w:rPr>
          <w:spacing w:val="-13"/>
        </w:rPr>
      </w:r>
      <w:r>
        <w:rPr>
          <w:spacing w:val="-2"/>
        </w:rPr>
        <w:t>普惠民生、开放共赢”的基本原则，充分发挥金融科技赋能作用，推动我国金融业高质量发展。在规划中</w:t>
      </w:r>
      <w:r>
        <w:rPr>
          <w:spacing w:val="-38"/>
        </w:rPr>
        <w:t> </w:t>
      </w:r>
      <w:r>
        <w:rPr>
          <w:spacing w:val="-38"/>
        </w:rPr>
      </w:r>
      <w:r>
        <w:rPr>
          <w:spacing w:val="-2"/>
          <w:w w:val="100"/>
        </w:rPr>
        <w:t>提出，到</w:t>
      </w:r>
      <w:r>
        <w:rPr>
          <w:rFonts w:ascii="宋体" w:hAnsi="宋体" w:cs="宋体" w:eastAsia="宋体" w:hint="default"/>
          <w:spacing w:val="-2"/>
          <w:w w:val="100"/>
        </w:rPr>
        <w:t>2021</w:t>
      </w:r>
      <w:r>
        <w:rPr>
          <w:spacing w:val="-2"/>
          <w:w w:val="100"/>
        </w:rPr>
        <w:t>年，建立健全我国金融科技发展的“四梁八柱”，进一步增强金融业科技应用能力，实现金</w:t>
      </w:r>
      <w:r>
        <w:rPr>
          <w:spacing w:val="-94"/>
          <w:w w:val="100"/>
        </w:rPr>
        <w:t> </w:t>
      </w:r>
      <w:r>
        <w:rPr>
          <w:spacing w:val="-94"/>
          <w:w w:val="100"/>
        </w:rPr>
      </w:r>
      <w:r>
        <w:rPr>
          <w:spacing w:val="-2"/>
        </w:rPr>
        <w:t>融与科技深度融合、协调发展，明显增强人民群众对数字化、网络化、智能化金融产品和服务的满意度，</w:t>
      </w:r>
      <w:r>
        <w:rPr>
          <w:spacing w:val="-13"/>
        </w:rPr>
        <w:t> </w:t>
      </w:r>
      <w:r>
        <w:rPr>
          <w:spacing w:val="-13"/>
        </w:rPr>
      </w:r>
      <w:r>
        <w:rPr>
          <w:spacing w:val="-2"/>
        </w:rPr>
        <w:t>推动我国金融科技发展居于国际领先水平，实现金融科技应用先进可控、金融服务能力稳步增强、金融风</w:t>
      </w:r>
      <w:r>
        <w:rPr>
          <w:spacing w:val="-33"/>
        </w:rPr>
        <w:t> </w:t>
      </w:r>
      <w:r>
        <w:rPr>
          <w:spacing w:val="-33"/>
        </w:rPr>
      </w:r>
      <w:r>
        <w:rPr>
          <w:spacing w:val="-2"/>
        </w:rPr>
        <w:t>控水平明显提高、金融监管效能持续提升、金融科技支撑不断完善、金融科技产业繁荣发展。随后央行上</w:t>
      </w:r>
      <w:r>
        <w:rPr>
          <w:spacing w:val="-33"/>
        </w:rPr>
        <w:t> </w:t>
      </w:r>
      <w:r>
        <w:rPr>
          <w:spacing w:val="-33"/>
        </w:rPr>
      </w:r>
      <w:r>
        <w:rPr/>
        <w:t>海总部 </w:t>
      </w:r>
      <w:r>
        <w:rPr>
          <w:rFonts w:ascii="宋体" w:hAnsi="宋体" w:cs="宋体" w:eastAsia="宋体" w:hint="default"/>
        </w:rPr>
        <w:t>10</w:t>
      </w:r>
      <w:r>
        <w:rPr>
          <w:rFonts w:ascii="宋体" w:hAnsi="宋体" w:cs="宋体" w:eastAsia="宋体" w:hint="default"/>
          <w:spacing w:val="-18"/>
        </w:rPr>
        <w:t> </w:t>
      </w:r>
      <w:r>
        <w:rPr/>
        <w:t>月发文支持上海建设金融科技中心。在</w:t>
      </w:r>
      <w:r>
        <w:rPr>
          <w:rFonts w:ascii="宋体" w:hAnsi="宋体" w:cs="宋体" w:eastAsia="宋体" w:hint="default"/>
        </w:rPr>
        <w:t>12</w:t>
      </w:r>
      <w:r>
        <w:rPr/>
        <w:t>月召开的央行金融科技委员会会议上，推进金融机构</w:t>
      </w:r>
      <w:r>
        <w:rPr>
          <w:w w:val="100"/>
        </w:rPr>
        <w:t> </w:t>
      </w:r>
      <w:r>
        <w:rPr/>
        <w:t>数字化转型、加强金融数据治理和共享、强化数字化监管能力建设等被列为</w:t>
      </w:r>
      <w:r>
        <w:rPr>
          <w:spacing w:val="60"/>
        </w:rPr>
        <w:t> </w:t>
      </w:r>
      <w:r>
        <w:rPr>
          <w:rFonts w:ascii="宋体" w:hAnsi="宋体" w:cs="宋体" w:eastAsia="宋体" w:hint="default"/>
        </w:rPr>
        <w:t>2020</w:t>
      </w:r>
      <w:r>
        <w:rPr/>
        <w:t>年的重点工作。分领域</w:t>
      </w:r>
      <w:r>
        <w:rPr>
          <w:spacing w:val="-88"/>
        </w:rPr>
        <w:t> </w:t>
      </w:r>
      <w:r>
        <w:rPr>
          <w:spacing w:val="-88"/>
        </w:rPr>
      </w:r>
      <w:r>
        <w:rPr>
          <w:spacing w:val="-11"/>
        </w:rPr>
        <w:t>看，金融上云、区块链应用有望出现显著进展，人工智能、大数据、机器人流程自动化</w:t>
      </w:r>
      <w:r>
        <w:rPr>
          <w:rFonts w:ascii="宋体" w:hAnsi="宋体" w:cs="宋体" w:eastAsia="宋体" w:hint="default"/>
          <w:spacing w:val="-11"/>
        </w:rPr>
        <w:t>(RPA</w:t>
      </w:r>
      <w:r>
        <w:rPr>
          <w:spacing w:val="-11"/>
        </w:rPr>
        <w:t>，</w:t>
      </w:r>
      <w:r>
        <w:rPr>
          <w:rFonts w:ascii="宋体" w:hAnsi="宋体" w:cs="宋体" w:eastAsia="宋体" w:hint="default"/>
          <w:spacing w:val="-11"/>
        </w:rPr>
        <w:t>Robotic </w:t>
      </w:r>
      <w:r>
        <w:rPr>
          <w:rFonts w:ascii="宋体" w:hAnsi="宋体" w:cs="宋体" w:eastAsia="宋体" w:hint="default"/>
        </w:rPr>
        <w:t>Process</w:t>
      </w:r>
      <w:r>
        <w:rPr>
          <w:rFonts w:ascii="宋体" w:hAnsi="宋体" w:cs="宋体" w:eastAsia="宋体" w:hint="default"/>
          <w:spacing w:val="-94"/>
        </w:rPr>
        <w:t> </w:t>
      </w:r>
      <w:r>
        <w:rPr>
          <w:rFonts w:ascii="宋体" w:hAnsi="宋体" w:cs="宋体" w:eastAsia="宋体" w:hint="default"/>
          <w:spacing w:val="-94"/>
        </w:rPr>
      </w:r>
      <w:r>
        <w:rPr>
          <w:rFonts w:ascii="宋体" w:hAnsi="宋体" w:cs="宋体" w:eastAsia="宋体" w:hint="default"/>
        </w:rPr>
        <w:t>Automation)</w:t>
      </w:r>
      <w:r>
        <w:rPr/>
        <w:t>等技术也会在更多应用场景中落地。</w:t>
      </w:r>
    </w:p>
    <w:p>
      <w:pPr>
        <w:pStyle w:val="BodyText"/>
        <w:spacing w:line="273" w:lineRule="auto"/>
        <w:ind w:right="1126" w:firstLine="422"/>
        <w:jc w:val="both"/>
      </w:pPr>
      <w:r>
        <w:rPr>
          <w:spacing w:val="-2"/>
          <w:w w:val="100"/>
        </w:rPr>
        <w:t>中国人民银行即将发行数字货币（简称</w:t>
      </w:r>
      <w:r>
        <w:rPr>
          <w:rFonts w:ascii="宋体" w:hAnsi="宋体" w:cs="宋体" w:eastAsia="宋体" w:hint="default"/>
          <w:spacing w:val="-2"/>
          <w:w w:val="100"/>
        </w:rPr>
        <w:t>DECP</w:t>
      </w:r>
      <w:r>
        <w:rPr>
          <w:spacing w:val="-2"/>
          <w:w w:val="100"/>
        </w:rPr>
        <w:t>），其进展颇受关注。对商业银行而言，将陆续按照央行</w:t>
      </w:r>
      <w:r>
        <w:rPr>
          <w:w w:val="100"/>
        </w:rPr>
        <w:t> </w:t>
      </w:r>
      <w:r>
        <w:rPr>
          <w:spacing w:val="-2"/>
        </w:rPr>
        <w:t>数字货币、数字钱包的标准，抓紧研发、推出数字钱包服务。子公司维恩贝特在数字货币的试点地区部署</w:t>
      </w:r>
      <w:r>
        <w:rPr>
          <w:spacing w:val="-33"/>
        </w:rPr>
        <w:t> </w:t>
      </w:r>
      <w:r>
        <w:rPr>
          <w:spacing w:val="-33"/>
        </w:rPr>
      </w:r>
      <w:r>
        <w:rPr/>
        <w:t>了技术研发团队，积极参与相关应用场景的开发工作。</w:t>
      </w:r>
    </w:p>
    <w:p>
      <w:pPr>
        <w:pStyle w:val="BodyText"/>
        <w:spacing w:line="273" w:lineRule="auto"/>
        <w:ind w:right="1123" w:firstLine="422"/>
        <w:jc w:val="both"/>
      </w:pPr>
      <w:r>
        <w:rPr/>
        <w:t>根据</w:t>
      </w:r>
      <w:r>
        <w:rPr>
          <w:rFonts w:ascii="宋体" w:hAnsi="宋体" w:cs="宋体" w:eastAsia="宋体" w:hint="default"/>
        </w:rPr>
        <w:t>IDC</w:t>
      </w:r>
      <w:r>
        <w:rPr/>
        <w:t>报告，银行</w:t>
      </w:r>
      <w:r>
        <w:rPr>
          <w:rFonts w:ascii="宋体" w:hAnsi="宋体" w:cs="宋体" w:eastAsia="宋体" w:hint="default"/>
        </w:rPr>
        <w:t>IT</w:t>
      </w:r>
      <w:r>
        <w:rPr/>
        <w:t>投资总量达千亿级，国有大行投资占比接近一半。考虑外部环境和产品更新周</w:t>
      </w:r>
      <w:r>
        <w:rPr>
          <w:w w:val="100"/>
        </w:rPr>
        <w:t> </w:t>
      </w:r>
      <w:r>
        <w:rPr>
          <w:spacing w:val="-2"/>
        </w:rPr>
        <w:t>期，核心系统更换有望迎来升级换代时点。其中，中国邮政储蓄银行于</w:t>
      </w:r>
      <w:r>
        <w:rPr>
          <w:rFonts w:ascii="宋体" w:hAnsi="宋体" w:cs="宋体" w:eastAsia="宋体" w:hint="default"/>
          <w:spacing w:val="-2"/>
        </w:rPr>
        <w:t>2019</w:t>
      </w:r>
      <w:r>
        <w:rPr>
          <w:spacing w:val="-2"/>
        </w:rPr>
        <w:t>年启动新一代个人业务核心系</w:t>
      </w:r>
      <w:r>
        <w:rPr>
          <w:spacing w:val="-27"/>
        </w:rPr>
        <w:t> </w:t>
      </w:r>
      <w:r>
        <w:rPr>
          <w:spacing w:val="-27"/>
        </w:rPr>
      </w:r>
      <w:r>
        <w:rPr/>
        <w:t>统建设，子公司维恩贝特成为主要服务商之一。预计</w:t>
      </w:r>
      <w:r>
        <w:rPr>
          <w:rFonts w:ascii="宋体" w:hAnsi="宋体" w:cs="宋体" w:eastAsia="宋体" w:hint="default"/>
        </w:rPr>
        <w:t>2020-2021</w:t>
      </w:r>
      <w:r>
        <w:rPr>
          <w:rFonts w:ascii="宋体" w:hAnsi="宋体" w:cs="宋体" w:eastAsia="宋体" w:hint="default"/>
          <w:spacing w:val="-20"/>
        </w:rPr>
        <w:t> </w:t>
      </w:r>
      <w:r>
        <w:rPr/>
        <w:t>年国有大行有望进行新一代核心系统建设</w:t>
      </w:r>
      <w:r>
        <w:rPr>
          <w:w w:val="100"/>
        </w:rPr>
        <w:t> </w:t>
      </w:r>
      <w:r>
        <w:rPr/>
        <w:t>招标，</w:t>
      </w:r>
      <w:r>
        <w:rPr>
          <w:rFonts w:ascii="宋体" w:hAnsi="宋体" w:cs="宋体" w:eastAsia="宋体" w:hint="default"/>
        </w:rPr>
        <w:t>2022-2024</w:t>
      </w:r>
      <w:r>
        <w:rPr>
          <w:rFonts w:ascii="宋体" w:hAnsi="宋体" w:cs="宋体" w:eastAsia="宋体" w:hint="default"/>
          <w:spacing w:val="4"/>
        </w:rPr>
        <w:t> </w:t>
      </w:r>
      <w:r>
        <w:rPr/>
        <w:t>年迎来规模化建设。</w:t>
      </w:r>
    </w:p>
    <w:p>
      <w:pPr>
        <w:spacing w:after="0" w:line="273" w:lineRule="auto"/>
        <w:jc w:val="both"/>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3"/>
        <w:spacing w:line="240" w:lineRule="auto" w:before="36"/>
        <w:ind w:left="742" w:right="1764"/>
        <w:jc w:val="left"/>
        <w:rPr>
          <w:b w:val="0"/>
          <w:bCs w:val="0"/>
        </w:rPr>
      </w:pPr>
      <w:r>
        <w:rPr>
          <w:rFonts w:ascii="宋体" w:hAnsi="宋体" w:cs="宋体" w:eastAsia="宋体" w:hint="default"/>
        </w:rPr>
        <w:t>5</w:t>
      </w:r>
      <w:r>
        <w:rPr/>
        <w:t>、公共安全领域</w:t>
      </w:r>
      <w:r>
        <w:rPr>
          <w:b w:val="0"/>
          <w:bCs w:val="0"/>
        </w:rPr>
      </w:r>
    </w:p>
    <w:p>
      <w:pPr>
        <w:pStyle w:val="BodyText"/>
        <w:spacing w:line="266" w:lineRule="auto" w:before="157"/>
        <w:ind w:right="1123" w:firstLine="422"/>
        <w:jc w:val="both"/>
      </w:pPr>
      <w:r>
        <w:rPr>
          <w:spacing w:val="-2"/>
        </w:rPr>
        <w:t>在公安行业，大数据是公安工作创新发展的大引擎，培育战斗力生成的新增长点。预计将充分运用大</w:t>
      </w:r>
      <w:r>
        <w:rPr>
          <w:w w:val="100"/>
        </w:rPr>
        <w:t> </w:t>
      </w:r>
      <w:r>
        <w:rPr>
          <w:spacing w:val="-2"/>
        </w:rPr>
        <w:t>数据等新技术手段，构建以大数据智能应用为核心的智慧警务新模式，着力提高预测预警能力、精确打击</w:t>
      </w:r>
      <w:r>
        <w:rPr>
          <w:spacing w:val="-33"/>
        </w:rPr>
        <w:t> </w:t>
      </w:r>
      <w:r>
        <w:rPr>
          <w:spacing w:val="-33"/>
        </w:rPr>
      </w:r>
      <w:r>
        <w:rPr>
          <w:spacing w:val="-2"/>
        </w:rPr>
        <w:t>能力和动态管理能力，提升公安工作智能化水平。到</w:t>
      </w:r>
      <w:r>
        <w:rPr>
          <w:rFonts w:ascii="Times New Roman" w:hAnsi="Times New Roman" w:cs="Times New Roman" w:eastAsia="Times New Roman" w:hint="default"/>
          <w:spacing w:val="-2"/>
        </w:rPr>
        <w:t>2020</w:t>
      </w:r>
      <w:r>
        <w:rPr>
          <w:spacing w:val="-2"/>
        </w:rPr>
        <w:t>年公安信息化建设将取得重大进展、维护国家安</w:t>
      </w:r>
      <w:r>
        <w:rPr>
          <w:spacing w:val="-27"/>
        </w:rPr>
        <w:t> </w:t>
      </w:r>
      <w:r>
        <w:rPr>
          <w:spacing w:val="-27"/>
        </w:rPr>
      </w:r>
      <w:r>
        <w:rPr>
          <w:spacing w:val="-2"/>
        </w:rPr>
        <w:t>全和社会稳定能力有大的提升，到</w:t>
      </w:r>
      <w:r>
        <w:rPr>
          <w:rFonts w:ascii="Times New Roman" w:hAnsi="Times New Roman" w:cs="Times New Roman" w:eastAsia="Times New Roman" w:hint="default"/>
          <w:spacing w:val="-2"/>
        </w:rPr>
        <w:t>2022</w:t>
      </w:r>
      <w:r>
        <w:rPr>
          <w:spacing w:val="-2"/>
        </w:rPr>
        <w:t>年基本建立起与新时代要求相适应的现代警务管理体制和警务运行</w:t>
      </w:r>
      <w:r>
        <w:rPr>
          <w:spacing w:val="-28"/>
        </w:rPr>
        <w:t> </w:t>
      </w:r>
      <w:r>
        <w:rPr>
          <w:spacing w:val="-28"/>
        </w:rPr>
      </w:r>
      <w:r>
        <w:rPr>
          <w:spacing w:val="-2"/>
        </w:rPr>
        <w:t>机制。公安行业前端层感知设备逐步建设完成，大数据、云、互联网和人工智能等技术逐步成熟，信息化</w:t>
      </w:r>
      <w:r>
        <w:rPr>
          <w:spacing w:val="-38"/>
        </w:rPr>
        <w:t> </w:t>
      </w:r>
      <w:r>
        <w:rPr>
          <w:spacing w:val="-38"/>
        </w:rPr>
      </w:r>
      <w:r>
        <w:rPr/>
        <w:t>建设基础条件具备，现急需软件能力，预计未来两年市场容量呈爆发式增长。</w:t>
      </w:r>
    </w:p>
    <w:p>
      <w:pPr>
        <w:pStyle w:val="BodyText"/>
        <w:spacing w:line="273" w:lineRule="auto" w:before="47"/>
        <w:ind w:right="1007" w:firstLine="422"/>
        <w:jc w:val="left"/>
      </w:pPr>
      <w:r>
        <w:rPr/>
        <w:t>公司将抓住行业变革机遇，把能力快速触达到更多的客户，并迅速提高优质市场占有率。充分应用大</w:t>
      </w:r>
      <w:r>
        <w:rPr>
          <w:w w:val="100"/>
        </w:rPr>
        <w:t> </w:t>
      </w:r>
      <w:r>
        <w:rPr>
          <w:spacing w:val="-2"/>
        </w:rPr>
        <w:t>数据、机器学习和人工智能等新技术，加快推进数据流、业务流和管理流融合，从海量的数据资源中挖掘</w:t>
      </w:r>
      <w:r>
        <w:rPr>
          <w:spacing w:val="-33"/>
        </w:rPr>
        <w:t> </w:t>
      </w:r>
      <w:r>
        <w:rPr>
          <w:spacing w:val="-33"/>
        </w:rPr>
      </w:r>
      <w:r>
        <w:rPr>
          <w:spacing w:val="-4"/>
        </w:rPr>
        <w:t>价值，构建以大数据智能应用为核心的智慧警务新模式，不断提高公安工作智能化水平。提高软件复用度，</w:t>
      </w:r>
      <w:r>
        <w:rPr>
          <w:spacing w:val="-48"/>
        </w:rPr>
        <w:t> </w:t>
      </w:r>
      <w:r>
        <w:rPr>
          <w:spacing w:val="-48"/>
        </w:rPr>
      </w:r>
      <w:r>
        <w:rPr/>
        <w:t>优化解决方案交付，保持业绩持续性。</w:t>
      </w:r>
    </w:p>
    <w:p>
      <w:pPr>
        <w:spacing w:line="240" w:lineRule="auto" w:before="0"/>
        <w:rPr>
          <w:rFonts w:ascii="宋体" w:hAnsi="宋体" w:cs="宋体" w:eastAsia="宋体" w:hint="default"/>
          <w:sz w:val="20"/>
          <w:szCs w:val="20"/>
        </w:rPr>
      </w:pPr>
    </w:p>
    <w:p>
      <w:pPr>
        <w:pStyle w:val="Heading3"/>
        <w:spacing w:line="240" w:lineRule="auto" w:before="139"/>
        <w:ind w:left="535" w:right="1764"/>
        <w:jc w:val="left"/>
        <w:rPr>
          <w:b w:val="0"/>
          <w:bCs w:val="0"/>
        </w:rPr>
      </w:pPr>
      <w:r>
        <w:rPr/>
        <w:t>（二）公司发展战略</w:t>
      </w:r>
      <w:r>
        <w:rPr>
          <w:b w:val="0"/>
          <w:bCs w:val="0"/>
        </w:rPr>
      </w:r>
    </w:p>
    <w:p>
      <w:pPr>
        <w:spacing w:line="430" w:lineRule="atLeast" w:before="13"/>
        <w:ind w:left="535" w:right="100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、坚持稳健长期可持续发展</w:t>
      </w:r>
      <w:r>
        <w:rPr>
          <w:rFonts w:ascii="宋体" w:hAnsi="宋体" w:cs="宋体" w:eastAsia="宋体" w:hint="default"/>
          <w:b/>
          <w:bCs/>
          <w:spacing w:val="-101"/>
          <w:sz w:val="21"/>
          <w:szCs w:val="21"/>
        </w:rPr>
        <w:t> </w:t>
      </w:r>
      <w:r>
        <w:rPr>
          <w:rFonts w:ascii="宋体" w:hAnsi="宋体" w:cs="宋体" w:eastAsia="宋体" w:hint="default"/>
          <w:spacing w:val="-2"/>
          <w:sz w:val="21"/>
          <w:szCs w:val="21"/>
        </w:rPr>
        <w:t>本着</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基业长青，缔造百年老店</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的核心理念，公司将继续采取稳健务实的经营策略，聚焦优势领域和</w:t>
      </w:r>
    </w:p>
    <w:p>
      <w:pPr>
        <w:pStyle w:val="BodyText"/>
        <w:spacing w:line="276" w:lineRule="auto" w:before="21"/>
        <w:ind w:right="1129"/>
        <w:jc w:val="both"/>
      </w:pPr>
      <w:r>
        <w:rPr>
          <w:spacing w:val="-2"/>
        </w:rPr>
        <w:t>主航道，抵御各种诱惑和噪音，拒绝急功近利的短期思维，坚持为客户创造长期价值，一步一个脚印，稳</w:t>
      </w:r>
      <w:r>
        <w:rPr>
          <w:spacing w:val="-37"/>
        </w:rPr>
        <w:t> </w:t>
      </w:r>
      <w:r>
        <w:rPr>
          <w:spacing w:val="-37"/>
        </w:rPr>
      </w:r>
      <w:r>
        <w:rPr/>
        <w:t>打稳扎，推进长远战略，造就可持续发展。</w:t>
      </w:r>
    </w:p>
    <w:p>
      <w:pPr>
        <w:pStyle w:val="BodyText"/>
        <w:spacing w:line="357" w:lineRule="auto" w:before="121"/>
        <w:ind w:left="535" w:right="1007"/>
        <w:jc w:val="left"/>
      </w:pPr>
      <w:r>
        <w:rPr>
          <w:rFonts w:ascii="Times New Roman" w:hAnsi="Times New Roman" w:cs="Times New Roman" w:eastAsia="Times New Roman" w:hint="default"/>
          <w:b/>
          <w:bCs/>
        </w:rPr>
        <w:t>2</w:t>
      </w:r>
      <w:r>
        <w:rPr>
          <w:rFonts w:ascii="宋体" w:hAnsi="宋体" w:cs="宋体" w:eastAsia="宋体" w:hint="default"/>
          <w:b/>
          <w:bCs/>
        </w:rPr>
        <w:t>、聚焦优势主航道</w:t>
      </w:r>
      <w:r>
        <w:rPr>
          <w:rFonts w:ascii="宋体" w:hAnsi="宋体" w:cs="宋体" w:eastAsia="宋体" w:hint="default"/>
          <w:b/>
          <w:bCs/>
          <w:spacing w:val="-103"/>
        </w:rPr>
        <w:t> </w:t>
      </w:r>
      <w:r>
        <w:rPr>
          <w:spacing w:val="-2"/>
        </w:rPr>
        <w:t>抓住产业数字化转型发展机遇，充分利用</w:t>
      </w:r>
      <w:r>
        <w:rPr>
          <w:rFonts w:ascii="宋体" w:hAnsi="宋体" w:cs="宋体" w:eastAsia="宋体" w:hint="default"/>
          <w:spacing w:val="-2"/>
        </w:rPr>
        <w:t>5G+</w:t>
      </w:r>
      <w:r>
        <w:rPr>
          <w:spacing w:val="-2"/>
        </w:rPr>
        <w:t>云计算、大数据和</w:t>
      </w:r>
      <w:r>
        <w:rPr>
          <w:rFonts w:ascii="宋体" w:hAnsi="宋体" w:cs="宋体" w:eastAsia="宋体" w:hint="default"/>
          <w:spacing w:val="-2"/>
        </w:rPr>
        <w:t>AI</w:t>
      </w:r>
      <w:r>
        <w:rPr>
          <w:spacing w:val="-2"/>
        </w:rPr>
        <w:t>技术，为通信、金融、公共安全等</w:t>
      </w:r>
    </w:p>
    <w:p>
      <w:pPr>
        <w:pStyle w:val="BodyText"/>
        <w:spacing w:line="209" w:lineRule="exact" w:before="0"/>
        <w:ind w:right="0"/>
        <w:jc w:val="both"/>
      </w:pPr>
      <w:r>
        <w:rPr/>
        <w:t>传统行业客户提供业务平台和数据平台、智能化应用和数字化运营服务。公司在大数据产业链中的定位为</w:t>
      </w:r>
    </w:p>
    <w:p>
      <w:pPr>
        <w:pStyle w:val="BodyText"/>
        <w:spacing w:line="273" w:lineRule="auto" w:before="37"/>
        <w:ind w:right="1106"/>
        <w:jc w:val="both"/>
      </w:pPr>
      <w:r>
        <w:rPr>
          <w:spacing w:val="-2"/>
        </w:rPr>
        <w:t>基于大数据的信息服务，担当数据处理增值者、数据应用开发者、数据运营服务者三个角色。精心打造智</w:t>
      </w:r>
      <w:r>
        <w:rPr>
          <w:spacing w:val="-33"/>
        </w:rPr>
        <w:t> </w:t>
      </w:r>
      <w:r>
        <w:rPr>
          <w:spacing w:val="-33"/>
        </w:rPr>
      </w:r>
      <w:r>
        <w:rPr>
          <w:spacing w:val="-2"/>
        </w:rPr>
        <w:t>慧运营、智慧社会和智慧金融等典型行业应用，树行业标杆。集中优势兵力，大兵团作战，拓宽主航道，</w:t>
      </w:r>
      <w:r>
        <w:rPr>
          <w:spacing w:val="-13"/>
        </w:rPr>
        <w:t> </w:t>
      </w:r>
      <w:r>
        <w:rPr>
          <w:spacing w:val="-13"/>
        </w:rPr>
      </w:r>
      <w:r>
        <w:rPr/>
        <w:t>培育高产良田。</w:t>
      </w:r>
    </w:p>
    <w:p>
      <w:pPr>
        <w:spacing w:line="432" w:lineRule="exact" w:before="22"/>
        <w:ind w:left="535" w:right="12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、持续进行四大基础技术平台优化升级</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1"/>
          <w:szCs w:val="21"/>
        </w:rPr>
        <w:t>经过多年研发投入，公司已初步形成</w:t>
      </w:r>
      <w:r>
        <w:rPr>
          <w:rFonts w:ascii="Times New Roman" w:hAnsi="Times New Roman" w:cs="Times New Roman" w:eastAsia="Times New Roman" w:hint="default"/>
          <w:sz w:val="21"/>
          <w:szCs w:val="21"/>
        </w:rPr>
        <w:t>“</w:t>
      </w:r>
      <w:r>
        <w:rPr>
          <w:rFonts w:ascii="宋体" w:hAnsi="宋体" w:cs="宋体" w:eastAsia="宋体" w:hint="default"/>
          <w:sz w:val="21"/>
          <w:szCs w:val="21"/>
        </w:rPr>
        <w:t>迪数</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迪智</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迪云</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迪安</w:t>
      </w:r>
      <w:r>
        <w:rPr>
          <w:rFonts w:ascii="Times New Roman" w:hAnsi="Times New Roman" w:cs="Times New Roman" w:eastAsia="Times New Roman" w:hint="default"/>
          <w:sz w:val="21"/>
          <w:szCs w:val="21"/>
        </w:rPr>
        <w:t>”</w:t>
      </w:r>
      <w:r>
        <w:rPr>
          <w:rFonts w:ascii="宋体" w:hAnsi="宋体" w:cs="宋体" w:eastAsia="宋体" w:hint="default"/>
          <w:sz w:val="21"/>
          <w:szCs w:val="21"/>
        </w:rPr>
        <w:t>四大基础技术平台，</w:t>
      </w:r>
      <w:r>
        <w:rPr>
          <w:rFonts w:ascii="宋体" w:hAnsi="宋体" w:cs="宋体" w:eastAsia="宋体" w:hint="default"/>
          <w:spacing w:val="-23"/>
          <w:sz w:val="21"/>
          <w:szCs w:val="21"/>
        </w:rPr>
        <w:t> </w:t>
      </w:r>
      <w:r>
        <w:rPr>
          <w:rFonts w:ascii="宋体" w:hAnsi="宋体" w:cs="宋体" w:eastAsia="宋体" w:hint="default"/>
          <w:sz w:val="21"/>
          <w:szCs w:val="21"/>
        </w:rPr>
        <w:t>其中</w:t>
      </w:r>
      <w:r>
        <w:rPr>
          <w:rFonts w:ascii="Times New Roman" w:hAnsi="Times New Roman" w:cs="Times New Roman" w:eastAsia="Times New Roman" w:hint="default"/>
          <w:sz w:val="21"/>
          <w:szCs w:val="21"/>
        </w:rPr>
        <w:t>“</w:t>
      </w:r>
      <w:r>
        <w:rPr>
          <w:rFonts w:ascii="宋体" w:hAnsi="宋体" w:cs="宋体" w:eastAsia="宋体" w:hint="default"/>
          <w:sz w:val="21"/>
          <w:szCs w:val="21"/>
        </w:rPr>
        <w:t>迪</w:t>
      </w:r>
    </w:p>
    <w:p>
      <w:pPr>
        <w:pStyle w:val="BodyText"/>
        <w:spacing w:line="271" w:lineRule="exact" w:before="0"/>
        <w:ind w:right="0"/>
        <w:jc w:val="both"/>
      </w:pPr>
      <w:r>
        <w:rPr/>
        <w:t>数</w:t>
      </w:r>
      <w:r>
        <w:rPr>
          <w:rFonts w:ascii="Times New Roman" w:hAnsi="Times New Roman" w:cs="Times New Roman" w:eastAsia="Times New Roman" w:hint="default"/>
        </w:rPr>
        <w:t>”</w:t>
      </w:r>
      <w:r>
        <w:rPr/>
        <w:t>为大数据核心平台， </w:t>
      </w:r>
      <w:r>
        <w:rPr>
          <w:rFonts w:ascii="Times New Roman" w:hAnsi="Times New Roman" w:cs="Times New Roman" w:eastAsia="Times New Roman" w:hint="default"/>
        </w:rPr>
        <w:t>“</w:t>
      </w:r>
      <w:r>
        <w:rPr/>
        <w:t>迪智</w:t>
      </w:r>
      <w:r>
        <w:rPr>
          <w:rFonts w:ascii="Times New Roman" w:hAnsi="Times New Roman" w:cs="Times New Roman" w:eastAsia="Times New Roman" w:hint="default"/>
        </w:rPr>
        <w:t>”</w:t>
      </w:r>
      <w:r>
        <w:rPr/>
        <w:t>为人工智能基础平台，</w:t>
      </w:r>
      <w:r>
        <w:rPr>
          <w:rFonts w:ascii="Times New Roman" w:hAnsi="Times New Roman" w:cs="Times New Roman" w:eastAsia="Times New Roman" w:hint="default"/>
        </w:rPr>
        <w:t>“</w:t>
      </w:r>
      <w:r>
        <w:rPr/>
        <w:t>迪云</w:t>
      </w:r>
      <w:r>
        <w:rPr>
          <w:rFonts w:ascii="Times New Roman" w:hAnsi="Times New Roman" w:cs="Times New Roman" w:eastAsia="Times New Roman" w:hint="default"/>
        </w:rPr>
        <w:t>”</w:t>
      </w:r>
      <w:r>
        <w:rPr/>
        <w:t>为云计算</w:t>
      </w:r>
      <w:r>
        <w:rPr>
          <w:rFonts w:ascii="Times New Roman" w:hAnsi="Times New Roman" w:cs="Times New Roman" w:eastAsia="Times New Roman" w:hint="default"/>
        </w:rPr>
        <w:t>PaaS</w:t>
      </w:r>
      <w:r>
        <w:rPr/>
        <w:t>平台，</w:t>
      </w:r>
      <w:r>
        <w:rPr>
          <w:spacing w:val="-49"/>
        </w:rPr>
        <w:t> </w:t>
      </w:r>
      <w:r>
        <w:rPr>
          <w:rFonts w:ascii="Times New Roman" w:hAnsi="Times New Roman" w:cs="Times New Roman" w:eastAsia="Times New Roman" w:hint="default"/>
        </w:rPr>
        <w:t>“</w:t>
      </w:r>
      <w:r>
        <w:rPr/>
        <w:t>迪安</w:t>
      </w:r>
      <w:r>
        <w:rPr>
          <w:rFonts w:ascii="Times New Roman" w:hAnsi="Times New Roman" w:cs="Times New Roman" w:eastAsia="Times New Roman" w:hint="default"/>
        </w:rPr>
        <w:t>”</w:t>
      </w:r>
      <w:r>
        <w:rPr/>
        <w:t>为大型应用软件</w:t>
      </w:r>
    </w:p>
    <w:p>
      <w:pPr>
        <w:pStyle w:val="BodyText"/>
        <w:spacing w:line="278" w:lineRule="auto" w:before="21"/>
        <w:ind w:right="1126"/>
        <w:jc w:val="both"/>
      </w:pPr>
      <w:r>
        <w:rPr>
          <w:spacing w:val="-2"/>
        </w:rPr>
        <w:t>安全接入平台。四大基础软件平台，构成公司应用层软件研发的基础设施，将引领公司技术发展方向，支</w:t>
      </w:r>
      <w:r>
        <w:rPr>
          <w:spacing w:val="-33"/>
        </w:rPr>
        <w:t> </w:t>
      </w:r>
      <w:r>
        <w:rPr>
          <w:spacing w:val="-33"/>
        </w:rPr>
      </w:r>
      <w:r>
        <w:rPr/>
        <w:t>撑公司软件产品线的长期发展，</w:t>
      </w:r>
      <w:r>
        <w:rPr>
          <w:spacing w:val="-17"/>
        </w:rPr>
        <w:t> </w:t>
      </w:r>
      <w:r>
        <w:rPr/>
        <w:t>公司将保持持续的高强度的研发投入，以体现公司的核心竞争力。</w:t>
      </w:r>
    </w:p>
    <w:p>
      <w:pPr>
        <w:pStyle w:val="BodyText"/>
        <w:spacing w:line="432" w:lineRule="exact" w:before="18"/>
        <w:ind w:left="535" w:right="1007"/>
        <w:jc w:val="left"/>
      </w:pPr>
      <w:r>
        <w:rPr>
          <w:rFonts w:ascii="Times New Roman" w:hAnsi="Times New Roman" w:cs="Times New Roman" w:eastAsia="Times New Roman" w:hint="default"/>
          <w:b/>
          <w:bCs/>
        </w:rPr>
        <w:t>4</w:t>
      </w:r>
      <w:r>
        <w:rPr>
          <w:rFonts w:ascii="宋体" w:hAnsi="宋体" w:cs="宋体" w:eastAsia="宋体" w:hint="default"/>
          <w:b/>
          <w:bCs/>
        </w:rPr>
        <w:t>、加强生态圈建设</w:t>
      </w:r>
      <w:r>
        <w:rPr>
          <w:rFonts w:ascii="宋体" w:hAnsi="宋体" w:cs="宋体" w:eastAsia="宋体" w:hint="default"/>
          <w:b/>
          <w:bCs/>
          <w:spacing w:val="-103"/>
        </w:rPr>
        <w:t> </w:t>
      </w:r>
      <w:r>
        <w:rPr>
          <w:spacing w:val="-2"/>
        </w:rPr>
        <w:t>公司认为供应链和生态圈可以成为核心竞争力，奉行</w:t>
      </w:r>
      <w:r>
        <w:rPr>
          <w:rFonts w:ascii="Times New Roman" w:hAnsi="Times New Roman" w:cs="Times New Roman" w:eastAsia="Times New Roman" w:hint="default"/>
          <w:spacing w:val="-2"/>
        </w:rPr>
        <w:t>“</w:t>
      </w:r>
      <w:r>
        <w:rPr>
          <w:spacing w:val="-2"/>
        </w:rPr>
        <w:t>术有专攻</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分工协作</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合作共赢</w:t>
      </w:r>
      <w:r>
        <w:rPr>
          <w:rFonts w:ascii="Times New Roman" w:hAnsi="Times New Roman" w:cs="Times New Roman" w:eastAsia="Times New Roman" w:hint="default"/>
          <w:spacing w:val="-2"/>
        </w:rPr>
        <w:t>”</w:t>
      </w:r>
      <w:r>
        <w:rPr>
          <w:spacing w:val="-2"/>
        </w:rPr>
        <w:t>的合作理</w:t>
      </w:r>
    </w:p>
    <w:p>
      <w:pPr>
        <w:pStyle w:val="BodyText"/>
        <w:spacing w:line="271" w:lineRule="exact" w:before="0"/>
        <w:ind w:right="0"/>
        <w:jc w:val="both"/>
      </w:pPr>
      <w:r>
        <w:rPr/>
        <w:t>念，将继续携手阿里、华为、腾讯、</w:t>
      </w:r>
      <w:r>
        <w:rPr>
          <w:rFonts w:ascii="Times New Roman" w:hAnsi="Times New Roman" w:cs="Times New Roman" w:eastAsia="Times New Roman" w:hint="default"/>
        </w:rPr>
        <w:t>IBM</w:t>
      </w:r>
      <w:r>
        <w:rPr/>
        <w:t>等战略合作伙伴共建生态圈。继续与阿里云在大型企业</w:t>
      </w:r>
      <w:r>
        <w:rPr>
          <w:rFonts w:ascii="Times New Roman" w:hAnsi="Times New Roman" w:cs="Times New Roman" w:eastAsia="Times New Roman" w:hint="default"/>
        </w:rPr>
        <w:t>IT</w:t>
      </w:r>
      <w:r>
        <w:rPr/>
        <w:t>云化和</w:t>
      </w:r>
    </w:p>
    <w:p>
      <w:pPr>
        <w:pStyle w:val="BodyText"/>
        <w:spacing w:line="259" w:lineRule="auto" w:before="21"/>
        <w:ind w:right="1122"/>
        <w:jc w:val="both"/>
      </w:pPr>
      <w:r>
        <w:rPr>
          <w:spacing w:val="-2"/>
        </w:rPr>
        <w:t>人工智能应用领域紧密合作，继续与华为、腾讯在警务云大数据领域紧密合作，尝试与</w:t>
      </w:r>
      <w:r>
        <w:rPr>
          <w:rFonts w:ascii="Times New Roman" w:hAnsi="Times New Roman" w:cs="Times New Roman" w:eastAsia="Times New Roman" w:hint="default"/>
          <w:spacing w:val="-2"/>
        </w:rPr>
        <w:t>IBM</w:t>
      </w:r>
      <w:r>
        <w:rPr>
          <w:spacing w:val="-2"/>
        </w:rPr>
        <w:t>进行软件版权</w:t>
      </w:r>
      <w:r>
        <w:rPr>
          <w:spacing w:val="-10"/>
        </w:rPr>
        <w:t> </w:t>
      </w:r>
      <w:r>
        <w:rPr>
          <w:spacing w:val="-10"/>
        </w:rPr>
      </w:r>
      <w:r>
        <w:rPr>
          <w:spacing w:val="-3"/>
        </w:rPr>
        <w:t>互授权合作，建立行业应用样板点，搭建产品化推广、标准化实施和专业化服务的体系，以咨询</w:t>
      </w:r>
      <w:r>
        <w:rPr>
          <w:rFonts w:ascii="Times New Roman" w:hAnsi="Times New Roman" w:cs="Times New Roman" w:eastAsia="Times New Roman" w:hint="default"/>
          <w:spacing w:val="-3"/>
        </w:rPr>
        <w:t>+</w:t>
      </w:r>
      <w:r>
        <w:rPr>
          <w:spacing w:val="-3"/>
        </w:rPr>
        <w:t>应用</w:t>
      </w:r>
      <w:r>
        <w:rPr>
          <w:rFonts w:ascii="Times New Roman" w:hAnsi="Times New Roman" w:cs="Times New Roman" w:eastAsia="Times New Roman" w:hint="default"/>
          <w:spacing w:val="-3"/>
        </w:rPr>
        <w:t>+</w:t>
      </w:r>
      <w:r>
        <w:rPr>
          <w:spacing w:val="-3"/>
        </w:rPr>
        <w:t>服</w:t>
      </w:r>
      <w:r>
        <w:rPr>
          <w:spacing w:val="-10"/>
        </w:rPr>
        <w:t> </w:t>
      </w:r>
      <w:r>
        <w:rPr/>
        <w:t>务的模式推动合作生态的快速复制。</w:t>
      </w:r>
    </w:p>
    <w:p>
      <w:pPr>
        <w:spacing w:line="357" w:lineRule="auto" w:before="135"/>
        <w:ind w:left="535" w:right="100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、持续完善贴身、敏捷的客户服务体系</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秉持以客户为中心的公司服务文化，持续改进客户服务质量；建立区域销售、交付、中台团队客户满</w:t>
      </w:r>
    </w:p>
    <w:p>
      <w:pPr>
        <w:pStyle w:val="BodyText"/>
        <w:spacing w:line="210" w:lineRule="exact" w:before="0"/>
        <w:ind w:right="0"/>
        <w:jc w:val="both"/>
      </w:pPr>
      <w:r>
        <w:rPr/>
        <w:t>意度评估机制，共同承担满意度指标，及时准确把握客户需求，主动高效响应客户；研发要以客户需求为</w:t>
      </w:r>
    </w:p>
    <w:p>
      <w:pPr>
        <w:pStyle w:val="BodyText"/>
        <w:spacing w:line="276" w:lineRule="auto" w:before="37"/>
        <w:ind w:right="1125"/>
        <w:jc w:val="both"/>
      </w:pPr>
      <w:r>
        <w:rPr>
          <w:spacing w:val="-2"/>
        </w:rPr>
        <w:t>导向，开发高质量的产品或解决方案，提高产品附加价值和竞争力。建立健全以客户为中心内部逐级服务</w:t>
      </w:r>
      <w:r>
        <w:rPr>
          <w:spacing w:val="-33"/>
        </w:rPr>
        <w:t> </w:t>
      </w:r>
      <w:r>
        <w:rPr>
          <w:spacing w:val="-33"/>
        </w:rPr>
      </w:r>
      <w:r>
        <w:rPr/>
        <w:t>体系，前台提供贴近客户的服务，一线呼唤炮火；中台后台为前台服务，保证一线能够呼唤到炮火。</w:t>
      </w:r>
    </w:p>
    <w:p>
      <w:pPr>
        <w:spacing w:after="0" w:line="276" w:lineRule="auto"/>
        <w:jc w:val="both"/>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3"/>
        <w:spacing w:line="352" w:lineRule="auto" w:before="36"/>
        <w:ind w:left="535" w:right="5762" w:firstLine="4"/>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 2020</w:t>
      </w:r>
      <w:r>
        <w:rPr/>
        <w:t>年度经营计划</w:t>
      </w:r>
      <w:r>
        <w:rPr>
          <w:w w:val="100"/>
        </w:rPr>
        <w:t> </w:t>
      </w:r>
      <w:r>
        <w:rPr>
          <w:rFonts w:ascii="Times New Roman" w:hAnsi="Times New Roman" w:cs="Times New Roman" w:eastAsia="Times New Roman" w:hint="default"/>
          <w:spacing w:val="-1"/>
        </w:rPr>
        <w:t>1</w:t>
      </w:r>
      <w:r>
        <w:rPr>
          <w:spacing w:val="-1"/>
        </w:rPr>
        <w:t>、以</w:t>
      </w:r>
      <w:r>
        <w:rPr>
          <w:rFonts w:ascii="Times New Roman" w:hAnsi="Times New Roman" w:cs="Times New Roman" w:eastAsia="Times New Roman" w:hint="default"/>
          <w:spacing w:val="-1"/>
        </w:rPr>
        <w:t>5G</w:t>
      </w:r>
      <w:r>
        <w:rPr>
          <w:spacing w:val="-1"/>
        </w:rPr>
        <w:t>为突破口，聚焦战略市场，突破新领域</w:t>
      </w:r>
      <w:r>
        <w:rPr>
          <w:b w:val="0"/>
          <w:bCs w:val="0"/>
          <w:spacing w:val="-1"/>
        </w:rPr>
      </w:r>
    </w:p>
    <w:p>
      <w:pPr>
        <w:pStyle w:val="BodyText"/>
        <w:spacing w:line="264" w:lineRule="auto" w:before="32"/>
        <w:ind w:right="1007" w:firstLine="427"/>
        <w:jc w:val="left"/>
      </w:pPr>
      <w:r>
        <w:rPr>
          <w:rFonts w:ascii="Times New Roman" w:hAnsi="Times New Roman" w:cs="Times New Roman" w:eastAsia="Times New Roman" w:hint="default"/>
        </w:rPr>
        <w:t>4G</w:t>
      </w:r>
      <w:r>
        <w:rPr/>
        <w:t>到</w:t>
      </w:r>
      <w:r>
        <w:rPr>
          <w:rFonts w:ascii="Times New Roman" w:hAnsi="Times New Roman" w:cs="Times New Roman" w:eastAsia="Times New Roman" w:hint="default"/>
        </w:rPr>
        <w:t>5G</w:t>
      </w:r>
      <w:r>
        <w:rPr/>
        <w:t>不仅仅是网络传输速率的提升，</w:t>
      </w:r>
      <w:r>
        <w:rPr>
          <w:rFonts w:ascii="Times New Roman" w:hAnsi="Times New Roman" w:cs="Times New Roman" w:eastAsia="Times New Roman" w:hint="default"/>
        </w:rPr>
        <w:t>5G</w:t>
      </w:r>
      <w:r>
        <w:rPr/>
        <w:t>三大类应用场景：高速率增强移动宽带、低时延高可靠通</w:t>
      </w:r>
      <w:r>
        <w:rPr>
          <w:w w:val="100"/>
        </w:rPr>
        <w:t> </w:t>
      </w:r>
      <w:r>
        <w:rPr/>
        <w:t>讯和海量大连接都对业务运营支撑系统提出全新需求。网络控制功能的云化部署，流量转发功能的下沉，</w:t>
      </w:r>
      <w:r>
        <w:rPr>
          <w:spacing w:val="-102"/>
        </w:rPr>
        <w:t> </w:t>
      </w:r>
      <w:r>
        <w:rPr>
          <w:spacing w:val="-102"/>
        </w:rPr>
      </w:r>
      <w:r>
        <w:rPr/>
        <w:t>移动边缘计算能力的增强势必带来运营支撑系统基础架构的演变，基于使用量、连接量、服务量、应用内</w:t>
      </w:r>
      <w:r>
        <w:rPr>
          <w:w w:val="100"/>
        </w:rPr>
        <w:t> </w:t>
      </w:r>
      <w:r>
        <w:rPr/>
        <w:t>容、时延等级、速度等级、客户等级、网络切片多量纲计费模式将被引入。</w:t>
      </w:r>
      <w:r>
        <w:rPr>
          <w:rFonts w:ascii="Times New Roman" w:hAnsi="Times New Roman" w:cs="Times New Roman" w:eastAsia="Times New Roman" w:hint="default"/>
        </w:rPr>
        <w:t>2020</w:t>
      </w:r>
      <w:r>
        <w:rPr/>
        <w:t>年，公司在电信运营商市</w:t>
      </w:r>
      <w:r>
        <w:rPr>
          <w:w w:val="100"/>
        </w:rPr>
        <w:t> </w:t>
      </w:r>
      <w:r>
        <w:rPr>
          <w:spacing w:val="-2"/>
        </w:rPr>
        <w:t>场将以</w:t>
      </w:r>
      <w:r>
        <w:rPr>
          <w:rFonts w:ascii="Times New Roman" w:hAnsi="Times New Roman" w:cs="Times New Roman" w:eastAsia="Times New Roman" w:hint="default"/>
          <w:spacing w:val="-2"/>
        </w:rPr>
        <w:t>5G</w:t>
      </w:r>
      <w:r>
        <w:rPr>
          <w:spacing w:val="-2"/>
        </w:rPr>
        <w:t>业务支撑系统升级改造建设为契机，集中优势资源，快速形成对</w:t>
      </w:r>
      <w:r>
        <w:rPr>
          <w:rFonts w:ascii="Times New Roman" w:hAnsi="Times New Roman" w:cs="Times New Roman" w:eastAsia="Times New Roman" w:hint="default"/>
          <w:spacing w:val="-2"/>
        </w:rPr>
        <w:t>5G</w:t>
      </w:r>
      <w:r>
        <w:rPr>
          <w:spacing w:val="-2"/>
        </w:rPr>
        <w:t>网络商用的智慧化、开放化、</w:t>
      </w:r>
      <w:r>
        <w:rPr>
          <w:spacing w:val="-15"/>
        </w:rPr>
        <w:t> </w:t>
      </w:r>
      <w:r>
        <w:rPr>
          <w:spacing w:val="-15"/>
        </w:rPr>
      </w:r>
      <w:r>
        <w:rPr/>
        <w:t>云化部署支撑能力，牢固把控</w:t>
      </w:r>
      <w:r>
        <w:rPr>
          <w:rFonts w:ascii="Times New Roman" w:hAnsi="Times New Roman" w:cs="Times New Roman" w:eastAsia="Times New Roman" w:hint="default"/>
        </w:rPr>
        <w:t>5G</w:t>
      </w:r>
      <w:r>
        <w:rPr/>
        <w:t>网络商用带来的全新市场机会。</w:t>
      </w:r>
    </w:p>
    <w:p>
      <w:pPr>
        <w:pStyle w:val="BodyText"/>
        <w:spacing w:line="357" w:lineRule="auto" w:before="113"/>
        <w:ind w:left="540" w:right="1007" w:hanging="5"/>
        <w:jc w:val="left"/>
      </w:pPr>
      <w:r>
        <w:rPr>
          <w:rFonts w:ascii="Times New Roman" w:hAnsi="Times New Roman" w:cs="Times New Roman" w:eastAsia="Times New Roman" w:hint="default"/>
          <w:b/>
          <w:bCs/>
        </w:rPr>
        <w:t>2</w:t>
      </w:r>
      <w:r>
        <w:rPr>
          <w:rFonts w:ascii="宋体" w:hAnsi="宋体" w:cs="宋体" w:eastAsia="宋体" w:hint="default"/>
          <w:b/>
          <w:bCs/>
        </w:rPr>
        <w:t>、拓展金融科技市场</w:t>
      </w:r>
      <w:r>
        <w:rPr>
          <w:rFonts w:ascii="宋体" w:hAnsi="宋体" w:cs="宋体" w:eastAsia="宋体" w:hint="default"/>
          <w:b/>
          <w:bCs/>
          <w:spacing w:val="-102"/>
        </w:rPr>
        <w:t> </w:t>
      </w:r>
      <w:r>
        <w:rPr>
          <w:spacing w:val="-2"/>
        </w:rPr>
        <w:t>金融科技领域市场潜力巨大，本公司将以子公司维恩贝特和迪科数金为核心，与公司基础技术平台实</w:t>
      </w:r>
    </w:p>
    <w:p>
      <w:pPr>
        <w:pStyle w:val="BodyText"/>
        <w:spacing w:line="209" w:lineRule="exact" w:before="0"/>
        <w:ind w:right="0"/>
        <w:jc w:val="both"/>
      </w:pPr>
      <w:r>
        <w:rPr/>
        <w:t>现进一步融合以提升产品竞争力，重点拓展国内（含港澳台）银行软件市场。在金融风控领域，运用数据</w:t>
      </w:r>
    </w:p>
    <w:p>
      <w:pPr>
        <w:pStyle w:val="BodyText"/>
        <w:spacing w:line="273" w:lineRule="auto" w:before="37"/>
        <w:ind w:right="1103"/>
        <w:jc w:val="both"/>
      </w:pPr>
      <w:r>
        <w:rPr>
          <w:spacing w:val="-2"/>
        </w:rPr>
        <w:t>挖掘、机器学习等技术手段，优化风险防控数据指标、分析模型、精确客户客户风险特征，有效甄别高风</w:t>
      </w:r>
      <w:r>
        <w:rPr>
          <w:spacing w:val="-38"/>
        </w:rPr>
        <w:t> </w:t>
      </w:r>
      <w:r>
        <w:rPr>
          <w:spacing w:val="-38"/>
        </w:rPr>
      </w:r>
      <w:r>
        <w:rPr>
          <w:spacing w:val="-2"/>
        </w:rPr>
        <w:t>险交易和设置早期干预预警机制，合理构建动态风险计量评分和可解释体系、将智能风控嵌入业务流程。</w:t>
      </w:r>
      <w:r>
        <w:rPr>
          <w:spacing w:val="-13"/>
        </w:rPr>
        <w:t> </w:t>
      </w:r>
      <w:r>
        <w:rPr>
          <w:spacing w:val="-13"/>
        </w:rPr>
      </w:r>
      <w:r>
        <w:rPr>
          <w:spacing w:val="-2"/>
        </w:rPr>
        <w:t>在金融服务领域，赋能银行等金融服务行业提质增效，利用自然语言处理、机器学习等新一代人工智能技</w:t>
      </w:r>
      <w:r>
        <w:rPr>
          <w:spacing w:val="-33"/>
        </w:rPr>
        <w:t> </w:t>
      </w:r>
      <w:r>
        <w:rPr>
          <w:spacing w:val="-33"/>
        </w:rPr>
      </w:r>
      <w:r>
        <w:rPr>
          <w:spacing w:val="-2"/>
        </w:rPr>
        <w:t>术，提升银行等金融机构数据处理与理解能力。完善金融产品供给，借助互联网等渠道改进营销策略、改</w:t>
      </w:r>
      <w:r>
        <w:rPr>
          <w:spacing w:val="-33"/>
        </w:rPr>
        <w:t> </w:t>
      </w:r>
      <w:r>
        <w:rPr>
          <w:spacing w:val="-33"/>
        </w:rPr>
      </w:r>
      <w:r>
        <w:rPr>
          <w:spacing w:val="-2"/>
        </w:rPr>
        <w:t>善客户体验、提升营销效果，提高产品易用性与获客能力，增强金融惠民服务能力，提升金融服务效率，</w:t>
      </w:r>
      <w:r>
        <w:rPr>
          <w:spacing w:val="-9"/>
        </w:rPr>
        <w:t> </w:t>
      </w:r>
      <w:r>
        <w:rPr>
          <w:spacing w:val="-9"/>
        </w:rPr>
      </w:r>
      <w:r>
        <w:rPr/>
        <w:t>以全面适应数字经济环境下金融市场需求的快速变化</w:t>
      </w:r>
      <w:r>
        <w:rPr>
          <w:spacing w:val="1"/>
        </w:rPr>
        <w:t> </w:t>
      </w:r>
      <w:r>
        <w:rPr/>
        <w:t>。</w:t>
      </w:r>
    </w:p>
    <w:p>
      <w:pPr>
        <w:pStyle w:val="Heading3"/>
        <w:spacing w:line="256" w:lineRule="auto" w:before="123"/>
        <w:ind w:right="1131" w:firstLine="427"/>
        <w:jc w:val="both"/>
        <w:rPr>
          <w:b w:val="0"/>
          <w:bCs w:val="0"/>
        </w:rPr>
      </w:pPr>
      <w:r>
        <w:rPr>
          <w:rFonts w:ascii="Times New Roman" w:hAnsi="Times New Roman" w:cs="Times New Roman" w:eastAsia="Times New Roman" w:hint="default"/>
        </w:rPr>
        <w:t>3</w:t>
      </w:r>
      <w:r>
        <w:rPr/>
        <w:t>、持续拓展公共安全、政府及企业数字化转型，与阿里生态、华为鲲鹏生态及国内电信运营商等合</w:t>
      </w:r>
      <w:r>
        <w:rPr>
          <w:w w:val="100"/>
        </w:rPr>
        <w:t> </w:t>
      </w:r>
      <w:r>
        <w:rPr/>
        <w:t>作伙伴深入合作</w:t>
      </w:r>
      <w:r>
        <w:rPr>
          <w:b w:val="0"/>
          <w:bCs w:val="0"/>
        </w:rPr>
      </w:r>
    </w:p>
    <w:p>
      <w:pPr>
        <w:pStyle w:val="BodyText"/>
        <w:spacing w:line="276" w:lineRule="auto" w:before="142"/>
        <w:ind w:right="1126" w:firstLine="427"/>
        <w:jc w:val="both"/>
      </w:pPr>
      <w:r>
        <w:rPr>
          <w:spacing w:val="-2"/>
        </w:rPr>
        <w:t>借船出海，公司与合作伙伴在国内外通信运营商、公共安全、数字化采购、数字政府、智慧零售、智</w:t>
      </w:r>
      <w:r>
        <w:rPr>
          <w:w w:val="100"/>
        </w:rPr>
        <w:t> </w:t>
      </w:r>
      <w:r>
        <w:rPr/>
        <w:t>能客服、教育等领域持续深度合作，开拓</w:t>
      </w:r>
      <w:r>
        <w:rPr>
          <w:rFonts w:ascii="Times New Roman" w:hAnsi="Times New Roman" w:cs="Times New Roman" w:eastAsia="Times New Roman" w:hint="default"/>
        </w:rPr>
        <w:t>2B</w:t>
      </w:r>
      <w:r>
        <w:rPr/>
        <w:t>或</w:t>
      </w:r>
      <w:r>
        <w:rPr>
          <w:rFonts w:ascii="Times New Roman" w:hAnsi="Times New Roman" w:cs="Times New Roman" w:eastAsia="Times New Roman" w:hint="default"/>
        </w:rPr>
        <w:t>B2B2C</w:t>
      </w:r>
      <w:r>
        <w:rPr/>
        <w:t>市场。</w:t>
      </w:r>
    </w:p>
    <w:p>
      <w:pPr>
        <w:pStyle w:val="Heading3"/>
        <w:spacing w:line="240" w:lineRule="auto" w:before="101"/>
        <w:ind w:left="540" w:right="1764"/>
        <w:jc w:val="left"/>
        <w:rPr>
          <w:b w:val="0"/>
          <w:bCs w:val="0"/>
        </w:rPr>
      </w:pPr>
      <w:r>
        <w:rPr>
          <w:rFonts w:ascii="Times New Roman" w:hAnsi="Times New Roman" w:cs="Times New Roman" w:eastAsia="Times New Roman" w:hint="default"/>
        </w:rPr>
        <w:t>4</w:t>
      </w:r>
      <w:r>
        <w:rPr/>
        <w:t>、打造基础技术平台</w:t>
      </w:r>
      <w:r>
        <w:rPr>
          <w:b w:val="0"/>
          <w:bCs w:val="0"/>
        </w:rPr>
      </w:r>
    </w:p>
    <w:p>
      <w:pPr>
        <w:pStyle w:val="BodyText"/>
        <w:spacing w:line="259" w:lineRule="auto" w:before="141"/>
        <w:ind w:right="1106" w:firstLine="427"/>
        <w:jc w:val="both"/>
      </w:pPr>
      <w:r>
        <w:rPr/>
        <w:t>公司已形成</w:t>
      </w:r>
      <w:r>
        <w:rPr>
          <w:rFonts w:ascii="Times New Roman" w:hAnsi="Times New Roman" w:cs="Times New Roman" w:eastAsia="Times New Roman" w:hint="default"/>
        </w:rPr>
        <w:t>“</w:t>
      </w:r>
      <w:r>
        <w:rPr/>
        <w:t>迪智</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w:t>
      </w:r>
      <w:r>
        <w:rPr>
          <w:rFonts w:ascii="Times New Roman" w:hAnsi="Times New Roman" w:cs="Times New Roman" w:eastAsia="Times New Roman" w:hint="default"/>
        </w:rPr>
        <w:t>“</w:t>
      </w:r>
      <w:r>
        <w:rPr/>
        <w:t>迪数</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迪云</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迪安</w:t>
      </w:r>
      <w:r>
        <w:rPr>
          <w:rFonts w:ascii="Times New Roman" w:hAnsi="Times New Roman" w:cs="Times New Roman" w:eastAsia="Times New Roman" w:hint="default"/>
        </w:rPr>
        <w:t>”</w:t>
      </w:r>
      <w:r>
        <w:rPr/>
        <w:t>四大技术平台，随着大数据上云、信息安全服务于大数</w:t>
      </w:r>
      <w:r>
        <w:rPr>
          <w:w w:val="100"/>
        </w:rPr>
        <w:t> </w:t>
      </w:r>
      <w:r>
        <w:rPr>
          <w:spacing w:val="-1"/>
        </w:rPr>
        <w:t>据和云等技术发展新趋势，公司将在深度学习平台、智能编程、</w:t>
      </w:r>
      <w:r>
        <w:rPr>
          <w:rFonts w:ascii="Times New Roman" w:hAnsi="Times New Roman" w:cs="Times New Roman" w:eastAsia="Times New Roman" w:hint="default"/>
          <w:spacing w:val="-1"/>
        </w:rPr>
        <w:t>Paas</w:t>
      </w:r>
      <w:r>
        <w:rPr>
          <w:spacing w:val="-1"/>
        </w:rPr>
        <w:t>组件服务化、信息安全等方面加大研</w:t>
      </w:r>
      <w:r>
        <w:rPr>
          <w:spacing w:val="-41"/>
        </w:rPr>
        <w:t> </w:t>
      </w:r>
      <w:r>
        <w:rPr>
          <w:spacing w:val="-41"/>
        </w:rPr>
      </w:r>
      <w:r>
        <w:rPr>
          <w:spacing w:val="-2"/>
        </w:rPr>
        <w:t>发投入，促进技术平台的升级和互相融通，形成公司级统一基础技术平台，更高效高质地支撑行业应用。</w:t>
      </w:r>
    </w:p>
    <w:p>
      <w:pPr>
        <w:spacing w:line="432" w:lineRule="exact" w:before="35"/>
        <w:ind w:left="540" w:right="100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、持续提升管理能力和精益运营水平</w:t>
      </w:r>
      <w:r>
        <w:rPr>
          <w:rFonts w:ascii="宋体" w:hAnsi="宋体" w:cs="宋体" w:eastAsia="宋体" w:hint="default"/>
          <w:b/>
          <w:bCs/>
          <w:w w:val="100"/>
          <w:sz w:val="21"/>
          <w:szCs w:val="21"/>
        </w:rPr>
        <w:t> </w:t>
      </w:r>
      <w:r>
        <w:rPr>
          <w:rFonts w:ascii="宋体" w:hAnsi="宋体" w:cs="宋体" w:eastAsia="宋体" w:hint="default"/>
          <w:spacing w:val="-1"/>
          <w:sz w:val="21"/>
          <w:szCs w:val="21"/>
        </w:rPr>
        <w:t>为落实</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两流一效（利润流、现金流和效率）</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的管理目标，继续试行</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阿米巴</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管理模式，全面应用目</w:t>
      </w:r>
    </w:p>
    <w:p>
      <w:pPr>
        <w:pStyle w:val="BodyText"/>
        <w:spacing w:line="276" w:lineRule="exact" w:before="0"/>
        <w:ind w:right="0"/>
        <w:jc w:val="both"/>
      </w:pPr>
      <w:r>
        <w:rPr/>
        <w:t>标和关键结果</w:t>
      </w:r>
      <w:r>
        <w:rPr>
          <w:rFonts w:ascii="Times New Roman" w:hAnsi="Times New Roman" w:cs="Times New Roman" w:eastAsia="Times New Roman" w:hint="default"/>
        </w:rPr>
        <w:t>OKR</w:t>
      </w:r>
      <w:r>
        <w:rPr/>
        <w:t>工作法（</w:t>
      </w:r>
      <w:r>
        <w:rPr>
          <w:rFonts w:ascii="Times New Roman" w:hAnsi="Times New Roman" w:cs="Times New Roman" w:eastAsia="Times New Roman" w:hint="default"/>
        </w:rPr>
        <w:t>Objectives and Key</w:t>
      </w:r>
      <w:r>
        <w:rPr>
          <w:rFonts w:ascii="Times New Roman" w:hAnsi="Times New Roman" w:cs="Times New Roman" w:eastAsia="Times New Roman" w:hint="default"/>
          <w:spacing w:val="-5"/>
        </w:rPr>
        <w:t> </w:t>
      </w:r>
      <w:r>
        <w:rPr>
          <w:rFonts w:ascii="Times New Roman" w:hAnsi="Times New Roman" w:cs="Times New Roman" w:eastAsia="Times New Roman" w:hint="default"/>
        </w:rPr>
        <w:t>Results)</w:t>
      </w:r>
      <w:r>
        <w:rPr/>
        <w:t>，提升各项管理工作。</w:t>
      </w:r>
    </w:p>
    <w:p>
      <w:pPr>
        <w:pStyle w:val="BodyText"/>
        <w:spacing w:line="273" w:lineRule="auto" w:before="55"/>
        <w:ind w:right="1097" w:firstLine="427"/>
        <w:jc w:val="both"/>
      </w:pPr>
      <w:r>
        <w:rPr>
          <w:spacing w:val="-2"/>
        </w:rPr>
        <w:t>以区域为利润中心和经营主体，围绕利润中心配置资源，确保资源投入符合组织效益最大化的要求，</w:t>
      </w:r>
      <w:r>
        <w:rPr>
          <w:w w:val="100"/>
        </w:rPr>
        <w:t> </w:t>
      </w:r>
      <w:r>
        <w:rPr>
          <w:spacing w:val="-2"/>
        </w:rPr>
        <w:t>保持企业利益和个人利益一致；由自上而下拉式管理变为自下而上的推式管理，明确责权利，对各经营单</w:t>
      </w:r>
      <w:r>
        <w:rPr>
          <w:spacing w:val="-30"/>
        </w:rPr>
        <w:t> </w:t>
      </w:r>
      <w:r>
        <w:rPr>
          <w:spacing w:val="-30"/>
        </w:rPr>
      </w:r>
      <w:r>
        <w:rPr/>
        <w:t>元进行业绩滚动式独立核算和管理运营，并划小管理推进项目经理责任制。</w:t>
      </w:r>
    </w:p>
    <w:p>
      <w:pPr>
        <w:pStyle w:val="BodyText"/>
        <w:spacing w:line="276" w:lineRule="auto" w:before="46"/>
        <w:ind w:right="1134" w:firstLine="427"/>
        <w:jc w:val="both"/>
      </w:pPr>
      <w:r>
        <w:rPr/>
        <w:t>加快项目验收回款，防范资金风险；</w:t>
      </w:r>
      <w:r>
        <w:rPr>
          <w:spacing w:val="57"/>
        </w:rPr>
        <w:t> </w:t>
      </w:r>
      <w:r>
        <w:rPr/>
        <w:t>动态预算管控，年度预算和季度滚动预算结合，以项目预算动</w:t>
      </w:r>
      <w:r>
        <w:rPr>
          <w:w w:val="100"/>
        </w:rPr>
        <w:t> </w:t>
      </w:r>
      <w:r>
        <w:rPr/>
        <w:t>态调控交付部门预算。</w:t>
      </w:r>
    </w:p>
    <w:p>
      <w:pPr>
        <w:pStyle w:val="BodyText"/>
        <w:spacing w:line="273" w:lineRule="auto" w:before="39"/>
        <w:ind w:right="1125" w:firstLine="427"/>
        <w:jc w:val="both"/>
      </w:pPr>
      <w:r>
        <w:rPr>
          <w:spacing w:val="-2"/>
        </w:rPr>
        <w:t>以提高效率和核心竞争力为目标，鼓励技术团队研发可复用的软件产品。确保预研投入落实，保证核</w:t>
      </w:r>
      <w:r>
        <w:rPr>
          <w:w w:val="100"/>
        </w:rPr>
        <w:t> </w:t>
      </w:r>
      <w:r>
        <w:rPr>
          <w:spacing w:val="-2"/>
        </w:rPr>
        <w:t>心版本研发投入，降低合同交付过程中的定制化比例。逐步统一技术框架，提高交付效率和质量，提升客</w:t>
      </w:r>
      <w:r>
        <w:rPr>
          <w:spacing w:val="-33"/>
        </w:rPr>
        <w:t> </w:t>
      </w:r>
      <w:r>
        <w:rPr>
          <w:spacing w:val="-33"/>
        </w:rPr>
      </w:r>
      <w:r>
        <w:rPr/>
        <w:t>户满意度。</w:t>
      </w:r>
    </w:p>
    <w:p>
      <w:pPr>
        <w:pStyle w:val="BodyText"/>
        <w:spacing w:line="240" w:lineRule="auto" w:before="46"/>
        <w:ind w:left="540" w:right="1007"/>
        <w:jc w:val="left"/>
      </w:pPr>
      <w:r>
        <w:rPr/>
        <w:t>以收入管理为目标，以商机、合同、项目一体化运营管理为抓手，逐步夯实公司业务运营管理</w:t>
      </w:r>
    </w:p>
    <w:p>
      <w:pPr>
        <w:pStyle w:val="Heading3"/>
        <w:spacing w:line="240" w:lineRule="auto" w:before="157"/>
        <w:ind w:left="540" w:right="1764"/>
        <w:jc w:val="left"/>
        <w:rPr>
          <w:b w:val="0"/>
          <w:bCs w:val="0"/>
        </w:rPr>
      </w:pPr>
      <w:r>
        <w:rPr>
          <w:rFonts w:ascii="Times New Roman" w:hAnsi="Times New Roman" w:cs="Times New Roman" w:eastAsia="Times New Roman" w:hint="default"/>
        </w:rPr>
        <w:t>6</w:t>
      </w:r>
      <w:r>
        <w:rPr/>
        <w:t>、启动深圳总部研发中心建设</w:t>
      </w:r>
      <w:r>
        <w:rPr>
          <w:b w:val="0"/>
          <w:bCs w:val="0"/>
        </w:rPr>
      </w:r>
    </w:p>
    <w:p>
      <w:pPr>
        <w:pStyle w:val="BodyText"/>
        <w:spacing w:line="240" w:lineRule="auto" w:before="136"/>
        <w:ind w:left="540" w:right="1007"/>
        <w:jc w:val="left"/>
      </w:pPr>
      <w:r>
        <w:rPr>
          <w:rFonts w:ascii="Times New Roman" w:hAnsi="Times New Roman" w:cs="Times New Roman" w:eastAsia="Times New Roman" w:hint="default"/>
        </w:rPr>
        <w:t>2019</w:t>
      </w:r>
      <w:r>
        <w:rPr/>
        <w:t>年公司已联合万科等三家公司上市公司完成深圳总部研发中心土地竞拍，计划</w:t>
      </w:r>
      <w:r>
        <w:rPr>
          <w:rFonts w:ascii="Times New Roman" w:hAnsi="Times New Roman" w:cs="Times New Roman" w:eastAsia="Times New Roman" w:hint="default"/>
        </w:rPr>
        <w:t>2020</w:t>
      </w:r>
      <w:r>
        <w:rPr/>
        <w:t>年正式启动建</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76" w:lineRule="auto" w:before="36"/>
        <w:ind w:right="1007"/>
        <w:jc w:val="left"/>
      </w:pPr>
      <w:r>
        <w:rPr>
          <w:spacing w:val="-2"/>
        </w:rPr>
        <w:t>设工程，将充分融入粤港澳大湾区发展，进一步发挥大湾区科技创新生态优良的区位优势，为持续提升企</w:t>
      </w:r>
      <w:r>
        <w:rPr>
          <w:spacing w:val="-33"/>
        </w:rPr>
        <w:t> </w:t>
      </w:r>
      <w:r>
        <w:rPr>
          <w:spacing w:val="-33"/>
        </w:rPr>
      </w:r>
      <w:r>
        <w:rPr/>
        <w:t>业研发实力奠定基础。</w:t>
      </w:r>
    </w:p>
    <w:p>
      <w:pPr>
        <w:spacing w:line="240" w:lineRule="auto" w:before="0"/>
        <w:rPr>
          <w:rFonts w:ascii="宋体" w:hAnsi="宋体" w:cs="宋体" w:eastAsia="宋体" w:hint="default"/>
          <w:sz w:val="20"/>
          <w:szCs w:val="20"/>
        </w:rPr>
      </w:pPr>
    </w:p>
    <w:p>
      <w:pPr>
        <w:pStyle w:val="Heading3"/>
        <w:spacing w:line="240" w:lineRule="auto" w:before="138"/>
        <w:ind w:left="540" w:right="1764"/>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可能面对的风险及应对措施</w:t>
      </w:r>
      <w:r>
        <w:rPr>
          <w:b w:val="0"/>
          <w:bCs w:val="0"/>
        </w:rPr>
      </w:r>
    </w:p>
    <w:p>
      <w:pPr>
        <w:pStyle w:val="Heading3"/>
        <w:spacing w:line="240" w:lineRule="auto" w:before="136"/>
        <w:ind w:left="540" w:right="1764"/>
        <w:jc w:val="left"/>
        <w:rPr>
          <w:b w:val="0"/>
          <w:bCs w:val="0"/>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5G</w:t>
      </w:r>
      <w:r>
        <w:rPr/>
        <w:t>业务市场机会与挑战并存</w:t>
      </w:r>
      <w:r>
        <w:rPr>
          <w:b w:val="0"/>
          <w:bCs w:val="0"/>
        </w:rPr>
      </w:r>
    </w:p>
    <w:p>
      <w:pPr>
        <w:pStyle w:val="BodyText"/>
        <w:spacing w:line="268" w:lineRule="auto" w:before="141"/>
        <w:ind w:right="1007" w:firstLine="427"/>
        <w:jc w:val="left"/>
      </w:pPr>
      <w:r>
        <w:rPr>
          <w:rFonts w:ascii="Times New Roman" w:hAnsi="Times New Roman" w:cs="Times New Roman" w:eastAsia="Times New Roman" w:hint="default"/>
          <w:spacing w:val="-3"/>
        </w:rPr>
        <w:t>5G</w:t>
      </w:r>
      <w:r>
        <w:rPr>
          <w:spacing w:val="-3"/>
        </w:rPr>
        <w:t>商用带来</w:t>
      </w:r>
      <w:r>
        <w:rPr>
          <w:rFonts w:ascii="Times New Roman" w:hAnsi="Times New Roman" w:cs="Times New Roman" w:eastAsia="Times New Roman" w:hint="default"/>
          <w:spacing w:val="-3"/>
        </w:rPr>
        <w:t>2B</w:t>
      </w:r>
      <w:r>
        <w:rPr>
          <w:spacing w:val="-3"/>
        </w:rPr>
        <w:t>业务场景升级，</w:t>
      </w:r>
      <w:r>
        <w:rPr>
          <w:rFonts w:ascii="Times New Roman" w:hAnsi="Times New Roman" w:cs="Times New Roman" w:eastAsia="Times New Roman" w:hint="default"/>
          <w:spacing w:val="-3"/>
        </w:rPr>
        <w:t>5G+</w:t>
      </w:r>
      <w:r>
        <w:rPr>
          <w:spacing w:val="-3"/>
        </w:rPr>
        <w:t>大数据、云计算、</w:t>
      </w:r>
      <w:r>
        <w:rPr>
          <w:rFonts w:ascii="Times New Roman" w:hAnsi="Times New Roman" w:cs="Times New Roman" w:eastAsia="Times New Roman" w:hint="default"/>
          <w:spacing w:val="-3"/>
        </w:rPr>
        <w:t>AI</w:t>
      </w:r>
      <w:r>
        <w:rPr>
          <w:spacing w:val="-3"/>
        </w:rPr>
        <w:t>的融合，衍生出丰富复杂的业务需求场景和创</w:t>
      </w:r>
      <w:r>
        <w:rPr>
          <w:w w:val="100"/>
        </w:rPr>
        <w:t> </w:t>
      </w:r>
      <w:r>
        <w:rPr>
          <w:spacing w:val="-4"/>
        </w:rPr>
        <w:t>新应用，面对全新的云网融合一体化运营支撑系统架构和应用需求，给运营支撑系统厂商带来全新的挑战。</w:t>
      </w:r>
      <w:r>
        <w:rPr>
          <w:spacing w:val="-42"/>
        </w:rPr>
        <w:t> </w:t>
      </w:r>
      <w:r>
        <w:rPr>
          <w:spacing w:val="-42"/>
        </w:rPr>
      </w:r>
      <w:r>
        <w:rPr/>
        <w:t>公司作为电信运营支撑软件核心厂商，伴随电信运营商企业信息化发展成长全过程，具备强大的行业理解</w:t>
      </w:r>
      <w:r>
        <w:rPr>
          <w:w w:val="100"/>
        </w:rPr>
        <w:t> </w:t>
      </w:r>
      <w:r>
        <w:rPr/>
        <w:t>和技术支撑能力，引入大数据、云计算及</w:t>
      </w:r>
      <w:r>
        <w:rPr>
          <w:rFonts w:ascii="Times New Roman" w:hAnsi="Times New Roman" w:cs="Times New Roman" w:eastAsia="Times New Roman" w:hint="default"/>
        </w:rPr>
        <w:t>AI</w:t>
      </w:r>
      <w:r>
        <w:rPr/>
        <w:t>等新技术，全力支撑</w:t>
      </w:r>
      <w:r>
        <w:rPr>
          <w:rFonts w:ascii="Times New Roman" w:hAnsi="Times New Roman" w:cs="Times New Roman" w:eastAsia="Times New Roman" w:hint="default"/>
        </w:rPr>
        <w:t>5G</w:t>
      </w:r>
      <w:r>
        <w:rPr/>
        <w:t>网络商用和</w:t>
      </w:r>
      <w:r>
        <w:rPr>
          <w:rFonts w:ascii="Times New Roman" w:hAnsi="Times New Roman" w:cs="Times New Roman" w:eastAsia="Times New Roman" w:hint="default"/>
        </w:rPr>
        <w:t>5G</w:t>
      </w:r>
      <w:r>
        <w:rPr/>
        <w:t>在垂直行业的应用。</w:t>
      </w:r>
    </w:p>
    <w:p>
      <w:pPr>
        <w:spacing w:line="432" w:lineRule="exact" w:before="8"/>
        <w:ind w:left="540" w:right="100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、新科技引领行业需求升级，产业竞争加剧的风险</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3"/>
          <w:sz w:val="21"/>
          <w:szCs w:val="21"/>
        </w:rPr>
        <w:t>随着大数据技术、</w:t>
      </w:r>
      <w:r>
        <w:rPr>
          <w:rFonts w:ascii="Times New Roman" w:hAnsi="Times New Roman" w:cs="Times New Roman" w:eastAsia="Times New Roman" w:hint="default"/>
          <w:spacing w:val="-3"/>
          <w:sz w:val="21"/>
          <w:szCs w:val="21"/>
        </w:rPr>
        <w:t>AI</w:t>
      </w:r>
      <w:r>
        <w:rPr>
          <w:rFonts w:ascii="宋体" w:hAnsi="宋体" w:cs="宋体" w:eastAsia="宋体" w:hint="default"/>
          <w:spacing w:val="-3"/>
          <w:sz w:val="21"/>
          <w:szCs w:val="21"/>
        </w:rPr>
        <w:t>技术和云化技术的快速演变发展，行业应用需求持续增长，市场参与者不断加大</w:t>
      </w:r>
    </w:p>
    <w:p>
      <w:pPr>
        <w:pStyle w:val="BodyText"/>
        <w:spacing w:line="255" w:lineRule="exact" w:before="0"/>
        <w:ind w:right="1007"/>
        <w:jc w:val="left"/>
      </w:pPr>
      <w:r>
        <w:rPr/>
        <w:t>技术研发及市场开拓的投入，高端数据科学和人工智能研发人才成为各企业激烈争夺的稀缺资源，市场竞</w:t>
      </w:r>
    </w:p>
    <w:p>
      <w:pPr>
        <w:pStyle w:val="BodyText"/>
        <w:spacing w:line="273" w:lineRule="auto" w:before="37"/>
        <w:ind w:right="1122"/>
        <w:jc w:val="both"/>
      </w:pPr>
      <w:r>
        <w:rPr>
          <w:spacing w:val="-3"/>
        </w:rPr>
        <w:t>争日益加剧，可能演变为同质化竞争和价格战，甚至可能导致零和博弈，对公司的经营业绩造成冲击。 </w:t>
      </w:r>
      <w:r>
        <w:rPr/>
        <w:t>针</w:t>
      </w:r>
      <w:r>
        <w:rPr>
          <w:spacing w:val="-88"/>
        </w:rPr>
        <w:t> </w:t>
      </w:r>
      <w:r>
        <w:rPr>
          <w:spacing w:val="-88"/>
        </w:rPr>
      </w:r>
      <w:r>
        <w:rPr>
          <w:spacing w:val="-2"/>
        </w:rPr>
        <w:t>对上述风险，公司通过持之以恒的技术创新不断提升企业的核心竞争力，充分发挥行业积累深厚的巨大优</w:t>
      </w:r>
      <w:r>
        <w:rPr>
          <w:spacing w:val="-31"/>
        </w:rPr>
        <w:t> </w:t>
      </w:r>
      <w:r>
        <w:rPr>
          <w:spacing w:val="-31"/>
        </w:rPr>
      </w:r>
      <w:r>
        <w:rPr/>
        <w:t>势，打造差异化的解决方案，健全贴身敏捷的服务体系，确保经营业绩的可持续增长。</w:t>
      </w:r>
    </w:p>
    <w:p>
      <w:pPr>
        <w:pStyle w:val="BodyText"/>
        <w:spacing w:line="357" w:lineRule="auto" w:before="123"/>
        <w:ind w:left="540" w:right="1007"/>
        <w:jc w:val="left"/>
      </w:pPr>
      <w:r>
        <w:rPr>
          <w:rFonts w:ascii="Times New Roman" w:hAnsi="Times New Roman" w:cs="Times New Roman" w:eastAsia="Times New Roman" w:hint="default"/>
          <w:b/>
          <w:bCs/>
        </w:rPr>
        <w:t>3</w:t>
      </w:r>
      <w:r>
        <w:rPr>
          <w:rFonts w:ascii="宋体" w:hAnsi="宋体" w:cs="宋体" w:eastAsia="宋体" w:hint="default"/>
          <w:b/>
          <w:bCs/>
        </w:rPr>
        <w:t>、核心人才流失风险</w:t>
      </w:r>
      <w:r>
        <w:rPr>
          <w:rFonts w:ascii="宋体" w:hAnsi="宋体" w:cs="宋体" w:eastAsia="宋体" w:hint="default"/>
          <w:b/>
          <w:bCs/>
          <w:spacing w:val="-102"/>
        </w:rPr>
        <w:t> </w:t>
      </w:r>
      <w:r>
        <w:rPr>
          <w:spacing w:val="-2"/>
        </w:rPr>
        <w:t>公司向大数据和产业互联网应用方向转型，企业对于高端人才的需求日益增长，企业对高端人才的争</w:t>
      </w:r>
    </w:p>
    <w:p>
      <w:pPr>
        <w:pStyle w:val="BodyText"/>
        <w:spacing w:line="209" w:lineRule="exact" w:before="0"/>
        <w:ind w:right="1007"/>
        <w:jc w:val="left"/>
      </w:pPr>
      <w:r>
        <w:rPr/>
        <w:t>夺已经超出行业范围，核心人员流失对于公司业务发展影响加大。针对上述风险，公司已进行了以下几个</w:t>
      </w:r>
    </w:p>
    <w:p>
      <w:pPr>
        <w:pStyle w:val="BodyText"/>
        <w:spacing w:line="273" w:lineRule="auto" w:before="37"/>
        <w:ind w:right="1007"/>
        <w:jc w:val="left"/>
      </w:pPr>
      <w:r>
        <w:rPr/>
        <w:t>方面的管理改革：实施股权激励，核心骨干利益与企业利益绑定；组织架构扁平化，根据业务单元按照子</w:t>
      </w:r>
      <w:r>
        <w:rPr>
          <w:w w:val="100"/>
        </w:rPr>
        <w:t> </w:t>
      </w:r>
      <w:r>
        <w:rPr>
          <w:spacing w:val="-4"/>
        </w:rPr>
        <w:t>公司、事业部管理模式充分授权；加强岗位轮动，为员工搭建持续发展的平台，建立多层次员工关怀体系，</w:t>
      </w:r>
      <w:r>
        <w:rPr>
          <w:spacing w:val="-44"/>
        </w:rPr>
        <w:t> </w:t>
      </w:r>
      <w:r>
        <w:rPr>
          <w:spacing w:val="-44"/>
        </w:rPr>
      </w:r>
      <w:r>
        <w:rPr/>
        <w:t>重视员工学习与培养和培训。</w:t>
      </w:r>
    </w:p>
    <w:p>
      <w:pPr>
        <w:spacing w:line="357" w:lineRule="auto" w:before="123"/>
        <w:ind w:left="540" w:right="100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、业务收入季度性波动的风险</w:t>
      </w:r>
      <w:r>
        <w:rPr>
          <w:rFonts w:ascii="宋体" w:hAnsi="宋体" w:cs="宋体" w:eastAsia="宋体" w:hint="default"/>
          <w:b/>
          <w:bCs/>
          <w:spacing w:val="-101"/>
          <w:sz w:val="21"/>
          <w:szCs w:val="21"/>
        </w:rPr>
        <w:t> </w:t>
      </w:r>
      <w:r>
        <w:rPr>
          <w:rFonts w:ascii="宋体" w:hAnsi="宋体" w:cs="宋体" w:eastAsia="宋体" w:hint="default"/>
          <w:spacing w:val="-2"/>
          <w:sz w:val="21"/>
          <w:szCs w:val="21"/>
        </w:rPr>
        <w:t>电信运营商和政府为公司的主要行业客户之一，由于其招投标流程、采购评审节奏、季度性投资预算</w:t>
      </w:r>
    </w:p>
    <w:p>
      <w:pPr>
        <w:pStyle w:val="BodyText"/>
        <w:spacing w:line="209" w:lineRule="exact" w:before="0"/>
        <w:ind w:right="1007"/>
        <w:jc w:val="left"/>
      </w:pPr>
      <w:r>
        <w:rPr/>
        <w:t>控制和大型建设项目整体进度等因素影响，业务结算一般集中在下半年甚至第四季度，部分中标项目存在</w:t>
      </w:r>
    </w:p>
    <w:p>
      <w:pPr>
        <w:pStyle w:val="BodyText"/>
        <w:spacing w:line="273" w:lineRule="auto" w:before="37"/>
        <w:ind w:right="1007"/>
        <w:jc w:val="left"/>
      </w:pPr>
      <w:r>
        <w:rPr>
          <w:spacing w:val="-4"/>
        </w:rPr>
        <w:t>不能按期结算的风险。而公司的季度费用支出以人力成本为主，相对固定，可能造成季度性经营业绩波动。</w:t>
      </w:r>
      <w:r>
        <w:rPr>
          <w:spacing w:val="-47"/>
        </w:rPr>
        <w:t> </w:t>
      </w:r>
      <w:r>
        <w:rPr>
          <w:spacing w:val="-47"/>
        </w:rPr>
      </w:r>
      <w:r>
        <w:rPr>
          <w:spacing w:val="-2"/>
        </w:rPr>
        <w:t>针对上述风险，公司以流程优化为抓手，划小成本核算单元，加强项目管理和商务流程管控，建立项目实</w:t>
      </w:r>
      <w:r>
        <w:rPr>
          <w:spacing w:val="-33"/>
        </w:rPr>
        <w:t> </w:t>
      </w:r>
      <w:r>
        <w:rPr>
          <w:spacing w:val="-33"/>
        </w:rPr>
      </w:r>
      <w:r>
        <w:rPr>
          <w:spacing w:val="-2"/>
        </w:rPr>
        <w:t>施质量保障体系，实施项目验收延迟预警制度，促进按时验收结算，提高运营效率，逐步降低业务收入季</w:t>
      </w:r>
      <w:r>
        <w:rPr>
          <w:spacing w:val="-33"/>
        </w:rPr>
        <w:t> </w:t>
      </w:r>
      <w:r>
        <w:rPr>
          <w:spacing w:val="-33"/>
        </w:rPr>
      </w:r>
      <w:r>
        <w:rPr/>
        <w:t>节性波动。</w:t>
      </w:r>
    </w:p>
    <w:p>
      <w:pPr>
        <w:pStyle w:val="BodyText"/>
        <w:spacing w:line="357" w:lineRule="auto" w:before="123"/>
        <w:ind w:left="540" w:right="1007"/>
        <w:jc w:val="left"/>
      </w:pPr>
      <w:r>
        <w:rPr>
          <w:rFonts w:ascii="Times New Roman" w:hAnsi="Times New Roman" w:cs="Times New Roman" w:eastAsia="Times New Roman" w:hint="default"/>
          <w:b/>
          <w:bCs/>
        </w:rPr>
        <w:t>5</w:t>
      </w:r>
      <w:r>
        <w:rPr>
          <w:rFonts w:ascii="宋体" w:hAnsi="宋体" w:cs="宋体" w:eastAsia="宋体" w:hint="default"/>
          <w:b/>
          <w:bCs/>
        </w:rPr>
        <w:t>、管理风险</w:t>
      </w:r>
      <w:r>
        <w:rPr>
          <w:rFonts w:ascii="宋体" w:hAnsi="宋体" w:cs="宋体" w:eastAsia="宋体" w:hint="default"/>
          <w:b/>
          <w:bCs/>
          <w:spacing w:val="-104"/>
        </w:rPr>
        <w:t> </w:t>
      </w:r>
      <w:r>
        <w:rPr>
          <w:spacing w:val="-5"/>
        </w:rPr>
        <w:t>公司业务涉及多行业板块，业务模式各有特点，组织结构和管理系统趋于复杂，管理效率需持续提升。</w:t>
      </w:r>
    </w:p>
    <w:p>
      <w:pPr>
        <w:pStyle w:val="BodyText"/>
        <w:spacing w:line="209" w:lineRule="exact" w:before="0"/>
        <w:ind w:right="1007"/>
        <w:jc w:val="left"/>
      </w:pPr>
      <w:r>
        <w:rPr/>
        <w:t>针对以上风险，公司根据行业情况实行行业板块管理。以业务为导向，采用不同的业务组织架构模式，发</w:t>
      </w:r>
    </w:p>
    <w:p>
      <w:pPr>
        <w:pStyle w:val="BodyText"/>
        <w:spacing w:line="276" w:lineRule="auto" w:before="37"/>
        <w:ind w:right="1007"/>
        <w:jc w:val="left"/>
      </w:pPr>
      <w:r>
        <w:rPr>
          <w:spacing w:val="-2"/>
        </w:rPr>
        <w:t>挥协同作用，合作共进；在公司内部培养、选拔具有开拓创新精神和团队凝聚力的领导人才，并采用市场</w:t>
      </w:r>
      <w:r>
        <w:rPr>
          <w:spacing w:val="-33"/>
        </w:rPr>
        <w:t> </w:t>
      </w:r>
      <w:r>
        <w:rPr>
          <w:spacing w:val="-33"/>
        </w:rPr>
      </w:r>
      <w:r>
        <w:rPr/>
        <w:t>化模式，引进经营管理和技术专业人才，有效补充公司内部人才储备。</w:t>
      </w:r>
    </w:p>
    <w:p>
      <w:pPr>
        <w:spacing w:line="240" w:lineRule="auto" w:before="7"/>
        <w:rPr>
          <w:rFonts w:ascii="宋体" w:hAnsi="宋体" w:cs="宋体" w:eastAsia="宋体" w:hint="default"/>
          <w:sz w:val="20"/>
          <w:szCs w:val="20"/>
        </w:rPr>
      </w:pPr>
    </w:p>
    <w:p>
      <w:pPr>
        <w:pStyle w:val="Heading2"/>
        <w:spacing w:line="240" w:lineRule="auto"/>
        <w:ind w:right="1764"/>
        <w:jc w:val="left"/>
        <w:rPr>
          <w:b w:val="0"/>
          <w:bCs w:val="0"/>
        </w:rPr>
      </w:pPr>
      <w:bookmarkStart w:name="十、接待调研、沟通、采访等活动登记表" w:id="55"/>
      <w:bookmarkEnd w:id="55"/>
      <w:r>
        <w:rPr>
          <w:b w:val="0"/>
          <w:bCs w:val="0"/>
        </w:rPr>
      </w:r>
      <w:r>
        <w:rPr/>
        <w:t>十、接待调研、沟通、采访等活动登记表</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764"/>
        <w:jc w:val="left"/>
        <w:rPr>
          <w:b w:val="0"/>
          <w:bCs w:val="0"/>
        </w:rPr>
      </w:pPr>
      <w:bookmarkStart w:name="1、报告期内接待调研、沟通、采访等活动登记表" w:id="56"/>
      <w:bookmarkEnd w:id="56"/>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1"/>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180"/>
        <w:gridCol w:w="2175"/>
        <w:gridCol w:w="2180"/>
        <w:gridCol w:w="3040"/>
      </w:tblGrid>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24"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2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19"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47"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06" w:right="0"/>
              <w:jc w:val="left"/>
              <w:rPr>
                <w:rFonts w:ascii="宋体" w:hAnsi="宋体" w:cs="宋体" w:eastAsia="宋体" w:hint="default"/>
                <w:sz w:val="18"/>
                <w:szCs w:val="18"/>
              </w:rPr>
            </w:pPr>
            <w:r>
              <w:rPr>
                <w:rFonts w:ascii="宋体" w:hAnsi="宋体" w:cs="宋体" w:eastAsia="宋体" w:hint="default"/>
                <w:spacing w:val="-3"/>
                <w:sz w:val="18"/>
                <w:szCs w:val="18"/>
              </w:rPr>
              <w:t>调研的基本情况索引</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180"/>
        <w:gridCol w:w="2175"/>
        <w:gridCol w:w="2180"/>
        <w:gridCol w:w="3040"/>
      </w:tblGrid>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94"/>
              <w:jc w:val="left"/>
              <w:rPr>
                <w:rFonts w:ascii="宋体" w:hAnsi="宋体" w:cs="宋体" w:eastAsia="宋体" w:hint="default"/>
                <w:sz w:val="18"/>
                <w:szCs w:val="18"/>
              </w:rPr>
            </w:pPr>
            <w:r>
              <w:rPr>
                <w:rFonts w:ascii="宋体" w:hAnsi="宋体" w:cs="宋体" w:eastAsia="宋体" w:hint="default"/>
                <w:spacing w:val="-6"/>
                <w:sz w:val="18"/>
                <w:szCs w:val="18"/>
              </w:rPr>
              <w:t>深圳证券交易所“互动易”栏目（编</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2019-01</w:t>
            </w:r>
            <w:r>
              <w:rPr>
                <w:rFonts w:ascii="宋体" w:hAnsi="宋体" w:cs="宋体" w:eastAsia="宋体" w:hint="default"/>
                <w:sz w:val="18"/>
                <w:szCs w:val="18"/>
              </w:rPr>
              <w:t>）</w:t>
            </w:r>
          </w:p>
        </w:tc>
      </w:tr>
    </w:tbl>
    <w:p>
      <w:pPr>
        <w:spacing w:after="0" w:line="316"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p>
      <w:pPr>
        <w:pStyle w:val="Heading1"/>
        <w:spacing w:line="240" w:lineRule="auto"/>
        <w:ind w:right="1827"/>
        <w:jc w:val="center"/>
        <w:rPr>
          <w:b w:val="0"/>
          <w:bCs w:val="0"/>
        </w:rPr>
      </w:pPr>
      <w:bookmarkStart w:name="第五节重要事项" w:id="57"/>
      <w:bookmarkEnd w:id="57"/>
      <w:r>
        <w:rPr>
          <w:b w:val="0"/>
          <w:bCs w:val="0"/>
        </w:rPr>
      </w:r>
      <w:bookmarkStart w:name="_bookmark3" w:id="58"/>
      <w:bookmarkEnd w:id="58"/>
      <w:r>
        <w:rPr>
          <w:b w:val="0"/>
          <w:bCs w:val="0"/>
        </w:rPr>
      </w:r>
      <w:r>
        <w:rPr/>
        <w:t>第五节重要事项</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1764"/>
        <w:jc w:val="left"/>
        <w:rPr>
          <w:b w:val="0"/>
          <w:bCs w:val="0"/>
        </w:rPr>
      </w:pPr>
      <w:bookmarkStart w:name="一、公司普通股利润分配及资本公积金转增股本情况" w:id="59"/>
      <w:bookmarkEnd w:id="59"/>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报告期内普通股利润分配政策，特别是现金分红政策的制定、执行或调整情况</w:t>
      </w:r>
    </w:p>
    <w:p>
      <w:pPr>
        <w:spacing w:before="115"/>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pStyle w:val="BodyText"/>
        <w:spacing w:line="273" w:lineRule="auto" w:before="85"/>
        <w:ind w:right="1128" w:firstLine="427"/>
        <w:jc w:val="both"/>
      </w:pP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26</w:t>
      </w:r>
      <w:r>
        <w:rPr/>
        <w:t>日召开的</w:t>
      </w:r>
      <w:r>
        <w:rPr>
          <w:rFonts w:ascii="宋体" w:hAnsi="宋体" w:cs="宋体" w:eastAsia="宋体" w:hint="default"/>
        </w:rPr>
        <w:t>2018</w:t>
      </w:r>
      <w:r>
        <w:rPr/>
        <w:t>年度股东大会审议通过，</w:t>
      </w:r>
      <w:r>
        <w:rPr>
          <w:rFonts w:ascii="宋体" w:hAnsi="宋体" w:cs="宋体" w:eastAsia="宋体" w:hint="default"/>
        </w:rPr>
        <w:t>2018</w:t>
      </w:r>
      <w:r>
        <w:rPr/>
        <w:t>年年度权益分派方案，以公司</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rFonts w:ascii="宋体" w:hAnsi="宋体" w:cs="宋体" w:eastAsia="宋体" w:hint="default"/>
          <w:w w:val="100"/>
        </w:rPr>
        <w:t> </w:t>
      </w:r>
      <w:r>
        <w:rPr>
          <w:spacing w:val="-4"/>
          <w:w w:val="100"/>
        </w:rPr>
        <w:t>日总股本</w:t>
      </w:r>
      <w:r>
        <w:rPr>
          <w:rFonts w:ascii="宋体" w:hAnsi="宋体" w:cs="宋体" w:eastAsia="宋体" w:hint="default"/>
          <w:spacing w:val="-4"/>
          <w:w w:val="100"/>
        </w:rPr>
        <w:t>399,083,860</w:t>
      </w:r>
      <w:r>
        <w:rPr>
          <w:spacing w:val="-4"/>
          <w:w w:val="100"/>
        </w:rPr>
        <w:t>股为基数，向全体股东每</w:t>
      </w:r>
      <w:r>
        <w:rPr>
          <w:rFonts w:ascii="宋体" w:hAnsi="宋体" w:cs="宋体" w:eastAsia="宋体" w:hint="default"/>
          <w:spacing w:val="-4"/>
          <w:w w:val="100"/>
        </w:rPr>
        <w:t>10</w:t>
      </w:r>
      <w:r>
        <w:rPr>
          <w:spacing w:val="-4"/>
          <w:w w:val="100"/>
        </w:rPr>
        <w:t>股派发现金红利</w:t>
      </w:r>
      <w:r>
        <w:rPr>
          <w:rFonts w:ascii="宋体" w:hAnsi="宋体" w:cs="宋体" w:eastAsia="宋体" w:hint="default"/>
          <w:spacing w:val="-4"/>
          <w:w w:val="100"/>
        </w:rPr>
        <w:t>0.60</w:t>
      </w:r>
      <w:r>
        <w:rPr>
          <w:spacing w:val="-4"/>
          <w:w w:val="100"/>
        </w:rPr>
        <w:t>元（含税），以资本公积金向全体股</w:t>
      </w:r>
      <w:r>
        <w:rPr>
          <w:spacing w:val="-71"/>
          <w:w w:val="100"/>
        </w:rPr>
        <w:t> </w:t>
      </w:r>
      <w:r>
        <w:rPr>
          <w:spacing w:val="-71"/>
          <w:w w:val="100"/>
        </w:rPr>
      </w:r>
      <w:r>
        <w:rPr/>
        <w:t>东每</w:t>
      </w:r>
      <w:r>
        <w:rPr>
          <w:rFonts w:ascii="宋体" w:hAnsi="宋体" w:cs="宋体" w:eastAsia="宋体" w:hint="default"/>
        </w:rPr>
        <w:t>10</w:t>
      </w:r>
      <w:r>
        <w:rPr/>
        <w:t>股转增</w:t>
      </w:r>
      <w:r>
        <w:rPr>
          <w:rFonts w:ascii="宋体" w:hAnsi="宋体" w:cs="宋体" w:eastAsia="宋体" w:hint="default"/>
        </w:rPr>
        <w:t>6</w:t>
      </w:r>
      <w:r>
        <w:rPr/>
        <w:t>股。</w:t>
      </w:r>
    </w:p>
    <w:p>
      <w:pPr>
        <w:pStyle w:val="BodyText"/>
        <w:spacing w:line="273" w:lineRule="auto" w:before="46"/>
        <w:ind w:right="1122" w:firstLine="427"/>
        <w:jc w:val="both"/>
      </w:pPr>
      <w:r>
        <w:rPr/>
        <w:t>因公司限制性股票激励计划</w:t>
      </w:r>
      <w:r>
        <w:rPr>
          <w:rFonts w:ascii="宋体" w:hAnsi="宋体" w:cs="宋体" w:eastAsia="宋体" w:hint="default"/>
        </w:rPr>
        <w:t>140</w:t>
      </w:r>
      <w:r>
        <w:rPr/>
        <w:t>名激励对象共</w:t>
      </w:r>
      <w:r>
        <w:rPr>
          <w:rFonts w:ascii="宋体" w:hAnsi="宋体" w:cs="宋体" w:eastAsia="宋体" w:hint="default"/>
        </w:rPr>
        <w:t>789,472</w:t>
      </w:r>
      <w:r>
        <w:rPr/>
        <w:t>股于</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23</w:t>
      </w:r>
      <w:r>
        <w:rPr/>
        <w:t>日在中国证券登记结算有限责</w:t>
      </w:r>
      <w:r>
        <w:rPr>
          <w:w w:val="100"/>
        </w:rPr>
        <w:t> </w:t>
      </w:r>
      <w:r>
        <w:rPr>
          <w:spacing w:val="-2"/>
        </w:rPr>
        <w:t>任公司深圳分公司完成回购注销，使公司股本从</w:t>
      </w:r>
      <w:r>
        <w:rPr>
          <w:rFonts w:ascii="宋体" w:hAnsi="宋体" w:cs="宋体" w:eastAsia="宋体" w:hint="default"/>
          <w:spacing w:val="-2"/>
        </w:rPr>
        <w:t>399,083,860</w:t>
      </w:r>
      <w:r>
        <w:rPr>
          <w:spacing w:val="-2"/>
        </w:rPr>
        <w:t>股减少至</w:t>
      </w:r>
      <w:r>
        <w:rPr>
          <w:rFonts w:ascii="宋体" w:hAnsi="宋体" w:cs="宋体" w:eastAsia="宋体" w:hint="default"/>
          <w:spacing w:val="-2"/>
        </w:rPr>
        <w:t>398,294,388</w:t>
      </w:r>
      <w:r>
        <w:rPr>
          <w:spacing w:val="-2"/>
        </w:rPr>
        <w:t>股，故将利润分配方案</w:t>
      </w:r>
      <w:r>
        <w:rPr>
          <w:spacing w:val="-10"/>
        </w:rPr>
        <w:t> </w:t>
      </w:r>
      <w:r>
        <w:rPr>
          <w:spacing w:val="-10"/>
        </w:rPr>
      </w:r>
      <w:r>
        <w:rPr>
          <w:spacing w:val="-2"/>
        </w:rPr>
        <w:t>在“公司现金分红总额、转增总额固定不变”的原则下，对</w:t>
      </w:r>
      <w:r>
        <w:rPr>
          <w:rFonts w:ascii="宋体" w:hAnsi="宋体" w:cs="宋体" w:eastAsia="宋体" w:hint="default"/>
          <w:spacing w:val="-2"/>
        </w:rPr>
        <w:t>2018</w:t>
      </w:r>
      <w:r>
        <w:rPr>
          <w:spacing w:val="-2"/>
        </w:rPr>
        <w:t>年度利润分配方案进行调整为：以公司总</w:t>
      </w:r>
      <w:r>
        <w:rPr>
          <w:spacing w:val="-32"/>
        </w:rPr>
        <w:t> </w:t>
      </w:r>
      <w:r>
        <w:rPr>
          <w:spacing w:val="-32"/>
        </w:rPr>
      </w:r>
      <w:r>
        <w:rPr>
          <w:spacing w:val="-4"/>
          <w:w w:val="100"/>
        </w:rPr>
        <w:t>股本</w:t>
      </w:r>
      <w:r>
        <w:rPr>
          <w:rFonts w:ascii="宋体" w:hAnsi="宋体" w:cs="宋体" w:eastAsia="宋体" w:hint="default"/>
          <w:spacing w:val="-4"/>
          <w:w w:val="100"/>
        </w:rPr>
        <w:t>398,294,388</w:t>
      </w:r>
      <w:r>
        <w:rPr>
          <w:spacing w:val="-4"/>
          <w:w w:val="100"/>
        </w:rPr>
        <w:t>股为基数，向全体股东每</w:t>
      </w:r>
      <w:r>
        <w:rPr>
          <w:rFonts w:ascii="宋体" w:hAnsi="宋体" w:cs="宋体" w:eastAsia="宋体" w:hint="default"/>
          <w:spacing w:val="-4"/>
          <w:w w:val="100"/>
        </w:rPr>
        <w:t>10</w:t>
      </w:r>
      <w:r>
        <w:rPr>
          <w:spacing w:val="-4"/>
          <w:w w:val="100"/>
        </w:rPr>
        <w:t>股派发现金股利</w:t>
      </w:r>
      <w:r>
        <w:rPr>
          <w:rFonts w:ascii="宋体" w:hAnsi="宋体" w:cs="宋体" w:eastAsia="宋体" w:hint="default"/>
          <w:spacing w:val="-4"/>
          <w:w w:val="100"/>
        </w:rPr>
        <w:t>0.601189</w:t>
      </w:r>
      <w:r>
        <w:rPr>
          <w:spacing w:val="-4"/>
          <w:w w:val="100"/>
        </w:rPr>
        <w:t>元人民币（含税），以资本公积金向</w:t>
      </w:r>
      <w:r>
        <w:rPr>
          <w:spacing w:val="-63"/>
          <w:w w:val="100"/>
        </w:rPr>
        <w:t> </w:t>
      </w:r>
      <w:r>
        <w:rPr>
          <w:spacing w:val="-63"/>
          <w:w w:val="100"/>
        </w:rPr>
      </w:r>
      <w:r>
        <w:rPr/>
        <w:t>全体股东每</w:t>
      </w:r>
      <w:r>
        <w:rPr>
          <w:rFonts w:ascii="宋体" w:hAnsi="宋体" w:cs="宋体" w:eastAsia="宋体" w:hint="default"/>
        </w:rPr>
        <w:t>10</w:t>
      </w:r>
      <w:r>
        <w:rPr/>
        <w:t>股转增</w:t>
      </w:r>
      <w:r>
        <w:rPr>
          <w:rFonts w:ascii="宋体" w:hAnsi="宋体" w:cs="宋体" w:eastAsia="宋体" w:hint="default"/>
        </w:rPr>
        <w:t>6.011892</w:t>
      </w:r>
      <w:r>
        <w:rPr/>
        <w:t>股。</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398"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现金分红政策的专项说明</w:t>
            </w:r>
          </w:p>
        </w:tc>
      </w:tr>
      <w:tr>
        <w:trPr>
          <w:trHeight w:val="40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pacing w:val="-3"/>
                <w:sz w:val="18"/>
                <w:szCs w:val="18"/>
              </w:rPr>
              <w:t>是否符合公司章程的规定或股东大会决议的要求：</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分红标准和比例是否明确和清晰：</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pacing w:val="-3"/>
                <w:sz w:val="18"/>
                <w:szCs w:val="18"/>
              </w:rPr>
              <w:t>相关的决策程序和机制是否完备：</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独立董事是否履职尽责并发挥了应有的作用：</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167"/>
              <w:jc w:val="left"/>
              <w:rPr>
                <w:rFonts w:ascii="宋体" w:hAnsi="宋体" w:cs="宋体" w:eastAsia="宋体" w:hint="default"/>
                <w:sz w:val="18"/>
                <w:szCs w:val="18"/>
              </w:rPr>
            </w:pPr>
            <w:r>
              <w:rPr>
                <w:rFonts w:ascii="宋体" w:hAnsi="宋体" w:cs="宋体" w:eastAsia="宋体" w:hint="default"/>
                <w:spacing w:val="-3"/>
                <w:sz w:val="18"/>
                <w:szCs w:val="18"/>
              </w:rPr>
              <w:t>中小股东是否有充分表达意见和诉求的机会，其合法权益</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是否得到了充分保护：</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66"/>
              <w:jc w:val="left"/>
              <w:rPr>
                <w:rFonts w:ascii="宋体" w:hAnsi="宋体" w:cs="宋体" w:eastAsia="宋体" w:hint="default"/>
                <w:sz w:val="18"/>
                <w:szCs w:val="18"/>
              </w:rPr>
            </w:pPr>
            <w:r>
              <w:rPr>
                <w:rFonts w:ascii="宋体" w:hAnsi="宋体" w:cs="宋体" w:eastAsia="宋体" w:hint="default"/>
                <w:spacing w:val="-3"/>
                <w:sz w:val="18"/>
                <w:szCs w:val="18"/>
              </w:rPr>
              <w:t>现金分红政策进行调整或变更的，条件及程序是否合规、</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透明：</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公司报告期利润分配预案及资本公积金转增股本预案与公司章程和分红管理办法等的相关规定一致</w:t>
      </w:r>
    </w:p>
    <w:p>
      <w:pPr>
        <w:spacing w:line="360" w:lineRule="auto" w:before="115"/>
        <w:ind w:left="113" w:right="3606"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否</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公司报告期利润分配预案及资本公积金转增股本预案符合公司章程等的相关规定。</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本年度利润分配及资本公积金转增股本情况</w:t>
      </w:r>
    </w:p>
    <w:tbl>
      <w:tblPr>
        <w:tblW w:w="0" w:type="auto"/>
        <w:jc w:val="left"/>
        <w:tblInd w:w="108" w:type="dxa"/>
        <w:tblLayout w:type="fixed"/>
        <w:tblCellMar>
          <w:top w:w="0" w:type="dxa"/>
          <w:left w:w="0" w:type="dxa"/>
          <w:bottom w:w="0" w:type="dxa"/>
          <w:right w:w="0" w:type="dxa"/>
        </w:tblCellMar>
        <w:tblLook w:val="01E0"/>
      </w:tblPr>
      <w:tblGrid>
        <w:gridCol w:w="3717"/>
        <w:gridCol w:w="5853"/>
      </w:tblGrid>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股送红股数（股）</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w w:val="101"/>
                <w:sz w:val="18"/>
                <w:szCs w:val="18"/>
              </w:rPr>
              <w:t>每</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股</w:t>
            </w:r>
            <w:r>
              <w:rPr>
                <w:rFonts w:ascii="宋体" w:hAnsi="宋体" w:cs="宋体" w:eastAsia="宋体" w:hint="default"/>
                <w:spacing w:val="-5"/>
                <w:w w:val="101"/>
                <w:sz w:val="18"/>
                <w:szCs w:val="18"/>
              </w:rPr>
              <w:t>派</w:t>
            </w:r>
            <w:r>
              <w:rPr>
                <w:rFonts w:ascii="宋体" w:hAnsi="宋体" w:cs="宋体" w:eastAsia="宋体" w:hint="default"/>
                <w:w w:val="101"/>
                <w:sz w:val="18"/>
                <w:szCs w:val="18"/>
              </w:rPr>
              <w:t>息</w:t>
            </w:r>
            <w:r>
              <w:rPr>
                <w:rFonts w:ascii="宋体" w:hAnsi="宋体" w:cs="宋体" w:eastAsia="宋体" w:hint="default"/>
                <w:spacing w:val="-5"/>
                <w:w w:val="101"/>
                <w:sz w:val="18"/>
                <w:szCs w:val="18"/>
              </w:rPr>
              <w:t>数</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含</w:t>
            </w:r>
            <w:r>
              <w:rPr>
                <w:rFonts w:ascii="宋体" w:hAnsi="宋体" w:cs="宋体" w:eastAsia="宋体" w:hint="default"/>
                <w:spacing w:val="-5"/>
                <w:w w:val="101"/>
                <w:sz w:val="18"/>
                <w:szCs w:val="18"/>
              </w:rPr>
              <w:t>税</w:t>
            </w:r>
            <w:r>
              <w:rPr>
                <w:rFonts w:ascii="宋体" w:hAnsi="宋体" w:cs="宋体" w:eastAsia="宋体" w:hint="default"/>
                <w:w w:val="101"/>
                <w:sz w:val="18"/>
                <w:szCs w:val="18"/>
              </w:rPr>
              <w:t>）</w:t>
            </w:r>
            <w:r>
              <w:rPr>
                <w:rFonts w:ascii="宋体" w:hAnsi="宋体" w:cs="宋体" w:eastAsia="宋体" w:hint="default"/>
                <w:sz w:val="18"/>
                <w:szCs w:val="18"/>
              </w:rPr>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0.2</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每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股转增数（股）</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pacing w:val="-3"/>
                <w:sz w:val="18"/>
                <w:szCs w:val="18"/>
              </w:rPr>
              <w:t>分配预案的股本基数（股）</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4"/>
              <w:jc w:val="right"/>
              <w:rPr>
                <w:rFonts w:ascii="Times New Roman" w:hAnsi="Times New Roman" w:cs="Times New Roman" w:eastAsia="Times New Roman" w:hint="default"/>
                <w:sz w:val="18"/>
                <w:szCs w:val="18"/>
              </w:rPr>
            </w:pPr>
            <w:r>
              <w:rPr>
                <w:rFonts w:ascii="Times New Roman"/>
                <w:spacing w:val="-1"/>
                <w:sz w:val="18"/>
              </w:rPr>
              <w:t>637,744,672</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金</w:t>
            </w:r>
            <w:r>
              <w:rPr>
                <w:rFonts w:ascii="宋体" w:hAnsi="宋体" w:cs="宋体" w:eastAsia="宋体" w:hint="default"/>
                <w:spacing w:val="-5"/>
                <w:w w:val="101"/>
                <w:sz w:val="18"/>
                <w:szCs w:val="18"/>
              </w:rPr>
              <w:t>额</w:t>
            </w:r>
            <w:r>
              <w:rPr>
                <w:rFonts w:ascii="宋体" w:hAnsi="宋体" w:cs="宋体" w:eastAsia="宋体" w:hint="default"/>
                <w:w w:val="101"/>
                <w:sz w:val="18"/>
                <w:szCs w:val="18"/>
              </w:rPr>
              <w:t>（元</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税）</w:t>
            </w:r>
            <w:r>
              <w:rPr>
                <w:rFonts w:ascii="宋体" w:hAnsi="宋体" w:cs="宋体" w:eastAsia="宋体" w:hint="default"/>
                <w:sz w:val="18"/>
                <w:szCs w:val="18"/>
              </w:rPr>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12,754,893.44</w:t>
            </w:r>
          </w:p>
        </w:tc>
      </w:tr>
      <w:tr>
        <w:trPr>
          <w:trHeight w:val="404"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12"/>
                <w:sz w:val="18"/>
                <w:szCs w:val="18"/>
              </w:rPr>
              <w:t>以其他方式（如回购股份）现金分红金额（元）</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总</w:t>
            </w:r>
            <w:r>
              <w:rPr>
                <w:rFonts w:ascii="宋体" w:hAnsi="宋体" w:cs="宋体" w:eastAsia="宋体" w:hint="default"/>
                <w:spacing w:val="-5"/>
                <w:w w:val="101"/>
                <w:sz w:val="18"/>
                <w:szCs w:val="18"/>
              </w:rPr>
              <w:t>额</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其</w:t>
            </w:r>
            <w:r>
              <w:rPr>
                <w:rFonts w:ascii="宋体" w:hAnsi="宋体" w:cs="宋体" w:eastAsia="宋体" w:hint="default"/>
                <w:spacing w:val="-5"/>
                <w:w w:val="101"/>
                <w:sz w:val="18"/>
                <w:szCs w:val="18"/>
              </w:rPr>
              <w:t>他</w:t>
            </w:r>
            <w:r>
              <w:rPr>
                <w:rFonts w:ascii="宋体" w:hAnsi="宋体" w:cs="宋体" w:eastAsia="宋体" w:hint="default"/>
                <w:w w:val="101"/>
                <w:sz w:val="18"/>
                <w:szCs w:val="18"/>
              </w:rPr>
              <w:t>方式</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w w:val="101"/>
                <w:sz w:val="18"/>
                <w:szCs w:val="18"/>
              </w:rPr>
              <w:t>）</w:t>
            </w:r>
            <w:r>
              <w:rPr>
                <w:rFonts w:ascii="宋体" w:hAnsi="宋体" w:cs="宋体" w:eastAsia="宋体" w:hint="default"/>
                <w:sz w:val="18"/>
                <w:szCs w:val="18"/>
              </w:rPr>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12,754,893.44</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4"/>
              <w:jc w:val="right"/>
              <w:rPr>
                <w:rFonts w:ascii="Times New Roman" w:hAnsi="Times New Roman" w:cs="Times New Roman" w:eastAsia="Times New Roman" w:hint="default"/>
                <w:sz w:val="18"/>
                <w:szCs w:val="18"/>
              </w:rPr>
            </w:pPr>
            <w:r>
              <w:rPr>
                <w:rFonts w:ascii="Times New Roman"/>
                <w:spacing w:val="-1"/>
                <w:sz w:val="18"/>
              </w:rPr>
              <w:t>919,468,905.35</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717"/>
        <w:gridCol w:w="5853"/>
      </w:tblGrid>
      <w:tr>
        <w:trPr>
          <w:trHeight w:val="715"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76"/>
              <w:jc w:val="left"/>
              <w:rPr>
                <w:rFonts w:ascii="宋体" w:hAnsi="宋体" w:cs="宋体" w:eastAsia="宋体" w:hint="default"/>
                <w:sz w:val="18"/>
                <w:szCs w:val="18"/>
              </w:rPr>
            </w:pPr>
            <w:r>
              <w:rPr>
                <w:rFonts w:ascii="宋体" w:hAnsi="宋体" w:cs="宋体" w:eastAsia="宋体" w:hint="default"/>
                <w:spacing w:val="-3"/>
                <w:sz w:val="18"/>
                <w:szCs w:val="18"/>
              </w:rPr>
              <w:t>现金分红总额（含其他方式）占利润分配总</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额的比例</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399"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90" w:right="0"/>
              <w:jc w:val="left"/>
              <w:rPr>
                <w:rFonts w:ascii="宋体" w:hAnsi="宋体" w:cs="宋体" w:eastAsia="宋体" w:hint="default"/>
                <w:sz w:val="18"/>
                <w:szCs w:val="18"/>
              </w:rPr>
            </w:pPr>
            <w:r>
              <w:rPr>
                <w:rFonts w:ascii="宋体" w:hAnsi="宋体" w:cs="宋体" w:eastAsia="宋体" w:hint="default"/>
                <w:spacing w:val="-3"/>
                <w:sz w:val="18"/>
                <w:szCs w:val="18"/>
              </w:rPr>
              <w:t>利润分配或资本公积金转增预案的详细情况说明</w:t>
            </w:r>
          </w:p>
        </w:tc>
      </w:tr>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以</w:t>
            </w:r>
            <w:r>
              <w:rPr>
                <w:rFonts w:ascii="宋体" w:hAnsi="宋体" w:cs="宋体" w:eastAsia="宋体" w:hint="default"/>
                <w:spacing w:val="-5"/>
                <w:w w:val="101"/>
                <w:sz w:val="18"/>
                <w:szCs w:val="18"/>
              </w:rPr>
              <w:t>总</w:t>
            </w:r>
            <w:r>
              <w:rPr>
                <w:rFonts w:ascii="宋体" w:hAnsi="宋体" w:cs="宋体" w:eastAsia="宋体" w:hint="default"/>
                <w:w w:val="101"/>
                <w:sz w:val="18"/>
                <w:szCs w:val="18"/>
              </w:rPr>
              <w:t>股本</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63</w:t>
            </w:r>
            <w:r>
              <w:rPr>
                <w:rFonts w:ascii="Times New Roman" w:hAnsi="Times New Roman" w:cs="Times New Roman" w:eastAsia="Times New Roman" w:hint="default"/>
                <w:spacing w:val="-5"/>
                <w:w w:val="101"/>
                <w:sz w:val="18"/>
                <w:szCs w:val="18"/>
              </w:rPr>
              <w:t>7</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7</w:t>
            </w:r>
            <w:r>
              <w:rPr>
                <w:rFonts w:ascii="Times New Roman" w:hAnsi="Times New Roman" w:cs="Times New Roman" w:eastAsia="Times New Roman" w:hint="default"/>
                <w:w w:val="101"/>
                <w:sz w:val="18"/>
                <w:szCs w:val="18"/>
              </w:rPr>
              <w:t>44</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672</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为</w:t>
            </w:r>
            <w:r>
              <w:rPr>
                <w:rFonts w:ascii="宋体" w:hAnsi="宋体" w:cs="宋体" w:eastAsia="宋体" w:hint="default"/>
                <w:w w:val="101"/>
                <w:sz w:val="18"/>
                <w:szCs w:val="18"/>
              </w:rPr>
              <w:t>基</w:t>
            </w:r>
            <w:r>
              <w:rPr>
                <w:rFonts w:ascii="宋体" w:hAnsi="宋体" w:cs="宋体" w:eastAsia="宋体" w:hint="default"/>
                <w:spacing w:val="-5"/>
                <w:w w:val="101"/>
                <w:sz w:val="18"/>
                <w:szCs w:val="18"/>
              </w:rPr>
              <w:t>数</w:t>
            </w:r>
            <w:r>
              <w:rPr>
                <w:rFonts w:ascii="宋体" w:hAnsi="宋体" w:cs="宋体" w:eastAsia="宋体" w:hint="default"/>
                <w:w w:val="101"/>
                <w:sz w:val="18"/>
                <w:szCs w:val="18"/>
              </w:rPr>
              <w:t>，</w:t>
            </w:r>
            <w:r>
              <w:rPr>
                <w:rFonts w:ascii="宋体" w:hAnsi="宋体" w:cs="宋体" w:eastAsia="宋体" w:hint="default"/>
                <w:spacing w:val="-5"/>
                <w:w w:val="101"/>
                <w:sz w:val="18"/>
                <w:szCs w:val="18"/>
              </w:rPr>
              <w:t>向</w:t>
            </w:r>
            <w:r>
              <w:rPr>
                <w:rFonts w:ascii="宋体" w:hAnsi="宋体" w:cs="宋体" w:eastAsia="宋体" w:hint="default"/>
                <w:w w:val="101"/>
                <w:sz w:val="18"/>
                <w:szCs w:val="18"/>
              </w:rPr>
              <w:t>全</w:t>
            </w:r>
            <w:r>
              <w:rPr>
                <w:rFonts w:ascii="宋体" w:hAnsi="宋体" w:cs="宋体" w:eastAsia="宋体" w:hint="default"/>
                <w:spacing w:val="-5"/>
                <w:w w:val="101"/>
                <w:sz w:val="18"/>
                <w:szCs w:val="18"/>
              </w:rPr>
              <w:t>体</w:t>
            </w:r>
            <w:r>
              <w:rPr>
                <w:rFonts w:ascii="宋体" w:hAnsi="宋体" w:cs="宋体" w:eastAsia="宋体" w:hint="default"/>
                <w:w w:val="101"/>
                <w:sz w:val="18"/>
                <w:szCs w:val="18"/>
              </w:rPr>
              <w:t>股东每</w:t>
            </w:r>
            <w:r>
              <w:rPr>
                <w:rFonts w:ascii="宋体" w:hAnsi="宋体" w:cs="宋体" w:eastAsia="宋体" w:hint="default"/>
                <w:spacing w:val="-51"/>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股</w:t>
            </w:r>
            <w:r>
              <w:rPr>
                <w:rFonts w:ascii="宋体" w:hAnsi="宋体" w:cs="宋体" w:eastAsia="宋体" w:hint="default"/>
                <w:w w:val="101"/>
                <w:sz w:val="18"/>
                <w:szCs w:val="18"/>
              </w:rPr>
              <w:t>派</w:t>
            </w:r>
            <w:r>
              <w:rPr>
                <w:rFonts w:ascii="宋体" w:hAnsi="宋体" w:cs="宋体" w:eastAsia="宋体" w:hint="default"/>
                <w:spacing w:val="-5"/>
                <w:w w:val="101"/>
                <w:sz w:val="18"/>
                <w:szCs w:val="18"/>
              </w:rPr>
              <w:t>发</w:t>
            </w:r>
            <w:r>
              <w:rPr>
                <w:rFonts w:ascii="宋体" w:hAnsi="宋体" w:cs="宋体" w:eastAsia="宋体" w:hint="default"/>
                <w:w w:val="101"/>
                <w:sz w:val="18"/>
                <w:szCs w:val="18"/>
              </w:rPr>
              <w:t>现</w:t>
            </w:r>
            <w:r>
              <w:rPr>
                <w:rFonts w:ascii="宋体" w:hAnsi="宋体" w:cs="宋体" w:eastAsia="宋体" w:hint="default"/>
                <w:spacing w:val="-5"/>
                <w:w w:val="101"/>
                <w:sz w:val="18"/>
                <w:szCs w:val="18"/>
              </w:rPr>
              <w:t>金红</w:t>
            </w:r>
            <w:r>
              <w:rPr>
                <w:rFonts w:ascii="宋体" w:hAnsi="宋体" w:cs="宋体" w:eastAsia="宋体" w:hint="default"/>
                <w:w w:val="101"/>
                <w:sz w:val="18"/>
                <w:szCs w:val="18"/>
              </w:rPr>
              <w:t>利</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0</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20</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元</w:t>
            </w:r>
            <w:r>
              <w:rPr>
                <w:rFonts w:ascii="宋体" w:hAnsi="宋体" w:cs="宋体" w:eastAsia="宋体" w:hint="default"/>
                <w:spacing w:val="-5"/>
                <w:w w:val="101"/>
                <w:sz w:val="18"/>
                <w:szCs w:val="18"/>
              </w:rPr>
              <w:t>（</w:t>
            </w:r>
            <w:r>
              <w:rPr>
                <w:rFonts w:ascii="宋体" w:hAnsi="宋体" w:cs="宋体" w:eastAsia="宋体" w:hint="default"/>
                <w:w w:val="101"/>
                <w:sz w:val="18"/>
                <w:szCs w:val="18"/>
              </w:rPr>
              <w:t>含税</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w w:val="101"/>
          <w:sz w:val="18"/>
          <w:szCs w:val="18"/>
        </w:rPr>
        <w:t>公司近</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年</w:t>
      </w:r>
      <w:r>
        <w:rPr>
          <w:rFonts w:ascii="宋体" w:hAnsi="宋体" w:cs="宋体" w:eastAsia="宋体" w:hint="default"/>
          <w:spacing w:val="-5"/>
          <w:w w:val="101"/>
          <w:sz w:val="18"/>
          <w:szCs w:val="18"/>
        </w:rPr>
        <w:t>（</w:t>
      </w:r>
      <w:r>
        <w:rPr>
          <w:rFonts w:ascii="宋体" w:hAnsi="宋体" w:cs="宋体" w:eastAsia="宋体" w:hint="default"/>
          <w:w w:val="101"/>
          <w:sz w:val="18"/>
          <w:szCs w:val="18"/>
        </w:rPr>
        <w:t>包</w:t>
      </w:r>
      <w:r>
        <w:rPr>
          <w:rFonts w:ascii="宋体" w:hAnsi="宋体" w:cs="宋体" w:eastAsia="宋体" w:hint="default"/>
          <w:spacing w:val="-5"/>
          <w:w w:val="101"/>
          <w:sz w:val="18"/>
          <w:szCs w:val="18"/>
        </w:rPr>
        <w:t>括</w:t>
      </w:r>
      <w:r>
        <w:rPr>
          <w:rFonts w:ascii="宋体" w:hAnsi="宋体" w:cs="宋体" w:eastAsia="宋体" w:hint="default"/>
          <w:w w:val="101"/>
          <w:sz w:val="18"/>
          <w:szCs w:val="18"/>
        </w:rPr>
        <w:t>本</w:t>
      </w:r>
      <w:r>
        <w:rPr>
          <w:rFonts w:ascii="宋体" w:hAnsi="宋体" w:cs="宋体" w:eastAsia="宋体" w:hint="default"/>
          <w:spacing w:val="-5"/>
          <w:w w:val="101"/>
          <w:sz w:val="18"/>
          <w:szCs w:val="18"/>
        </w:rPr>
        <w:t>报</w:t>
      </w:r>
      <w:r>
        <w:rPr>
          <w:rFonts w:ascii="宋体" w:hAnsi="宋体" w:cs="宋体" w:eastAsia="宋体" w:hint="default"/>
          <w:w w:val="101"/>
          <w:sz w:val="18"/>
          <w:szCs w:val="18"/>
        </w:rPr>
        <w:t>告</w:t>
      </w:r>
      <w:r>
        <w:rPr>
          <w:rFonts w:ascii="宋体" w:hAnsi="宋体" w:cs="宋体" w:eastAsia="宋体" w:hint="default"/>
          <w:spacing w:val="-5"/>
          <w:w w:val="101"/>
          <w:sz w:val="18"/>
          <w:szCs w:val="18"/>
        </w:rPr>
        <w:t>期</w:t>
      </w:r>
      <w:r>
        <w:rPr>
          <w:rFonts w:ascii="宋体" w:hAnsi="宋体" w:cs="宋体" w:eastAsia="宋体" w:hint="default"/>
          <w:w w:val="101"/>
          <w:sz w:val="18"/>
          <w:szCs w:val="18"/>
        </w:rPr>
        <w:t>）</w:t>
      </w:r>
      <w:r>
        <w:rPr>
          <w:rFonts w:ascii="宋体" w:hAnsi="宋体" w:cs="宋体" w:eastAsia="宋体" w:hint="default"/>
          <w:spacing w:val="-5"/>
          <w:w w:val="101"/>
          <w:sz w:val="18"/>
          <w:szCs w:val="18"/>
        </w:rPr>
        <w:t>的</w:t>
      </w:r>
      <w:r>
        <w:rPr>
          <w:rFonts w:ascii="宋体" w:hAnsi="宋体" w:cs="宋体" w:eastAsia="宋体" w:hint="default"/>
          <w:w w:val="101"/>
          <w:sz w:val="18"/>
          <w:szCs w:val="18"/>
        </w:rPr>
        <w:t>普</w:t>
      </w:r>
      <w:r>
        <w:rPr>
          <w:rFonts w:ascii="宋体" w:hAnsi="宋体" w:cs="宋体" w:eastAsia="宋体" w:hint="default"/>
          <w:spacing w:val="-5"/>
          <w:w w:val="101"/>
          <w:sz w:val="18"/>
          <w:szCs w:val="18"/>
        </w:rPr>
        <w:t>通</w:t>
      </w:r>
      <w:r>
        <w:rPr>
          <w:rFonts w:ascii="宋体" w:hAnsi="宋体" w:cs="宋体" w:eastAsia="宋体" w:hint="default"/>
          <w:w w:val="101"/>
          <w:sz w:val="18"/>
          <w:szCs w:val="18"/>
        </w:rPr>
        <w:t>股</w:t>
      </w:r>
      <w:r>
        <w:rPr>
          <w:rFonts w:ascii="宋体" w:hAnsi="宋体" w:cs="宋体" w:eastAsia="宋体" w:hint="default"/>
          <w:spacing w:val="-5"/>
          <w:w w:val="101"/>
          <w:sz w:val="18"/>
          <w:szCs w:val="18"/>
        </w:rPr>
        <w:t>股</w:t>
      </w:r>
      <w:r>
        <w:rPr>
          <w:rFonts w:ascii="宋体" w:hAnsi="宋体" w:cs="宋体" w:eastAsia="宋体" w:hint="default"/>
          <w:w w:val="101"/>
          <w:sz w:val="18"/>
          <w:szCs w:val="18"/>
        </w:rPr>
        <w:t>利</w:t>
      </w:r>
      <w:r>
        <w:rPr>
          <w:rFonts w:ascii="宋体" w:hAnsi="宋体" w:cs="宋体" w:eastAsia="宋体" w:hint="default"/>
          <w:spacing w:val="-5"/>
          <w:w w:val="101"/>
          <w:sz w:val="18"/>
          <w:szCs w:val="18"/>
        </w:rPr>
        <w:t>分</w:t>
      </w:r>
      <w:r>
        <w:rPr>
          <w:rFonts w:ascii="宋体" w:hAnsi="宋体" w:cs="宋体" w:eastAsia="宋体" w:hint="default"/>
          <w:w w:val="101"/>
          <w:sz w:val="18"/>
          <w:szCs w:val="18"/>
        </w:rPr>
        <w:t>配</w:t>
      </w:r>
      <w:r>
        <w:rPr>
          <w:rFonts w:ascii="宋体" w:hAnsi="宋体" w:cs="宋体" w:eastAsia="宋体" w:hint="default"/>
          <w:spacing w:val="-5"/>
          <w:w w:val="101"/>
          <w:sz w:val="18"/>
          <w:szCs w:val="18"/>
        </w:rPr>
        <w:t>方</w:t>
      </w:r>
      <w:r>
        <w:rPr>
          <w:rFonts w:ascii="宋体" w:hAnsi="宋体" w:cs="宋体" w:eastAsia="宋体" w:hint="default"/>
          <w:w w:val="101"/>
          <w:sz w:val="18"/>
          <w:szCs w:val="18"/>
        </w:rPr>
        <w:t>案</w:t>
      </w:r>
      <w:r>
        <w:rPr>
          <w:rFonts w:ascii="宋体" w:hAnsi="宋体" w:cs="宋体" w:eastAsia="宋体" w:hint="default"/>
          <w:spacing w:val="-5"/>
          <w:w w:val="101"/>
          <w:sz w:val="18"/>
          <w:szCs w:val="18"/>
        </w:rPr>
        <w:t>（</w:t>
      </w:r>
      <w:r>
        <w:rPr>
          <w:rFonts w:ascii="宋体" w:hAnsi="宋体" w:cs="宋体" w:eastAsia="宋体" w:hint="default"/>
          <w:w w:val="101"/>
          <w:sz w:val="18"/>
          <w:szCs w:val="18"/>
        </w:rPr>
        <w:t>预案</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资</w:t>
      </w:r>
      <w:r>
        <w:rPr>
          <w:rFonts w:ascii="宋体" w:hAnsi="宋体" w:cs="宋体" w:eastAsia="宋体" w:hint="default"/>
          <w:w w:val="101"/>
          <w:sz w:val="18"/>
          <w:szCs w:val="18"/>
        </w:rPr>
        <w:t>本</w:t>
      </w:r>
      <w:r>
        <w:rPr>
          <w:rFonts w:ascii="宋体" w:hAnsi="宋体" w:cs="宋体" w:eastAsia="宋体" w:hint="default"/>
          <w:spacing w:val="-5"/>
          <w:w w:val="101"/>
          <w:sz w:val="18"/>
          <w:szCs w:val="18"/>
        </w:rPr>
        <w:t>公</w:t>
      </w:r>
      <w:r>
        <w:rPr>
          <w:rFonts w:ascii="宋体" w:hAnsi="宋体" w:cs="宋体" w:eastAsia="宋体" w:hint="default"/>
          <w:w w:val="101"/>
          <w:sz w:val="18"/>
          <w:szCs w:val="18"/>
        </w:rPr>
        <w:t>积</w:t>
      </w:r>
      <w:r>
        <w:rPr>
          <w:rFonts w:ascii="宋体" w:hAnsi="宋体" w:cs="宋体" w:eastAsia="宋体" w:hint="default"/>
          <w:spacing w:val="-5"/>
          <w:w w:val="101"/>
          <w:sz w:val="18"/>
          <w:szCs w:val="18"/>
        </w:rPr>
        <w:t>金</w:t>
      </w:r>
      <w:r>
        <w:rPr>
          <w:rFonts w:ascii="宋体" w:hAnsi="宋体" w:cs="宋体" w:eastAsia="宋体" w:hint="default"/>
          <w:w w:val="101"/>
          <w:sz w:val="18"/>
          <w:szCs w:val="18"/>
        </w:rPr>
        <w:t>转</w:t>
      </w:r>
      <w:r>
        <w:rPr>
          <w:rFonts w:ascii="宋体" w:hAnsi="宋体" w:cs="宋体" w:eastAsia="宋体" w:hint="default"/>
          <w:spacing w:val="-5"/>
          <w:w w:val="101"/>
          <w:sz w:val="18"/>
          <w:szCs w:val="18"/>
        </w:rPr>
        <w:t>增</w:t>
      </w:r>
      <w:r>
        <w:rPr>
          <w:rFonts w:ascii="宋体" w:hAnsi="宋体" w:cs="宋体" w:eastAsia="宋体" w:hint="default"/>
          <w:w w:val="101"/>
          <w:sz w:val="18"/>
          <w:szCs w:val="18"/>
        </w:rPr>
        <w:t>股</w:t>
      </w:r>
      <w:r>
        <w:rPr>
          <w:rFonts w:ascii="宋体" w:hAnsi="宋体" w:cs="宋体" w:eastAsia="宋体" w:hint="default"/>
          <w:spacing w:val="-5"/>
          <w:w w:val="101"/>
          <w:sz w:val="18"/>
          <w:szCs w:val="18"/>
        </w:rPr>
        <w:t>本</w:t>
      </w:r>
      <w:r>
        <w:rPr>
          <w:rFonts w:ascii="宋体" w:hAnsi="宋体" w:cs="宋体" w:eastAsia="宋体" w:hint="default"/>
          <w:w w:val="101"/>
          <w:sz w:val="18"/>
          <w:szCs w:val="18"/>
        </w:rPr>
        <w:t>方</w:t>
      </w:r>
      <w:r>
        <w:rPr>
          <w:rFonts w:ascii="宋体" w:hAnsi="宋体" w:cs="宋体" w:eastAsia="宋体" w:hint="default"/>
          <w:spacing w:val="-5"/>
          <w:w w:val="101"/>
          <w:sz w:val="18"/>
          <w:szCs w:val="18"/>
        </w:rPr>
        <w:t>案</w:t>
      </w:r>
      <w:r>
        <w:rPr>
          <w:rFonts w:ascii="宋体" w:hAnsi="宋体" w:cs="宋体" w:eastAsia="宋体" w:hint="default"/>
          <w:w w:val="101"/>
          <w:sz w:val="18"/>
          <w:szCs w:val="18"/>
        </w:rPr>
        <w:t>（</w:t>
      </w:r>
      <w:r>
        <w:rPr>
          <w:rFonts w:ascii="宋体" w:hAnsi="宋体" w:cs="宋体" w:eastAsia="宋体" w:hint="default"/>
          <w:spacing w:val="-5"/>
          <w:w w:val="101"/>
          <w:sz w:val="18"/>
          <w:szCs w:val="18"/>
        </w:rPr>
        <w:t>预</w:t>
      </w:r>
      <w:r>
        <w:rPr>
          <w:rFonts w:ascii="宋体" w:hAnsi="宋体" w:cs="宋体" w:eastAsia="宋体" w:hint="default"/>
          <w:w w:val="101"/>
          <w:sz w:val="18"/>
          <w:szCs w:val="18"/>
        </w:rPr>
        <w:t>案</w:t>
      </w:r>
      <w:r>
        <w:rPr>
          <w:rFonts w:ascii="宋体" w:hAnsi="宋体" w:cs="宋体" w:eastAsia="宋体" w:hint="default"/>
          <w:spacing w:val="-5"/>
          <w:w w:val="101"/>
          <w:sz w:val="18"/>
          <w:szCs w:val="18"/>
        </w:rPr>
        <w:t>）</w:t>
      </w:r>
      <w:r>
        <w:rPr>
          <w:rFonts w:ascii="宋体" w:hAnsi="宋体" w:cs="宋体" w:eastAsia="宋体" w:hint="default"/>
          <w:w w:val="101"/>
          <w:sz w:val="18"/>
          <w:szCs w:val="18"/>
        </w:rPr>
        <w:t>情况</w:t>
      </w:r>
      <w:r>
        <w:rPr>
          <w:rFonts w:ascii="宋体" w:hAnsi="宋体" w:cs="宋体" w:eastAsia="宋体" w:hint="default"/>
          <w:sz w:val="18"/>
          <w:szCs w:val="18"/>
        </w:rPr>
      </w:r>
    </w:p>
    <w:p>
      <w:pPr>
        <w:pStyle w:val="BodyText"/>
        <w:spacing w:line="240" w:lineRule="auto" w:before="71"/>
        <w:ind w:left="540" w:right="1007"/>
        <w:jc w:val="left"/>
      </w:pPr>
      <w:r>
        <w:rPr>
          <w:rFonts w:ascii="宋体" w:hAnsi="宋体" w:cs="宋体" w:eastAsia="宋体" w:hint="default"/>
        </w:rPr>
        <w:t>1</w:t>
      </w:r>
      <w:r>
        <w:rPr/>
        <w:t>、</w:t>
      </w:r>
      <w:r>
        <w:rPr>
          <w:rFonts w:ascii="宋体" w:hAnsi="宋体" w:cs="宋体" w:eastAsia="宋体" w:hint="default"/>
        </w:rPr>
        <w:t>2019</w:t>
      </w:r>
      <w:r>
        <w:rPr/>
        <w:t>年度权益分配预案为：以总股本</w:t>
      </w:r>
      <w:r>
        <w:rPr>
          <w:rFonts w:ascii="宋体" w:hAnsi="宋体" w:cs="宋体" w:eastAsia="宋体" w:hint="default"/>
        </w:rPr>
        <w:t>637,744,672</w:t>
      </w:r>
      <w:r>
        <w:rPr/>
        <w:t>为基数，向全体股东每</w:t>
      </w:r>
      <w:r>
        <w:rPr>
          <w:rFonts w:ascii="宋体" w:hAnsi="宋体" w:cs="宋体" w:eastAsia="宋体" w:hint="default"/>
        </w:rPr>
        <w:t>10</w:t>
      </w:r>
      <w:r>
        <w:rPr/>
        <w:t>股派发现金红利</w:t>
      </w:r>
      <w:r>
        <w:rPr>
          <w:rFonts w:ascii="宋体" w:hAnsi="宋体" w:cs="宋体" w:eastAsia="宋体" w:hint="default"/>
        </w:rPr>
        <w:t>0.20</w:t>
      </w:r>
      <w:r>
        <w:rPr/>
        <w:t>元</w:t>
      </w:r>
    </w:p>
    <w:p>
      <w:pPr>
        <w:pStyle w:val="BodyText"/>
        <w:spacing w:line="240" w:lineRule="auto" w:before="42"/>
        <w:ind w:right="1764"/>
        <w:jc w:val="left"/>
      </w:pPr>
      <w:r>
        <w:rPr>
          <w:w w:val="100"/>
        </w:rPr>
        <w:t>（含税</w:t>
      </w:r>
      <w:r>
        <w:rPr>
          <w:spacing w:val="-106"/>
          <w:w w:val="100"/>
        </w:rPr>
        <w:t>）</w:t>
      </w:r>
      <w:r>
        <w:rPr>
          <w:w w:val="100"/>
        </w:rPr>
        <w:t>。</w:t>
      </w:r>
    </w:p>
    <w:p>
      <w:pPr>
        <w:pStyle w:val="BodyText"/>
        <w:spacing w:line="240" w:lineRule="auto" w:before="75"/>
        <w:ind w:left="540" w:right="1007"/>
        <w:jc w:val="left"/>
      </w:pPr>
      <w:r>
        <w:rPr>
          <w:rFonts w:ascii="宋体" w:hAnsi="宋体" w:cs="宋体" w:eastAsia="宋体" w:hint="default"/>
        </w:rPr>
        <w:t>2</w:t>
      </w:r>
      <w:r>
        <w:rPr/>
        <w:t>、</w:t>
      </w:r>
      <w:r>
        <w:rPr>
          <w:rFonts w:ascii="宋体" w:hAnsi="宋体" w:cs="宋体" w:eastAsia="宋体" w:hint="default"/>
        </w:rPr>
        <w:t>2018</w:t>
      </w:r>
      <w:r>
        <w:rPr/>
        <w:t>年度权益分配预案为：以总股本</w:t>
      </w:r>
      <w:r>
        <w:rPr>
          <w:rFonts w:ascii="宋体" w:hAnsi="宋体" w:cs="宋体" w:eastAsia="宋体" w:hint="default"/>
        </w:rPr>
        <w:t>399,083,860</w:t>
      </w:r>
      <w:r>
        <w:rPr/>
        <w:t>为基数，向全体股东每</w:t>
      </w:r>
      <w:r>
        <w:rPr>
          <w:rFonts w:ascii="宋体" w:hAnsi="宋体" w:cs="宋体" w:eastAsia="宋体" w:hint="default"/>
        </w:rPr>
        <w:t>10</w:t>
      </w:r>
      <w:r>
        <w:rPr/>
        <w:t>股派发现金红利</w:t>
      </w:r>
      <w:r>
        <w:rPr>
          <w:rFonts w:ascii="宋体" w:hAnsi="宋体" w:cs="宋体" w:eastAsia="宋体" w:hint="default"/>
        </w:rPr>
        <w:t>0.60</w:t>
      </w:r>
      <w:r>
        <w:rPr/>
        <w:t>元</w:t>
      </w:r>
    </w:p>
    <w:p>
      <w:pPr>
        <w:pStyle w:val="BodyText"/>
        <w:spacing w:line="302" w:lineRule="auto" w:before="42"/>
        <w:ind w:left="540" w:right="1007" w:hanging="428"/>
        <w:jc w:val="left"/>
        <w:rPr>
          <w:rFonts w:ascii="宋体" w:hAnsi="宋体" w:cs="宋体" w:eastAsia="宋体" w:hint="default"/>
        </w:rPr>
      </w:pPr>
      <w:r>
        <w:rPr>
          <w:spacing w:val="-6"/>
          <w:w w:val="100"/>
        </w:rPr>
        <w:t>（含税），以资本公积金向全体股东每</w:t>
      </w:r>
      <w:r>
        <w:rPr>
          <w:rFonts w:ascii="宋体" w:hAnsi="宋体" w:cs="宋体" w:eastAsia="宋体" w:hint="default"/>
          <w:spacing w:val="-6"/>
          <w:w w:val="100"/>
        </w:rPr>
        <w:t>10</w:t>
      </w:r>
      <w:r>
        <w:rPr>
          <w:spacing w:val="-6"/>
          <w:w w:val="100"/>
        </w:rPr>
        <w:t>股转增</w:t>
      </w:r>
      <w:r>
        <w:rPr>
          <w:rFonts w:ascii="宋体" w:hAnsi="宋体" w:cs="宋体" w:eastAsia="宋体" w:hint="default"/>
          <w:spacing w:val="-6"/>
          <w:w w:val="100"/>
        </w:rPr>
        <w:t>6</w:t>
      </w:r>
      <w:r>
        <w:rPr>
          <w:spacing w:val="-6"/>
          <w:w w:val="100"/>
        </w:rPr>
        <w:t>股。</w:t>
      </w:r>
      <w:r>
        <w:rPr>
          <w:spacing w:val="-86"/>
          <w:w w:val="100"/>
        </w:rPr>
        <w:t> </w:t>
      </w:r>
      <w:r>
        <w:rPr>
          <w:rFonts w:ascii="宋体" w:hAnsi="宋体" w:cs="宋体" w:eastAsia="宋体" w:hint="default"/>
          <w:spacing w:val="-2"/>
        </w:rPr>
        <w:t>3</w:t>
      </w:r>
      <w:r>
        <w:rPr>
          <w:spacing w:val="-2"/>
        </w:rPr>
        <w:t>、</w:t>
      </w:r>
      <w:r>
        <w:rPr>
          <w:rFonts w:ascii="宋体" w:hAnsi="宋体" w:cs="宋体" w:eastAsia="宋体" w:hint="default"/>
          <w:spacing w:val="-2"/>
        </w:rPr>
        <w:t>2017</w:t>
      </w:r>
      <w:r>
        <w:rPr>
          <w:spacing w:val="-2"/>
        </w:rPr>
        <w:t>年度权益分配方案为：以总股本</w:t>
      </w:r>
      <w:r>
        <w:rPr>
          <w:rFonts w:ascii="宋体" w:hAnsi="宋体" w:cs="宋体" w:eastAsia="宋体" w:hint="default"/>
          <w:spacing w:val="-2"/>
        </w:rPr>
        <w:t>399,737,270</w:t>
      </w:r>
      <w:r>
        <w:rPr>
          <w:spacing w:val="-2"/>
        </w:rPr>
        <w:t>股为基数，向全体股东每</w:t>
      </w:r>
      <w:r>
        <w:rPr>
          <w:rFonts w:ascii="宋体" w:hAnsi="宋体" w:cs="宋体" w:eastAsia="宋体" w:hint="default"/>
          <w:spacing w:val="-2"/>
        </w:rPr>
        <w:t>10</w:t>
      </w:r>
      <w:r>
        <w:rPr>
          <w:spacing w:val="-2"/>
        </w:rPr>
        <w:t>股派发现金股利</w:t>
      </w:r>
      <w:r>
        <w:rPr>
          <w:rFonts w:ascii="宋体" w:hAnsi="宋体" w:cs="宋体" w:eastAsia="宋体" w:hint="default"/>
          <w:spacing w:val="-2"/>
        </w:rPr>
        <w:t>0.40</w:t>
      </w:r>
    </w:p>
    <w:p>
      <w:pPr>
        <w:pStyle w:val="BodyText"/>
        <w:spacing w:line="263" w:lineRule="exact" w:before="0"/>
        <w:ind w:right="1764"/>
        <w:jc w:val="left"/>
      </w:pPr>
      <w:r>
        <w:rPr>
          <w:w w:val="100"/>
        </w:rPr>
        <w:t>元人民币</w:t>
      </w:r>
      <w:r>
        <w:rPr>
          <w:spacing w:val="-5"/>
          <w:w w:val="100"/>
        </w:rPr>
        <w:t>（</w:t>
      </w:r>
      <w:r>
        <w:rPr>
          <w:w w:val="100"/>
        </w:rPr>
        <w:t>含税</w:t>
      </w:r>
      <w:r>
        <w:rPr>
          <w:spacing w:val="-106"/>
          <w:w w:val="100"/>
        </w:rPr>
        <w:t>）</w:t>
      </w:r>
      <w:r>
        <w:rPr>
          <w:w w:val="100"/>
        </w:rPr>
        <w:t>。</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公司近三年（包括本报告期）普通股现金分红情况表</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850"/>
        <w:gridCol w:w="1277"/>
        <w:gridCol w:w="1465"/>
        <w:gridCol w:w="1196"/>
        <w:gridCol w:w="1196"/>
        <w:gridCol w:w="1196"/>
        <w:gridCol w:w="1330"/>
        <w:gridCol w:w="1061"/>
      </w:tblGrid>
      <w:tr>
        <w:trPr>
          <w:trHeight w:val="2898"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331" w:right="142" w:hanging="178"/>
              <w:jc w:val="left"/>
              <w:rPr>
                <w:rFonts w:ascii="宋体" w:hAnsi="宋体" w:cs="宋体" w:eastAsia="宋体" w:hint="default"/>
                <w:sz w:val="18"/>
                <w:szCs w:val="18"/>
              </w:rPr>
            </w:pPr>
            <w:r>
              <w:rPr>
                <w:rFonts w:ascii="宋体" w:hAnsi="宋体" w:cs="宋体" w:eastAsia="宋体" w:hint="default"/>
                <w:sz w:val="18"/>
                <w:szCs w:val="18"/>
              </w:rPr>
              <w:t>分红年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87" w:right="175"/>
              <w:jc w:val="left"/>
              <w:rPr>
                <w:rFonts w:ascii="宋体" w:hAnsi="宋体" w:cs="宋体" w:eastAsia="宋体" w:hint="default"/>
                <w:sz w:val="18"/>
                <w:szCs w:val="18"/>
              </w:rPr>
            </w:pPr>
            <w:r>
              <w:rPr>
                <w:rFonts w:ascii="宋体" w:hAnsi="宋体" w:cs="宋体" w:eastAsia="宋体" w:hint="default"/>
                <w:spacing w:val="-2"/>
                <w:sz w:val="18"/>
                <w:szCs w:val="18"/>
              </w:rPr>
              <w:t>现金分红金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额（含税）</w:t>
            </w:r>
          </w:p>
        </w:tc>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319" w:lineRule="auto"/>
              <w:ind w:left="187" w:right="180"/>
              <w:jc w:val="center"/>
              <w:rPr>
                <w:rFonts w:ascii="宋体" w:hAnsi="宋体" w:cs="宋体" w:eastAsia="宋体" w:hint="default"/>
                <w:sz w:val="18"/>
                <w:szCs w:val="18"/>
              </w:rPr>
            </w:pPr>
            <w:r>
              <w:rPr>
                <w:rFonts w:ascii="宋体" w:hAnsi="宋体" w:cs="宋体" w:eastAsia="宋体" w:hint="default"/>
                <w:spacing w:val="-2"/>
                <w:sz w:val="18"/>
                <w:szCs w:val="18"/>
              </w:rPr>
              <w:t>分红年度合并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报表中归属于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上市公司普通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股股东的净利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润</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3"/>
              <w:ind w:left="139" w:right="142"/>
              <w:jc w:val="center"/>
              <w:rPr>
                <w:rFonts w:ascii="宋体" w:hAnsi="宋体" w:cs="宋体" w:eastAsia="宋体" w:hint="default"/>
                <w:sz w:val="18"/>
                <w:szCs w:val="18"/>
              </w:rPr>
            </w:pPr>
            <w:r>
              <w:rPr>
                <w:rFonts w:ascii="宋体" w:hAnsi="宋体" w:cs="宋体" w:eastAsia="宋体" w:hint="default"/>
                <w:spacing w:val="-2"/>
                <w:sz w:val="18"/>
                <w:szCs w:val="18"/>
              </w:rPr>
              <w:t>现金分红金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额占合并报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表中归属于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上市公司普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通股股东的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净利润的比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39" w:right="0"/>
              <w:jc w:val="both"/>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1"/>
              <w:ind w:left="139" w:right="142"/>
              <w:jc w:val="both"/>
              <w:rPr>
                <w:rFonts w:ascii="宋体" w:hAnsi="宋体" w:cs="宋体" w:eastAsia="宋体" w:hint="default"/>
                <w:sz w:val="18"/>
                <w:szCs w:val="18"/>
              </w:rPr>
            </w:pPr>
            <w:r>
              <w:rPr>
                <w:rFonts w:ascii="宋体" w:hAnsi="宋体" w:cs="宋体" w:eastAsia="宋体" w:hint="default"/>
                <w:spacing w:val="-2"/>
                <w:sz w:val="18"/>
                <w:szCs w:val="18"/>
              </w:rPr>
              <w:t>（如回购股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份）现金分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红的金额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16" w:lineRule="auto"/>
              <w:ind w:left="144" w:right="137"/>
              <w:jc w:val="center"/>
              <w:rPr>
                <w:rFonts w:ascii="宋体" w:hAnsi="宋体" w:cs="宋体" w:eastAsia="宋体" w:hint="default"/>
                <w:sz w:val="18"/>
                <w:szCs w:val="18"/>
              </w:rPr>
            </w:pPr>
            <w:r>
              <w:rPr>
                <w:rFonts w:ascii="宋体" w:hAnsi="宋体" w:cs="宋体" w:eastAsia="宋体" w:hint="default"/>
                <w:spacing w:val="-2"/>
                <w:sz w:val="18"/>
                <w:szCs w:val="18"/>
              </w:rPr>
              <w:t>以其他方式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现金分红金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额占合并报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表中归属于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上市公司普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通股股东的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净利润的比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21" w:lineRule="auto" w:before="71"/>
              <w:ind w:left="480" w:right="204" w:hanging="269"/>
              <w:jc w:val="left"/>
              <w:rPr>
                <w:rFonts w:ascii="宋体" w:hAnsi="宋体" w:cs="宋体" w:eastAsia="宋体" w:hint="default"/>
                <w:sz w:val="18"/>
                <w:szCs w:val="18"/>
              </w:rPr>
            </w:pPr>
            <w:r>
              <w:rPr>
                <w:rFonts w:ascii="宋体" w:hAnsi="宋体" w:cs="宋体" w:eastAsia="宋体" w:hint="default"/>
                <w:spacing w:val="-2"/>
                <w:sz w:val="18"/>
                <w:szCs w:val="18"/>
              </w:rPr>
              <w:t>（含其他方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05" w:right="95"/>
              <w:jc w:val="center"/>
              <w:rPr>
                <w:rFonts w:ascii="宋体" w:hAnsi="宋体" w:cs="宋体" w:eastAsia="宋体" w:hint="default"/>
                <w:sz w:val="18"/>
                <w:szCs w:val="18"/>
              </w:rPr>
            </w:pPr>
            <w:r>
              <w:rPr>
                <w:rFonts w:ascii="宋体" w:hAnsi="宋体" w:cs="宋体" w:eastAsia="宋体" w:hint="default"/>
                <w:sz w:val="18"/>
                <w:szCs w:val="18"/>
              </w:rPr>
              <w:t>现金分红</w:t>
            </w:r>
            <w:r>
              <w:rPr>
                <w:rFonts w:ascii="宋体" w:hAnsi="宋体" w:cs="宋体" w:eastAsia="宋体" w:hint="default"/>
                <w:w w:val="101"/>
                <w:sz w:val="18"/>
                <w:szCs w:val="18"/>
              </w:rPr>
              <w:t> </w:t>
            </w:r>
            <w:r>
              <w:rPr>
                <w:rFonts w:ascii="宋体" w:hAnsi="宋体" w:cs="宋体" w:eastAsia="宋体" w:hint="default"/>
                <w:spacing w:val="-13"/>
                <w:sz w:val="18"/>
                <w:szCs w:val="18"/>
              </w:rPr>
              <w:t>总额（含其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3"/>
                <w:sz w:val="18"/>
                <w:szCs w:val="18"/>
              </w:rPr>
              <w:t>他方式）占</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合并报表</w:t>
            </w:r>
            <w:r>
              <w:rPr>
                <w:rFonts w:ascii="宋体" w:hAnsi="宋体" w:cs="宋体" w:eastAsia="宋体" w:hint="default"/>
                <w:w w:val="101"/>
                <w:sz w:val="18"/>
                <w:szCs w:val="18"/>
              </w:rPr>
              <w:t> </w:t>
            </w:r>
            <w:r>
              <w:rPr>
                <w:rFonts w:ascii="宋体" w:hAnsi="宋体" w:cs="宋体" w:eastAsia="宋体" w:hint="default"/>
                <w:sz w:val="18"/>
                <w:szCs w:val="18"/>
              </w:rPr>
              <w:t>中归属于</w:t>
            </w:r>
            <w:r>
              <w:rPr>
                <w:rFonts w:ascii="宋体" w:hAnsi="宋体" w:cs="宋体" w:eastAsia="宋体" w:hint="default"/>
                <w:w w:val="101"/>
                <w:sz w:val="18"/>
                <w:szCs w:val="18"/>
              </w:rPr>
              <w:t> </w:t>
            </w:r>
            <w:r>
              <w:rPr>
                <w:rFonts w:ascii="宋体" w:hAnsi="宋体" w:cs="宋体" w:eastAsia="宋体" w:hint="default"/>
                <w:sz w:val="18"/>
                <w:szCs w:val="18"/>
              </w:rPr>
              <w:t>上市公司</w:t>
            </w:r>
            <w:r>
              <w:rPr>
                <w:rFonts w:ascii="宋体" w:hAnsi="宋体" w:cs="宋体" w:eastAsia="宋体" w:hint="default"/>
                <w:w w:val="101"/>
                <w:sz w:val="18"/>
                <w:szCs w:val="18"/>
              </w:rPr>
              <w:t> </w:t>
            </w:r>
            <w:r>
              <w:rPr>
                <w:rFonts w:ascii="宋体" w:hAnsi="宋体" w:cs="宋体" w:eastAsia="宋体" w:hint="default"/>
                <w:sz w:val="18"/>
                <w:szCs w:val="18"/>
              </w:rPr>
              <w:t>普通股股</w:t>
            </w:r>
            <w:r>
              <w:rPr>
                <w:rFonts w:ascii="宋体" w:hAnsi="宋体" w:cs="宋体" w:eastAsia="宋体" w:hint="default"/>
                <w:w w:val="101"/>
                <w:sz w:val="18"/>
                <w:szCs w:val="18"/>
              </w:rPr>
              <w:t> </w:t>
            </w:r>
            <w:r>
              <w:rPr>
                <w:rFonts w:ascii="宋体" w:hAnsi="宋体" w:cs="宋体" w:eastAsia="宋体" w:hint="default"/>
                <w:sz w:val="18"/>
                <w:szCs w:val="18"/>
              </w:rPr>
              <w:t>东的净利</w:t>
            </w:r>
            <w:r>
              <w:rPr>
                <w:rFonts w:ascii="宋体" w:hAnsi="宋体" w:cs="宋体" w:eastAsia="宋体" w:hint="default"/>
                <w:w w:val="101"/>
                <w:sz w:val="18"/>
                <w:szCs w:val="18"/>
              </w:rPr>
              <w:t> </w:t>
            </w:r>
            <w:r>
              <w:rPr>
                <w:rFonts w:ascii="宋体" w:hAnsi="宋体" w:cs="宋体" w:eastAsia="宋体" w:hint="default"/>
                <w:sz w:val="18"/>
                <w:szCs w:val="18"/>
              </w:rPr>
              <w:t>润的比率</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12,754,893.44</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116,717,268.15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10.93%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5" w:right="0"/>
              <w:jc w:val="center"/>
              <w:rPr>
                <w:rFonts w:ascii="Times New Roman" w:hAnsi="Times New Roman" w:cs="Times New Roman" w:eastAsia="Times New Roman" w:hint="default"/>
                <w:sz w:val="18"/>
                <w:szCs w:val="18"/>
              </w:rPr>
            </w:pPr>
            <w:r>
              <w:rPr>
                <w:rFonts w:ascii="Times New Roman"/>
                <w:sz w:val="18"/>
              </w:rPr>
              <w:t>12,754,893.44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10.93%</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23,945,031.60</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215,542,694.97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4"/>
                <w:sz w:val="18"/>
              </w:rPr>
              <w:t>11.11%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5" w:right="0"/>
              <w:jc w:val="center"/>
              <w:rPr>
                <w:rFonts w:ascii="Times New Roman" w:hAnsi="Times New Roman" w:cs="Times New Roman" w:eastAsia="Times New Roman" w:hint="default"/>
                <w:sz w:val="18"/>
                <w:szCs w:val="18"/>
              </w:rPr>
            </w:pPr>
            <w:r>
              <w:rPr>
                <w:rFonts w:ascii="Times New Roman"/>
                <w:sz w:val="18"/>
              </w:rPr>
              <w:t>23,945,031.60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4"/>
                <w:sz w:val="18"/>
              </w:rPr>
              <w:t>11.11%</w:t>
            </w:r>
          </w:p>
        </w:tc>
      </w:tr>
      <w:tr>
        <w:trPr>
          <w:trHeight w:val="404"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15,989,344.30</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155,932,941.08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10.25%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5" w:right="0"/>
              <w:jc w:val="center"/>
              <w:rPr>
                <w:rFonts w:ascii="Times New Roman" w:hAnsi="Times New Roman" w:cs="Times New Roman" w:eastAsia="Times New Roman" w:hint="default"/>
                <w:sz w:val="18"/>
                <w:szCs w:val="18"/>
              </w:rPr>
            </w:pPr>
            <w:r>
              <w:rPr>
                <w:rFonts w:ascii="Times New Roman"/>
                <w:sz w:val="18"/>
              </w:rPr>
              <w:t>15,989,344.30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10.25%</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公司报告期内盈利且母公司可供普通股股东分配利润为正但未提出普通股现金红利分配预案</w:t>
      </w:r>
    </w:p>
    <w:p>
      <w:pPr>
        <w:spacing w:before="115"/>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4"/>
          <w:szCs w:val="24"/>
        </w:rPr>
      </w:pPr>
    </w:p>
    <w:p>
      <w:pPr>
        <w:pStyle w:val="Heading2"/>
        <w:spacing w:line="240" w:lineRule="auto"/>
        <w:ind w:right="1764"/>
        <w:jc w:val="left"/>
        <w:rPr>
          <w:b w:val="0"/>
          <w:bCs w:val="0"/>
        </w:rPr>
      </w:pPr>
      <w:bookmarkStart w:name="二、承诺事项履行情况" w:id="60"/>
      <w:bookmarkEnd w:id="60"/>
      <w:r>
        <w:rPr>
          <w:b w:val="0"/>
          <w:bCs w:val="0"/>
        </w:rPr>
      </w:r>
      <w:r>
        <w:rPr/>
        <w:t>二、承诺事项履行情况</w:t>
      </w:r>
      <w:r>
        <w:rPr>
          <w:b w:val="0"/>
          <w:bCs w:val="0"/>
        </w:rPr>
      </w:r>
    </w:p>
    <w:p>
      <w:pPr>
        <w:spacing w:line="240" w:lineRule="auto" w:before="9"/>
        <w:rPr>
          <w:rFonts w:ascii="宋体" w:hAnsi="宋体" w:cs="宋体" w:eastAsia="宋体" w:hint="default"/>
          <w:b/>
          <w:bCs/>
          <w:sz w:val="25"/>
          <w:szCs w:val="25"/>
        </w:rPr>
      </w:pPr>
    </w:p>
    <w:p>
      <w:pPr>
        <w:pStyle w:val="Heading3"/>
        <w:spacing w:line="254" w:lineRule="auto"/>
        <w:ind w:right="1007"/>
        <w:jc w:val="left"/>
        <w:rPr>
          <w:b w:val="0"/>
          <w:bCs w:val="0"/>
        </w:rPr>
      </w:pPr>
      <w:bookmarkStart w:name="1、公司实际控制人、股东、关联方、收购人以及公司等承诺相关方在报告期内履行完毕及" w:id="61"/>
      <w:bookmarkEnd w:id="61"/>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4"/>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138"/>
        <w:gridCol w:w="932"/>
        <w:gridCol w:w="1152"/>
        <w:gridCol w:w="3409"/>
        <w:gridCol w:w="1018"/>
        <w:gridCol w:w="975"/>
        <w:gridCol w:w="946"/>
      </w:tblGrid>
      <w:tr>
        <w:trPr>
          <w:trHeight w:val="404" w:hRule="exact"/>
        </w:trPr>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6"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3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4"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672" w:hRule="exact"/>
        </w:trPr>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05" w:right="118"/>
              <w:jc w:val="left"/>
              <w:rPr>
                <w:rFonts w:ascii="宋体" w:hAnsi="宋体" w:cs="宋体" w:eastAsia="宋体" w:hint="default"/>
                <w:sz w:val="18"/>
                <w:szCs w:val="18"/>
              </w:rPr>
            </w:pPr>
            <w:r>
              <w:rPr>
                <w:rFonts w:ascii="宋体" w:hAnsi="宋体" w:cs="宋体" w:eastAsia="宋体" w:hint="default"/>
                <w:spacing w:val="-2"/>
                <w:sz w:val="18"/>
                <w:szCs w:val="18"/>
              </w:rPr>
              <w:t>收购报告书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或权益变动</w:t>
            </w:r>
          </w:p>
        </w:tc>
        <w:tc>
          <w:tcPr>
            <w:tcW w:w="93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3409"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138"/>
        <w:gridCol w:w="932"/>
        <w:gridCol w:w="1152"/>
        <w:gridCol w:w="3409"/>
        <w:gridCol w:w="1018"/>
        <w:gridCol w:w="975"/>
        <w:gridCol w:w="946"/>
      </w:tblGrid>
      <w:tr>
        <w:trPr>
          <w:trHeight w:val="672" w:hRule="exact"/>
        </w:trPr>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105" w:right="118"/>
              <w:jc w:val="left"/>
              <w:rPr>
                <w:rFonts w:ascii="宋体" w:hAnsi="宋体" w:cs="宋体" w:eastAsia="宋体" w:hint="default"/>
                <w:sz w:val="18"/>
                <w:szCs w:val="18"/>
              </w:rPr>
            </w:pPr>
            <w:r>
              <w:rPr>
                <w:rFonts w:ascii="宋体" w:hAnsi="宋体" w:cs="宋体" w:eastAsia="宋体" w:hint="default"/>
                <w:spacing w:val="-2"/>
                <w:sz w:val="18"/>
                <w:szCs w:val="18"/>
              </w:rPr>
              <w:t>报告书中所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作承诺</w:t>
            </w:r>
          </w:p>
        </w:tc>
        <w:tc>
          <w:tcPr>
            <w:tcW w:w="93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3409"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4149" w:hRule="exact"/>
        </w:trPr>
        <w:tc>
          <w:tcPr>
            <w:tcW w:w="11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5" w:right="118"/>
              <w:jc w:val="left"/>
              <w:rPr>
                <w:rFonts w:ascii="宋体" w:hAnsi="宋体" w:cs="宋体" w:eastAsia="宋体" w:hint="default"/>
                <w:sz w:val="18"/>
                <w:szCs w:val="18"/>
              </w:rPr>
            </w:pPr>
            <w:r>
              <w:rPr>
                <w:rFonts w:ascii="宋体" w:hAnsi="宋体" w:cs="宋体" w:eastAsia="宋体" w:hint="default"/>
                <w:spacing w:val="-2"/>
                <w:sz w:val="18"/>
                <w:szCs w:val="18"/>
              </w:rPr>
              <w:t>资产重组时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所作承诺</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319" w:lineRule="auto"/>
              <w:ind w:left="105" w:right="89"/>
              <w:jc w:val="left"/>
              <w:rPr>
                <w:rFonts w:ascii="宋体" w:hAnsi="宋体" w:cs="宋体" w:eastAsia="宋体" w:hint="default"/>
                <w:sz w:val="18"/>
                <w:szCs w:val="18"/>
              </w:rPr>
            </w:pPr>
            <w:r>
              <w:rPr>
                <w:rFonts w:ascii="宋体" w:hAnsi="宋体" w:cs="宋体" w:eastAsia="宋体" w:hint="default"/>
                <w:sz w:val="18"/>
                <w:szCs w:val="18"/>
              </w:rPr>
              <w:t>上市公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司董事、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高管的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9" w:lineRule="auto"/>
              <w:ind w:left="100" w:right="137"/>
              <w:jc w:val="both"/>
              <w:rPr>
                <w:rFonts w:ascii="宋体" w:hAnsi="宋体" w:cs="宋体" w:eastAsia="宋体" w:hint="default"/>
                <w:sz w:val="18"/>
                <w:szCs w:val="18"/>
              </w:rPr>
            </w:pPr>
            <w:r>
              <w:rPr>
                <w:rFonts w:ascii="宋体" w:hAnsi="宋体" w:cs="宋体" w:eastAsia="宋体" w:hint="default"/>
                <w:spacing w:val="-2"/>
                <w:sz w:val="18"/>
                <w:szCs w:val="18"/>
              </w:rPr>
              <w:t>对发行股份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支付现金购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买资产并募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集配套资金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摊薄即期回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报措施的承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06" w:right="99"/>
              <w:jc w:val="left"/>
              <w:rPr>
                <w:rFonts w:ascii="宋体" w:hAnsi="宋体" w:cs="宋体" w:eastAsia="宋体" w:hint="default"/>
                <w:sz w:val="18"/>
                <w:szCs w:val="18"/>
              </w:rPr>
            </w:pPr>
            <w:r>
              <w:rPr>
                <w:rFonts w:ascii="宋体" w:hAnsi="宋体" w:cs="宋体" w:eastAsia="宋体" w:hint="default"/>
                <w:spacing w:val="-6"/>
                <w:sz w:val="18"/>
                <w:szCs w:val="18"/>
              </w:rPr>
              <w:t>公司的董事、高级管理人员将忠实、勤勉</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6"/>
                <w:sz w:val="18"/>
                <w:szCs w:val="18"/>
              </w:rPr>
              <w:t>地履行职责，维护公司和全体股东的合法</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权益。公司董事、高级管理人员对公司本</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次重组非公开发行股票可能涉及的防范</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风险保障措施能够得到切实履行作出如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下承诺：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、不无偿或以不公平条件向其</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6"/>
                <w:sz w:val="18"/>
                <w:szCs w:val="18"/>
              </w:rPr>
              <w:t>他单位或者个人输送利益，也不采用其他</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方式损害公司利益。</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、对董事和高级管</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理人员的职务消费行为进行约束。</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、不</w:t>
            </w:r>
            <w:r>
              <w:rPr>
                <w:rFonts w:ascii="宋体" w:hAnsi="宋体" w:cs="宋体" w:eastAsia="宋体" w:hint="default"/>
                <w:spacing w:val="-39"/>
                <w:sz w:val="18"/>
                <w:szCs w:val="18"/>
              </w:rPr>
              <w:t> </w:t>
            </w:r>
            <w:r>
              <w:rPr>
                <w:rFonts w:ascii="宋体" w:hAnsi="宋体" w:cs="宋体" w:eastAsia="宋体" w:hint="default"/>
                <w:spacing w:val="-3"/>
                <w:sz w:val="18"/>
                <w:szCs w:val="18"/>
              </w:rPr>
              <w:t>动用公司资产从事与其履行职责无关的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投资、消费活动。</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、由董事会或薪酬委</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员会制定的薪酬制度与保障措施的执行</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情况相挂钩。</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12</w:t>
            </w:r>
            <w:r>
              <w:rPr>
                <w:rFonts w:ascii="Times New Roman" w:hAnsi="Times New Roman" w:cs="Times New Roman" w:eastAsia="Times New Roman" w:hint="default"/>
                <w:sz w:val="18"/>
                <w:szCs w:val="18"/>
              </w:rPr>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7"/>
              <w:ind w:left="105" w:right="103"/>
              <w:jc w:val="left"/>
              <w:rPr>
                <w:rFonts w:ascii="宋体" w:hAnsi="宋体" w:cs="宋体" w:eastAsia="宋体" w:hint="default"/>
                <w:sz w:val="18"/>
                <w:szCs w:val="18"/>
              </w:rPr>
            </w:pPr>
            <w:r>
              <w:rPr>
                <w:rFonts w:ascii="宋体" w:hAnsi="宋体" w:cs="宋体" w:eastAsia="宋体" w:hint="default"/>
                <w:sz w:val="18"/>
                <w:szCs w:val="18"/>
              </w:rPr>
              <w:t>正在履行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w:t>
            </w:r>
          </w:p>
        </w:tc>
      </w:tr>
      <w:tr>
        <w:trPr>
          <w:trHeight w:val="9103" w:hRule="exact"/>
        </w:trPr>
        <w:tc>
          <w:tcPr>
            <w:tcW w:w="1138" w:type="dxa"/>
            <w:vMerge/>
            <w:tcBorders>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8"/>
              <w:ind w:left="105" w:right="132"/>
              <w:jc w:val="left"/>
              <w:rPr>
                <w:rFonts w:ascii="宋体" w:hAnsi="宋体" w:cs="宋体" w:eastAsia="宋体" w:hint="default"/>
                <w:sz w:val="18"/>
                <w:szCs w:val="18"/>
              </w:rPr>
            </w:pPr>
            <w:r>
              <w:rPr>
                <w:rFonts w:ascii="宋体" w:hAnsi="宋体" w:cs="宋体" w:eastAsia="宋体" w:hint="default"/>
                <w:sz w:val="18"/>
                <w:szCs w:val="18"/>
              </w:rPr>
              <w:t>陈兵等</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名业绩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承诺方</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100" w:right="137"/>
              <w:jc w:val="left"/>
              <w:rPr>
                <w:rFonts w:ascii="宋体" w:hAnsi="宋体" w:cs="宋体" w:eastAsia="宋体" w:hint="default"/>
                <w:sz w:val="18"/>
                <w:szCs w:val="18"/>
              </w:rPr>
            </w:pPr>
            <w:r>
              <w:rPr>
                <w:rFonts w:ascii="宋体" w:hAnsi="宋体" w:cs="宋体" w:eastAsia="宋体" w:hint="default"/>
                <w:spacing w:val="-2"/>
                <w:sz w:val="18"/>
                <w:szCs w:val="18"/>
              </w:rPr>
              <w:t>减少关联交</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易的承诺</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6" w:right="46"/>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、本次发行股份及支付现金购买资产完</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6"/>
                <w:sz w:val="18"/>
                <w:szCs w:val="18"/>
              </w:rPr>
              <w:t>成后，本人及本人对外投资的企业（包括</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但不限于直接持股、间接持股或委托持</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8"/>
                <w:w w:val="101"/>
                <w:sz w:val="18"/>
                <w:szCs w:val="18"/>
              </w:rPr>
              <w:t>股）、实际控制或担任董事、高级管理人</w:t>
            </w:r>
            <w:r>
              <w:rPr>
                <w:rFonts w:ascii="宋体" w:hAnsi="宋体" w:cs="宋体" w:eastAsia="宋体" w:hint="default"/>
                <w:spacing w:val="-80"/>
                <w:w w:val="101"/>
                <w:sz w:val="18"/>
                <w:szCs w:val="18"/>
              </w:rPr>
              <w:t> </w:t>
            </w:r>
            <w:r>
              <w:rPr>
                <w:rFonts w:ascii="宋体" w:hAnsi="宋体" w:cs="宋体" w:eastAsia="宋体" w:hint="default"/>
                <w:spacing w:val="-80"/>
                <w:w w:val="101"/>
                <w:sz w:val="18"/>
                <w:szCs w:val="18"/>
              </w:rPr>
            </w:r>
            <w:r>
              <w:rPr>
                <w:rFonts w:ascii="宋体" w:hAnsi="宋体" w:cs="宋体" w:eastAsia="宋体" w:hint="default"/>
                <w:spacing w:val="-3"/>
                <w:sz w:val="18"/>
                <w:szCs w:val="18"/>
              </w:rPr>
              <w:t>员的企业将尽可能减少与天源迪科及其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下属公司（包括但不限于维恩贝特）的关</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6"/>
                <w:sz w:val="18"/>
                <w:szCs w:val="18"/>
              </w:rPr>
              <w:t>联交易，不会利用自身作为天源迪科股东</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的地位谋求与天源迪科及其下属公司（包</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括但不限于维恩贝特）在业务合作等方面</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给予优于市场第三方的权利；不会利用自</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身作为天源迪科股东的地位谋求与天源</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迪科及其下属公司（包括但不限于维恩贝</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特）达成交易的优先权利。</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、若发生必</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6"/>
                <w:sz w:val="18"/>
                <w:szCs w:val="18"/>
              </w:rPr>
              <w:t>要且无法避免的关联交易，本人及本人对</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外投资的企业（包括但不限于直接持股、</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8"/>
                <w:w w:val="101"/>
                <w:sz w:val="18"/>
                <w:szCs w:val="18"/>
              </w:rPr>
              <w:t>间接持股或委托持股）、实际控制或担任</w:t>
            </w:r>
            <w:r>
              <w:rPr>
                <w:rFonts w:ascii="宋体" w:hAnsi="宋体" w:cs="宋体" w:eastAsia="宋体" w:hint="default"/>
                <w:spacing w:val="-80"/>
                <w:w w:val="101"/>
                <w:sz w:val="18"/>
                <w:szCs w:val="18"/>
              </w:rPr>
              <w:t> </w:t>
            </w:r>
            <w:r>
              <w:rPr>
                <w:rFonts w:ascii="宋体" w:hAnsi="宋体" w:cs="宋体" w:eastAsia="宋体" w:hint="default"/>
                <w:spacing w:val="-80"/>
                <w:w w:val="101"/>
                <w:sz w:val="18"/>
                <w:szCs w:val="18"/>
              </w:rPr>
            </w:r>
            <w:r>
              <w:rPr>
                <w:rFonts w:ascii="宋体" w:hAnsi="宋体" w:cs="宋体" w:eastAsia="宋体" w:hint="default"/>
                <w:spacing w:val="-6"/>
                <w:sz w:val="18"/>
                <w:szCs w:val="18"/>
              </w:rPr>
              <w:t>董事、高级管理人员的企业将与天源迪科</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及其下属公司（包括但不限于维恩贝特）</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6"/>
                <w:sz w:val="18"/>
                <w:szCs w:val="18"/>
              </w:rPr>
              <w:t>按照公平、公允、等价有偿原则依法签订</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6"/>
                <w:sz w:val="18"/>
                <w:szCs w:val="18"/>
              </w:rPr>
              <w:t>协议，履行合法程序，并将按照有关法律</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6"/>
                <w:sz w:val="18"/>
                <w:szCs w:val="18"/>
              </w:rPr>
              <w:t>法规和《深圳天源迪科信息技术股份有限</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公司》的规定履行信息披露义务及相关的</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内部决策程序和回避制度，关联交易价格</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依照与无关联关系的独立第三方进行相</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同或相似交易时的价格确定，保证关联交</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易价格具有公允性，亦不利用该等交易从</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事损害天源迪科及其股东合法权益的行</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为。</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、本人保证将依照《深圳天源迪科</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6"/>
                <w:sz w:val="18"/>
                <w:szCs w:val="18"/>
              </w:rPr>
              <w:t>信息技术股份有限公司》的规定参加股东</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105" w:right="103"/>
              <w:jc w:val="left"/>
              <w:rPr>
                <w:rFonts w:ascii="宋体" w:hAnsi="宋体" w:cs="宋体" w:eastAsia="宋体" w:hint="default"/>
                <w:sz w:val="18"/>
                <w:szCs w:val="18"/>
              </w:rPr>
            </w:pPr>
            <w:r>
              <w:rPr>
                <w:rFonts w:ascii="宋体" w:hAnsi="宋体" w:cs="宋体" w:eastAsia="宋体" w:hint="default"/>
                <w:sz w:val="18"/>
                <w:szCs w:val="18"/>
              </w:rPr>
              <w:t>正在履行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w:t>
            </w:r>
          </w:p>
        </w:tc>
      </w:tr>
    </w:tbl>
    <w:p>
      <w:pPr>
        <w:spacing w:after="0" w:line="319"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138"/>
        <w:gridCol w:w="932"/>
        <w:gridCol w:w="1152"/>
        <w:gridCol w:w="3409"/>
        <w:gridCol w:w="1018"/>
        <w:gridCol w:w="975"/>
        <w:gridCol w:w="948"/>
      </w:tblGrid>
      <w:tr>
        <w:trPr>
          <w:trHeight w:val="2857" w:hRule="exact"/>
        </w:trPr>
        <w:tc>
          <w:tcPr>
            <w:tcW w:w="1138" w:type="dxa"/>
            <w:vMerge w:val="restart"/>
            <w:tcBorders>
              <w:top w:val="single" w:sz="4" w:space="0" w:color="000000"/>
              <w:left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6" w:right="99"/>
              <w:jc w:val="left"/>
              <w:rPr>
                <w:rFonts w:ascii="宋体" w:hAnsi="宋体" w:cs="宋体" w:eastAsia="宋体" w:hint="default"/>
                <w:sz w:val="18"/>
                <w:szCs w:val="18"/>
              </w:rPr>
            </w:pPr>
            <w:r>
              <w:rPr>
                <w:rFonts w:ascii="宋体" w:hAnsi="宋体" w:cs="宋体" w:eastAsia="宋体" w:hint="default"/>
                <w:spacing w:val="-6"/>
                <w:sz w:val="18"/>
                <w:szCs w:val="18"/>
              </w:rPr>
              <w:t>大会，平等地行使相应的权利，承担相应</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的义务，不利用股东地位谋求不正当利</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益，不利用关联交易非法转移天源迪科及</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其下属公司（包括但不限于维恩贝特）的</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6"/>
                <w:sz w:val="18"/>
                <w:szCs w:val="18"/>
              </w:rPr>
              <w:t>资金、利润，保证不损害天源迪科及其股</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东的合法权益。</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、本人愿意承担因违反</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上述承诺而给天源迪科造成的全部经济</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损失，并承诺在本人为维恩贝特关联方期</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间持续有效，且均不可变更或撤销。</w:t>
            </w:r>
          </w:p>
        </w:tc>
        <w:tc>
          <w:tcPr>
            <w:tcW w:w="1018"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r>
      <w:tr>
        <w:trPr>
          <w:trHeight w:val="9766" w:hRule="exact"/>
        </w:trPr>
        <w:tc>
          <w:tcPr>
            <w:tcW w:w="1138" w:type="dxa"/>
            <w:vMerge/>
            <w:tcBorders>
              <w:left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312" w:lineRule="auto"/>
              <w:ind w:left="105" w:right="132"/>
              <w:jc w:val="left"/>
              <w:rPr>
                <w:rFonts w:ascii="宋体" w:hAnsi="宋体" w:cs="宋体" w:eastAsia="宋体" w:hint="default"/>
                <w:sz w:val="18"/>
                <w:szCs w:val="18"/>
              </w:rPr>
            </w:pPr>
            <w:r>
              <w:rPr>
                <w:rFonts w:ascii="宋体" w:hAnsi="宋体" w:cs="宋体" w:eastAsia="宋体" w:hint="default"/>
                <w:sz w:val="18"/>
                <w:szCs w:val="18"/>
              </w:rPr>
              <w:t>陈兵等</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名业绩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承诺方</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319" w:lineRule="auto"/>
              <w:ind w:left="100" w:right="137"/>
              <w:jc w:val="left"/>
              <w:rPr>
                <w:rFonts w:ascii="宋体" w:hAnsi="宋体" w:cs="宋体" w:eastAsia="宋体" w:hint="default"/>
                <w:sz w:val="18"/>
                <w:szCs w:val="18"/>
              </w:rPr>
            </w:pPr>
            <w:r>
              <w:rPr>
                <w:rFonts w:ascii="宋体" w:hAnsi="宋体" w:cs="宋体" w:eastAsia="宋体" w:hint="default"/>
                <w:spacing w:val="-2"/>
                <w:sz w:val="18"/>
                <w:szCs w:val="18"/>
              </w:rPr>
              <w:t>避免同业竞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争的承诺</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6" w:right="9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、截至本承诺出具之日，本人及本人直</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6"/>
                <w:sz w:val="18"/>
                <w:szCs w:val="18"/>
              </w:rPr>
              <w:t>接或间接控制的企业、或直接或间接参与</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经营管理的企业未在中华人民共和国（包</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括香港、澳门及台湾地区）从事与维恩贝</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6"/>
                <w:sz w:val="18"/>
                <w:szCs w:val="18"/>
              </w:rPr>
              <w:t>特、天源迪科及其下属公司相同或者相似</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的业务。</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、本次发行股份及支付现金购</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6"/>
                <w:sz w:val="18"/>
                <w:szCs w:val="18"/>
              </w:rPr>
              <w:t>买资产完成后，在《深圳天源迪科信息技</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术股份公司发行股份及支付现金购买资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产协议》中约定的三年业绩承诺期及本人</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任职期满离职后两年内，本人不再以任何</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形式（包括但不限于在中国境内或境外自</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行、或其以他人名义、或与他人合资、合</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6"/>
                <w:sz w:val="18"/>
                <w:szCs w:val="18"/>
              </w:rPr>
              <w:t>作、联合经营）从事、参与或协助他人从</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事任何与维恩贝特以及天源迪科业务有</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竞争关系的经营活动，不再投资于任何与</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维恩贝特以及天源迪科业务有竞争关系</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的经济实体。</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、若本人及本人直接或间</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6"/>
                <w:sz w:val="18"/>
                <w:szCs w:val="18"/>
              </w:rPr>
              <w:t>接控制的企业、或直接或间接参与经营管</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理的企业违反上述承诺，本人及相关企业</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将采取包括但不限于停止经营产生竞争</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的业务、将产生竞争的业务纳入天源迪科</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或者转让给无关联关系第三方等合法方</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式，以避免同业竞争。</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、本人保证本人</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6"/>
                <w:sz w:val="18"/>
                <w:szCs w:val="18"/>
              </w:rPr>
              <w:t>关系密切的家庭成员（包括配偶、父母及</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配偶的父母、兄弟姐妹及其配偶、年满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Times New Roman" w:hAnsi="Times New Roman" w:cs="Times New Roman" w:eastAsia="Times New Roman" w:hint="default"/>
                <w:sz w:val="18"/>
                <w:szCs w:val="18"/>
              </w:rPr>
              <w:t>18 </w:t>
            </w:r>
            <w:r>
              <w:rPr>
                <w:rFonts w:ascii="宋体" w:hAnsi="宋体" w:cs="宋体" w:eastAsia="宋体" w:hint="default"/>
                <w:spacing w:val="-3"/>
                <w:sz w:val="18"/>
                <w:szCs w:val="18"/>
              </w:rPr>
              <w:t>周岁的子女及其配偶、配偶的兄弟姐</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妹和子女配偶的父母等）也遵守以上承</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诺。</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、如因本人或本人关系密切的家庭</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6"/>
                <w:sz w:val="18"/>
                <w:szCs w:val="18"/>
              </w:rPr>
              <w:t>成员未履行上述承诺给天源迪科、维恩贝</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特及其他相关方造成损失的，承诺人将赔</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偿有关各方因此遭受的一切损失。</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319" w:lineRule="auto"/>
              <w:ind w:left="105" w:right="105"/>
              <w:jc w:val="left"/>
              <w:rPr>
                <w:rFonts w:ascii="宋体" w:hAnsi="宋体" w:cs="宋体" w:eastAsia="宋体" w:hint="default"/>
                <w:sz w:val="18"/>
                <w:szCs w:val="18"/>
              </w:rPr>
            </w:pPr>
            <w:r>
              <w:rPr>
                <w:rFonts w:ascii="宋体" w:hAnsi="宋体" w:cs="宋体" w:eastAsia="宋体" w:hint="default"/>
                <w:sz w:val="18"/>
                <w:szCs w:val="18"/>
              </w:rPr>
              <w:t>正在履行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w:t>
            </w:r>
          </w:p>
        </w:tc>
      </w:tr>
      <w:tr>
        <w:trPr>
          <w:trHeight w:val="1301" w:hRule="exact"/>
        </w:trPr>
        <w:tc>
          <w:tcPr>
            <w:tcW w:w="1138" w:type="dxa"/>
            <w:vMerge/>
            <w:tcBorders>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309" w:lineRule="auto"/>
              <w:ind w:left="105" w:right="132"/>
              <w:jc w:val="left"/>
              <w:rPr>
                <w:rFonts w:ascii="宋体" w:hAnsi="宋体" w:cs="宋体" w:eastAsia="宋体" w:hint="default"/>
                <w:sz w:val="18"/>
                <w:szCs w:val="18"/>
              </w:rPr>
            </w:pPr>
            <w:r>
              <w:rPr>
                <w:rFonts w:ascii="宋体" w:hAnsi="宋体" w:cs="宋体" w:eastAsia="宋体" w:hint="default"/>
                <w:sz w:val="18"/>
                <w:szCs w:val="18"/>
              </w:rPr>
              <w:t>陈兵等</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名业绩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承诺方</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0"/>
              <w:ind w:left="100" w:right="137"/>
              <w:jc w:val="left"/>
              <w:rPr>
                <w:rFonts w:ascii="宋体" w:hAnsi="宋体" w:cs="宋体" w:eastAsia="宋体" w:hint="default"/>
                <w:sz w:val="18"/>
                <w:szCs w:val="18"/>
              </w:rPr>
            </w:pPr>
            <w:r>
              <w:rPr>
                <w:rFonts w:ascii="宋体" w:hAnsi="宋体" w:cs="宋体" w:eastAsia="宋体" w:hint="default"/>
                <w:spacing w:val="-2"/>
                <w:sz w:val="18"/>
                <w:szCs w:val="18"/>
              </w:rPr>
              <w:t>关于锁定期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的承诺</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4"/>
              <w:ind w:left="106" w:right="99"/>
              <w:jc w:val="both"/>
              <w:rPr>
                <w:rFonts w:ascii="宋体" w:hAnsi="宋体" w:cs="宋体" w:eastAsia="宋体" w:hint="default"/>
                <w:sz w:val="18"/>
                <w:szCs w:val="18"/>
              </w:rPr>
            </w:pPr>
            <w:r>
              <w:rPr>
                <w:rFonts w:ascii="宋体" w:hAnsi="宋体" w:cs="宋体" w:eastAsia="宋体" w:hint="default"/>
                <w:spacing w:val="-6"/>
                <w:sz w:val="18"/>
                <w:szCs w:val="18"/>
              </w:rPr>
              <w:t>如本交易获准进行，就上市公司本次向本</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人发行的全部股份，本人承诺自股份发行</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结束之日起</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个月内不进行转让，自前</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6"/>
                <w:sz w:val="18"/>
                <w:szCs w:val="18"/>
              </w:rPr>
              <w:t>述期限届满之后，本人通过本次发行获得</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07</w:t>
            </w:r>
            <w:r>
              <w:rPr>
                <w:rFonts w:ascii="Times New Roman" w:hAnsi="Times New Roman" w:cs="Times New Roman" w:eastAsia="Times New Roman" w:hint="default"/>
                <w:sz w:val="18"/>
                <w:szCs w:val="18"/>
              </w:rPr>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4" w:lineRule="auto"/>
              <w:ind w:left="105" w:right="132"/>
              <w:jc w:val="both"/>
              <w:rPr>
                <w:rFonts w:ascii="宋体" w:hAnsi="宋体" w:cs="宋体" w:eastAsia="宋体" w:hint="default"/>
                <w:sz w:val="18"/>
                <w:szCs w:val="18"/>
              </w:rPr>
            </w:pPr>
            <w:r>
              <w:rPr>
                <w:rFonts w:ascii="宋体" w:hAnsi="宋体" w:cs="宋体" w:eastAsia="宋体" w:hint="default"/>
                <w:sz w:val="18"/>
                <w:szCs w:val="18"/>
              </w:rPr>
              <w:t>重大资产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重组限售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股份发行</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0"/>
              <w:ind w:left="105" w:right="105"/>
              <w:jc w:val="left"/>
              <w:rPr>
                <w:rFonts w:ascii="宋体" w:hAnsi="宋体" w:cs="宋体" w:eastAsia="宋体" w:hint="default"/>
                <w:sz w:val="18"/>
                <w:szCs w:val="18"/>
              </w:rPr>
            </w:pPr>
            <w:r>
              <w:rPr>
                <w:rFonts w:ascii="宋体" w:hAnsi="宋体" w:cs="宋体" w:eastAsia="宋体" w:hint="default"/>
                <w:sz w:val="18"/>
                <w:szCs w:val="18"/>
              </w:rPr>
              <w:t>正在履行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w:t>
            </w:r>
          </w:p>
        </w:tc>
      </w:tr>
    </w:tbl>
    <w:p>
      <w:pPr>
        <w:spacing w:after="0" w:line="316"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138"/>
        <w:gridCol w:w="932"/>
        <w:gridCol w:w="1152"/>
        <w:gridCol w:w="3409"/>
        <w:gridCol w:w="1018"/>
        <w:gridCol w:w="975"/>
        <w:gridCol w:w="948"/>
      </w:tblGrid>
      <w:tr>
        <w:trPr>
          <w:trHeight w:val="12843" w:hRule="exact"/>
        </w:trPr>
        <w:tc>
          <w:tcPr>
            <w:tcW w:w="1138" w:type="dxa"/>
            <w:vMerge w:val="restart"/>
            <w:tcBorders>
              <w:top w:val="single" w:sz="4" w:space="0" w:color="000000"/>
              <w:left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6" w:right="7"/>
              <w:jc w:val="both"/>
              <w:rPr>
                <w:rFonts w:ascii="宋体" w:hAnsi="宋体" w:cs="宋体" w:eastAsia="宋体" w:hint="default"/>
                <w:sz w:val="18"/>
                <w:szCs w:val="18"/>
              </w:rPr>
            </w:pPr>
            <w:r>
              <w:rPr>
                <w:rFonts w:ascii="宋体" w:hAnsi="宋体" w:cs="宋体" w:eastAsia="宋体" w:hint="default"/>
                <w:spacing w:val="-3"/>
                <w:sz w:val="18"/>
                <w:szCs w:val="18"/>
              </w:rPr>
              <w:t>的股份自发行结束之日起按 </w:t>
            </w:r>
            <w:r>
              <w:rPr>
                <w:rFonts w:ascii="Times New Roman" w:hAnsi="Times New Roman" w:cs="Times New Roman" w:eastAsia="Times New Roman" w:hint="default"/>
                <w:spacing w:val="-3"/>
                <w:sz w:val="18"/>
                <w:szCs w:val="18"/>
              </w:rPr>
              <w:t>45%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35%</w:t>
            </w:r>
            <w:r>
              <w:rPr>
                <w:rFonts w:ascii="宋体" w:hAnsi="宋体" w:cs="宋体" w:eastAsia="宋体" w:hint="default"/>
                <w:spacing w:val="-3"/>
                <w:sz w:val="18"/>
                <w:szCs w:val="18"/>
              </w:rPr>
              <w:t>、</w:t>
            </w:r>
            <w:r>
              <w:rPr>
                <w:rFonts w:ascii="宋体" w:hAnsi="宋体" w:cs="宋体" w:eastAsia="宋体" w:hint="default"/>
                <w:spacing w:val="-74"/>
                <w:sz w:val="18"/>
                <w:szCs w:val="18"/>
              </w:rPr>
              <w:t> </w:t>
            </w:r>
            <w:r>
              <w:rPr>
                <w:rFonts w:ascii="Times New Roman" w:hAnsi="Times New Roman" w:cs="Times New Roman" w:eastAsia="Times New Roman" w:hint="default"/>
                <w:spacing w:val="-4"/>
                <w:sz w:val="18"/>
                <w:szCs w:val="18"/>
              </w:rPr>
              <w:t>20%</w:t>
            </w:r>
            <w:r>
              <w:rPr>
                <w:rFonts w:ascii="宋体" w:hAnsi="宋体" w:cs="宋体" w:eastAsia="宋体" w:hint="default"/>
                <w:spacing w:val="-4"/>
                <w:sz w:val="18"/>
                <w:szCs w:val="18"/>
              </w:rPr>
              <w:t>的比例按如下条件分期解除锁定：</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宋体" w:hAnsi="宋体" w:cs="宋体" w:eastAsia="宋体" w:hint="default"/>
                <w:spacing w:val="-29"/>
                <w:sz w:val="18"/>
                <w:szCs w:val="18"/>
              </w:rPr>
              <w:t> </w:t>
            </w:r>
            <w:r>
              <w:rPr>
                <w:rFonts w:ascii="宋体" w:hAnsi="宋体" w:cs="宋体" w:eastAsia="宋体" w:hint="default"/>
                <w:sz w:val="18"/>
                <w:szCs w:val="18"/>
              </w:rPr>
              <w:t>自本次发行结束之日起满</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个月，且上</w:t>
            </w:r>
          </w:p>
          <w:p>
            <w:pPr>
              <w:pStyle w:val="TableParagraph"/>
              <w:spacing w:line="312" w:lineRule="auto" w:before="13"/>
              <w:ind w:left="106" w:right="99"/>
              <w:jc w:val="left"/>
              <w:rPr>
                <w:rFonts w:ascii="宋体" w:hAnsi="宋体" w:cs="宋体" w:eastAsia="宋体" w:hint="default"/>
                <w:sz w:val="18"/>
                <w:szCs w:val="18"/>
              </w:rPr>
            </w:pPr>
            <w:r>
              <w:rPr>
                <w:rFonts w:ascii="宋体" w:hAnsi="宋体" w:cs="宋体" w:eastAsia="宋体" w:hint="default"/>
                <w:sz w:val="18"/>
                <w:szCs w:val="18"/>
              </w:rPr>
              <w:t>市公司聘请的审计机构对标的公司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宋体" w:hAnsi="宋体" w:cs="宋体" w:eastAsia="宋体" w:hint="default"/>
                <w:spacing w:val="-3"/>
                <w:sz w:val="18"/>
                <w:szCs w:val="18"/>
              </w:rPr>
              <w:t>年度实际净利润数额进行审计确认并出</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8"/>
                <w:w w:val="101"/>
                <w:sz w:val="18"/>
                <w:szCs w:val="18"/>
              </w:rPr>
              <w:t>具《专项审核报告》，本人于本次交易中</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pacing w:val="-3"/>
                <w:sz w:val="18"/>
                <w:szCs w:val="18"/>
              </w:rPr>
              <w:t>取得的上市公司股份数量扣除第一年度</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用于业绩补偿的股份数量（若发生）后的</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Times New Roman" w:hAnsi="Times New Roman" w:cs="Times New Roman" w:eastAsia="Times New Roman" w:hint="default"/>
                <w:spacing w:val="-3"/>
                <w:sz w:val="18"/>
                <w:szCs w:val="18"/>
              </w:rPr>
              <w:t>45%</w:t>
            </w:r>
            <w:r>
              <w:rPr>
                <w:rFonts w:ascii="宋体" w:hAnsi="宋体" w:cs="宋体" w:eastAsia="宋体" w:hint="default"/>
                <w:spacing w:val="-3"/>
                <w:sz w:val="18"/>
                <w:szCs w:val="18"/>
              </w:rPr>
              <w:t>可解除锁定；</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、自本次发行结束之</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z w:val="18"/>
                <w:szCs w:val="18"/>
              </w:rPr>
              <w:t>日起满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个月，且上市公司聘请的审计</w:t>
            </w:r>
          </w:p>
          <w:p>
            <w:pPr>
              <w:pStyle w:val="TableParagraph"/>
              <w:spacing w:line="312" w:lineRule="auto" w:before="3"/>
              <w:ind w:left="106" w:right="7"/>
              <w:jc w:val="left"/>
              <w:rPr>
                <w:rFonts w:ascii="宋体" w:hAnsi="宋体" w:cs="宋体" w:eastAsia="宋体" w:hint="default"/>
                <w:sz w:val="18"/>
                <w:szCs w:val="18"/>
              </w:rPr>
            </w:pPr>
            <w:r>
              <w:rPr>
                <w:rFonts w:ascii="宋体" w:hAnsi="宋体" w:cs="宋体" w:eastAsia="宋体" w:hint="default"/>
                <w:sz w:val="18"/>
                <w:szCs w:val="18"/>
              </w:rPr>
              <w:t>机构对标的公司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年度实际净利润数</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0"/>
                <w:w w:val="101"/>
                <w:sz w:val="18"/>
                <w:szCs w:val="18"/>
              </w:rPr>
              <w:t>额进行审计确认并出具《专项审核报告》，</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pacing w:val="-3"/>
                <w:sz w:val="18"/>
                <w:szCs w:val="18"/>
              </w:rPr>
              <w:t>本人于本次交易中取得的上市公司股份</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数量扣除第二年度用于业绩补偿的股份</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7"/>
                <w:sz w:val="18"/>
                <w:szCs w:val="18"/>
              </w:rPr>
              <w:t>数量（若发生）后的</w:t>
            </w:r>
            <w:r>
              <w:rPr>
                <w:rFonts w:ascii="宋体" w:hAnsi="宋体" w:cs="宋体" w:eastAsia="宋体" w:hint="default"/>
                <w:spacing w:val="-20"/>
                <w:sz w:val="18"/>
                <w:szCs w:val="18"/>
              </w:rPr>
              <w:t> </w:t>
            </w:r>
            <w:r>
              <w:rPr>
                <w:rFonts w:ascii="Times New Roman" w:hAnsi="Times New Roman" w:cs="Times New Roman" w:eastAsia="Times New Roman" w:hint="default"/>
                <w:spacing w:val="-4"/>
                <w:sz w:val="18"/>
                <w:szCs w:val="18"/>
              </w:rPr>
              <w:t>35%</w:t>
            </w:r>
            <w:r>
              <w:rPr>
                <w:rFonts w:ascii="宋体" w:hAnsi="宋体" w:cs="宋体" w:eastAsia="宋体" w:hint="default"/>
                <w:spacing w:val="-4"/>
                <w:sz w:val="18"/>
                <w:szCs w:val="18"/>
              </w:rPr>
              <w:t>可解除锁定；</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宋体" w:hAnsi="宋体" w:cs="宋体" w:eastAsia="宋体" w:hint="default"/>
                <w:spacing w:val="-75"/>
                <w:sz w:val="18"/>
                <w:szCs w:val="18"/>
              </w:rPr>
              <w:t> </w:t>
            </w:r>
            <w:r>
              <w:rPr>
                <w:rFonts w:ascii="宋体" w:hAnsi="宋体" w:cs="宋体" w:eastAsia="宋体" w:hint="default"/>
                <w:sz w:val="18"/>
                <w:szCs w:val="18"/>
              </w:rPr>
              <w:t>自本次发行结束之日起满</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个月，且上</w:t>
            </w:r>
          </w:p>
          <w:p>
            <w:pPr>
              <w:pStyle w:val="TableParagraph"/>
              <w:spacing w:line="316" w:lineRule="auto" w:before="3"/>
              <w:ind w:left="106" w:right="46"/>
              <w:jc w:val="left"/>
              <w:rPr>
                <w:rFonts w:ascii="宋体" w:hAnsi="宋体" w:cs="宋体" w:eastAsia="宋体" w:hint="default"/>
                <w:sz w:val="18"/>
                <w:szCs w:val="18"/>
              </w:rPr>
            </w:pPr>
            <w:r>
              <w:rPr>
                <w:rFonts w:ascii="宋体" w:hAnsi="宋体" w:cs="宋体" w:eastAsia="宋体" w:hint="default"/>
                <w:sz w:val="18"/>
                <w:szCs w:val="18"/>
              </w:rPr>
              <w:t>市公司聘请的审计机构对标的公司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宋体" w:hAnsi="宋体" w:cs="宋体" w:eastAsia="宋体" w:hint="default"/>
                <w:spacing w:val="-3"/>
                <w:sz w:val="18"/>
                <w:szCs w:val="18"/>
              </w:rPr>
              <w:t>年度实际净利润数额进行审计确认并出</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8"/>
                <w:w w:val="101"/>
                <w:sz w:val="18"/>
                <w:szCs w:val="18"/>
              </w:rPr>
              <w:t>具《专项审核报告》，并已完成对标的公</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z w:val="18"/>
                <w:szCs w:val="18"/>
              </w:rPr>
              <w:t>司截至</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年度的减值测试及出具减值</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6"/>
                <w:sz w:val="18"/>
                <w:szCs w:val="18"/>
              </w:rPr>
              <w:t>测试报告，本人于本次交易中取得的上市</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公司股份数量扣除第一年度、第二年度及</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第三年度用于业绩补偿的股份数量（若发</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生）及减值测试补偿承诺（若发生）后的</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全部股份可解除锁定。在上述锁定期间</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内，本人基于本次交易所取得的上市公司</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股份因上市公司分配股票股利、资本公积</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转增等情形所衍生取得的股份亦应遵守</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前述股份锁定期的规定。在股份锁定期</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内，本人因履行业绩补偿义务而向上市公</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司进行股份补偿的，不受上述锁定限制。</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本人承诺，除遵守上述股份锁定的要求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外，在上述锁定期间内，在相关股份解除</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锁定之前，本人不以任何方式对处于锁定</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期的上市公司股份进行其他处分，包括但</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不限于赠与或质押所持上市公司股份（但</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8"/>
                <w:w w:val="101"/>
                <w:sz w:val="18"/>
                <w:szCs w:val="18"/>
              </w:rPr>
              <w:t>经上市公司董事会同意的除外）。如相关</w:t>
            </w:r>
            <w:r>
              <w:rPr>
                <w:rFonts w:ascii="宋体" w:hAnsi="宋体" w:cs="宋体" w:eastAsia="宋体" w:hint="default"/>
                <w:spacing w:val="-80"/>
                <w:w w:val="101"/>
                <w:sz w:val="18"/>
                <w:szCs w:val="18"/>
              </w:rPr>
              <w:t> </w:t>
            </w:r>
            <w:r>
              <w:rPr>
                <w:rFonts w:ascii="宋体" w:hAnsi="宋体" w:cs="宋体" w:eastAsia="宋体" w:hint="default"/>
                <w:spacing w:val="-80"/>
                <w:w w:val="101"/>
                <w:sz w:val="18"/>
                <w:szCs w:val="18"/>
              </w:rPr>
            </w:r>
            <w:r>
              <w:rPr>
                <w:rFonts w:ascii="宋体" w:hAnsi="宋体" w:cs="宋体" w:eastAsia="宋体" w:hint="default"/>
                <w:spacing w:val="-6"/>
                <w:sz w:val="18"/>
                <w:szCs w:val="18"/>
              </w:rPr>
              <w:t>法律、法规或中国证监会、交易所对股份</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6"/>
                <w:sz w:val="18"/>
                <w:szCs w:val="18"/>
              </w:rPr>
              <w:t>锁定有其他规定的，还应同时符合该等规</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定的要求。如违反上述承诺，本人将承担</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相应的法律责任</w:t>
            </w:r>
          </w:p>
        </w:tc>
        <w:tc>
          <w:tcPr>
            <w:tcW w:w="1018"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后三年</w:t>
            </w:r>
          </w:p>
        </w:tc>
        <w:tc>
          <w:tcPr>
            <w:tcW w:w="948" w:type="dxa"/>
            <w:tcBorders>
              <w:top w:val="single" w:sz="4" w:space="0" w:color="000000"/>
              <w:left w:val="single" w:sz="4" w:space="0" w:color="000000"/>
              <w:bottom w:val="single" w:sz="4" w:space="0" w:color="000000"/>
              <w:right w:val="single" w:sz="4" w:space="0" w:color="000000"/>
            </w:tcBorders>
          </w:tcPr>
          <w:p>
            <w:pPr/>
          </w:p>
        </w:tc>
      </w:tr>
      <w:tr>
        <w:trPr>
          <w:trHeight w:val="989" w:hRule="exact"/>
        </w:trPr>
        <w:tc>
          <w:tcPr>
            <w:tcW w:w="1138" w:type="dxa"/>
            <w:vMerge/>
            <w:tcBorders>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4"/>
              <w:ind w:left="105" w:right="225"/>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92</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名重大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资产重</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316" w:lineRule="auto"/>
              <w:ind w:left="100" w:right="137"/>
              <w:jc w:val="left"/>
              <w:rPr>
                <w:rFonts w:ascii="宋体" w:hAnsi="宋体" w:cs="宋体" w:eastAsia="宋体" w:hint="default"/>
                <w:sz w:val="18"/>
                <w:szCs w:val="18"/>
              </w:rPr>
            </w:pPr>
            <w:r>
              <w:rPr>
                <w:rFonts w:ascii="宋体" w:hAnsi="宋体" w:cs="宋体" w:eastAsia="宋体" w:hint="default"/>
                <w:spacing w:val="-2"/>
                <w:sz w:val="18"/>
                <w:szCs w:val="18"/>
              </w:rPr>
              <w:t>关于锁定期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的承诺</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6" w:right="46"/>
              <w:jc w:val="left"/>
              <w:rPr>
                <w:rFonts w:ascii="宋体" w:hAnsi="宋体" w:cs="宋体" w:eastAsia="宋体" w:hint="default"/>
                <w:sz w:val="18"/>
                <w:szCs w:val="18"/>
              </w:rPr>
            </w:pPr>
            <w:r>
              <w:rPr>
                <w:rFonts w:ascii="宋体" w:hAnsi="宋体" w:cs="宋体" w:eastAsia="宋体" w:hint="default"/>
                <w:spacing w:val="-3"/>
                <w:sz w:val="18"/>
                <w:szCs w:val="18"/>
              </w:rPr>
              <w:t>若自其最后一次买入维恩贝特股票至本</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次交易的草案公告之日起满十二个月的，</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可自其取得上市公司股份之日起满十二</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07</w:t>
            </w:r>
            <w:r>
              <w:rPr>
                <w:rFonts w:ascii="Times New Roman" w:hAnsi="Times New Roman" w:cs="Times New Roman" w:eastAsia="Times New Roman" w:hint="default"/>
                <w:sz w:val="18"/>
                <w:szCs w:val="18"/>
              </w:rPr>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132"/>
              <w:jc w:val="both"/>
              <w:rPr>
                <w:rFonts w:ascii="宋体" w:hAnsi="宋体" w:cs="宋体" w:eastAsia="宋体" w:hint="default"/>
                <w:sz w:val="18"/>
                <w:szCs w:val="18"/>
              </w:rPr>
            </w:pPr>
            <w:r>
              <w:rPr>
                <w:rFonts w:ascii="宋体" w:hAnsi="宋体" w:cs="宋体" w:eastAsia="宋体" w:hint="default"/>
                <w:sz w:val="18"/>
                <w:szCs w:val="18"/>
              </w:rPr>
              <w:t>重大资产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重组限售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股份发行</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316" w:lineRule="auto"/>
              <w:ind w:left="105" w:right="105"/>
              <w:jc w:val="left"/>
              <w:rPr>
                <w:rFonts w:ascii="宋体" w:hAnsi="宋体" w:cs="宋体" w:eastAsia="宋体" w:hint="default"/>
                <w:sz w:val="18"/>
                <w:szCs w:val="18"/>
              </w:rPr>
            </w:pPr>
            <w:r>
              <w:rPr>
                <w:rFonts w:ascii="宋体" w:hAnsi="宋体" w:cs="宋体" w:eastAsia="宋体" w:hint="default"/>
                <w:sz w:val="18"/>
                <w:szCs w:val="18"/>
              </w:rPr>
              <w:t>正在履行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w:t>
            </w:r>
          </w:p>
        </w:tc>
      </w:tr>
    </w:tbl>
    <w:p>
      <w:pPr>
        <w:spacing w:after="0" w:line="316"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138"/>
        <w:gridCol w:w="932"/>
        <w:gridCol w:w="1152"/>
        <w:gridCol w:w="3409"/>
        <w:gridCol w:w="1018"/>
        <w:gridCol w:w="975"/>
        <w:gridCol w:w="946"/>
      </w:tblGrid>
      <w:tr>
        <w:trPr>
          <w:trHeight w:val="1297" w:hRule="exact"/>
        </w:trPr>
        <w:tc>
          <w:tcPr>
            <w:tcW w:w="1138" w:type="dxa"/>
            <w:vMerge w:val="restart"/>
            <w:tcBorders>
              <w:top w:val="single" w:sz="4" w:space="0" w:color="000000"/>
              <w:left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5" w:right="271"/>
              <w:jc w:val="both"/>
              <w:rPr>
                <w:rFonts w:ascii="宋体" w:hAnsi="宋体" w:cs="宋体" w:eastAsia="宋体" w:hint="default"/>
                <w:sz w:val="18"/>
                <w:szCs w:val="18"/>
              </w:rPr>
            </w:pPr>
            <w:r>
              <w:rPr>
                <w:rFonts w:ascii="宋体" w:hAnsi="宋体" w:cs="宋体" w:eastAsia="宋体" w:hint="default"/>
                <w:sz w:val="18"/>
                <w:szCs w:val="18"/>
              </w:rPr>
              <w:t>组事项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w:t>
            </w:r>
          </w:p>
        </w:tc>
        <w:tc>
          <w:tcPr>
            <w:tcW w:w="1152" w:type="dxa"/>
            <w:tcBorders>
              <w:top w:val="single" w:sz="4" w:space="0" w:color="000000"/>
              <w:left w:val="single" w:sz="4" w:space="0" w:color="000000"/>
              <w:bottom w:val="single" w:sz="4" w:space="0" w:color="000000"/>
              <w:right w:val="single" w:sz="4" w:space="0" w:color="000000"/>
            </w:tcBorders>
          </w:tcPr>
          <w:p>
            <w:pP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6" w:right="99"/>
              <w:jc w:val="left"/>
              <w:rPr>
                <w:rFonts w:ascii="宋体" w:hAnsi="宋体" w:cs="宋体" w:eastAsia="宋体" w:hint="default"/>
                <w:sz w:val="18"/>
                <w:szCs w:val="18"/>
              </w:rPr>
            </w:pPr>
            <w:r>
              <w:rPr>
                <w:rFonts w:ascii="宋体" w:hAnsi="宋体" w:cs="宋体" w:eastAsia="宋体" w:hint="default"/>
                <w:spacing w:val="-6"/>
                <w:sz w:val="18"/>
                <w:szCs w:val="18"/>
              </w:rPr>
              <w:t>个月后解锁；若自其最后一次买入维恩贝</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特股票至本次交易的草案公告之日起不</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满十二个月的，可自其取得上市公司股份</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之日起满三十六个月后解锁。</w:t>
            </w:r>
          </w:p>
        </w:tc>
        <w:tc>
          <w:tcPr>
            <w:tcW w:w="1018"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后三年</w:t>
            </w: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8205" w:hRule="exact"/>
        </w:trPr>
        <w:tc>
          <w:tcPr>
            <w:tcW w:w="1138" w:type="dxa"/>
            <w:vMerge/>
            <w:tcBorders>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26"/>
              <w:ind w:left="105" w:right="132"/>
              <w:jc w:val="left"/>
              <w:rPr>
                <w:rFonts w:ascii="宋体" w:hAnsi="宋体" w:cs="宋体" w:eastAsia="宋体" w:hint="default"/>
                <w:sz w:val="18"/>
                <w:szCs w:val="18"/>
              </w:rPr>
            </w:pPr>
            <w:r>
              <w:rPr>
                <w:rFonts w:ascii="宋体" w:hAnsi="宋体" w:cs="宋体" w:eastAsia="宋体" w:hint="default"/>
                <w:sz w:val="18"/>
                <w:szCs w:val="18"/>
              </w:rPr>
              <w:t>陈兵等</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名业绩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承诺方</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6"/>
              <w:ind w:left="100" w:right="137"/>
              <w:jc w:val="both"/>
              <w:rPr>
                <w:rFonts w:ascii="宋体" w:hAnsi="宋体" w:cs="宋体" w:eastAsia="宋体" w:hint="default"/>
                <w:sz w:val="18"/>
                <w:szCs w:val="18"/>
              </w:rPr>
            </w:pPr>
            <w:r>
              <w:rPr>
                <w:rFonts w:ascii="宋体" w:hAnsi="宋体" w:cs="宋体" w:eastAsia="宋体" w:hint="default"/>
                <w:spacing w:val="-2"/>
                <w:sz w:val="18"/>
                <w:szCs w:val="18"/>
              </w:rPr>
              <w:t>关于应收款</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项的补充承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诺函</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、天源迪科将在业绩承诺期结束后，在</w:t>
            </w:r>
          </w:p>
          <w:p>
            <w:pPr>
              <w:pStyle w:val="TableParagraph"/>
              <w:spacing w:line="300" w:lineRule="auto" w:before="63"/>
              <w:ind w:left="106"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年度审计报告出具之后的</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2"/>
                <w:sz w:val="18"/>
                <w:szCs w:val="18"/>
              </w:rPr>
              <w:t> </w:t>
            </w:r>
            <w:r>
              <w:rPr>
                <w:rFonts w:ascii="宋体" w:hAnsi="宋体" w:cs="宋体" w:eastAsia="宋体" w:hint="default"/>
                <w:spacing w:val="-5"/>
                <w:sz w:val="18"/>
                <w:szCs w:val="18"/>
              </w:rPr>
              <w:t>日内，</w:t>
            </w:r>
            <w:r>
              <w:rPr>
                <w:rFonts w:ascii="宋体" w:hAnsi="宋体" w:cs="宋体" w:eastAsia="宋体" w:hint="default"/>
                <w:spacing w:val="-85"/>
                <w:sz w:val="18"/>
                <w:szCs w:val="18"/>
              </w:rPr>
              <w:t> </w:t>
            </w:r>
            <w:r>
              <w:rPr>
                <w:rFonts w:ascii="宋体" w:hAnsi="宋体" w:cs="宋体" w:eastAsia="宋体" w:hint="default"/>
                <w:spacing w:val="-3"/>
                <w:sz w:val="18"/>
                <w:szCs w:val="18"/>
              </w:rPr>
              <w:t>将维恩贝特在业绩承诺期内的应收款项</w:t>
            </w:r>
          </w:p>
          <w:p>
            <w:pPr>
              <w:pStyle w:val="TableParagraph"/>
              <w:spacing w:line="314" w:lineRule="auto" w:before="31"/>
              <w:ind w:left="106" w:right="8"/>
              <w:jc w:val="left"/>
              <w:rPr>
                <w:rFonts w:ascii="宋体" w:hAnsi="宋体" w:cs="宋体" w:eastAsia="宋体" w:hint="default"/>
                <w:sz w:val="18"/>
                <w:szCs w:val="18"/>
              </w:rPr>
            </w:pPr>
            <w:r>
              <w:rPr>
                <w:rFonts w:ascii="宋体" w:hAnsi="宋体" w:cs="宋体" w:eastAsia="宋体" w:hint="default"/>
                <w:spacing w:val="-6"/>
                <w:sz w:val="18"/>
                <w:szCs w:val="18"/>
              </w:rPr>
              <w:t>（包括应收账款、其他应收款，不包含已</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6"/>
                <w:sz w:val="18"/>
                <w:szCs w:val="18"/>
              </w:rPr>
              <w:t>经计入坏账的数额）通知陈兵、魏然、谢</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10"/>
                <w:sz w:val="18"/>
                <w:szCs w:val="18"/>
              </w:rPr>
              <w:t>明、黄超民、郭伟杰。陈兵、魏然、谢明、</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6"/>
                <w:sz w:val="18"/>
                <w:szCs w:val="18"/>
              </w:rPr>
              <w:t>黄超民、郭伟杰对前述应收款项承担追缴</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责任。</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、在业绩承诺期结束之日起两年</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6"/>
                <w:sz w:val="18"/>
                <w:szCs w:val="18"/>
              </w:rPr>
              <w:t>后，天源迪科和陈兵、魏然、谢明、黄超</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民、郭伟杰在出具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年度审计报告日</w:t>
            </w:r>
          </w:p>
          <w:p>
            <w:pPr>
              <w:pStyle w:val="TableParagraph"/>
              <w:spacing w:line="312" w:lineRule="auto" w:before="1"/>
              <w:ind w:left="106" w:right="7"/>
              <w:jc w:val="left"/>
              <w:rPr>
                <w:rFonts w:ascii="宋体" w:hAnsi="宋体" w:cs="宋体" w:eastAsia="宋体" w:hint="default"/>
                <w:sz w:val="18"/>
                <w:szCs w:val="18"/>
              </w:rPr>
            </w:pPr>
            <w:r>
              <w:rPr>
                <w:rFonts w:ascii="宋体" w:hAnsi="宋体" w:cs="宋体" w:eastAsia="宋体" w:hint="default"/>
                <w:sz w:val="18"/>
                <w:szCs w:val="18"/>
              </w:rPr>
              <w:t>确认前述</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中的应收款项（包括应收账</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6"/>
                <w:sz w:val="18"/>
                <w:szCs w:val="18"/>
              </w:rPr>
              <w:t>款、其他应收款，不包含已经计入坏账的</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5"/>
                <w:sz w:val="18"/>
                <w:szCs w:val="18"/>
              </w:rPr>
              <w:t>数额）仍未收回的金额。</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、陈兵、魏然、</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6"/>
                <w:sz w:val="18"/>
                <w:szCs w:val="18"/>
              </w:rPr>
              <w:t>谢明、黄超民、郭伟杰应缴纳与上述</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中</w:t>
            </w:r>
            <w:r>
              <w:rPr>
                <w:rFonts w:ascii="宋体" w:hAnsi="宋体" w:cs="宋体" w:eastAsia="宋体" w:hint="default"/>
                <w:spacing w:val="-60"/>
                <w:sz w:val="18"/>
                <w:szCs w:val="18"/>
              </w:rPr>
              <w:t> </w:t>
            </w:r>
            <w:r>
              <w:rPr>
                <w:rFonts w:ascii="宋体" w:hAnsi="宋体" w:cs="宋体" w:eastAsia="宋体" w:hint="default"/>
                <w:spacing w:val="-3"/>
                <w:sz w:val="18"/>
                <w:szCs w:val="18"/>
              </w:rPr>
              <w:t>确认的未收回的应收款项同等金额的保</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证金于天源迪科。陈兵、魏然、谢明、黄</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6"/>
                <w:sz w:val="18"/>
                <w:szCs w:val="18"/>
              </w:rPr>
              <w:t>超民、郭伟杰应于收到天源迪科保证金缴</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纳通知后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日内，以现金方式缴纳保证</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6"/>
                <w:sz w:val="18"/>
                <w:szCs w:val="18"/>
              </w:rPr>
              <w:t>金至天源迪科账户。天源迪科在前述确认</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的仍未收回的应收款项，每一笔收回时的</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Times New Roman" w:hAnsi="Times New Roman" w:cs="Times New Roman" w:eastAsia="Times New Roman" w:hint="default"/>
                <w:sz w:val="18"/>
                <w:szCs w:val="18"/>
              </w:rPr>
              <w:t>10 </w:t>
            </w:r>
            <w:r>
              <w:rPr>
                <w:rFonts w:ascii="宋体" w:hAnsi="宋体" w:cs="宋体" w:eastAsia="宋体" w:hint="default"/>
                <w:spacing w:val="-3"/>
                <w:sz w:val="18"/>
                <w:szCs w:val="18"/>
              </w:rPr>
              <w:t>个工作日内，将收回的该笔应收款项</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10"/>
                <w:w w:val="101"/>
                <w:sz w:val="18"/>
                <w:szCs w:val="18"/>
              </w:rPr>
              <w:t>所对应的保证金返还给陈兵、魏然、谢明、</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pacing w:val="-5"/>
                <w:sz w:val="18"/>
                <w:szCs w:val="18"/>
              </w:rPr>
              <w:t>黄超民、郭伟杰。</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、陈兵、魏然、谢明、</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6"/>
                <w:sz w:val="18"/>
                <w:szCs w:val="18"/>
              </w:rPr>
              <w:t>黄超民、郭伟杰各方之间按照其持有的维</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恩贝特的股份比例承担前述条款之保证</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金并承担连带责任。</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6"/>
              <w:ind w:left="105" w:right="132"/>
              <w:jc w:val="both"/>
              <w:rPr>
                <w:rFonts w:ascii="宋体" w:hAnsi="宋体" w:cs="宋体" w:eastAsia="宋体" w:hint="default"/>
                <w:sz w:val="18"/>
                <w:szCs w:val="18"/>
              </w:rPr>
            </w:pPr>
            <w:r>
              <w:rPr>
                <w:rFonts w:ascii="宋体" w:hAnsi="宋体" w:cs="宋体" w:eastAsia="宋体" w:hint="default"/>
                <w:sz w:val="18"/>
                <w:szCs w:val="18"/>
              </w:rPr>
              <w:t>业绩承诺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期及其后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两年</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21" w:lineRule="auto"/>
              <w:ind w:left="105" w:right="103"/>
              <w:jc w:val="left"/>
              <w:rPr>
                <w:rFonts w:ascii="宋体" w:hAnsi="宋体" w:cs="宋体" w:eastAsia="宋体" w:hint="default"/>
                <w:sz w:val="18"/>
                <w:szCs w:val="18"/>
              </w:rPr>
            </w:pPr>
            <w:r>
              <w:rPr>
                <w:rFonts w:ascii="宋体" w:hAnsi="宋体" w:cs="宋体" w:eastAsia="宋体" w:hint="default"/>
                <w:sz w:val="18"/>
                <w:szCs w:val="18"/>
              </w:rPr>
              <w:t>正在履行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w:t>
            </w:r>
          </w:p>
        </w:tc>
      </w:tr>
      <w:tr>
        <w:trPr>
          <w:trHeight w:val="4422" w:hRule="exact"/>
        </w:trPr>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6" w:lineRule="auto"/>
              <w:ind w:left="105" w:right="118"/>
              <w:jc w:val="both"/>
              <w:rPr>
                <w:rFonts w:ascii="宋体" w:hAnsi="宋体" w:cs="宋体" w:eastAsia="宋体" w:hint="default"/>
                <w:sz w:val="18"/>
                <w:szCs w:val="18"/>
              </w:rPr>
            </w:pPr>
            <w:r>
              <w:rPr>
                <w:rFonts w:ascii="宋体" w:hAnsi="宋体" w:cs="宋体" w:eastAsia="宋体" w:hint="default"/>
                <w:spacing w:val="-2"/>
                <w:sz w:val="18"/>
                <w:szCs w:val="18"/>
              </w:rPr>
              <w:t>首次公开发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行或再融资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时所作承诺</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6" w:lineRule="auto"/>
              <w:ind w:left="105" w:right="89"/>
              <w:jc w:val="both"/>
              <w:rPr>
                <w:rFonts w:ascii="宋体" w:hAnsi="宋体" w:cs="宋体" w:eastAsia="宋体" w:hint="default"/>
                <w:sz w:val="18"/>
                <w:szCs w:val="18"/>
              </w:rPr>
            </w:pPr>
            <w:r>
              <w:rPr>
                <w:rFonts w:ascii="宋体" w:hAnsi="宋体" w:cs="宋体" w:eastAsia="宋体" w:hint="default"/>
                <w:sz w:val="18"/>
                <w:szCs w:val="18"/>
              </w:rPr>
              <w:t>陈鲁康、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陈友、李</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谦益、吴</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志东、谢</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晓宾、杨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文庆</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100" w:right="137"/>
              <w:jc w:val="left"/>
              <w:rPr>
                <w:rFonts w:ascii="宋体" w:hAnsi="宋体" w:cs="宋体" w:eastAsia="宋体" w:hint="default"/>
                <w:sz w:val="18"/>
                <w:szCs w:val="18"/>
              </w:rPr>
            </w:pPr>
            <w:r>
              <w:rPr>
                <w:rFonts w:ascii="宋体" w:hAnsi="宋体" w:cs="宋体" w:eastAsia="宋体" w:hint="default"/>
                <w:spacing w:val="-2"/>
                <w:sz w:val="18"/>
                <w:szCs w:val="18"/>
              </w:rPr>
              <w:t>股份锁定承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106" w:right="46"/>
              <w:jc w:val="left"/>
              <w:rPr>
                <w:rFonts w:ascii="宋体" w:hAnsi="宋体" w:cs="宋体" w:eastAsia="宋体" w:hint="default"/>
                <w:sz w:val="18"/>
                <w:szCs w:val="18"/>
              </w:rPr>
            </w:pPr>
            <w:r>
              <w:rPr>
                <w:rFonts w:ascii="宋体" w:hAnsi="宋体" w:cs="宋体" w:eastAsia="宋体" w:hint="default"/>
                <w:spacing w:val="-3"/>
                <w:sz w:val="18"/>
                <w:szCs w:val="18"/>
              </w:rPr>
              <w:t>首次公开发行前股东所持股份的流通限</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制和自愿锁定股份的承诺：担任公司董</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事、高级管理人员的股东陈友、陈鲁康、</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6"/>
                <w:sz w:val="18"/>
                <w:szCs w:val="18"/>
              </w:rPr>
              <w:t>李谦益、谢晓宾以及担任董事的股东吴志</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东、杨文庆承诺在其任职期间每年转让的</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股份不得超过其所持有本公司股份总数</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的百分之二十五；离职后半年内，不转让</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其所持有的本公司股份。上述承诺期限届</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满后，上述股份可以上市流通。</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12</w:t>
            </w:r>
            <w:r>
              <w:rPr>
                <w:rFonts w:ascii="Times New Roman" w:hAnsi="Times New Roman" w:cs="Times New Roman" w:eastAsia="Times New Roman" w:hint="default"/>
                <w:sz w:val="18"/>
                <w:szCs w:val="18"/>
              </w:rPr>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105" w:right="132"/>
              <w:jc w:val="left"/>
              <w:rPr>
                <w:rFonts w:ascii="宋体" w:hAnsi="宋体" w:cs="宋体" w:eastAsia="宋体" w:hint="default"/>
                <w:sz w:val="18"/>
                <w:szCs w:val="18"/>
              </w:rPr>
            </w:pPr>
            <w:r>
              <w:rPr>
                <w:rFonts w:ascii="宋体" w:hAnsi="宋体" w:cs="宋体" w:eastAsia="宋体" w:hint="default"/>
                <w:sz w:val="18"/>
                <w:szCs w:val="18"/>
              </w:rPr>
              <w:t>任职期间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内有效</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03"/>
              <w:jc w:val="left"/>
              <w:rPr>
                <w:rFonts w:ascii="Times New Roman" w:hAnsi="Times New Roman" w:cs="Times New Roman" w:eastAsia="Times New Roman" w:hint="default"/>
                <w:sz w:val="18"/>
                <w:szCs w:val="18"/>
              </w:rPr>
            </w:pPr>
            <w:r>
              <w:rPr>
                <w:rFonts w:ascii="宋体" w:hAnsi="宋体" w:cs="宋体" w:eastAsia="宋体" w:hint="default"/>
                <w:sz w:val="18"/>
                <w:szCs w:val="18"/>
              </w:rPr>
              <w:t>正在履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吴志东自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p>
          <w:p>
            <w:pPr>
              <w:pStyle w:val="TableParagraph"/>
              <w:spacing w:line="314" w:lineRule="auto"/>
              <w:ind w:left="105" w:right="103"/>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7"/>
                <w:sz w:val="18"/>
                <w:szCs w:val="18"/>
              </w:rPr>
              <w:t> </w:t>
            </w:r>
            <w:r>
              <w:rPr>
                <w:rFonts w:ascii="宋体" w:hAnsi="宋体" w:cs="宋体" w:eastAsia="宋体" w:hint="default"/>
                <w:sz w:val="18"/>
                <w:szCs w:val="18"/>
              </w:rPr>
              <w:t>起不再担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任公司董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事，李谦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益自</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p>
          <w:p>
            <w:pPr>
              <w:pStyle w:val="TableParagraph"/>
              <w:spacing w:line="312" w:lineRule="auto" w:before="1"/>
              <w:ind w:left="105" w:right="10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7"/>
                <w:sz w:val="18"/>
                <w:szCs w:val="18"/>
              </w:rPr>
              <w:t> </w:t>
            </w:r>
            <w:r>
              <w:rPr>
                <w:rFonts w:ascii="宋体" w:hAnsi="宋体" w:cs="宋体" w:eastAsia="宋体" w:hint="default"/>
                <w:sz w:val="18"/>
                <w:szCs w:val="18"/>
              </w:rPr>
              <w:t>起不再担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任公司董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事，其履</w:t>
            </w:r>
          </w:p>
        </w:tc>
      </w:tr>
    </w:tbl>
    <w:p>
      <w:pPr>
        <w:spacing w:after="0" w:line="312"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138"/>
        <w:gridCol w:w="932"/>
        <w:gridCol w:w="1152"/>
        <w:gridCol w:w="3409"/>
        <w:gridCol w:w="1018"/>
        <w:gridCol w:w="975"/>
        <w:gridCol w:w="948"/>
      </w:tblGrid>
      <w:tr>
        <w:trPr>
          <w:trHeight w:val="672" w:hRule="exact"/>
        </w:trPr>
        <w:tc>
          <w:tcPr>
            <w:tcW w:w="1138" w:type="dxa"/>
            <w:vMerge w:val="restart"/>
            <w:tcBorders>
              <w:top w:val="single" w:sz="4" w:space="0" w:color="000000"/>
              <w:left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3409"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105" w:right="105"/>
              <w:jc w:val="left"/>
              <w:rPr>
                <w:rFonts w:ascii="宋体" w:hAnsi="宋体" w:cs="宋体" w:eastAsia="宋体" w:hint="default"/>
                <w:sz w:val="18"/>
                <w:szCs w:val="18"/>
              </w:rPr>
            </w:pPr>
            <w:r>
              <w:rPr>
                <w:rFonts w:ascii="宋体" w:hAnsi="宋体" w:cs="宋体" w:eastAsia="宋体" w:hint="default"/>
                <w:sz w:val="18"/>
                <w:szCs w:val="18"/>
              </w:rPr>
              <w:t>行完毕本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w:t>
            </w:r>
          </w:p>
        </w:tc>
      </w:tr>
      <w:tr>
        <w:trPr>
          <w:trHeight w:val="5709" w:hRule="exact"/>
        </w:trPr>
        <w:tc>
          <w:tcPr>
            <w:tcW w:w="1138" w:type="dxa"/>
            <w:vMerge/>
            <w:tcBorders>
              <w:left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4"/>
              <w:ind w:left="105" w:right="89"/>
              <w:jc w:val="left"/>
              <w:rPr>
                <w:rFonts w:ascii="宋体" w:hAnsi="宋体" w:cs="宋体" w:eastAsia="宋体" w:hint="default"/>
                <w:sz w:val="18"/>
                <w:szCs w:val="18"/>
              </w:rPr>
            </w:pPr>
            <w:r>
              <w:rPr>
                <w:rFonts w:ascii="宋体" w:hAnsi="宋体" w:cs="宋体" w:eastAsia="宋体" w:hint="default"/>
                <w:sz w:val="18"/>
                <w:szCs w:val="18"/>
              </w:rPr>
              <w:t>陈鲁康、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陈友、戴</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昌久、邓</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爱国、李</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谦益、李</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毅、魏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丽、吴志</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东、谢晓</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宾、杨文</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庆、周俊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6" w:lineRule="auto"/>
              <w:ind w:left="100" w:right="137"/>
              <w:jc w:val="both"/>
              <w:rPr>
                <w:rFonts w:ascii="宋体" w:hAnsi="宋体" w:cs="宋体" w:eastAsia="宋体" w:hint="default"/>
                <w:sz w:val="18"/>
                <w:szCs w:val="18"/>
              </w:rPr>
            </w:pPr>
            <w:r>
              <w:rPr>
                <w:rFonts w:ascii="宋体" w:hAnsi="宋体" w:cs="宋体" w:eastAsia="宋体" w:hint="default"/>
                <w:spacing w:val="-2"/>
                <w:sz w:val="18"/>
                <w:szCs w:val="18"/>
              </w:rPr>
              <w:t>保持公司经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营决策不因</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股权分散发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生重大变化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的承诺</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4" w:lineRule="auto"/>
              <w:ind w:left="106" w:right="46"/>
              <w:jc w:val="left"/>
              <w:rPr>
                <w:rFonts w:ascii="宋体" w:hAnsi="宋体" w:cs="宋体" w:eastAsia="宋体" w:hint="default"/>
                <w:sz w:val="18"/>
                <w:szCs w:val="18"/>
              </w:rPr>
            </w:pPr>
            <w:r>
              <w:rPr>
                <w:rFonts w:ascii="宋体" w:hAnsi="宋体" w:cs="宋体" w:eastAsia="宋体" w:hint="default"/>
                <w:spacing w:val="-3"/>
                <w:sz w:val="18"/>
                <w:szCs w:val="18"/>
              </w:rPr>
              <w:t>公司全体董事关于保持公司经营决策不</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因股权分散发生重大变化的承诺：在任职</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期间内，董事会议案如涉及公司重大生产</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经营决策，在进行投票表决时保证：</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宋体" w:hAnsi="宋体" w:cs="宋体" w:eastAsia="宋体" w:hint="default"/>
                <w:spacing w:val="-34"/>
                <w:sz w:val="18"/>
                <w:szCs w:val="18"/>
              </w:rPr>
              <w:t> </w:t>
            </w:r>
            <w:r>
              <w:rPr>
                <w:rFonts w:ascii="宋体" w:hAnsi="宋体" w:cs="宋体" w:eastAsia="宋体" w:hint="default"/>
                <w:spacing w:val="-3"/>
                <w:sz w:val="18"/>
                <w:szCs w:val="18"/>
              </w:rPr>
              <w:t>在公司发展战略、发展目标、发展规划、</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6"/>
                <w:sz w:val="18"/>
                <w:szCs w:val="18"/>
              </w:rPr>
              <w:t>未来发展方向等方面，严格遵守招股说明</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书第十二节</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未来发展与规划</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一节的有</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关内容，且不改变公司的既定的发展战</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略、发展目标、发展规划、未来发展方向</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等。</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、公司未来将专注于目前的主营业</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务，即电信、公安应用软件产品的开发、</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生产和销售，计算机软、硬件系统集成，</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6"/>
                <w:sz w:val="18"/>
                <w:szCs w:val="18"/>
              </w:rPr>
              <w:t>技术支持与服务，公司未来不改变主营业</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务。</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、公司未来继续贯彻执行目前既定</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6"/>
                <w:sz w:val="18"/>
                <w:szCs w:val="18"/>
              </w:rPr>
              <w:t>的生产经营策略，在研发方面，按照行业</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6"/>
                <w:sz w:val="18"/>
                <w:szCs w:val="18"/>
              </w:rPr>
              <w:t>内技术发展的趋势组织研发工作，在销售</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方面，继续执行服务式营销策略。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12</w:t>
            </w:r>
            <w:r>
              <w:rPr>
                <w:rFonts w:ascii="Times New Roman" w:hAnsi="Times New Roman" w:cs="Times New Roman" w:eastAsia="Times New Roman" w:hint="default"/>
                <w:sz w:val="18"/>
                <w:szCs w:val="18"/>
              </w:rPr>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21" w:lineRule="auto"/>
              <w:ind w:left="105" w:right="132"/>
              <w:jc w:val="left"/>
              <w:rPr>
                <w:rFonts w:ascii="宋体" w:hAnsi="宋体" w:cs="宋体" w:eastAsia="宋体" w:hint="default"/>
                <w:sz w:val="18"/>
                <w:szCs w:val="18"/>
              </w:rPr>
            </w:pPr>
            <w:r>
              <w:rPr>
                <w:rFonts w:ascii="宋体" w:hAnsi="宋体" w:cs="宋体" w:eastAsia="宋体" w:hint="default"/>
                <w:sz w:val="18"/>
                <w:szCs w:val="18"/>
              </w:rPr>
              <w:t>任职期间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内有效</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05"/>
              <w:jc w:val="left"/>
              <w:rPr>
                <w:rFonts w:ascii="Times New Roman" w:hAnsi="Times New Roman" w:cs="Times New Roman" w:eastAsia="Times New Roman" w:hint="default"/>
                <w:sz w:val="18"/>
                <w:szCs w:val="18"/>
              </w:rPr>
            </w:pPr>
            <w:r>
              <w:rPr>
                <w:rFonts w:ascii="宋体" w:hAnsi="宋体" w:cs="宋体" w:eastAsia="宋体" w:hint="default"/>
                <w:sz w:val="18"/>
                <w:szCs w:val="18"/>
              </w:rPr>
              <w:t>正在履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行，截止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p>
          <w:p>
            <w:pPr>
              <w:pStyle w:val="TableParagraph"/>
              <w:spacing w:line="316" w:lineRule="auto"/>
              <w:ind w:left="105" w:right="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6"/>
                <w:sz w:val="18"/>
                <w:szCs w:val="18"/>
              </w:rPr>
              <w:t> </w:t>
            </w:r>
            <w:r>
              <w:rPr>
                <w:rFonts w:ascii="宋体" w:hAnsi="宋体" w:cs="宋体" w:eastAsia="宋体" w:hint="default"/>
                <w:sz w:val="18"/>
                <w:szCs w:val="18"/>
              </w:rPr>
              <w:t>吴志东、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魏丽不再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担任公司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董事职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务，戴昌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久、邓爱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8"/>
                <w:w w:val="101"/>
                <w:sz w:val="18"/>
                <w:szCs w:val="18"/>
              </w:rPr>
              <w:t>国、李毅、</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周俊祥不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再担任公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司独立董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事职务，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以上人员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已履行完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毕本承诺</w:t>
            </w:r>
          </w:p>
        </w:tc>
      </w:tr>
      <w:tr>
        <w:trPr>
          <w:trHeight w:val="6645" w:hRule="exact"/>
        </w:trPr>
        <w:tc>
          <w:tcPr>
            <w:tcW w:w="1138" w:type="dxa"/>
            <w:vMerge/>
            <w:tcBorders>
              <w:left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9" w:lineRule="auto"/>
              <w:ind w:left="105" w:right="89"/>
              <w:jc w:val="both"/>
              <w:rPr>
                <w:rFonts w:ascii="宋体" w:hAnsi="宋体" w:cs="宋体" w:eastAsia="宋体" w:hint="default"/>
                <w:sz w:val="18"/>
                <w:szCs w:val="18"/>
              </w:rPr>
            </w:pPr>
            <w:r>
              <w:rPr>
                <w:rFonts w:ascii="宋体" w:hAnsi="宋体" w:cs="宋体" w:eastAsia="宋体" w:hint="default"/>
                <w:sz w:val="18"/>
                <w:szCs w:val="18"/>
              </w:rPr>
              <w:t>陈鲁康、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陈友、李</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谦益、天</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泽投资、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吴志东、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谢晓宾、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杨文庆</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9" w:lineRule="auto"/>
              <w:ind w:left="100" w:right="137"/>
              <w:jc w:val="both"/>
              <w:rPr>
                <w:rFonts w:ascii="宋体" w:hAnsi="宋体" w:cs="宋体" w:eastAsia="宋体" w:hint="default"/>
                <w:sz w:val="18"/>
                <w:szCs w:val="18"/>
              </w:rPr>
            </w:pPr>
            <w:r>
              <w:rPr>
                <w:rFonts w:ascii="宋体" w:hAnsi="宋体" w:cs="宋体" w:eastAsia="宋体" w:hint="default"/>
                <w:spacing w:val="-2"/>
                <w:sz w:val="18"/>
                <w:szCs w:val="18"/>
              </w:rPr>
              <w:t>关于保持公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司控制权稳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定和经营决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策不因股权</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分散发生重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大变化的承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6" w:right="7"/>
              <w:jc w:val="left"/>
              <w:rPr>
                <w:rFonts w:ascii="宋体" w:hAnsi="宋体" w:cs="宋体" w:eastAsia="宋体" w:hint="default"/>
                <w:sz w:val="18"/>
                <w:szCs w:val="18"/>
              </w:rPr>
            </w:pPr>
            <w:r>
              <w:rPr>
                <w:rFonts w:ascii="宋体" w:hAnsi="宋体" w:cs="宋体" w:eastAsia="宋体" w:hint="default"/>
                <w:spacing w:val="-3"/>
                <w:sz w:val="18"/>
                <w:szCs w:val="18"/>
              </w:rPr>
              <w:t>关于保持公司控制权稳定和经营决策不</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因股权分散发生重大变化的承诺：承诺未</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来股东大会议案如涉及公司重大生产经</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营决策，在进行投票表决时保证：</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、在</w:t>
            </w:r>
            <w:r>
              <w:rPr>
                <w:rFonts w:ascii="宋体" w:hAnsi="宋体" w:cs="宋体" w:eastAsia="宋体" w:hint="default"/>
                <w:spacing w:val="-39"/>
                <w:sz w:val="18"/>
                <w:szCs w:val="18"/>
              </w:rPr>
              <w:t> </w:t>
            </w:r>
            <w:r>
              <w:rPr>
                <w:rFonts w:ascii="宋体" w:hAnsi="宋体" w:cs="宋体" w:eastAsia="宋体" w:hint="default"/>
                <w:spacing w:val="-6"/>
                <w:sz w:val="18"/>
                <w:szCs w:val="18"/>
              </w:rPr>
              <w:t>公司发展战略、发展目标、发展规划、未</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6"/>
                <w:sz w:val="18"/>
                <w:szCs w:val="18"/>
              </w:rPr>
              <w:t>来发展方向等方面，严格遵守招股说明书</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第十二节</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未来发展与规划</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一节的有关</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6"/>
                <w:sz w:val="18"/>
                <w:szCs w:val="18"/>
              </w:rPr>
              <w:t>内容，且不改变公司既定的发展战略、发</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5"/>
                <w:sz w:val="18"/>
                <w:szCs w:val="18"/>
              </w:rPr>
              <w:t>展目标、发展规划、未来发展方向等。</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r>
              <w:rPr>
                <w:rFonts w:ascii="宋体" w:hAnsi="宋体" w:cs="宋体" w:eastAsia="宋体" w:hint="default"/>
                <w:spacing w:val="-45"/>
                <w:sz w:val="18"/>
                <w:szCs w:val="18"/>
              </w:rPr>
              <w:t> </w:t>
            </w:r>
            <w:r>
              <w:rPr>
                <w:rFonts w:ascii="宋体" w:hAnsi="宋体" w:cs="宋体" w:eastAsia="宋体" w:hint="default"/>
                <w:spacing w:val="-6"/>
                <w:sz w:val="18"/>
                <w:szCs w:val="18"/>
              </w:rPr>
              <w:t>公司未来将专注于目前的主营业务，即电</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信、公安应用软件产品的开发、生产和销</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6"/>
                <w:sz w:val="18"/>
                <w:szCs w:val="18"/>
              </w:rPr>
              <w:t>售，计算机软、硬件系统集成，技术支持</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与服务，公司未来不改变主营业务。</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宋体" w:hAnsi="宋体" w:cs="宋体" w:eastAsia="宋体" w:hint="default"/>
                <w:spacing w:val="-34"/>
                <w:sz w:val="18"/>
                <w:szCs w:val="18"/>
              </w:rPr>
              <w:t> </w:t>
            </w:r>
            <w:r>
              <w:rPr>
                <w:rFonts w:ascii="宋体" w:hAnsi="宋体" w:cs="宋体" w:eastAsia="宋体" w:hint="default"/>
                <w:spacing w:val="-3"/>
                <w:sz w:val="18"/>
                <w:szCs w:val="18"/>
              </w:rPr>
              <w:t>公司未来继续贯彻执行目前既定的生产</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经营策略，在研发方面，按照行业内技术</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发展的趋势组织研发工作，在销售方面，</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继续执行服务式营销策略。</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、在未来提</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6"/>
                <w:sz w:val="18"/>
                <w:szCs w:val="18"/>
              </w:rPr>
              <w:t>名董事及对董事人选进行投票表决时，将</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董事是否同意不改变公司既定的发展战</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10"/>
                <w:sz w:val="18"/>
                <w:szCs w:val="18"/>
              </w:rPr>
              <w:t>略、发展目标、发展规划、未来发展方向、</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主营业务、生产经营策略等作为前提条件</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12</w:t>
            </w:r>
            <w:r>
              <w:rPr>
                <w:rFonts w:ascii="Times New Roman" w:hAnsi="Times New Roman" w:cs="Times New Roman" w:eastAsia="Times New Roman" w:hint="default"/>
                <w:sz w:val="18"/>
                <w:szCs w:val="18"/>
              </w:rPr>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4" w:lineRule="auto"/>
              <w:ind w:left="105" w:right="105"/>
              <w:jc w:val="left"/>
              <w:rPr>
                <w:rFonts w:ascii="Times New Roman" w:hAnsi="Times New Roman" w:cs="Times New Roman" w:eastAsia="Times New Roman" w:hint="default"/>
                <w:sz w:val="18"/>
                <w:szCs w:val="18"/>
              </w:rPr>
            </w:pPr>
            <w:r>
              <w:rPr>
                <w:rFonts w:ascii="宋体" w:hAnsi="宋体" w:cs="宋体" w:eastAsia="宋体" w:hint="default"/>
                <w:sz w:val="18"/>
                <w:szCs w:val="18"/>
              </w:rPr>
              <w:t>正在履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行。截止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p>
          <w:p>
            <w:pPr>
              <w:pStyle w:val="TableParagraph"/>
              <w:spacing w:line="314" w:lineRule="auto" w:before="1"/>
              <w:ind w:left="105" w:right="10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w w:val="101"/>
                <w:sz w:val="18"/>
                <w:szCs w:val="18"/>
              </w:rPr>
              <w:t> </w:t>
            </w:r>
            <w:r>
              <w:rPr>
                <w:rFonts w:ascii="宋体" w:hAnsi="宋体" w:cs="宋体" w:eastAsia="宋体" w:hint="default"/>
                <w:sz w:val="18"/>
                <w:szCs w:val="18"/>
              </w:rPr>
              <w:t>天泽投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资、吴志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东不再是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公司股东</w:t>
            </w:r>
          </w:p>
        </w:tc>
      </w:tr>
      <w:tr>
        <w:trPr>
          <w:trHeight w:val="715" w:hRule="exact"/>
        </w:trPr>
        <w:tc>
          <w:tcPr>
            <w:tcW w:w="1138" w:type="dxa"/>
            <w:vMerge/>
            <w:tcBorders>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73"/>
              <w:ind w:left="105" w:right="89"/>
              <w:jc w:val="left"/>
              <w:rPr>
                <w:rFonts w:ascii="宋体" w:hAnsi="宋体" w:cs="宋体" w:eastAsia="宋体" w:hint="default"/>
                <w:sz w:val="18"/>
                <w:szCs w:val="18"/>
              </w:rPr>
            </w:pPr>
            <w:r>
              <w:rPr>
                <w:rFonts w:ascii="宋体" w:hAnsi="宋体" w:cs="宋体" w:eastAsia="宋体" w:hint="default"/>
                <w:sz w:val="18"/>
                <w:szCs w:val="18"/>
              </w:rPr>
              <w:t>陈鲁康、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陈友、李</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0" w:right="137"/>
              <w:jc w:val="left"/>
              <w:rPr>
                <w:rFonts w:ascii="宋体" w:hAnsi="宋体" w:cs="宋体" w:eastAsia="宋体" w:hint="default"/>
                <w:sz w:val="18"/>
                <w:szCs w:val="18"/>
              </w:rPr>
            </w:pPr>
            <w:r>
              <w:rPr>
                <w:rFonts w:ascii="宋体" w:hAnsi="宋体" w:cs="宋体" w:eastAsia="宋体" w:hint="default"/>
                <w:spacing w:val="-2"/>
                <w:sz w:val="18"/>
                <w:szCs w:val="18"/>
              </w:rPr>
              <w:t>避免同业竞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争的承诺</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73"/>
              <w:ind w:left="106" w:right="99"/>
              <w:jc w:val="left"/>
              <w:rPr>
                <w:rFonts w:ascii="宋体" w:hAnsi="宋体" w:cs="宋体" w:eastAsia="宋体" w:hint="default"/>
                <w:sz w:val="18"/>
                <w:szCs w:val="18"/>
              </w:rPr>
            </w:pPr>
            <w:r>
              <w:rPr>
                <w:rFonts w:ascii="宋体" w:hAnsi="宋体" w:cs="宋体" w:eastAsia="宋体" w:hint="default"/>
                <w:spacing w:val="-3"/>
                <w:sz w:val="18"/>
                <w:szCs w:val="18"/>
              </w:rPr>
              <w:t>公司股东关于避免同业竞争的承诺：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宋体" w:hAnsi="宋体" w:cs="宋体" w:eastAsia="宋体" w:hint="default"/>
                <w:spacing w:val="-34"/>
                <w:sz w:val="18"/>
                <w:szCs w:val="18"/>
              </w:rPr>
              <w:t> </w:t>
            </w:r>
            <w:r>
              <w:rPr>
                <w:rFonts w:ascii="宋体" w:hAnsi="宋体" w:cs="宋体" w:eastAsia="宋体" w:hint="default"/>
                <w:spacing w:val="-6"/>
                <w:sz w:val="18"/>
                <w:szCs w:val="18"/>
              </w:rPr>
              <w:t>承诺在持有公司股份期间，不会以任何形</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07</w:t>
            </w:r>
            <w:r>
              <w:rPr>
                <w:rFonts w:ascii="Times New Roman" w:hAnsi="Times New Roman" w:cs="Times New Roman" w:eastAsia="Times New Roman" w:hint="default"/>
                <w:sz w:val="18"/>
                <w:szCs w:val="18"/>
              </w:rPr>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73"/>
              <w:ind w:left="105" w:right="105"/>
              <w:jc w:val="left"/>
              <w:rPr>
                <w:rFonts w:ascii="宋体" w:hAnsi="宋体" w:cs="宋体" w:eastAsia="宋体" w:hint="default"/>
                <w:sz w:val="18"/>
                <w:szCs w:val="18"/>
              </w:rPr>
            </w:pPr>
            <w:r>
              <w:rPr>
                <w:rFonts w:ascii="宋体" w:hAnsi="宋体" w:cs="宋体" w:eastAsia="宋体" w:hint="default"/>
                <w:sz w:val="18"/>
                <w:szCs w:val="18"/>
              </w:rPr>
              <w:t>正在履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行。截止</w:t>
            </w:r>
          </w:p>
        </w:tc>
      </w:tr>
    </w:tbl>
    <w:p>
      <w:pPr>
        <w:spacing w:after="0" w:line="312"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138"/>
        <w:gridCol w:w="932"/>
        <w:gridCol w:w="1152"/>
        <w:gridCol w:w="3409"/>
        <w:gridCol w:w="1018"/>
        <w:gridCol w:w="975"/>
        <w:gridCol w:w="946"/>
      </w:tblGrid>
      <w:tr>
        <w:trPr>
          <w:trHeight w:val="2857" w:hRule="exact"/>
        </w:trPr>
        <w:tc>
          <w:tcPr>
            <w:tcW w:w="1138" w:type="dxa"/>
            <w:vMerge w:val="restart"/>
            <w:tcBorders>
              <w:top w:val="single" w:sz="4" w:space="0" w:color="000000"/>
              <w:left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5" w:right="89"/>
              <w:jc w:val="both"/>
              <w:rPr>
                <w:rFonts w:ascii="宋体" w:hAnsi="宋体" w:cs="宋体" w:eastAsia="宋体" w:hint="default"/>
                <w:sz w:val="18"/>
                <w:szCs w:val="18"/>
              </w:rPr>
            </w:pPr>
            <w:r>
              <w:rPr>
                <w:rFonts w:ascii="宋体" w:hAnsi="宋体" w:cs="宋体" w:eastAsia="宋体" w:hint="default"/>
                <w:spacing w:val="-3"/>
                <w:sz w:val="18"/>
                <w:szCs w:val="18"/>
              </w:rPr>
              <w:t>谦益、天</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泽投资、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吴志东、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谢晓宾、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杨文庆</w:t>
            </w:r>
          </w:p>
        </w:tc>
        <w:tc>
          <w:tcPr>
            <w:tcW w:w="1152" w:type="dxa"/>
            <w:tcBorders>
              <w:top w:val="single" w:sz="4" w:space="0" w:color="000000"/>
              <w:left w:val="single" w:sz="4" w:space="0" w:color="000000"/>
              <w:bottom w:val="single" w:sz="4" w:space="0" w:color="000000"/>
              <w:right w:val="single" w:sz="4" w:space="0" w:color="000000"/>
            </w:tcBorders>
          </w:tcPr>
          <w:p>
            <w:pP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6" w:right="99"/>
              <w:jc w:val="left"/>
              <w:rPr>
                <w:rFonts w:ascii="宋体" w:hAnsi="宋体" w:cs="宋体" w:eastAsia="宋体" w:hint="default"/>
                <w:sz w:val="18"/>
                <w:szCs w:val="18"/>
              </w:rPr>
            </w:pPr>
            <w:r>
              <w:rPr>
                <w:rFonts w:ascii="宋体" w:hAnsi="宋体" w:cs="宋体" w:eastAsia="宋体" w:hint="default"/>
                <w:spacing w:val="-3"/>
                <w:sz w:val="18"/>
                <w:szCs w:val="18"/>
              </w:rPr>
              <w:t>式从事对公司的生产经营构成或可能构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成同业竞争的业务和经营活动，也不会以</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任何方式为公司的竞争企业提供任何资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金、业务及技术等方面的帮助。</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、在任</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职期间内不以任何方式直接或间接从事</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与公司现在和将来主营业务相同、相似或</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构成实质竞争的业务</w:t>
            </w:r>
          </w:p>
        </w:tc>
        <w:tc>
          <w:tcPr>
            <w:tcW w:w="1018"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p>
          <w:p>
            <w:pPr>
              <w:pStyle w:val="TableParagraph"/>
              <w:spacing w:line="314" w:lineRule="auto" w:before="63"/>
              <w:ind w:left="105" w:right="10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w w:val="101"/>
                <w:sz w:val="18"/>
                <w:szCs w:val="18"/>
              </w:rPr>
              <w:t> </w:t>
            </w:r>
            <w:r>
              <w:rPr>
                <w:rFonts w:ascii="宋体" w:hAnsi="宋体" w:cs="宋体" w:eastAsia="宋体" w:hint="default"/>
                <w:sz w:val="18"/>
                <w:szCs w:val="18"/>
              </w:rPr>
              <w:t>天泽投资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不再是公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吴志东不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再是公司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5%</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股东。</w:t>
            </w:r>
          </w:p>
        </w:tc>
      </w:tr>
      <w:tr>
        <w:trPr>
          <w:trHeight w:val="6021" w:hRule="exact"/>
        </w:trPr>
        <w:tc>
          <w:tcPr>
            <w:tcW w:w="1138" w:type="dxa"/>
            <w:vMerge/>
            <w:tcBorders>
              <w:left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00" w:lineRule="auto"/>
              <w:ind w:left="105" w:right="168"/>
              <w:jc w:val="both"/>
              <w:rPr>
                <w:rFonts w:ascii="宋体" w:hAnsi="宋体" w:cs="宋体" w:eastAsia="宋体" w:hint="default"/>
                <w:sz w:val="18"/>
                <w:szCs w:val="18"/>
              </w:rPr>
            </w:pPr>
            <w:r>
              <w:rPr>
                <w:rFonts w:ascii="宋体" w:hAnsi="宋体" w:cs="宋体" w:eastAsia="宋体" w:hint="default"/>
                <w:sz w:val="18"/>
                <w:szCs w:val="18"/>
              </w:rPr>
              <w:t>陈鲁康</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陈秀琴</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陈友</w:t>
            </w:r>
            <w:r>
              <w:rPr>
                <w:rFonts w:ascii="Times New Roman" w:hAnsi="Times New Roman" w:cs="Times New Roman" w:eastAsia="Times New Roman" w:hint="default"/>
                <w:sz w:val="18"/>
                <w:szCs w:val="18"/>
              </w:rPr>
              <w:t>;</w:t>
            </w:r>
            <w:r>
              <w:rPr>
                <w:rFonts w:ascii="宋体" w:hAnsi="宋体" w:cs="宋体" w:eastAsia="宋体" w:hint="default"/>
                <w:sz w:val="18"/>
                <w:szCs w:val="18"/>
              </w:rPr>
              <w:t>代</w:t>
            </w:r>
            <w:r>
              <w:rPr>
                <w:rFonts w:ascii="宋体" w:hAnsi="宋体" w:cs="宋体" w:eastAsia="宋体" w:hint="default"/>
                <w:spacing w:val="-86"/>
                <w:sz w:val="18"/>
                <w:szCs w:val="18"/>
              </w:rPr>
              <w:t> </w:t>
            </w:r>
            <w:r>
              <w:rPr>
                <w:rFonts w:ascii="宋体" w:hAnsi="宋体" w:cs="宋体" w:eastAsia="宋体" w:hint="default"/>
                <w:sz w:val="18"/>
                <w:szCs w:val="18"/>
              </w:rPr>
              <w:t>峰</w:t>
            </w:r>
            <w:r>
              <w:rPr>
                <w:rFonts w:ascii="Times New Roman" w:hAnsi="Times New Roman" w:cs="Times New Roman" w:eastAsia="Times New Roman" w:hint="default"/>
                <w:sz w:val="18"/>
                <w:szCs w:val="18"/>
              </w:rPr>
              <w:t>;</w:t>
            </w:r>
            <w:r>
              <w:rPr>
                <w:rFonts w:ascii="宋体" w:hAnsi="宋体" w:cs="宋体" w:eastAsia="宋体" w:hint="default"/>
                <w:sz w:val="18"/>
                <w:szCs w:val="18"/>
              </w:rPr>
              <w:t>管四</w:t>
            </w:r>
            <w:r>
              <w:rPr>
                <w:rFonts w:ascii="宋体" w:hAnsi="宋体" w:cs="宋体" w:eastAsia="宋体" w:hint="default"/>
                <w:spacing w:val="-86"/>
                <w:sz w:val="18"/>
                <w:szCs w:val="18"/>
              </w:rPr>
              <w:t> </w:t>
            </w:r>
            <w:r>
              <w:rPr>
                <w:rFonts w:ascii="宋体" w:hAnsi="宋体" w:cs="宋体" w:eastAsia="宋体" w:hint="default"/>
                <w:sz w:val="18"/>
                <w:szCs w:val="18"/>
              </w:rPr>
              <w:t>新</w:t>
            </w:r>
            <w:r>
              <w:rPr>
                <w:rFonts w:ascii="Times New Roman" w:hAnsi="Times New Roman" w:cs="Times New Roman" w:eastAsia="Times New Roman" w:hint="default"/>
                <w:sz w:val="18"/>
                <w:szCs w:val="18"/>
              </w:rPr>
              <w:t>;</w:t>
            </w:r>
            <w:r>
              <w:rPr>
                <w:rFonts w:ascii="宋体" w:hAnsi="宋体" w:cs="宋体" w:eastAsia="宋体" w:hint="default"/>
                <w:sz w:val="18"/>
                <w:szCs w:val="18"/>
              </w:rPr>
              <w:t>李谦</w:t>
            </w:r>
            <w:r>
              <w:rPr>
                <w:rFonts w:ascii="宋体" w:hAnsi="宋体" w:cs="宋体" w:eastAsia="宋体" w:hint="default"/>
                <w:spacing w:val="-86"/>
                <w:sz w:val="18"/>
                <w:szCs w:val="18"/>
              </w:rPr>
              <w:t> </w:t>
            </w:r>
            <w:r>
              <w:rPr>
                <w:rFonts w:ascii="宋体" w:hAnsi="宋体" w:cs="宋体" w:eastAsia="宋体" w:hint="default"/>
                <w:sz w:val="18"/>
                <w:szCs w:val="18"/>
              </w:rPr>
              <w:t>益</w:t>
            </w:r>
            <w:r>
              <w:rPr>
                <w:rFonts w:ascii="Times New Roman" w:hAnsi="Times New Roman" w:cs="Times New Roman" w:eastAsia="Times New Roman" w:hint="default"/>
                <w:sz w:val="18"/>
                <w:szCs w:val="18"/>
              </w:rPr>
              <w:t>;</w:t>
            </w:r>
            <w:r>
              <w:rPr>
                <w:rFonts w:ascii="宋体" w:hAnsi="宋体" w:cs="宋体" w:eastAsia="宋体" w:hint="default"/>
                <w:sz w:val="18"/>
                <w:szCs w:val="18"/>
              </w:rPr>
              <w:t>梁金</w:t>
            </w:r>
            <w:r>
              <w:rPr>
                <w:rFonts w:ascii="宋体" w:hAnsi="宋体" w:cs="宋体" w:eastAsia="宋体" w:hint="default"/>
                <w:spacing w:val="-86"/>
                <w:sz w:val="18"/>
                <w:szCs w:val="18"/>
              </w:rPr>
              <w:t> </w:t>
            </w:r>
            <w:r>
              <w:rPr>
                <w:rFonts w:ascii="宋体" w:hAnsi="宋体" w:cs="宋体" w:eastAsia="宋体" w:hint="default"/>
                <w:sz w:val="18"/>
                <w:szCs w:val="18"/>
              </w:rPr>
              <w:t>华</w:t>
            </w:r>
            <w:r>
              <w:rPr>
                <w:rFonts w:ascii="Times New Roman" w:hAnsi="Times New Roman" w:cs="Times New Roman" w:eastAsia="Times New Roman" w:hint="default"/>
                <w:sz w:val="18"/>
                <w:szCs w:val="18"/>
              </w:rPr>
              <w:t>;</w:t>
            </w:r>
            <w:r>
              <w:rPr>
                <w:rFonts w:ascii="宋体" w:hAnsi="宋体" w:cs="宋体" w:eastAsia="宋体" w:hint="default"/>
                <w:sz w:val="18"/>
                <w:szCs w:val="18"/>
              </w:rPr>
              <w:t>林容</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罗赞</w:t>
            </w:r>
            <w:r>
              <w:rPr>
                <w:rFonts w:ascii="Times New Roman" w:hAnsi="Times New Roman" w:cs="Times New Roman" w:eastAsia="Times New Roman" w:hint="default"/>
                <w:sz w:val="18"/>
                <w:szCs w:val="18"/>
              </w:rPr>
              <w:t>;</w:t>
            </w:r>
            <w:r>
              <w:rPr>
                <w:rFonts w:ascii="宋体" w:hAnsi="宋体" w:cs="宋体" w:eastAsia="宋体" w:hint="default"/>
                <w:sz w:val="18"/>
                <w:szCs w:val="18"/>
              </w:rPr>
              <w:t>钱</w:t>
            </w:r>
            <w:r>
              <w:rPr>
                <w:rFonts w:ascii="宋体" w:hAnsi="宋体" w:cs="宋体" w:eastAsia="宋体" w:hint="default"/>
                <w:spacing w:val="-86"/>
                <w:sz w:val="18"/>
                <w:szCs w:val="18"/>
              </w:rPr>
              <w:t> </w:t>
            </w:r>
            <w:r>
              <w:rPr>
                <w:rFonts w:ascii="宋体" w:hAnsi="宋体" w:cs="宋体" w:eastAsia="宋体" w:hint="default"/>
                <w:sz w:val="18"/>
                <w:szCs w:val="18"/>
              </w:rPr>
              <w:t>文胜</w:t>
            </w:r>
            <w:r>
              <w:rPr>
                <w:rFonts w:ascii="Times New Roman" w:hAnsi="Times New Roman" w:cs="Times New Roman" w:eastAsia="Times New Roman" w:hint="default"/>
                <w:sz w:val="18"/>
                <w:szCs w:val="18"/>
              </w:rPr>
              <w:t>;</w:t>
            </w:r>
            <w:r>
              <w:rPr>
                <w:rFonts w:ascii="宋体" w:hAnsi="宋体" w:cs="宋体" w:eastAsia="宋体" w:hint="default"/>
                <w:sz w:val="18"/>
                <w:szCs w:val="18"/>
              </w:rPr>
              <w:t>盛</w:t>
            </w:r>
            <w:r>
              <w:rPr>
                <w:rFonts w:ascii="宋体" w:hAnsi="宋体" w:cs="宋体" w:eastAsia="宋体" w:hint="default"/>
                <w:spacing w:val="-86"/>
                <w:sz w:val="18"/>
                <w:szCs w:val="18"/>
              </w:rPr>
              <w:t> </w:t>
            </w:r>
            <w:r>
              <w:rPr>
                <w:rFonts w:ascii="宋体" w:hAnsi="宋体" w:cs="宋体" w:eastAsia="宋体" w:hint="default"/>
                <w:sz w:val="18"/>
                <w:szCs w:val="18"/>
              </w:rPr>
              <w:t>宝军</w:t>
            </w:r>
            <w:r>
              <w:rPr>
                <w:rFonts w:ascii="Times New Roman" w:hAnsi="Times New Roman" w:cs="Times New Roman" w:eastAsia="Times New Roman" w:hint="default"/>
                <w:sz w:val="18"/>
                <w:szCs w:val="18"/>
              </w:rPr>
              <w:t>;</w:t>
            </w:r>
            <w:r>
              <w:rPr>
                <w:rFonts w:ascii="宋体" w:hAnsi="宋体" w:cs="宋体" w:eastAsia="宋体" w:hint="default"/>
                <w:sz w:val="18"/>
                <w:szCs w:val="18"/>
              </w:rPr>
              <w:t>汪</w:t>
            </w:r>
            <w:r>
              <w:rPr>
                <w:rFonts w:ascii="宋体" w:hAnsi="宋体" w:cs="宋体" w:eastAsia="宋体" w:hint="default"/>
                <w:spacing w:val="-86"/>
                <w:sz w:val="18"/>
                <w:szCs w:val="18"/>
              </w:rPr>
              <w:t> </w:t>
            </w:r>
            <w:r>
              <w:rPr>
                <w:rFonts w:ascii="宋体" w:hAnsi="宋体" w:cs="宋体" w:eastAsia="宋体" w:hint="default"/>
                <w:sz w:val="18"/>
                <w:szCs w:val="18"/>
              </w:rPr>
              <w:t>东升</w:t>
            </w:r>
            <w:r>
              <w:rPr>
                <w:rFonts w:ascii="Times New Roman" w:hAnsi="Times New Roman" w:cs="Times New Roman" w:eastAsia="Times New Roman" w:hint="default"/>
                <w:sz w:val="18"/>
                <w:szCs w:val="18"/>
              </w:rPr>
              <w:t>;</w:t>
            </w:r>
            <w:r>
              <w:rPr>
                <w:rFonts w:ascii="宋体" w:hAnsi="宋体" w:cs="宋体" w:eastAsia="宋体" w:hint="default"/>
                <w:sz w:val="18"/>
                <w:szCs w:val="18"/>
              </w:rPr>
              <w:t>谢</w:t>
            </w:r>
            <w:r>
              <w:rPr>
                <w:rFonts w:ascii="宋体" w:hAnsi="宋体" w:cs="宋体" w:eastAsia="宋体" w:hint="default"/>
                <w:spacing w:val="-86"/>
                <w:sz w:val="18"/>
                <w:szCs w:val="18"/>
              </w:rPr>
              <w:t> </w:t>
            </w:r>
            <w:r>
              <w:rPr>
                <w:rFonts w:ascii="宋体" w:hAnsi="宋体" w:cs="宋体" w:eastAsia="宋体" w:hint="default"/>
                <w:sz w:val="18"/>
                <w:szCs w:val="18"/>
              </w:rPr>
              <w:t>晓宾</w:t>
            </w:r>
            <w:r>
              <w:rPr>
                <w:rFonts w:ascii="Times New Roman" w:hAnsi="Times New Roman" w:cs="Times New Roman" w:eastAsia="Times New Roman" w:hint="default"/>
                <w:sz w:val="18"/>
                <w:szCs w:val="18"/>
              </w:rPr>
              <w:t>;</w:t>
            </w:r>
            <w:r>
              <w:rPr>
                <w:rFonts w:ascii="宋体" w:hAnsi="宋体" w:cs="宋体" w:eastAsia="宋体" w:hint="default"/>
                <w:sz w:val="18"/>
                <w:szCs w:val="18"/>
              </w:rPr>
              <w:t>杨</w:t>
            </w:r>
            <w:r>
              <w:rPr>
                <w:rFonts w:ascii="宋体" w:hAnsi="宋体" w:cs="宋体" w:eastAsia="宋体" w:hint="default"/>
                <w:spacing w:val="-86"/>
                <w:sz w:val="18"/>
                <w:szCs w:val="18"/>
              </w:rPr>
              <w:t> </w:t>
            </w:r>
            <w:r>
              <w:rPr>
                <w:rFonts w:ascii="宋体" w:hAnsi="宋体" w:cs="宋体" w:eastAsia="宋体" w:hint="default"/>
                <w:sz w:val="18"/>
                <w:szCs w:val="18"/>
              </w:rPr>
              <w:t>文庆</w:t>
            </w:r>
            <w:r>
              <w:rPr>
                <w:rFonts w:ascii="Times New Roman" w:hAnsi="Times New Roman" w:cs="Times New Roman" w:eastAsia="Times New Roman" w:hint="default"/>
                <w:sz w:val="18"/>
                <w:szCs w:val="18"/>
              </w:rPr>
              <w:t>;</w:t>
            </w:r>
            <w:r>
              <w:rPr>
                <w:rFonts w:ascii="宋体" w:hAnsi="宋体" w:cs="宋体" w:eastAsia="宋体" w:hint="default"/>
                <w:sz w:val="18"/>
                <w:szCs w:val="18"/>
              </w:rPr>
              <w:t>郑</w:t>
            </w:r>
            <w:r>
              <w:rPr>
                <w:rFonts w:ascii="宋体" w:hAnsi="宋体" w:cs="宋体" w:eastAsia="宋体" w:hint="default"/>
                <w:spacing w:val="-86"/>
                <w:sz w:val="18"/>
                <w:szCs w:val="18"/>
              </w:rPr>
              <w:t> </w:t>
            </w:r>
            <w:r>
              <w:rPr>
                <w:rFonts w:ascii="宋体" w:hAnsi="宋体" w:cs="宋体" w:eastAsia="宋体" w:hint="default"/>
                <w:sz w:val="18"/>
                <w:szCs w:val="18"/>
              </w:rPr>
              <w:t>飞</w:t>
            </w:r>
            <w:r>
              <w:rPr>
                <w:rFonts w:ascii="Times New Roman" w:hAnsi="Times New Roman" w:cs="Times New Roman" w:eastAsia="Times New Roman" w:hint="default"/>
                <w:sz w:val="18"/>
                <w:szCs w:val="18"/>
              </w:rPr>
              <w:t>;</w:t>
            </w:r>
            <w:r>
              <w:rPr>
                <w:rFonts w:ascii="宋体" w:hAnsi="宋体" w:cs="宋体" w:eastAsia="宋体" w:hint="default"/>
                <w:sz w:val="18"/>
                <w:szCs w:val="18"/>
              </w:rPr>
              <w:t>邹立</w:t>
            </w:r>
            <w:r>
              <w:rPr>
                <w:rFonts w:ascii="宋体" w:hAnsi="宋体" w:cs="宋体" w:eastAsia="宋体" w:hint="default"/>
                <w:spacing w:val="-86"/>
                <w:sz w:val="18"/>
                <w:szCs w:val="18"/>
              </w:rPr>
              <w:t> </w:t>
            </w:r>
            <w:r>
              <w:rPr>
                <w:rFonts w:ascii="宋体" w:hAnsi="宋体" w:cs="宋体" w:eastAsia="宋体" w:hint="default"/>
                <w:sz w:val="18"/>
                <w:szCs w:val="18"/>
              </w:rPr>
              <w:t>文</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06" w:right="8"/>
              <w:jc w:val="left"/>
              <w:rPr>
                <w:rFonts w:ascii="宋体" w:hAnsi="宋体" w:cs="宋体" w:eastAsia="宋体" w:hint="default"/>
                <w:sz w:val="18"/>
                <w:szCs w:val="18"/>
              </w:rPr>
            </w:pPr>
            <w:r>
              <w:rPr>
                <w:rFonts w:ascii="宋体" w:hAnsi="宋体" w:cs="宋体" w:eastAsia="宋体" w:hint="default"/>
                <w:sz w:val="18"/>
                <w:szCs w:val="18"/>
              </w:rPr>
              <w:t>为保证公司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年度非公开发行股票所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6"/>
                <w:sz w:val="18"/>
                <w:szCs w:val="18"/>
              </w:rPr>
              <w:t>募集资金有效使用，有效防范即期回报被</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摊薄的风险，提高未来的回报能力，发行</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6"/>
                <w:sz w:val="18"/>
                <w:szCs w:val="18"/>
              </w:rPr>
              <w:t>人董事、高级管理人员做出如下承诺：本</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人作为深圳天源迪科信息技术股份有限</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10"/>
                <w:w w:val="101"/>
                <w:sz w:val="18"/>
                <w:szCs w:val="18"/>
              </w:rPr>
              <w:t>公司的董事、高级管理人员，承诺将忠实、</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6"/>
                <w:sz w:val="18"/>
                <w:szCs w:val="18"/>
              </w:rPr>
              <w:t>勤勉地履行职责，维护公司和全体股东的</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合法权益。本人根据中国证监会的相关规</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定对公司填补即期回报措施能够得到切</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实履行做出如下承诺：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、不无偿或以不</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公平条件向其他单位或者个人输送利益，</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也不采用其他方式损害公司利益；</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、对</w:t>
            </w:r>
            <w:r>
              <w:rPr>
                <w:rFonts w:ascii="宋体" w:hAnsi="宋体" w:cs="宋体" w:eastAsia="宋体" w:hint="default"/>
                <w:spacing w:val="-39"/>
                <w:sz w:val="18"/>
                <w:szCs w:val="18"/>
              </w:rPr>
              <w:t> </w:t>
            </w:r>
            <w:r>
              <w:rPr>
                <w:rFonts w:ascii="宋体" w:hAnsi="宋体" w:cs="宋体" w:eastAsia="宋体" w:hint="default"/>
                <w:spacing w:val="-3"/>
                <w:sz w:val="18"/>
                <w:szCs w:val="18"/>
              </w:rPr>
              <w:t>董事和高级管理人员的职务消费行为进</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行约束；</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、不动用公司资产从事与履行</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3"/>
                <w:sz w:val="18"/>
                <w:szCs w:val="18"/>
              </w:rPr>
              <w:t>职责无关的投资、消费活动；</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、由董事</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会或薪酬委员会制订的薪酬制度与公司</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填补回报措施的执行情况相挂钩；</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、未</w:t>
            </w:r>
            <w:r>
              <w:rPr>
                <w:rFonts w:ascii="宋体" w:hAnsi="宋体" w:cs="宋体" w:eastAsia="宋体" w:hint="default"/>
                <w:spacing w:val="-39"/>
                <w:sz w:val="18"/>
                <w:szCs w:val="18"/>
              </w:rPr>
              <w:t> </w:t>
            </w:r>
            <w:r>
              <w:rPr>
                <w:rFonts w:ascii="宋体" w:hAnsi="宋体" w:cs="宋体" w:eastAsia="宋体" w:hint="default"/>
                <w:spacing w:val="-3"/>
                <w:sz w:val="18"/>
                <w:szCs w:val="18"/>
              </w:rPr>
              <w:t>来拟公布的公司股权激励的行权条件与</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公司填补回报措施的执行情况相挂钩。</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340" w:hRule="exact"/>
        </w:trPr>
        <w:tc>
          <w:tcPr>
            <w:tcW w:w="1138" w:type="dxa"/>
            <w:vMerge/>
            <w:tcBorders>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105"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4" w:lineRule="auto" w:before="158"/>
              <w:ind w:left="100" w:right="137"/>
              <w:jc w:val="left"/>
              <w:rPr>
                <w:rFonts w:ascii="宋体" w:hAnsi="宋体" w:cs="宋体" w:eastAsia="宋体" w:hint="default"/>
                <w:sz w:val="18"/>
                <w:szCs w:val="18"/>
              </w:rPr>
            </w:pPr>
            <w:r>
              <w:rPr>
                <w:rFonts w:ascii="宋体" w:hAnsi="宋体" w:cs="宋体" w:eastAsia="宋体" w:hint="default"/>
                <w:spacing w:val="-2"/>
                <w:sz w:val="18"/>
                <w:szCs w:val="18"/>
              </w:rPr>
              <w:t>股份锁定承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6" w:right="46"/>
              <w:jc w:val="both"/>
              <w:rPr>
                <w:rFonts w:ascii="宋体" w:hAnsi="宋体" w:cs="宋体" w:eastAsia="宋体" w:hint="default"/>
                <w:sz w:val="18"/>
                <w:szCs w:val="18"/>
              </w:rPr>
            </w:pPr>
            <w:r>
              <w:rPr>
                <w:rFonts w:ascii="宋体" w:hAnsi="宋体" w:cs="宋体" w:eastAsia="宋体" w:hint="default"/>
                <w:spacing w:val="-6"/>
                <w:sz w:val="18"/>
                <w:szCs w:val="18"/>
              </w:rPr>
              <w:t>陈友先生作为天源迪科的第一大股东，同</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时作为天源迪科非公开发行股票认购人，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6"/>
                <w:sz w:val="18"/>
                <w:szCs w:val="18"/>
              </w:rPr>
              <w:t>其作出承诺：本次获配股票自愿按照规定</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从股份上市之日起锁定不少于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08</w:t>
            </w:r>
            <w:r>
              <w:rPr>
                <w:rFonts w:ascii="Times New Roman" w:hAnsi="Times New Roman" w:cs="Times New Roman" w:eastAsia="Times New Roman" w:hint="default"/>
                <w:sz w:val="18"/>
                <w:szCs w:val="18"/>
              </w:rPr>
            </w:r>
          </w:p>
          <w:p>
            <w:pPr>
              <w:pStyle w:val="TableParagraph"/>
              <w:spacing w:line="240" w:lineRule="auto" w:before="68"/>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w:t>
            </w:r>
          </w:p>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105"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715" w:hRule="exact"/>
        </w:trPr>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18"/>
              <w:jc w:val="left"/>
              <w:rPr>
                <w:rFonts w:ascii="宋体" w:hAnsi="宋体" w:cs="宋体" w:eastAsia="宋体" w:hint="default"/>
                <w:sz w:val="18"/>
                <w:szCs w:val="18"/>
              </w:rPr>
            </w:pPr>
            <w:r>
              <w:rPr>
                <w:rFonts w:ascii="宋体" w:hAnsi="宋体" w:cs="宋体" w:eastAsia="宋体" w:hint="default"/>
                <w:spacing w:val="-2"/>
                <w:sz w:val="18"/>
                <w:szCs w:val="18"/>
              </w:rPr>
              <w:t>股权激励承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93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3409"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2857" w:hRule="exact"/>
        </w:trPr>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3"/>
              <w:ind w:left="105" w:right="118"/>
              <w:jc w:val="both"/>
              <w:rPr>
                <w:rFonts w:ascii="宋体" w:hAnsi="宋体" w:cs="宋体" w:eastAsia="宋体" w:hint="default"/>
                <w:sz w:val="18"/>
                <w:szCs w:val="18"/>
              </w:rPr>
            </w:pPr>
            <w:r>
              <w:rPr>
                <w:rFonts w:ascii="宋体" w:hAnsi="宋体" w:cs="宋体" w:eastAsia="宋体" w:hint="default"/>
                <w:spacing w:val="-2"/>
                <w:sz w:val="18"/>
                <w:szCs w:val="18"/>
              </w:rPr>
              <w:t>其他对公司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中小股东所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作承诺</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105" w:right="271"/>
              <w:jc w:val="left"/>
              <w:rPr>
                <w:rFonts w:ascii="宋体" w:hAnsi="宋体" w:cs="宋体" w:eastAsia="宋体" w:hint="default"/>
                <w:sz w:val="18"/>
                <w:szCs w:val="18"/>
              </w:rPr>
            </w:pPr>
            <w:r>
              <w:rPr>
                <w:rFonts w:ascii="宋体" w:hAnsi="宋体" w:cs="宋体" w:eastAsia="宋体" w:hint="default"/>
                <w:sz w:val="18"/>
                <w:szCs w:val="18"/>
              </w:rPr>
              <w:t>天源迪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科</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3"/>
              <w:ind w:left="100" w:right="137"/>
              <w:jc w:val="both"/>
              <w:rPr>
                <w:rFonts w:ascii="宋体" w:hAnsi="宋体" w:cs="宋体" w:eastAsia="宋体" w:hint="default"/>
                <w:sz w:val="18"/>
                <w:szCs w:val="18"/>
              </w:rPr>
            </w:pPr>
            <w:r>
              <w:rPr>
                <w:rFonts w:ascii="宋体" w:hAnsi="宋体" w:cs="宋体" w:eastAsia="宋体" w:hint="default"/>
                <w:spacing w:val="-2"/>
                <w:sz w:val="18"/>
                <w:szCs w:val="18"/>
              </w:rPr>
              <w:t>避免同业竞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争事项的承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106" w:right="99"/>
              <w:jc w:val="left"/>
              <w:rPr>
                <w:rFonts w:ascii="宋体" w:hAnsi="宋体" w:cs="宋体" w:eastAsia="宋体" w:hint="default"/>
                <w:sz w:val="18"/>
                <w:szCs w:val="18"/>
              </w:rPr>
            </w:pPr>
            <w:r>
              <w:rPr>
                <w:rFonts w:ascii="宋体" w:hAnsi="宋体" w:cs="宋体" w:eastAsia="宋体" w:hint="default"/>
                <w:spacing w:val="-6"/>
                <w:sz w:val="18"/>
                <w:szCs w:val="18"/>
              </w:rPr>
              <w:t>关于避免同业竞争事项的承诺：截至本承</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诺函出具之日，除信邦安达以外，本公司</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及本公司控制的其他企业目前不存在自</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营、与他人共同经营或为他人经营与信邦</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安达现有业务相同的业务的情形。前述信</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邦安达的现有业务主要包括面向家庭用</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户端的</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0"/>
                <w:sz w:val="18"/>
                <w:szCs w:val="18"/>
              </w:rPr>
              <w:t> </w:t>
            </w:r>
            <w:r>
              <w:rPr>
                <w:rFonts w:ascii="宋体" w:hAnsi="宋体" w:cs="宋体" w:eastAsia="宋体" w:hint="default"/>
                <w:spacing w:val="-7"/>
                <w:sz w:val="18"/>
                <w:szCs w:val="18"/>
              </w:rPr>
              <w:t>号管家自主客户端、宽带测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速系统及运营、智能提速系统及运营、智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能网关管理及运营平台以及由此延伸出</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06</w:t>
            </w:r>
            <w:r>
              <w:rPr>
                <w:rFonts w:ascii="Times New Roman" w:hAnsi="Times New Roman" w:cs="Times New Roman" w:eastAsia="Times New Roman" w:hint="default"/>
                <w:sz w:val="18"/>
                <w:szCs w:val="18"/>
              </w:rPr>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105" w:right="103"/>
              <w:jc w:val="left"/>
              <w:rPr>
                <w:rFonts w:ascii="宋体" w:hAnsi="宋体" w:cs="宋体" w:eastAsia="宋体" w:hint="default"/>
                <w:sz w:val="18"/>
                <w:szCs w:val="18"/>
              </w:rPr>
            </w:pPr>
            <w:r>
              <w:rPr>
                <w:rFonts w:ascii="宋体" w:hAnsi="宋体" w:cs="宋体" w:eastAsia="宋体" w:hint="default"/>
                <w:sz w:val="18"/>
                <w:szCs w:val="18"/>
              </w:rPr>
              <w:t>正在履行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w:t>
            </w:r>
          </w:p>
        </w:tc>
      </w:tr>
    </w:tbl>
    <w:p>
      <w:pPr>
        <w:spacing w:after="0" w:line="316"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138"/>
        <w:gridCol w:w="932"/>
        <w:gridCol w:w="1152"/>
        <w:gridCol w:w="3409"/>
        <w:gridCol w:w="1018"/>
        <w:gridCol w:w="975"/>
        <w:gridCol w:w="948"/>
      </w:tblGrid>
      <w:tr>
        <w:trPr>
          <w:trHeight w:val="11283" w:hRule="exact"/>
        </w:trPr>
        <w:tc>
          <w:tcPr>
            <w:tcW w:w="1138" w:type="dxa"/>
            <w:vMerge w:val="restart"/>
            <w:tcBorders>
              <w:top w:val="single" w:sz="4" w:space="0" w:color="000000"/>
              <w:left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106" w:right="8"/>
              <w:jc w:val="left"/>
              <w:rPr>
                <w:rFonts w:ascii="宋体" w:hAnsi="宋体" w:cs="宋体" w:eastAsia="宋体" w:hint="default"/>
                <w:sz w:val="18"/>
                <w:szCs w:val="18"/>
              </w:rPr>
            </w:pPr>
            <w:r>
              <w:rPr>
                <w:rFonts w:ascii="宋体" w:hAnsi="宋体" w:cs="宋体" w:eastAsia="宋体" w:hint="default"/>
                <w:spacing w:val="-3"/>
                <w:sz w:val="18"/>
                <w:szCs w:val="18"/>
              </w:rPr>
              <w:t>的基于智能网关的面对家庭用户的智能</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家居系统。</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、除信邦安达以外，本公司</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3"/>
                <w:sz w:val="18"/>
                <w:szCs w:val="18"/>
              </w:rPr>
              <w:t>及本公司控制的其他企业将不会直接从</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事、采取向第三方控股投资的方式和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w:t>
            </w:r>
            <w:r>
              <w:rPr>
                <w:rFonts w:ascii="宋体" w:hAnsi="宋体" w:cs="宋体" w:eastAsia="宋体" w:hint="default"/>
                <w:spacing w:val="-33"/>
                <w:sz w:val="18"/>
                <w:szCs w:val="18"/>
              </w:rPr>
              <w:t> </w:t>
            </w:r>
            <w:r>
              <w:rPr>
                <w:rFonts w:ascii="宋体" w:hAnsi="宋体" w:cs="宋体" w:eastAsia="宋体" w:hint="default"/>
                <w:spacing w:val="-3"/>
                <w:sz w:val="18"/>
                <w:szCs w:val="18"/>
              </w:rPr>
              <w:t>与信邦安达以外的第三方签订业务合作</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协议的方式间接从事信邦安达现有业务。</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6"/>
                <w:sz w:val="18"/>
                <w:szCs w:val="18"/>
              </w:rPr>
              <w:t>为避免歧义和误解，以下本公司及本公司</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控制的其他企业从事的以下业务不应被</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认定为包括在信邦安达现有业务范围内</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10"/>
                <w:w w:val="101"/>
                <w:sz w:val="18"/>
                <w:szCs w:val="18"/>
              </w:rPr>
              <w:t>或与信邦安达现有业务类似：（</w:t>
            </w:r>
            <w:r>
              <w:rPr>
                <w:rFonts w:ascii="Times New Roman" w:hAnsi="Times New Roman" w:cs="Times New Roman" w:eastAsia="Times New Roman" w:hint="default"/>
                <w:spacing w:val="-10"/>
                <w:w w:val="101"/>
                <w:sz w:val="18"/>
                <w:szCs w:val="18"/>
              </w:rPr>
              <w:t>1</w:t>
            </w:r>
            <w:r>
              <w:rPr>
                <w:rFonts w:ascii="宋体" w:hAnsi="宋体" w:cs="宋体" w:eastAsia="宋体" w:hint="default"/>
                <w:spacing w:val="-10"/>
                <w:w w:val="101"/>
                <w:sz w:val="18"/>
                <w:szCs w:val="18"/>
              </w:rPr>
              <w:t>）本公司</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pacing w:val="-10"/>
                <w:w w:val="101"/>
                <w:sz w:val="18"/>
                <w:szCs w:val="18"/>
              </w:rPr>
              <w:t>面向行业用户（包括电信行业、公安行业、</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pacing w:val="-3"/>
                <w:sz w:val="18"/>
                <w:szCs w:val="18"/>
              </w:rPr>
              <w:t>金融保险行业等）的软件产品开发及销</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售，包括业务运营支撑解决方案、大数据</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业务平台及应用解决方案、移动互联网应</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10"/>
                <w:w w:val="101"/>
                <w:sz w:val="18"/>
                <w:szCs w:val="18"/>
              </w:rPr>
              <w:t>用解决方案等。（</w:t>
            </w:r>
            <w:r>
              <w:rPr>
                <w:rFonts w:ascii="Times New Roman" w:hAnsi="Times New Roman" w:cs="Times New Roman" w:eastAsia="Times New Roman" w:hint="default"/>
                <w:spacing w:val="-10"/>
                <w:w w:val="101"/>
                <w:sz w:val="18"/>
                <w:szCs w:val="18"/>
              </w:rPr>
              <w:t>2</w:t>
            </w:r>
            <w:r>
              <w:rPr>
                <w:rFonts w:ascii="宋体" w:hAnsi="宋体" w:cs="宋体" w:eastAsia="宋体" w:hint="default"/>
                <w:spacing w:val="-10"/>
                <w:w w:val="101"/>
                <w:sz w:val="18"/>
                <w:szCs w:val="18"/>
              </w:rPr>
              <w:t>）本公司面向行业用户</w:t>
            </w:r>
            <w:r>
              <w:rPr>
                <w:rFonts w:ascii="宋体" w:hAnsi="宋体" w:cs="宋体" w:eastAsia="宋体" w:hint="default"/>
                <w:spacing w:val="-10"/>
                <w:sz w:val="18"/>
                <w:szCs w:val="18"/>
              </w:rPr>
            </w:r>
          </w:p>
          <w:p>
            <w:pPr>
              <w:pStyle w:val="TableParagraph"/>
              <w:spacing w:line="314" w:lineRule="auto" w:before="1"/>
              <w:ind w:left="106" w:right="47"/>
              <w:jc w:val="left"/>
              <w:rPr>
                <w:rFonts w:ascii="宋体" w:hAnsi="宋体" w:cs="宋体" w:eastAsia="宋体" w:hint="default"/>
                <w:sz w:val="18"/>
                <w:szCs w:val="18"/>
              </w:rPr>
            </w:pPr>
            <w:r>
              <w:rPr>
                <w:rFonts w:ascii="宋体" w:hAnsi="宋体" w:cs="宋体" w:eastAsia="宋体" w:hint="default"/>
                <w:spacing w:val="-3"/>
                <w:sz w:val="18"/>
                <w:szCs w:val="18"/>
              </w:rPr>
              <w:t>（包括电信行业、公安行业、金融保险、</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电商行业等）的平台运营。</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、如因国家</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6"/>
                <w:sz w:val="18"/>
                <w:szCs w:val="18"/>
              </w:rPr>
              <w:t>政策调整等不可抗力的原因，本公司及本</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公司控制的其他企业从事前述本公司及</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本公司控制的企业不得从事的业务时，则</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7"/>
                <w:w w:val="101"/>
                <w:sz w:val="18"/>
                <w:szCs w:val="18"/>
              </w:rPr>
              <w:t>本公司在信邦安达提出异议后，将：（</w:t>
            </w:r>
            <w:r>
              <w:rPr>
                <w:rFonts w:ascii="Times New Roman" w:hAnsi="Times New Roman" w:cs="Times New Roman" w:eastAsia="Times New Roman" w:hint="default"/>
                <w:spacing w:val="-7"/>
                <w:w w:val="101"/>
                <w:sz w:val="18"/>
                <w:szCs w:val="18"/>
              </w:rPr>
              <w:t>1</w:t>
            </w:r>
            <w:r>
              <w:rPr>
                <w:rFonts w:ascii="宋体" w:hAnsi="宋体" w:cs="宋体" w:eastAsia="宋体" w:hint="default"/>
                <w:spacing w:val="-7"/>
                <w:w w:val="101"/>
                <w:sz w:val="18"/>
                <w:szCs w:val="18"/>
              </w:rPr>
              <w:t>）</w:t>
            </w:r>
            <w:r>
              <w:rPr>
                <w:rFonts w:ascii="宋体" w:hAnsi="宋体" w:cs="宋体" w:eastAsia="宋体" w:hint="default"/>
                <w:w w:val="101"/>
                <w:sz w:val="18"/>
                <w:szCs w:val="18"/>
              </w:rPr>
              <w:t> </w:t>
            </w:r>
            <w:r>
              <w:rPr>
                <w:rFonts w:ascii="宋体" w:hAnsi="宋体" w:cs="宋体" w:eastAsia="宋体" w:hint="default"/>
                <w:spacing w:val="-6"/>
                <w:sz w:val="18"/>
                <w:szCs w:val="18"/>
              </w:rPr>
              <w:t>及时转让上述业务，或促使本公司控制的</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其他企业及时转让上述业务，信邦安达享</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有上述业务在同等条件下的优先受让权；</w:t>
            </w:r>
          </w:p>
          <w:p>
            <w:pPr>
              <w:pStyle w:val="TableParagraph"/>
              <w:spacing w:line="314" w:lineRule="auto" w:before="20"/>
              <w:ind w:left="106" w:right="46"/>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）及时终止上述业务，或促使本公司</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控制的其他企业及时终止上述业务。</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w:t>
            </w:r>
            <w:r>
              <w:rPr>
                <w:rFonts w:ascii="宋体" w:hAnsi="宋体" w:cs="宋体" w:eastAsia="宋体" w:hint="default"/>
                <w:spacing w:val="-34"/>
                <w:sz w:val="18"/>
                <w:szCs w:val="18"/>
              </w:rPr>
              <w:t> </w:t>
            </w:r>
            <w:r>
              <w:rPr>
                <w:rFonts w:ascii="宋体" w:hAnsi="宋体" w:cs="宋体" w:eastAsia="宋体" w:hint="default"/>
                <w:spacing w:val="-6"/>
                <w:sz w:val="18"/>
                <w:szCs w:val="18"/>
              </w:rPr>
              <w:t>考虑到信邦安达所属行业的特点，并鉴于</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当前信息技术行业较快的更新及迭代速</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度，新型技术的不断问世，及行业及市场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6"/>
                <w:sz w:val="18"/>
                <w:szCs w:val="18"/>
              </w:rPr>
              <w:t>的迅速变化，如由此等因素导致未来本公</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司及本公司控制的其他企业和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或拟收购</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标的经营的业务模式与信邦安达不断发</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展的业务模式存在或有类似或可替代性，</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本公司将与信邦安达进一步协商明确各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自的业务领域和模式，以促成各方不存在</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实质性同业竞争关系。</w:t>
            </w:r>
          </w:p>
        </w:tc>
        <w:tc>
          <w:tcPr>
            <w:tcW w:w="1018"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r>
      <w:tr>
        <w:trPr>
          <w:trHeight w:val="2549" w:hRule="exact"/>
        </w:trPr>
        <w:tc>
          <w:tcPr>
            <w:tcW w:w="1138" w:type="dxa"/>
            <w:vMerge/>
            <w:tcBorders>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42"/>
              <w:ind w:left="105" w:right="271"/>
              <w:jc w:val="left"/>
              <w:rPr>
                <w:rFonts w:ascii="宋体" w:hAnsi="宋体" w:cs="宋体" w:eastAsia="宋体" w:hint="default"/>
                <w:sz w:val="18"/>
                <w:szCs w:val="18"/>
              </w:rPr>
            </w:pPr>
            <w:r>
              <w:rPr>
                <w:rFonts w:ascii="宋体" w:hAnsi="宋体" w:cs="宋体" w:eastAsia="宋体" w:hint="default"/>
                <w:sz w:val="18"/>
                <w:szCs w:val="18"/>
              </w:rPr>
              <w:t>天源迪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科</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100" w:right="137"/>
              <w:jc w:val="both"/>
              <w:rPr>
                <w:rFonts w:ascii="宋体" w:hAnsi="宋体" w:cs="宋体" w:eastAsia="宋体" w:hint="default"/>
                <w:sz w:val="18"/>
                <w:szCs w:val="18"/>
              </w:rPr>
            </w:pPr>
            <w:r>
              <w:rPr>
                <w:rFonts w:ascii="宋体" w:hAnsi="宋体" w:cs="宋体" w:eastAsia="宋体" w:hint="default"/>
                <w:spacing w:val="-2"/>
                <w:sz w:val="18"/>
                <w:szCs w:val="18"/>
              </w:rPr>
              <w:t>关于减少、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规范关联交</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易事项的承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06" w:right="7"/>
              <w:jc w:val="left"/>
              <w:rPr>
                <w:rFonts w:ascii="宋体" w:hAnsi="宋体" w:cs="宋体" w:eastAsia="宋体" w:hint="default"/>
                <w:sz w:val="18"/>
                <w:szCs w:val="18"/>
              </w:rPr>
            </w:pPr>
            <w:r>
              <w:rPr>
                <w:rFonts w:ascii="宋体" w:hAnsi="宋体" w:cs="宋体" w:eastAsia="宋体" w:hint="default"/>
                <w:spacing w:val="-5"/>
                <w:sz w:val="18"/>
                <w:szCs w:val="18"/>
              </w:rPr>
              <w:t>关于减少、规范关联交易事项的承诺：</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宋体" w:hAnsi="宋体" w:cs="宋体" w:eastAsia="宋体" w:hint="default"/>
                <w:spacing w:val="-45"/>
                <w:sz w:val="18"/>
                <w:szCs w:val="18"/>
              </w:rPr>
              <w:t> </w:t>
            </w:r>
            <w:r>
              <w:rPr>
                <w:rFonts w:ascii="宋体" w:hAnsi="宋体" w:cs="宋体" w:eastAsia="宋体" w:hint="default"/>
                <w:spacing w:val="-6"/>
                <w:sz w:val="18"/>
                <w:szCs w:val="18"/>
              </w:rPr>
              <w:t>本公司承诺，未来尽量减少信邦安达与本</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公司及本公司所控制或施加重大影响的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企业的不必要的关联交易，最大限度地保</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证信邦安达业务的独立性，提高其独立面</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向市场并提供服务的能力。</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、如果确实</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因为双方业务开展及战略实施方面的考</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虑，需要开展一定程度的关联交易，双方</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06</w:t>
            </w:r>
            <w:r>
              <w:rPr>
                <w:rFonts w:ascii="Times New Roman" w:hAnsi="Times New Roman" w:cs="Times New Roman" w:eastAsia="Times New Roman" w:hint="default"/>
                <w:sz w:val="18"/>
                <w:szCs w:val="18"/>
              </w:rPr>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42"/>
              <w:ind w:left="105" w:right="105"/>
              <w:jc w:val="left"/>
              <w:rPr>
                <w:rFonts w:ascii="宋体" w:hAnsi="宋体" w:cs="宋体" w:eastAsia="宋体" w:hint="default"/>
                <w:sz w:val="18"/>
                <w:szCs w:val="18"/>
              </w:rPr>
            </w:pPr>
            <w:r>
              <w:rPr>
                <w:rFonts w:ascii="宋体" w:hAnsi="宋体" w:cs="宋体" w:eastAsia="宋体" w:hint="default"/>
                <w:sz w:val="18"/>
                <w:szCs w:val="18"/>
              </w:rPr>
              <w:t>正在履行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w:t>
            </w:r>
          </w:p>
        </w:tc>
      </w:tr>
    </w:tbl>
    <w:p>
      <w:pPr>
        <w:spacing w:after="0" w:line="321"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138"/>
        <w:gridCol w:w="932"/>
        <w:gridCol w:w="1152"/>
        <w:gridCol w:w="3409"/>
        <w:gridCol w:w="1018"/>
        <w:gridCol w:w="975"/>
        <w:gridCol w:w="946"/>
      </w:tblGrid>
      <w:tr>
        <w:trPr>
          <w:trHeight w:val="3481" w:hRule="exact"/>
        </w:trPr>
        <w:tc>
          <w:tcPr>
            <w:tcW w:w="1138" w:type="dxa"/>
            <w:vMerge w:val="restart"/>
            <w:tcBorders>
              <w:top w:val="single" w:sz="4" w:space="0" w:color="000000"/>
              <w:left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6" w:right="46"/>
              <w:jc w:val="left"/>
              <w:rPr>
                <w:rFonts w:ascii="宋体" w:hAnsi="宋体" w:cs="宋体" w:eastAsia="宋体" w:hint="default"/>
                <w:sz w:val="18"/>
                <w:szCs w:val="18"/>
              </w:rPr>
            </w:pPr>
            <w:r>
              <w:rPr>
                <w:rFonts w:ascii="宋体" w:hAnsi="宋体" w:cs="宋体" w:eastAsia="宋体" w:hint="default"/>
                <w:spacing w:val="-12"/>
                <w:w w:val="101"/>
                <w:sz w:val="18"/>
                <w:szCs w:val="18"/>
              </w:rPr>
              <w:t>均需要严格按照《公司法》、《公司章程》</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pacing w:val="-3"/>
                <w:sz w:val="18"/>
                <w:szCs w:val="18"/>
              </w:rPr>
              <w:t>及相关的关联交易、信息披露管理制度，</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6"/>
                <w:sz w:val="18"/>
                <w:szCs w:val="18"/>
              </w:rPr>
              <w:t>履行必要的内部决策和审批流程、信息披</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露义务。相关定价需要在双方平等、自愿</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6"/>
                <w:sz w:val="18"/>
                <w:szCs w:val="18"/>
              </w:rPr>
              <w:t>的基础上，按照公平、公正原则，根据市</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6"/>
                <w:sz w:val="18"/>
                <w:szCs w:val="18"/>
              </w:rPr>
              <w:t>场价格协商确定，不得存在损害信邦安达</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权益的情形。承诺杜绝发生占用信邦安达</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资金的情形，承诺不利用关联交易转移公</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司利润、不利用关联交易进行利益输送，</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不通过影响公司的经营决策及关联交易</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损害公司及股东的合法权益。</w:t>
            </w:r>
          </w:p>
        </w:tc>
        <w:tc>
          <w:tcPr>
            <w:tcW w:w="1018"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5709" w:hRule="exact"/>
        </w:trPr>
        <w:tc>
          <w:tcPr>
            <w:tcW w:w="1138" w:type="dxa"/>
            <w:vMerge/>
            <w:tcBorders>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21" w:lineRule="auto"/>
              <w:ind w:left="105" w:right="271"/>
              <w:jc w:val="left"/>
              <w:rPr>
                <w:rFonts w:ascii="宋体" w:hAnsi="宋体" w:cs="宋体" w:eastAsia="宋体" w:hint="default"/>
                <w:sz w:val="18"/>
                <w:szCs w:val="18"/>
              </w:rPr>
            </w:pPr>
            <w:r>
              <w:rPr>
                <w:rFonts w:ascii="宋体" w:hAnsi="宋体" w:cs="宋体" w:eastAsia="宋体" w:hint="default"/>
                <w:sz w:val="18"/>
                <w:szCs w:val="18"/>
              </w:rPr>
              <w:t>天源迪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科</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0"/>
              <w:ind w:left="100" w:right="137"/>
              <w:jc w:val="both"/>
              <w:rPr>
                <w:rFonts w:ascii="宋体" w:hAnsi="宋体" w:cs="宋体" w:eastAsia="宋体" w:hint="default"/>
                <w:sz w:val="18"/>
                <w:szCs w:val="18"/>
              </w:rPr>
            </w:pPr>
            <w:r>
              <w:rPr>
                <w:rFonts w:ascii="宋体" w:hAnsi="宋体" w:cs="宋体" w:eastAsia="宋体" w:hint="default"/>
                <w:spacing w:val="-2"/>
                <w:sz w:val="18"/>
                <w:szCs w:val="18"/>
              </w:rPr>
              <w:t>关于减少、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规范关联交</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易的承诺</w:t>
            </w:r>
          </w:p>
        </w:tc>
        <w:tc>
          <w:tcPr>
            <w:tcW w:w="34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6" w:right="46"/>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、本公司承诺，未来尽量减少天源股份</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与本公司及本公司所控制或施加重大影</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响的企业的不必要的关联交易，最大限度</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地保证天源股份业务的独立性，提高其独</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立面向市场并提供服务的能力； </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、如果</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确实因为双方业务开展及战略实施方面</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的考虑，需要开展一定程度的关联交易，</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15"/>
                <w:w w:val="101"/>
                <w:sz w:val="18"/>
                <w:szCs w:val="18"/>
              </w:rPr>
              <w:t>双方均需要严格按照《公司法》、《公司章</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pacing w:val="-6"/>
                <w:sz w:val="18"/>
                <w:szCs w:val="18"/>
              </w:rPr>
              <w:t>程》及相关的关联交易、信息披露管理制</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度，履行必要的内部决策和审批流程、信</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息披露义务。相关定价需要在双方平等、</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6"/>
                <w:sz w:val="18"/>
                <w:szCs w:val="18"/>
              </w:rPr>
              <w:t>自愿的基础上，按照公平、公正原则，根</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6"/>
                <w:sz w:val="18"/>
                <w:szCs w:val="18"/>
              </w:rPr>
              <w:t>据市场价格协商确定，不得存在损害天源</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股份权益的情形。承诺杜绝发生占用天源</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股份资金的情形，承诺不利用关联交易转</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移公司利润、不利用关联交易进行利益输</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6"/>
                <w:sz w:val="18"/>
                <w:szCs w:val="18"/>
              </w:rPr>
              <w:t>送，不通过影响公司的经营决策及关联交</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易损害公司及股东的合法权益。</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03</w:t>
            </w:r>
            <w:r>
              <w:rPr>
                <w:rFonts w:ascii="Times New Roman" w:hAnsi="Times New Roman" w:cs="Times New Roman" w:eastAsia="Times New Roman" w:hint="default"/>
                <w:sz w:val="18"/>
                <w:szCs w:val="18"/>
              </w:rPr>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21" w:lineRule="auto"/>
              <w:ind w:left="105" w:right="103"/>
              <w:jc w:val="left"/>
              <w:rPr>
                <w:rFonts w:ascii="宋体" w:hAnsi="宋体" w:cs="宋体" w:eastAsia="宋体" w:hint="default"/>
                <w:sz w:val="18"/>
                <w:szCs w:val="18"/>
              </w:rPr>
            </w:pPr>
            <w:r>
              <w:rPr>
                <w:rFonts w:ascii="宋体" w:hAnsi="宋体" w:cs="宋体" w:eastAsia="宋体" w:hint="default"/>
                <w:sz w:val="18"/>
                <w:szCs w:val="18"/>
              </w:rPr>
              <w:t>正在履行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w:t>
            </w:r>
          </w:p>
        </w:tc>
      </w:tr>
      <w:tr>
        <w:trPr>
          <w:trHeight w:val="716" w:hRule="exact"/>
        </w:trPr>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05" w:right="118"/>
              <w:jc w:val="left"/>
              <w:rPr>
                <w:rFonts w:ascii="宋体" w:hAnsi="宋体" w:cs="宋体" w:eastAsia="宋体" w:hint="default"/>
                <w:sz w:val="18"/>
                <w:szCs w:val="18"/>
              </w:rPr>
            </w:pPr>
            <w:r>
              <w:rPr>
                <w:rFonts w:ascii="宋体" w:hAnsi="宋体" w:cs="宋体" w:eastAsia="宋体" w:hint="default"/>
                <w:spacing w:val="-2"/>
                <w:sz w:val="18"/>
                <w:szCs w:val="18"/>
              </w:rPr>
              <w:t>承诺是否按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时履行</w:t>
            </w:r>
          </w:p>
        </w:tc>
        <w:tc>
          <w:tcPr>
            <w:tcW w:w="843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line="240" w:lineRule="auto" w:before="10"/>
        <w:rPr>
          <w:rFonts w:ascii="Times New Roman" w:hAnsi="Times New Roman" w:cs="Times New Roman" w:eastAsia="Times New Roman" w:hint="default"/>
          <w:sz w:val="21"/>
          <w:szCs w:val="21"/>
        </w:rPr>
      </w:pPr>
    </w:p>
    <w:p>
      <w:pPr>
        <w:pStyle w:val="Heading3"/>
        <w:spacing w:line="256" w:lineRule="auto" w:before="36"/>
        <w:ind w:right="1007"/>
        <w:jc w:val="left"/>
        <w:rPr>
          <w:b w:val="0"/>
          <w:bCs w:val="0"/>
        </w:rPr>
      </w:pPr>
      <w:bookmarkStart w:name="2、公司资产或项目存在盈利预测，且报告期仍处在盈利预测期间，公司就资产或项目达到" w:id="62"/>
      <w:bookmarkEnd w:id="62"/>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2"/>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1764"/>
        <w:jc w:val="left"/>
        <w:rPr>
          <w:b w:val="0"/>
          <w:bCs w:val="0"/>
        </w:rPr>
      </w:pPr>
      <w:bookmarkStart w:name="三、控股股东及其关联方对上市公司的非经营性占用资金情况" w:id="63"/>
      <w:bookmarkEnd w:id="63"/>
      <w:r>
        <w:rPr>
          <w:b w:val="0"/>
          <w:bCs w:val="0"/>
        </w:rPr>
      </w:r>
      <w:r>
        <w:rPr/>
        <w:t>三、控股股东及其关联方对上市公司的非经营性占用资金情况</w:t>
      </w:r>
      <w:r>
        <w:rPr>
          <w:b w:val="0"/>
          <w:bCs w:val="0"/>
        </w:rPr>
      </w:r>
    </w:p>
    <w:p>
      <w:pPr>
        <w:spacing w:line="240" w:lineRule="auto" w:before="7"/>
        <w:rPr>
          <w:rFonts w:ascii="宋体" w:hAnsi="宋体" w:cs="宋体" w:eastAsia="宋体" w:hint="default"/>
          <w:b/>
          <w:bCs/>
          <w:sz w:val="27"/>
          <w:szCs w:val="27"/>
        </w:rPr>
      </w:pPr>
    </w:p>
    <w:p>
      <w:pPr>
        <w:spacing w:line="357" w:lineRule="auto" w:before="0"/>
        <w:ind w:left="113" w:right="3606"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公司报告期不存在控股股东及其关联方对上市公司的非经营性占用资金。</w:t>
      </w:r>
    </w:p>
    <w:p>
      <w:pPr>
        <w:spacing w:after="0" w:line="357"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宋体" w:hAnsi="宋体" w:cs="宋体" w:eastAsia="宋体" w:hint="default"/>
          <w:sz w:val="20"/>
          <w:szCs w:val="20"/>
        </w:rPr>
      </w:pPr>
    </w:p>
    <w:p>
      <w:pPr>
        <w:pStyle w:val="Heading2"/>
        <w:spacing w:line="240" w:lineRule="auto" w:before="26"/>
        <w:ind w:right="1764"/>
        <w:jc w:val="left"/>
        <w:rPr>
          <w:b w:val="0"/>
          <w:bCs w:val="0"/>
        </w:rPr>
      </w:pPr>
      <w:bookmarkStart w:name="四、董事会对最近一期“非标准审计报告”相关情况的说明" w:id="64"/>
      <w:bookmarkEnd w:id="64"/>
      <w:r>
        <w:rPr>
          <w:b w:val="0"/>
          <w:bCs w:val="0"/>
        </w:rPr>
      </w:r>
      <w:r>
        <w:rPr/>
        <w:t>四、董事会对最近一期“非标准审计报告”相关情况的说明</w:t>
      </w:r>
      <w:r>
        <w:rPr>
          <w:b w:val="0"/>
          <w:bCs w:val="0"/>
        </w:rPr>
      </w:r>
    </w:p>
    <w:p>
      <w:pPr>
        <w:spacing w:line="240" w:lineRule="auto" w:before="7"/>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6"/>
          <w:szCs w:val="26"/>
        </w:rPr>
      </w:pPr>
    </w:p>
    <w:p>
      <w:pPr>
        <w:pStyle w:val="Heading2"/>
        <w:spacing w:line="312" w:lineRule="exact"/>
        <w:ind w:right="1113"/>
        <w:jc w:val="left"/>
        <w:rPr>
          <w:b w:val="0"/>
          <w:bCs w:val="0"/>
        </w:rPr>
      </w:pPr>
      <w:bookmarkStart w:name="五、董事会、监事会、独立董事（如有）对会计师事务所本报告期“非标准审计报告”的说" w:id="65"/>
      <w:bookmarkEnd w:id="65"/>
      <w:r>
        <w:rPr>
          <w:b w:val="0"/>
          <w:bCs w:val="0"/>
        </w:rPr>
      </w:r>
      <w:r>
        <w:rPr/>
        <w:t>五、董事会、监事会、独立董事（如有）对会计师事务所本报告期“非标准审计报告”的说</w:t>
      </w:r>
      <w:r>
        <w:rPr>
          <w:w w:val="99"/>
        </w:rPr>
        <w:t> </w:t>
      </w:r>
      <w:r>
        <w:rPr/>
        <w:t>明</w:t>
      </w:r>
      <w:r>
        <w:rPr>
          <w:b w:val="0"/>
          <w:bCs w:val="0"/>
        </w:rPr>
      </w:r>
    </w:p>
    <w:p>
      <w:pPr>
        <w:spacing w:line="240" w:lineRule="auto" w:before="0"/>
        <w:rPr>
          <w:rFonts w:ascii="宋体" w:hAnsi="宋体" w:cs="宋体" w:eastAsia="宋体" w:hint="default"/>
          <w:b/>
          <w:bCs/>
          <w:sz w:val="25"/>
          <w:szCs w:val="25"/>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4"/>
          <w:szCs w:val="24"/>
        </w:rPr>
      </w:pPr>
    </w:p>
    <w:p>
      <w:pPr>
        <w:pStyle w:val="Heading2"/>
        <w:spacing w:line="240" w:lineRule="auto"/>
        <w:ind w:right="1764"/>
        <w:jc w:val="left"/>
        <w:rPr>
          <w:b w:val="0"/>
          <w:bCs w:val="0"/>
        </w:rPr>
      </w:pPr>
      <w:bookmarkStart w:name="六、董事会关于报告期会计政策、会计估计变更或重大会计差错更正的说明" w:id="66"/>
      <w:bookmarkEnd w:id="66"/>
      <w:r>
        <w:rPr>
          <w:b w:val="0"/>
          <w:bCs w:val="0"/>
        </w:rPr>
      </w:r>
      <w:r>
        <w:rPr/>
        <w:t>六、董事会关于报告期会计政策、会计估计变更或重大会计差错更正的说明</w:t>
      </w:r>
      <w:r>
        <w:rPr>
          <w:b w:val="0"/>
          <w:bCs w:val="0"/>
        </w:rPr>
      </w:r>
    </w:p>
    <w:p>
      <w:pPr>
        <w:spacing w:line="240" w:lineRule="auto" w:before="7"/>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3434"/>
        <w:gridCol w:w="3543"/>
        <w:gridCol w:w="2642"/>
      </w:tblGrid>
      <w:tr>
        <w:trPr>
          <w:trHeight w:val="403" w:hRule="exact"/>
        </w:trPr>
        <w:tc>
          <w:tcPr>
            <w:tcW w:w="34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b/>
                <w:bCs/>
                <w:sz w:val="21"/>
                <w:szCs w:val="21"/>
              </w:rPr>
              <w:t>会计政策变更的内容和原因</w:t>
            </w:r>
            <w:r>
              <w:rPr>
                <w:rFonts w:ascii="宋体" w:hAnsi="宋体" w:cs="宋体" w:eastAsia="宋体" w:hint="default"/>
                <w:sz w:val="21"/>
                <w:szCs w:val="21"/>
              </w:rPr>
            </w:r>
          </w:p>
        </w:tc>
        <w:tc>
          <w:tcPr>
            <w:tcW w:w="35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4" w:right="0"/>
              <w:jc w:val="center"/>
              <w:rPr>
                <w:rFonts w:ascii="宋体" w:hAnsi="宋体" w:cs="宋体" w:eastAsia="宋体" w:hint="default"/>
                <w:sz w:val="21"/>
                <w:szCs w:val="21"/>
              </w:rPr>
            </w:pPr>
            <w:r>
              <w:rPr>
                <w:rFonts w:ascii="宋体" w:hAnsi="宋体" w:cs="宋体" w:eastAsia="宋体" w:hint="default"/>
                <w:b/>
                <w:bCs/>
                <w:sz w:val="21"/>
                <w:szCs w:val="21"/>
              </w:rPr>
              <w:t>审批程序</w:t>
            </w:r>
            <w:r>
              <w:rPr>
                <w:rFonts w:ascii="宋体" w:hAnsi="宋体" w:cs="宋体" w:eastAsia="宋体" w:hint="default"/>
                <w:sz w:val="21"/>
                <w:szCs w:val="21"/>
              </w:rPr>
            </w:r>
          </w:p>
        </w:tc>
        <w:tc>
          <w:tcPr>
            <w:tcW w:w="26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1099" w:right="0"/>
              <w:jc w:val="left"/>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752" w:hRule="exact"/>
        </w:trPr>
        <w:tc>
          <w:tcPr>
            <w:tcW w:w="343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执行新金融工具准则</w:t>
            </w:r>
          </w:p>
        </w:tc>
        <w:tc>
          <w:tcPr>
            <w:tcW w:w="3543" w:type="dxa"/>
            <w:tcBorders>
              <w:top w:val="single" w:sz="10" w:space="0" w:color="000000"/>
              <w:left w:val="single" w:sz="6" w:space="0" w:color="000000"/>
              <w:bottom w:val="single" w:sz="6" w:space="0" w:color="000000"/>
              <w:right w:val="single" w:sz="6" w:space="0" w:color="000000"/>
            </w:tcBorders>
          </w:tcPr>
          <w:p>
            <w:pPr>
              <w:pStyle w:val="TableParagraph"/>
              <w:spacing w:line="256" w:lineRule="auto" w:before="45"/>
              <w:ind w:left="1031" w:right="22" w:hanging="999"/>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2019</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27</w:t>
            </w:r>
            <w:r>
              <w:rPr>
                <w:rFonts w:ascii="宋体" w:hAnsi="宋体" w:cs="宋体" w:eastAsia="宋体" w:hint="default"/>
                <w:spacing w:val="-1"/>
                <w:sz w:val="21"/>
                <w:szCs w:val="21"/>
              </w:rPr>
              <w:t>日第四届董事会第二十六</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次会议审议通过</w:t>
            </w:r>
          </w:p>
        </w:tc>
        <w:tc>
          <w:tcPr>
            <w:tcW w:w="264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r>
      <w:tr>
        <w:trPr>
          <w:trHeight w:val="1364" w:hRule="exact"/>
        </w:trPr>
        <w:tc>
          <w:tcPr>
            <w:tcW w:w="3434"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38"/>
              <w:ind w:left="28" w:right="23"/>
              <w:jc w:val="center"/>
              <w:rPr>
                <w:rFonts w:ascii="宋体" w:hAnsi="宋体" w:cs="宋体" w:eastAsia="宋体" w:hint="default"/>
                <w:sz w:val="21"/>
                <w:szCs w:val="21"/>
              </w:rPr>
            </w:pPr>
            <w:r>
              <w:rPr>
                <w:rFonts w:ascii="宋体" w:hAnsi="宋体" w:cs="宋体" w:eastAsia="宋体" w:hint="default"/>
                <w:spacing w:val="-1"/>
                <w:sz w:val="21"/>
                <w:szCs w:val="21"/>
              </w:rPr>
              <w:t>执行财政部</w:t>
            </w:r>
            <w:r>
              <w:rPr>
                <w:rFonts w:ascii="Times New Roman" w:hAnsi="Times New Roman" w:cs="Times New Roman" w:eastAsia="Times New Roman" w:hint="default"/>
                <w:spacing w:val="-1"/>
                <w:sz w:val="21"/>
                <w:szCs w:val="21"/>
              </w:rPr>
              <w:t>2019</w:t>
            </w:r>
            <w:r>
              <w:rPr>
                <w:rFonts w:ascii="宋体" w:hAnsi="宋体" w:cs="宋体" w:eastAsia="宋体" w:hint="default"/>
                <w:spacing w:val="-1"/>
                <w:sz w:val="21"/>
                <w:szCs w:val="21"/>
              </w:rPr>
              <w:t>年修订的《企业会计</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准则第</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非货币性资产交换》</w:t>
            </w:r>
            <w:r>
              <w:rPr>
                <w:rFonts w:ascii="宋体" w:hAnsi="宋体" w:cs="宋体" w:eastAsia="宋体" w:hint="default"/>
                <w:w w:val="100"/>
                <w:sz w:val="21"/>
                <w:szCs w:val="21"/>
              </w:rPr>
              <w:t> </w:t>
            </w:r>
            <w:r>
              <w:rPr>
                <w:rFonts w:ascii="宋体" w:hAnsi="宋体" w:cs="宋体" w:eastAsia="宋体" w:hint="default"/>
                <w:sz w:val="21"/>
                <w:szCs w:val="21"/>
              </w:rPr>
              <w:t>和企业会计准则第</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债务重</w:t>
            </w:r>
            <w:r>
              <w:rPr>
                <w:rFonts w:ascii="宋体" w:hAnsi="宋体" w:cs="宋体" w:eastAsia="宋体" w:hint="default"/>
                <w:w w:val="100"/>
                <w:sz w:val="21"/>
                <w:szCs w:val="21"/>
              </w:rPr>
              <w:t> </w:t>
            </w:r>
            <w:r>
              <w:rPr>
                <w:rFonts w:ascii="宋体" w:hAnsi="宋体" w:cs="宋体" w:eastAsia="宋体" w:hint="default"/>
                <w:sz w:val="21"/>
                <w:szCs w:val="21"/>
              </w:rPr>
              <w:t>组》</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56" w:lineRule="auto"/>
              <w:ind w:left="1238" w:right="22" w:hanging="1206"/>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2020</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20</w:t>
            </w:r>
            <w:r>
              <w:rPr>
                <w:rFonts w:ascii="宋体" w:hAnsi="宋体" w:cs="宋体" w:eastAsia="宋体" w:hint="default"/>
                <w:spacing w:val="-1"/>
                <w:sz w:val="21"/>
                <w:szCs w:val="21"/>
              </w:rPr>
              <w:t>日第五届董事会第六次会</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议审议通过</w:t>
            </w:r>
          </w:p>
        </w:tc>
        <w:tc>
          <w:tcPr>
            <w:tcW w:w="2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5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line="444" w:lineRule="auto" w:before="36"/>
        <w:ind w:left="535" w:right="6955" w:firstLine="0"/>
        <w:jc w:val="left"/>
        <w:rPr>
          <w:rFonts w:ascii="宋体" w:hAnsi="宋体" w:cs="宋体" w:eastAsia="宋体" w:hint="default"/>
          <w:sz w:val="21"/>
          <w:szCs w:val="21"/>
        </w:rPr>
      </w:pPr>
      <w:r>
        <w:rPr>
          <w:rFonts w:ascii="宋体" w:hAnsi="宋体" w:cs="宋体" w:eastAsia="宋体" w:hint="default"/>
          <w:sz w:val="21"/>
          <w:szCs w:val="21"/>
        </w:rPr>
        <w:t>会计政策变更说明：</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b/>
          <w:bCs/>
          <w:sz w:val="21"/>
          <w:szCs w:val="21"/>
        </w:rPr>
        <w:t>执行新金融工具准则对本公司的影响</w:t>
      </w:r>
      <w:r>
        <w:rPr>
          <w:rFonts w:ascii="宋体" w:hAnsi="宋体" w:cs="宋体" w:eastAsia="宋体" w:hint="default"/>
          <w:sz w:val="21"/>
          <w:szCs w:val="21"/>
        </w:rPr>
      </w:r>
    </w:p>
    <w:p>
      <w:pPr>
        <w:pStyle w:val="BodyText"/>
        <w:spacing w:line="240" w:lineRule="auto" w:before="56"/>
        <w:ind w:left="535" w:right="1007"/>
        <w:jc w:val="left"/>
      </w:pPr>
      <w:r>
        <w:rPr/>
        <w:t>本公司自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日起执行财政部</w:t>
      </w:r>
      <w:r>
        <w:rPr>
          <w:rFonts w:ascii="宋体" w:hAnsi="宋体" w:cs="宋体" w:eastAsia="宋体" w:hint="default"/>
        </w:rPr>
        <w:t>2017</w:t>
      </w:r>
      <w:r>
        <w:rPr/>
        <w:t>年修订的《企业会计准则第</w:t>
      </w:r>
      <w:r>
        <w:rPr>
          <w:rFonts w:ascii="宋体" w:hAnsi="宋体" w:cs="宋体" w:eastAsia="宋体" w:hint="default"/>
        </w:rPr>
        <w:t>22</w:t>
      </w:r>
      <w:r>
        <w:rPr/>
        <w:t>号</w:t>
      </w:r>
      <w:r>
        <w:rPr>
          <w:rFonts w:ascii="宋体" w:hAnsi="宋体" w:cs="宋体" w:eastAsia="宋体" w:hint="default"/>
        </w:rPr>
        <w:t>-</w:t>
      </w:r>
      <w:r>
        <w:rPr/>
        <w:t>金融工具确认和计量》、</w:t>
      </w:r>
    </w:p>
    <w:p>
      <w:pPr>
        <w:spacing w:line="240" w:lineRule="auto" w:before="8"/>
        <w:rPr>
          <w:rFonts w:ascii="宋体" w:hAnsi="宋体" w:cs="宋体" w:eastAsia="宋体" w:hint="default"/>
          <w:sz w:val="14"/>
          <w:szCs w:val="14"/>
        </w:rPr>
      </w:pPr>
    </w:p>
    <w:p>
      <w:pPr>
        <w:pStyle w:val="BodyText"/>
        <w:spacing w:line="410" w:lineRule="auto" w:before="0"/>
        <w:ind w:right="1007"/>
        <w:jc w:val="left"/>
      </w:pPr>
      <w:r>
        <w:rPr>
          <w:spacing w:val="-2"/>
        </w:rPr>
        <w:t>《企业会计准则第</w:t>
      </w:r>
      <w:r>
        <w:rPr>
          <w:rFonts w:ascii="宋体" w:hAnsi="宋体" w:cs="宋体" w:eastAsia="宋体" w:hint="default"/>
          <w:spacing w:val="-2"/>
        </w:rPr>
        <w:t>23</w:t>
      </w:r>
      <w:r>
        <w:rPr>
          <w:spacing w:val="-2"/>
        </w:rPr>
        <w:t>号</w:t>
      </w:r>
      <w:r>
        <w:rPr>
          <w:rFonts w:ascii="宋体" w:hAnsi="宋体" w:cs="宋体" w:eastAsia="宋体" w:hint="default"/>
          <w:spacing w:val="-2"/>
        </w:rPr>
        <w:t>-</w:t>
      </w:r>
      <w:r>
        <w:rPr>
          <w:spacing w:val="-2"/>
        </w:rPr>
        <w:t>金融资产转移》和《企业会计准则第</w:t>
      </w:r>
      <w:r>
        <w:rPr>
          <w:rFonts w:ascii="宋体" w:hAnsi="宋体" w:cs="宋体" w:eastAsia="宋体" w:hint="default"/>
          <w:spacing w:val="-2"/>
        </w:rPr>
        <w:t>24</w:t>
      </w:r>
      <w:r>
        <w:rPr>
          <w:spacing w:val="-2"/>
        </w:rPr>
        <w:t>号</w:t>
      </w:r>
      <w:r>
        <w:rPr>
          <w:rFonts w:ascii="宋体" w:hAnsi="宋体" w:cs="宋体" w:eastAsia="宋体" w:hint="default"/>
          <w:spacing w:val="-2"/>
        </w:rPr>
        <w:t>-</w:t>
      </w:r>
      <w:r>
        <w:rPr>
          <w:spacing w:val="-2"/>
        </w:rPr>
        <w:t>套期会计》、《企业会计准则第</w:t>
      </w:r>
      <w:r>
        <w:rPr>
          <w:rFonts w:ascii="宋体" w:hAnsi="宋体" w:cs="宋体" w:eastAsia="宋体" w:hint="default"/>
          <w:spacing w:val="-2"/>
        </w:rPr>
        <w:t>37</w:t>
      </w:r>
      <w:r>
        <w:rPr>
          <w:spacing w:val="-2"/>
        </w:rPr>
        <w:t>号</w:t>
      </w:r>
      <w:r>
        <w:rPr>
          <w:rFonts w:ascii="宋体" w:hAnsi="宋体" w:cs="宋体" w:eastAsia="宋体" w:hint="default"/>
          <w:spacing w:val="-2"/>
        </w:rPr>
        <w:t>-</w:t>
      </w:r>
      <w:r>
        <w:rPr>
          <w:rFonts w:ascii="宋体" w:hAnsi="宋体" w:cs="宋体" w:eastAsia="宋体" w:hint="default"/>
          <w:spacing w:val="-4"/>
        </w:rPr>
        <w:t> </w:t>
      </w:r>
      <w:r>
        <w:rPr/>
        <w:t>金融工具列报》（以上四项统称</w:t>
      </w:r>
      <w:r>
        <w:rPr>
          <w:rFonts w:ascii="宋体" w:hAnsi="宋体" w:cs="宋体" w:eastAsia="宋体" w:hint="default"/>
        </w:rPr>
        <w:t>&lt;</w:t>
      </w:r>
      <w:r>
        <w:rPr/>
        <w:t>新金融工具准则</w:t>
      </w:r>
      <w:r>
        <w:rPr>
          <w:rFonts w:ascii="宋体" w:hAnsi="宋体" w:cs="宋体" w:eastAsia="宋体" w:hint="default"/>
        </w:rPr>
        <w:t>&gt;</w:t>
      </w:r>
      <w:r>
        <w:rPr/>
        <w:t>），变更后的会计政策详见附注四。</w:t>
      </w:r>
    </w:p>
    <w:p>
      <w:pPr>
        <w:pStyle w:val="BodyText"/>
        <w:spacing w:line="408" w:lineRule="auto" w:before="85"/>
        <w:ind w:right="1122" w:firstLine="422"/>
        <w:jc w:val="both"/>
      </w:pPr>
      <w:r>
        <w:rPr>
          <w:spacing w:val="-2"/>
        </w:rPr>
        <w:t>于</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日之前的金融工具确认和计量与新金融工具准则要求不一致的，本公司按照新金融工具</w:t>
      </w:r>
      <w:r>
        <w:rPr>
          <w:w w:val="100"/>
        </w:rPr>
        <w:t> </w:t>
      </w:r>
      <w:r>
        <w:rPr>
          <w:spacing w:val="-2"/>
        </w:rPr>
        <w:t>准则的要求进行衔接调整。涉及前期比较财务报表数据与新金融工具准则要求不一致的，本公司未调整可</w:t>
      </w:r>
      <w:r>
        <w:rPr>
          <w:spacing w:val="-33"/>
        </w:rPr>
        <w:t> </w:t>
      </w:r>
      <w:r>
        <w:rPr>
          <w:spacing w:val="-33"/>
        </w:rPr>
      </w:r>
      <w:r>
        <w:rPr>
          <w:spacing w:val="-2"/>
        </w:rPr>
        <w:t>比期间信息。金融工具原账面价值和新金融工具准则施行日的新账面价值之间的差额，计入</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w:t>
      </w:r>
      <w:r>
        <w:rPr>
          <w:spacing w:val="-24"/>
        </w:rPr>
        <w:t> </w:t>
      </w:r>
      <w:r>
        <w:rPr/>
        <w:t>留存收益或其他综合收益。</w:t>
      </w:r>
    </w:p>
    <w:p>
      <w:pPr>
        <w:pStyle w:val="Heading3"/>
        <w:spacing w:line="240" w:lineRule="auto" w:before="87"/>
        <w:ind w:left="535" w:right="1764"/>
        <w:jc w:val="left"/>
        <w:rPr>
          <w:b w:val="0"/>
          <w:bCs w:val="0"/>
        </w:rPr>
      </w:pPr>
      <w:r>
        <w:rPr/>
        <w:t>执行新金融工具准则对本期期初资产负债表相关项目的影响列示如下：</w:t>
      </w:r>
      <w:r>
        <w:rPr>
          <w:b w:val="0"/>
          <w:bCs w:val="0"/>
        </w:rPr>
      </w:r>
    </w:p>
    <w:p>
      <w:pPr>
        <w:spacing w:line="240" w:lineRule="auto" w:before="10"/>
        <w:rPr>
          <w:rFonts w:ascii="宋体" w:hAnsi="宋体" w:cs="宋体" w:eastAsia="宋体" w:hint="default"/>
          <w:b/>
          <w:bCs/>
          <w:sz w:val="12"/>
          <w:szCs w:val="12"/>
        </w:rPr>
      </w:pPr>
    </w:p>
    <w:tbl>
      <w:tblPr>
        <w:tblW w:w="0" w:type="auto"/>
        <w:jc w:val="left"/>
        <w:tblInd w:w="103" w:type="dxa"/>
        <w:tblLayout w:type="fixed"/>
        <w:tblCellMar>
          <w:top w:w="0" w:type="dxa"/>
          <w:left w:w="0" w:type="dxa"/>
          <w:bottom w:w="0" w:type="dxa"/>
          <w:right w:w="0" w:type="dxa"/>
        </w:tblCellMar>
        <w:tblLook w:val="01E0"/>
      </w:tblPr>
      <w:tblGrid>
        <w:gridCol w:w="2123"/>
        <w:gridCol w:w="1709"/>
        <w:gridCol w:w="1546"/>
        <w:gridCol w:w="1407"/>
        <w:gridCol w:w="1402"/>
        <w:gridCol w:w="1734"/>
      </w:tblGrid>
      <w:tr>
        <w:trPr>
          <w:trHeight w:val="427" w:hRule="exact"/>
        </w:trPr>
        <w:tc>
          <w:tcPr>
            <w:tcW w:w="2123"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5"/>
              <w:ind w:left="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09"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b/>
                <w:bCs/>
                <w:sz w:val="32"/>
                <w:szCs w:val="32"/>
              </w:rPr>
            </w:pPr>
          </w:p>
          <w:p>
            <w:pPr>
              <w:pStyle w:val="TableParagraph"/>
              <w:spacing w:line="240" w:lineRule="auto"/>
              <w:ind w:left="11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月</w:t>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日</w:t>
            </w:r>
            <w:r>
              <w:rPr>
                <w:rFonts w:ascii="宋体" w:hAnsi="宋体" w:cs="宋体" w:eastAsia="宋体" w:hint="default"/>
                <w:sz w:val="21"/>
                <w:szCs w:val="21"/>
              </w:rPr>
            </w:r>
          </w:p>
        </w:tc>
        <w:tc>
          <w:tcPr>
            <w:tcW w:w="4355"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8"/>
              <w:ind w:left="9" w:right="0"/>
              <w:jc w:val="center"/>
              <w:rPr>
                <w:rFonts w:ascii="宋体" w:hAnsi="宋体" w:cs="宋体" w:eastAsia="宋体" w:hint="default"/>
                <w:sz w:val="21"/>
                <w:szCs w:val="21"/>
              </w:rPr>
            </w:pPr>
            <w:r>
              <w:rPr>
                <w:rFonts w:ascii="宋体" w:hAnsi="宋体" w:cs="宋体" w:eastAsia="宋体" w:hint="default"/>
                <w:b/>
                <w:bCs/>
                <w:sz w:val="21"/>
                <w:szCs w:val="21"/>
              </w:rPr>
              <w:t>累积影响金额</w:t>
            </w:r>
            <w:r>
              <w:rPr>
                <w:rFonts w:ascii="宋体" w:hAnsi="宋体" w:cs="宋体" w:eastAsia="宋体" w:hint="default"/>
                <w:sz w:val="21"/>
                <w:szCs w:val="21"/>
              </w:rPr>
            </w:r>
          </w:p>
        </w:tc>
        <w:tc>
          <w:tcPr>
            <w:tcW w:w="1734"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b/>
                <w:bCs/>
                <w:sz w:val="32"/>
                <w:szCs w:val="32"/>
              </w:rPr>
            </w:pPr>
          </w:p>
          <w:p>
            <w:pPr>
              <w:pStyle w:val="TableParagraph"/>
              <w:spacing w:line="240" w:lineRule="auto"/>
              <w:ind w:left="23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月</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778" w:hRule="exact"/>
        </w:trPr>
        <w:tc>
          <w:tcPr>
            <w:tcW w:w="2123" w:type="dxa"/>
            <w:vMerge/>
            <w:tcBorders>
              <w:left w:val="single" w:sz="6" w:space="0" w:color="000000"/>
              <w:bottom w:val="single" w:sz="6" w:space="0" w:color="000000"/>
              <w:right w:val="single" w:sz="6" w:space="0" w:color="000000"/>
            </w:tcBorders>
            <w:shd w:val="clear" w:color="auto" w:fill="D9D9D9"/>
          </w:tcPr>
          <w:p>
            <w:pPr/>
          </w:p>
        </w:tc>
        <w:tc>
          <w:tcPr>
            <w:tcW w:w="1709" w:type="dxa"/>
            <w:vMerge/>
            <w:tcBorders>
              <w:left w:val="single" w:sz="6" w:space="0" w:color="000000"/>
              <w:bottom w:val="single" w:sz="6" w:space="0" w:color="000000"/>
              <w:right w:val="single" w:sz="6" w:space="0" w:color="000000"/>
            </w:tcBorders>
            <w:shd w:val="clear" w:color="auto" w:fill="D9D9D9"/>
          </w:tcPr>
          <w:p>
            <w:pPr/>
          </w:p>
        </w:tc>
        <w:tc>
          <w:tcPr>
            <w:tcW w:w="1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8"/>
              <w:ind w:left="4" w:right="0"/>
              <w:jc w:val="center"/>
              <w:rPr>
                <w:rFonts w:ascii="宋体" w:hAnsi="宋体" w:cs="宋体" w:eastAsia="宋体" w:hint="default"/>
                <w:sz w:val="21"/>
                <w:szCs w:val="21"/>
              </w:rPr>
            </w:pPr>
            <w:r>
              <w:rPr>
                <w:rFonts w:ascii="宋体" w:hAnsi="宋体" w:cs="宋体" w:eastAsia="宋体" w:hint="default"/>
                <w:b/>
                <w:bCs/>
                <w:sz w:val="21"/>
                <w:szCs w:val="21"/>
              </w:rPr>
              <w:t>分类和计量影响</w:t>
            </w:r>
            <w:r>
              <w:rPr>
                <w:rFonts w:ascii="宋体" w:hAnsi="宋体" w:cs="宋体" w:eastAsia="宋体" w:hint="default"/>
                <w:sz w:val="21"/>
                <w:szCs w:val="21"/>
              </w:rPr>
            </w:r>
          </w:p>
          <w:p>
            <w:pPr>
              <w:pStyle w:val="TableParagraph"/>
              <w:spacing w:line="240" w:lineRule="auto" w:before="80"/>
              <w:ind w:left="4" w:right="0"/>
              <w:jc w:val="center"/>
              <w:rPr>
                <w:rFonts w:ascii="宋体" w:hAnsi="宋体" w:cs="宋体" w:eastAsia="宋体" w:hint="default"/>
                <w:sz w:val="21"/>
                <w:szCs w:val="21"/>
              </w:rPr>
            </w:pPr>
            <w:r>
              <w:rPr>
                <w:rFonts w:ascii="宋体" w:hAnsi="宋体" w:cs="宋体" w:eastAsia="宋体" w:hint="default"/>
                <w:b/>
                <w:bCs/>
                <w:sz w:val="21"/>
                <w:szCs w:val="21"/>
              </w:rPr>
              <w:t>（注</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sz w:val="21"/>
                <w:szCs w:val="21"/>
              </w:rPr>
            </w:r>
          </w:p>
        </w:tc>
        <w:tc>
          <w:tcPr>
            <w:tcW w:w="140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3" w:lineRule="auto" w:before="57"/>
              <w:ind w:left="485" w:right="57" w:hanging="418"/>
              <w:jc w:val="left"/>
              <w:rPr>
                <w:rFonts w:ascii="宋体" w:hAnsi="宋体" w:cs="宋体" w:eastAsia="宋体" w:hint="default"/>
                <w:sz w:val="21"/>
                <w:szCs w:val="21"/>
              </w:rPr>
            </w:pPr>
            <w:r>
              <w:rPr>
                <w:rFonts w:ascii="宋体" w:hAnsi="宋体" w:cs="宋体" w:eastAsia="宋体" w:hint="default"/>
                <w:b/>
                <w:bCs/>
                <w:sz w:val="21"/>
                <w:szCs w:val="21"/>
              </w:rPr>
              <w:t>金融资产减值</w:t>
            </w:r>
            <w:r>
              <w:rPr>
                <w:rFonts w:ascii="宋体" w:hAnsi="宋体" w:cs="宋体" w:eastAsia="宋体" w:hint="default"/>
                <w:b/>
                <w:bCs/>
                <w:spacing w:val="-104"/>
                <w:sz w:val="21"/>
                <w:szCs w:val="21"/>
              </w:rPr>
              <w:t> </w:t>
            </w:r>
            <w:r>
              <w:rPr>
                <w:rFonts w:ascii="宋体" w:hAnsi="宋体" w:cs="宋体" w:eastAsia="宋体" w:hint="default"/>
                <w:b/>
                <w:bCs/>
                <w:sz w:val="21"/>
                <w:szCs w:val="21"/>
              </w:rPr>
              <w:t>影响</w:t>
            </w:r>
            <w:r>
              <w:rPr>
                <w:rFonts w:ascii="宋体" w:hAnsi="宋体" w:cs="宋体" w:eastAsia="宋体" w:hint="default"/>
                <w:sz w:val="21"/>
                <w:szCs w:val="21"/>
              </w:rPr>
            </w:r>
          </w:p>
        </w:tc>
        <w:tc>
          <w:tcPr>
            <w:tcW w:w="14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734" w:type="dxa"/>
            <w:vMerge/>
            <w:tcBorders>
              <w:left w:val="single" w:sz="6" w:space="0" w:color="000000"/>
              <w:bottom w:val="single" w:sz="6" w:space="0" w:color="000000"/>
              <w:right w:val="single" w:sz="6" w:space="0" w:color="000000"/>
            </w:tcBorders>
            <w:shd w:val="clear" w:color="auto" w:fill="D9D9D9"/>
          </w:tcPr>
          <w:p>
            <w:pPr/>
          </w:p>
        </w:tc>
      </w:tr>
      <w:tr>
        <w:trPr>
          <w:trHeight w:val="427" w:hRule="exact"/>
        </w:trPr>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8" w:right="0"/>
              <w:jc w:val="center"/>
              <w:rPr>
                <w:rFonts w:ascii="宋体" w:hAnsi="宋体" w:cs="宋体" w:eastAsia="宋体" w:hint="default"/>
                <w:sz w:val="21"/>
                <w:szCs w:val="21"/>
              </w:rPr>
            </w:pPr>
            <w:r>
              <w:rPr>
                <w:rFonts w:ascii="宋体" w:hAnsi="宋体" w:cs="宋体" w:eastAsia="宋体" w:hint="default"/>
                <w:sz w:val="21"/>
                <w:szCs w:val="21"/>
              </w:rPr>
              <w:t>交易性金融资产</w:t>
            </w:r>
          </w:p>
        </w:tc>
        <w:tc>
          <w:tcPr>
            <w:tcW w:w="1709"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 w:right="0"/>
              <w:jc w:val="center"/>
              <w:rPr>
                <w:rFonts w:ascii="Times New Roman" w:hAnsi="Times New Roman" w:cs="Times New Roman" w:eastAsia="Times New Roman" w:hint="default"/>
                <w:sz w:val="21"/>
                <w:szCs w:val="21"/>
              </w:rPr>
            </w:pPr>
            <w:r>
              <w:rPr>
                <w:rFonts w:ascii="Times New Roman"/>
                <w:sz w:val="21"/>
              </w:rPr>
              <w:t>1,722,384.00</w:t>
            </w:r>
          </w:p>
        </w:tc>
        <w:tc>
          <w:tcPr>
            <w:tcW w:w="1407"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 w:right="0"/>
              <w:jc w:val="center"/>
              <w:rPr>
                <w:rFonts w:ascii="Times New Roman" w:hAnsi="Times New Roman" w:cs="Times New Roman" w:eastAsia="Times New Roman" w:hint="default"/>
                <w:sz w:val="21"/>
                <w:szCs w:val="21"/>
              </w:rPr>
            </w:pPr>
            <w:r>
              <w:rPr>
                <w:rFonts w:ascii="Times New Roman"/>
                <w:sz w:val="21"/>
              </w:rPr>
              <w:t>1,722,384.00</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12" w:right="0"/>
              <w:jc w:val="left"/>
              <w:rPr>
                <w:rFonts w:ascii="Times New Roman" w:hAnsi="Times New Roman" w:cs="Times New Roman" w:eastAsia="Times New Roman" w:hint="default"/>
                <w:sz w:val="21"/>
                <w:szCs w:val="21"/>
              </w:rPr>
            </w:pPr>
            <w:r>
              <w:rPr>
                <w:rFonts w:ascii="Times New Roman"/>
                <w:sz w:val="21"/>
              </w:rPr>
              <w:t>1,722,384.00</w:t>
            </w:r>
          </w:p>
        </w:tc>
      </w:tr>
      <w:tr>
        <w:trPr>
          <w:trHeight w:val="427" w:hRule="exact"/>
        </w:trPr>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center"/>
              <w:rPr>
                <w:rFonts w:ascii="宋体" w:hAnsi="宋体" w:cs="宋体" w:eastAsia="宋体" w:hint="default"/>
                <w:sz w:val="21"/>
                <w:szCs w:val="21"/>
              </w:rPr>
            </w:pPr>
            <w:r>
              <w:rPr>
                <w:rFonts w:ascii="宋体" w:hAnsi="宋体" w:cs="宋体" w:eastAsia="宋体" w:hint="default"/>
                <w:spacing w:val="-1"/>
                <w:sz w:val="21"/>
                <w:szCs w:val="21"/>
              </w:rPr>
              <w:t>以公允价值计量且其变</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2" w:right="0"/>
              <w:jc w:val="left"/>
              <w:rPr>
                <w:rFonts w:ascii="Times New Roman" w:hAnsi="Times New Roman" w:cs="Times New Roman" w:eastAsia="Times New Roman" w:hint="default"/>
                <w:sz w:val="21"/>
                <w:szCs w:val="21"/>
              </w:rPr>
            </w:pPr>
            <w:r>
              <w:rPr>
                <w:rFonts w:ascii="Times New Roman"/>
                <w:sz w:val="21"/>
              </w:rPr>
              <w:t>1,722,384.00</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 w:right="0"/>
              <w:jc w:val="center"/>
              <w:rPr>
                <w:rFonts w:ascii="Times New Roman" w:hAnsi="Times New Roman" w:cs="Times New Roman" w:eastAsia="Times New Roman" w:hint="default"/>
                <w:sz w:val="21"/>
                <w:szCs w:val="21"/>
              </w:rPr>
            </w:pPr>
            <w:r>
              <w:rPr>
                <w:rFonts w:ascii="Times New Roman"/>
                <w:sz w:val="21"/>
              </w:rPr>
              <w:t>-1,722,384.00</w:t>
            </w:r>
          </w:p>
        </w:tc>
        <w:tc>
          <w:tcPr>
            <w:tcW w:w="1407"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 w:right="0"/>
              <w:jc w:val="center"/>
              <w:rPr>
                <w:rFonts w:ascii="Times New Roman" w:hAnsi="Times New Roman" w:cs="Times New Roman" w:eastAsia="Times New Roman" w:hint="default"/>
                <w:sz w:val="21"/>
                <w:szCs w:val="21"/>
              </w:rPr>
            </w:pPr>
            <w:r>
              <w:rPr>
                <w:rFonts w:ascii="Times New Roman"/>
                <w:sz w:val="21"/>
              </w:rPr>
              <w:t>-1,722,384.00</w:t>
            </w:r>
          </w:p>
        </w:tc>
        <w:tc>
          <w:tcPr>
            <w:tcW w:w="173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906" w:footer="1022" w:top="1100" w:bottom="1220" w:left="1020" w:right="0"/>
        </w:sectPr>
      </w:pPr>
    </w:p>
    <w:p>
      <w:pPr>
        <w:spacing w:line="240" w:lineRule="auto" w:before="7"/>
        <w:rPr>
          <w:rFonts w:ascii="宋体" w:hAnsi="宋体" w:cs="宋体" w:eastAsia="宋体" w:hint="default"/>
          <w:b/>
          <w:bCs/>
          <w:sz w:val="25"/>
          <w:szCs w:val="25"/>
        </w:rPr>
      </w:pPr>
    </w:p>
    <w:tbl>
      <w:tblPr>
        <w:tblW w:w="0" w:type="auto"/>
        <w:jc w:val="left"/>
        <w:tblInd w:w="103" w:type="dxa"/>
        <w:tblLayout w:type="fixed"/>
        <w:tblCellMar>
          <w:top w:w="0" w:type="dxa"/>
          <w:left w:w="0" w:type="dxa"/>
          <w:bottom w:w="0" w:type="dxa"/>
          <w:right w:w="0" w:type="dxa"/>
        </w:tblCellMar>
        <w:tblLook w:val="01E0"/>
      </w:tblPr>
      <w:tblGrid>
        <w:gridCol w:w="2123"/>
        <w:gridCol w:w="1709"/>
        <w:gridCol w:w="1546"/>
        <w:gridCol w:w="1407"/>
        <w:gridCol w:w="1402"/>
        <w:gridCol w:w="1734"/>
      </w:tblGrid>
      <w:tr>
        <w:trPr>
          <w:trHeight w:val="701" w:hRule="exact"/>
        </w:trPr>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ind w:left="845" w:right="1" w:hanging="841"/>
              <w:jc w:val="left"/>
              <w:rPr>
                <w:rFonts w:ascii="宋体" w:hAnsi="宋体" w:cs="宋体" w:eastAsia="宋体" w:hint="default"/>
                <w:sz w:val="21"/>
                <w:szCs w:val="21"/>
              </w:rPr>
            </w:pPr>
            <w:r>
              <w:rPr>
                <w:rFonts w:ascii="宋体" w:hAnsi="宋体" w:cs="宋体" w:eastAsia="宋体" w:hint="default"/>
                <w:sz w:val="21"/>
                <w:szCs w:val="21"/>
              </w:rPr>
              <w:t>动计入当期损益的金融</w:t>
            </w:r>
            <w:r>
              <w:rPr>
                <w:rFonts w:ascii="宋体" w:hAnsi="宋体" w:cs="宋体" w:eastAsia="宋体" w:hint="default"/>
                <w:w w:val="100"/>
                <w:sz w:val="21"/>
                <w:szCs w:val="21"/>
              </w:rPr>
              <w:t> </w:t>
            </w:r>
            <w:r>
              <w:rPr>
                <w:rFonts w:ascii="宋体" w:hAnsi="宋体" w:cs="宋体" w:eastAsia="宋体" w:hint="default"/>
                <w:sz w:val="21"/>
                <w:szCs w:val="21"/>
              </w:rPr>
              <w:t>资产</w:t>
            </w:r>
          </w:p>
        </w:tc>
        <w:tc>
          <w:tcPr>
            <w:tcW w:w="1709"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407"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
        </w:tc>
      </w:tr>
      <w:tr>
        <w:trPr>
          <w:trHeight w:val="428" w:hRule="exact"/>
        </w:trPr>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 w:right="0"/>
              <w:jc w:val="center"/>
              <w:rPr>
                <w:rFonts w:ascii="宋体" w:hAnsi="宋体" w:cs="宋体" w:eastAsia="宋体" w:hint="default"/>
                <w:sz w:val="21"/>
                <w:szCs w:val="21"/>
              </w:rPr>
            </w:pPr>
            <w:r>
              <w:rPr>
                <w:rFonts w:ascii="宋体" w:hAnsi="宋体" w:cs="宋体" w:eastAsia="宋体" w:hint="default"/>
                <w:sz w:val="21"/>
                <w:szCs w:val="21"/>
              </w:rPr>
              <w:t>应收票据</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center"/>
              <w:rPr>
                <w:rFonts w:ascii="Times New Roman" w:hAnsi="Times New Roman" w:cs="Times New Roman" w:eastAsia="Times New Roman" w:hint="default"/>
                <w:sz w:val="21"/>
                <w:szCs w:val="21"/>
              </w:rPr>
            </w:pPr>
            <w:r>
              <w:rPr>
                <w:rFonts w:ascii="Times New Roman"/>
                <w:sz w:val="21"/>
              </w:rPr>
              <w:t>115,996,492.35</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 w:right="0"/>
              <w:jc w:val="center"/>
              <w:rPr>
                <w:rFonts w:ascii="Times New Roman" w:hAnsi="Times New Roman" w:cs="Times New Roman" w:eastAsia="Times New Roman" w:hint="default"/>
                <w:sz w:val="21"/>
                <w:szCs w:val="21"/>
              </w:rPr>
            </w:pPr>
            <w:r>
              <w:rPr>
                <w:rFonts w:ascii="Times New Roman"/>
                <w:sz w:val="21"/>
              </w:rPr>
              <w:t>-19,373,991.97</w:t>
            </w:r>
          </w:p>
        </w:tc>
        <w:tc>
          <w:tcPr>
            <w:tcW w:w="1407"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7" w:right="0"/>
              <w:jc w:val="left"/>
              <w:rPr>
                <w:rFonts w:ascii="Times New Roman" w:hAnsi="Times New Roman" w:cs="Times New Roman" w:eastAsia="Times New Roman" w:hint="default"/>
                <w:sz w:val="21"/>
                <w:szCs w:val="21"/>
              </w:rPr>
            </w:pPr>
            <w:r>
              <w:rPr>
                <w:rFonts w:ascii="Times New Roman"/>
                <w:sz w:val="21"/>
              </w:rPr>
              <w:t>-19,373,991.97</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center"/>
              <w:rPr>
                <w:rFonts w:ascii="Times New Roman" w:hAnsi="Times New Roman" w:cs="Times New Roman" w:eastAsia="Times New Roman" w:hint="default"/>
                <w:sz w:val="21"/>
                <w:szCs w:val="21"/>
              </w:rPr>
            </w:pPr>
            <w:r>
              <w:rPr>
                <w:rFonts w:ascii="Times New Roman"/>
                <w:sz w:val="21"/>
              </w:rPr>
              <w:t>96,622,500.38</w:t>
            </w:r>
          </w:p>
        </w:tc>
      </w:tr>
      <w:tr>
        <w:trPr>
          <w:trHeight w:val="427" w:hRule="exact"/>
        </w:trPr>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8" w:right="0"/>
              <w:jc w:val="center"/>
              <w:rPr>
                <w:rFonts w:ascii="宋体" w:hAnsi="宋体" w:cs="宋体" w:eastAsia="宋体" w:hint="default"/>
                <w:sz w:val="21"/>
                <w:szCs w:val="21"/>
              </w:rPr>
            </w:pPr>
            <w:r>
              <w:rPr>
                <w:rFonts w:ascii="宋体" w:hAnsi="宋体" w:cs="宋体" w:eastAsia="宋体" w:hint="default"/>
                <w:sz w:val="21"/>
                <w:szCs w:val="21"/>
              </w:rPr>
              <w:t>应收款项融资</w:t>
            </w:r>
          </w:p>
        </w:tc>
        <w:tc>
          <w:tcPr>
            <w:tcW w:w="1709"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 w:right="0"/>
              <w:jc w:val="center"/>
              <w:rPr>
                <w:rFonts w:ascii="Times New Roman" w:hAnsi="Times New Roman" w:cs="Times New Roman" w:eastAsia="Times New Roman" w:hint="default"/>
                <w:sz w:val="21"/>
                <w:szCs w:val="21"/>
              </w:rPr>
            </w:pPr>
            <w:r>
              <w:rPr>
                <w:rFonts w:ascii="Times New Roman"/>
                <w:sz w:val="21"/>
              </w:rPr>
              <w:t>19,373,991.97</w:t>
            </w:r>
          </w:p>
        </w:tc>
        <w:tc>
          <w:tcPr>
            <w:tcW w:w="1407"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1" w:right="0"/>
              <w:jc w:val="left"/>
              <w:rPr>
                <w:rFonts w:ascii="Times New Roman" w:hAnsi="Times New Roman" w:cs="Times New Roman" w:eastAsia="Times New Roman" w:hint="default"/>
                <w:sz w:val="21"/>
                <w:szCs w:val="21"/>
              </w:rPr>
            </w:pPr>
            <w:r>
              <w:rPr>
                <w:rFonts w:ascii="Times New Roman"/>
                <w:sz w:val="21"/>
              </w:rPr>
              <w:t>19,373,991.97</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center"/>
              <w:rPr>
                <w:rFonts w:ascii="Times New Roman" w:hAnsi="Times New Roman" w:cs="Times New Roman" w:eastAsia="Times New Roman" w:hint="default"/>
                <w:sz w:val="21"/>
                <w:szCs w:val="21"/>
              </w:rPr>
            </w:pPr>
            <w:r>
              <w:rPr>
                <w:rFonts w:ascii="Times New Roman"/>
                <w:sz w:val="21"/>
              </w:rPr>
              <w:t>19,373,991.97</w:t>
            </w:r>
          </w:p>
        </w:tc>
      </w:tr>
      <w:tr>
        <w:trPr>
          <w:trHeight w:val="422" w:hRule="exact"/>
        </w:trPr>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8" w:right="0"/>
              <w:jc w:val="center"/>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Times New Roman" w:hAnsi="Times New Roman" w:cs="Times New Roman" w:eastAsia="Times New Roman" w:hint="default"/>
                <w:sz w:val="21"/>
                <w:szCs w:val="21"/>
              </w:rPr>
            </w:pPr>
            <w:r>
              <w:rPr>
                <w:rFonts w:ascii="Times New Roman"/>
                <w:sz w:val="21"/>
              </w:rPr>
              <w:t>72,927,564.25</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 w:right="0"/>
              <w:jc w:val="center"/>
              <w:rPr>
                <w:rFonts w:ascii="Times New Roman" w:hAnsi="Times New Roman" w:cs="Times New Roman" w:eastAsia="Times New Roman" w:hint="default"/>
                <w:sz w:val="21"/>
                <w:szCs w:val="21"/>
              </w:rPr>
            </w:pPr>
            <w:r>
              <w:rPr>
                <w:rFonts w:ascii="Times New Roman"/>
                <w:sz w:val="21"/>
              </w:rPr>
              <w:t>-72,927,564.25</w:t>
            </w:r>
          </w:p>
        </w:tc>
        <w:tc>
          <w:tcPr>
            <w:tcW w:w="1407"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7" w:right="0"/>
              <w:jc w:val="left"/>
              <w:rPr>
                <w:rFonts w:ascii="Times New Roman" w:hAnsi="Times New Roman" w:cs="Times New Roman" w:eastAsia="Times New Roman" w:hint="default"/>
                <w:sz w:val="21"/>
                <w:szCs w:val="21"/>
              </w:rPr>
            </w:pPr>
            <w:r>
              <w:rPr>
                <w:rFonts w:ascii="Times New Roman"/>
                <w:sz w:val="21"/>
              </w:rPr>
              <w:t>-72,927,564.25</w:t>
            </w:r>
          </w:p>
        </w:tc>
        <w:tc>
          <w:tcPr>
            <w:tcW w:w="1734"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8" w:right="0"/>
              <w:jc w:val="center"/>
              <w:rPr>
                <w:rFonts w:ascii="宋体" w:hAnsi="宋体" w:cs="宋体" w:eastAsia="宋体" w:hint="default"/>
                <w:sz w:val="21"/>
                <w:szCs w:val="21"/>
              </w:rPr>
            </w:pPr>
            <w:r>
              <w:rPr>
                <w:rFonts w:ascii="宋体" w:hAnsi="宋体" w:cs="宋体" w:eastAsia="宋体" w:hint="default"/>
                <w:sz w:val="21"/>
                <w:szCs w:val="21"/>
              </w:rPr>
              <w:t>其他权益工具投资</w:t>
            </w:r>
          </w:p>
        </w:tc>
        <w:tc>
          <w:tcPr>
            <w:tcW w:w="1709"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4" w:right="0"/>
              <w:jc w:val="center"/>
              <w:rPr>
                <w:rFonts w:ascii="Times New Roman" w:hAnsi="Times New Roman" w:cs="Times New Roman" w:eastAsia="Times New Roman" w:hint="default"/>
                <w:sz w:val="21"/>
                <w:szCs w:val="21"/>
              </w:rPr>
            </w:pPr>
            <w:r>
              <w:rPr>
                <w:rFonts w:ascii="Times New Roman"/>
                <w:sz w:val="21"/>
              </w:rPr>
              <w:t>103,099,569.02</w:t>
            </w:r>
          </w:p>
        </w:tc>
        <w:tc>
          <w:tcPr>
            <w:tcW w:w="1407"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43" w:right="0"/>
              <w:jc w:val="left"/>
              <w:rPr>
                <w:rFonts w:ascii="Times New Roman" w:hAnsi="Times New Roman" w:cs="Times New Roman" w:eastAsia="Times New Roman" w:hint="default"/>
                <w:sz w:val="21"/>
                <w:szCs w:val="21"/>
              </w:rPr>
            </w:pPr>
            <w:r>
              <w:rPr>
                <w:rFonts w:ascii="Times New Roman"/>
                <w:sz w:val="21"/>
              </w:rPr>
              <w:t>103,099,569.02</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8" w:right="0"/>
              <w:jc w:val="center"/>
              <w:rPr>
                <w:rFonts w:ascii="Times New Roman" w:hAnsi="Times New Roman" w:cs="Times New Roman" w:eastAsia="Times New Roman" w:hint="default"/>
                <w:sz w:val="21"/>
                <w:szCs w:val="21"/>
              </w:rPr>
            </w:pPr>
            <w:r>
              <w:rPr>
                <w:rFonts w:ascii="Times New Roman"/>
                <w:sz w:val="21"/>
              </w:rPr>
              <w:t>103,099,569.02</w:t>
            </w:r>
          </w:p>
        </w:tc>
      </w:tr>
      <w:tr>
        <w:trPr>
          <w:trHeight w:val="428" w:hRule="exact"/>
        </w:trPr>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 w:right="0"/>
              <w:jc w:val="center"/>
              <w:rPr>
                <w:rFonts w:ascii="宋体" w:hAnsi="宋体" w:cs="宋体" w:eastAsia="宋体" w:hint="default"/>
                <w:sz w:val="21"/>
                <w:szCs w:val="21"/>
              </w:rPr>
            </w:pPr>
            <w:r>
              <w:rPr>
                <w:rFonts w:ascii="宋体" w:hAnsi="宋体" w:cs="宋体" w:eastAsia="宋体" w:hint="default"/>
                <w:sz w:val="21"/>
                <w:szCs w:val="21"/>
              </w:rPr>
              <w:t>资产合计</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4" w:right="0"/>
              <w:jc w:val="center"/>
              <w:rPr>
                <w:rFonts w:ascii="Times New Roman" w:hAnsi="Times New Roman" w:cs="Times New Roman" w:eastAsia="Times New Roman" w:hint="default"/>
                <w:sz w:val="21"/>
                <w:szCs w:val="21"/>
              </w:rPr>
            </w:pPr>
            <w:r>
              <w:rPr>
                <w:rFonts w:ascii="Times New Roman"/>
                <w:sz w:val="21"/>
              </w:rPr>
              <w:t>190,646,440.60</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9" w:right="0"/>
              <w:jc w:val="center"/>
              <w:rPr>
                <w:rFonts w:ascii="Times New Roman" w:hAnsi="Times New Roman" w:cs="Times New Roman" w:eastAsia="Times New Roman" w:hint="default"/>
                <w:sz w:val="21"/>
                <w:szCs w:val="21"/>
              </w:rPr>
            </w:pPr>
            <w:r>
              <w:rPr>
                <w:rFonts w:ascii="Times New Roman"/>
                <w:sz w:val="21"/>
              </w:rPr>
              <w:t>30,172,004.77</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91" w:right="0"/>
              <w:jc w:val="left"/>
              <w:rPr>
                <w:rFonts w:ascii="Times New Roman" w:hAnsi="Times New Roman" w:cs="Times New Roman" w:eastAsia="Times New Roman" w:hint="default"/>
                <w:sz w:val="21"/>
                <w:szCs w:val="21"/>
              </w:rPr>
            </w:pPr>
            <w:r>
              <w:rPr>
                <w:rFonts w:ascii="Times New Roman"/>
                <w:sz w:val="21"/>
              </w:rPr>
              <w:t>30,172,004.77</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8" w:right="0"/>
              <w:jc w:val="center"/>
              <w:rPr>
                <w:rFonts w:ascii="Times New Roman" w:hAnsi="Times New Roman" w:cs="Times New Roman" w:eastAsia="Times New Roman" w:hint="default"/>
                <w:sz w:val="21"/>
                <w:szCs w:val="21"/>
              </w:rPr>
            </w:pPr>
            <w:r>
              <w:rPr>
                <w:rFonts w:ascii="Times New Roman"/>
                <w:sz w:val="21"/>
              </w:rPr>
              <w:t>220,818,445.37</w:t>
            </w:r>
          </w:p>
        </w:tc>
      </w:tr>
      <w:tr>
        <w:trPr>
          <w:trHeight w:val="427" w:hRule="exact"/>
        </w:trPr>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8" w:right="0"/>
              <w:jc w:val="center"/>
              <w:rPr>
                <w:rFonts w:ascii="宋体" w:hAnsi="宋体" w:cs="宋体" w:eastAsia="宋体" w:hint="default"/>
                <w:sz w:val="21"/>
                <w:szCs w:val="21"/>
              </w:rPr>
            </w:pPr>
            <w:r>
              <w:rPr>
                <w:rFonts w:ascii="宋体" w:hAnsi="宋体" w:cs="宋体" w:eastAsia="宋体" w:hint="default"/>
                <w:sz w:val="21"/>
                <w:szCs w:val="21"/>
              </w:rPr>
              <w:t>递延所得税负债</w:t>
            </w:r>
          </w:p>
        </w:tc>
        <w:tc>
          <w:tcPr>
            <w:tcW w:w="1709"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9" w:right="0"/>
              <w:jc w:val="center"/>
              <w:rPr>
                <w:rFonts w:ascii="Times New Roman" w:hAnsi="Times New Roman" w:cs="Times New Roman" w:eastAsia="Times New Roman" w:hint="default"/>
                <w:sz w:val="21"/>
                <w:szCs w:val="21"/>
              </w:rPr>
            </w:pPr>
            <w:r>
              <w:rPr>
                <w:rFonts w:ascii="Times New Roman"/>
                <w:sz w:val="21"/>
              </w:rPr>
              <w:t>3,557,593.12</w:t>
            </w:r>
          </w:p>
        </w:tc>
        <w:tc>
          <w:tcPr>
            <w:tcW w:w="1407"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43" w:right="0"/>
              <w:jc w:val="left"/>
              <w:rPr>
                <w:rFonts w:ascii="Times New Roman" w:hAnsi="Times New Roman" w:cs="Times New Roman" w:eastAsia="Times New Roman" w:hint="default"/>
                <w:sz w:val="21"/>
                <w:szCs w:val="21"/>
              </w:rPr>
            </w:pPr>
            <w:r>
              <w:rPr>
                <w:rFonts w:ascii="Times New Roman"/>
                <w:sz w:val="21"/>
              </w:rPr>
              <w:t>3,557,593.12</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4" w:right="0"/>
              <w:jc w:val="center"/>
              <w:rPr>
                <w:rFonts w:ascii="Times New Roman" w:hAnsi="Times New Roman" w:cs="Times New Roman" w:eastAsia="Times New Roman" w:hint="default"/>
                <w:sz w:val="21"/>
                <w:szCs w:val="21"/>
              </w:rPr>
            </w:pPr>
            <w:r>
              <w:rPr>
                <w:rFonts w:ascii="Times New Roman"/>
                <w:sz w:val="21"/>
              </w:rPr>
              <w:t>3,557,593.12</w:t>
            </w:r>
          </w:p>
        </w:tc>
      </w:tr>
      <w:tr>
        <w:trPr>
          <w:trHeight w:val="427" w:hRule="exact"/>
        </w:trPr>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 w:right="0"/>
              <w:jc w:val="center"/>
              <w:rPr>
                <w:rFonts w:ascii="宋体" w:hAnsi="宋体" w:cs="宋体" w:eastAsia="宋体" w:hint="default"/>
                <w:sz w:val="21"/>
                <w:szCs w:val="21"/>
              </w:rPr>
            </w:pPr>
            <w:r>
              <w:rPr>
                <w:rFonts w:ascii="宋体" w:hAnsi="宋体" w:cs="宋体" w:eastAsia="宋体" w:hint="default"/>
                <w:sz w:val="21"/>
                <w:szCs w:val="21"/>
              </w:rPr>
              <w:t>负债合计</w:t>
            </w:r>
          </w:p>
        </w:tc>
        <w:tc>
          <w:tcPr>
            <w:tcW w:w="1709"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9" w:right="0"/>
              <w:jc w:val="center"/>
              <w:rPr>
                <w:rFonts w:ascii="Times New Roman" w:hAnsi="Times New Roman" w:cs="Times New Roman" w:eastAsia="Times New Roman" w:hint="default"/>
                <w:sz w:val="21"/>
                <w:szCs w:val="21"/>
              </w:rPr>
            </w:pPr>
            <w:r>
              <w:rPr>
                <w:rFonts w:ascii="Times New Roman"/>
                <w:sz w:val="21"/>
              </w:rPr>
              <w:t>3,557,593.12</w:t>
            </w:r>
          </w:p>
        </w:tc>
        <w:tc>
          <w:tcPr>
            <w:tcW w:w="1407"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43" w:right="0"/>
              <w:jc w:val="left"/>
              <w:rPr>
                <w:rFonts w:ascii="Times New Roman" w:hAnsi="Times New Roman" w:cs="Times New Roman" w:eastAsia="Times New Roman" w:hint="default"/>
                <w:sz w:val="21"/>
                <w:szCs w:val="21"/>
              </w:rPr>
            </w:pPr>
            <w:r>
              <w:rPr>
                <w:rFonts w:ascii="Times New Roman"/>
                <w:sz w:val="21"/>
              </w:rPr>
              <w:t>3,557,593.12</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4" w:right="0"/>
              <w:jc w:val="center"/>
              <w:rPr>
                <w:rFonts w:ascii="Times New Roman" w:hAnsi="Times New Roman" w:cs="Times New Roman" w:eastAsia="Times New Roman" w:hint="default"/>
                <w:sz w:val="21"/>
                <w:szCs w:val="21"/>
              </w:rPr>
            </w:pPr>
            <w:r>
              <w:rPr>
                <w:rFonts w:ascii="Times New Roman"/>
                <w:sz w:val="21"/>
              </w:rPr>
              <w:t>3,557,593.12</w:t>
            </w:r>
          </w:p>
        </w:tc>
      </w:tr>
      <w:tr>
        <w:trPr>
          <w:trHeight w:val="427" w:hRule="exact"/>
        </w:trPr>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8" w:right="0"/>
              <w:jc w:val="center"/>
              <w:rPr>
                <w:rFonts w:ascii="宋体" w:hAnsi="宋体" w:cs="宋体" w:eastAsia="宋体" w:hint="default"/>
                <w:sz w:val="21"/>
                <w:szCs w:val="21"/>
              </w:rPr>
            </w:pPr>
            <w:r>
              <w:rPr>
                <w:rFonts w:ascii="宋体" w:hAnsi="宋体" w:cs="宋体" w:eastAsia="宋体" w:hint="default"/>
                <w:sz w:val="21"/>
                <w:szCs w:val="21"/>
              </w:rPr>
              <w:t>其他综合收益</w:t>
            </w:r>
          </w:p>
        </w:tc>
        <w:tc>
          <w:tcPr>
            <w:tcW w:w="1709"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9" w:right="0"/>
              <w:jc w:val="center"/>
              <w:rPr>
                <w:rFonts w:ascii="Times New Roman" w:hAnsi="Times New Roman" w:cs="Times New Roman" w:eastAsia="Times New Roman" w:hint="default"/>
                <w:sz w:val="21"/>
                <w:szCs w:val="21"/>
              </w:rPr>
            </w:pPr>
            <w:r>
              <w:rPr>
                <w:rFonts w:ascii="Times New Roman"/>
                <w:sz w:val="21"/>
              </w:rPr>
              <w:t>26,614,411.65</w:t>
            </w:r>
          </w:p>
        </w:tc>
        <w:tc>
          <w:tcPr>
            <w:tcW w:w="1407"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91" w:right="0"/>
              <w:jc w:val="left"/>
              <w:rPr>
                <w:rFonts w:ascii="Times New Roman" w:hAnsi="Times New Roman" w:cs="Times New Roman" w:eastAsia="Times New Roman" w:hint="default"/>
                <w:sz w:val="21"/>
                <w:szCs w:val="21"/>
              </w:rPr>
            </w:pPr>
            <w:r>
              <w:rPr>
                <w:rFonts w:ascii="Times New Roman"/>
                <w:sz w:val="21"/>
              </w:rPr>
              <w:t>26,614,411.65</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4" w:right="0"/>
              <w:jc w:val="center"/>
              <w:rPr>
                <w:rFonts w:ascii="Times New Roman" w:hAnsi="Times New Roman" w:cs="Times New Roman" w:eastAsia="Times New Roman" w:hint="default"/>
                <w:sz w:val="21"/>
                <w:szCs w:val="21"/>
              </w:rPr>
            </w:pPr>
            <w:r>
              <w:rPr>
                <w:rFonts w:ascii="Times New Roman"/>
                <w:sz w:val="21"/>
              </w:rPr>
              <w:t>26,614,411.65</w:t>
            </w:r>
          </w:p>
        </w:tc>
      </w:tr>
      <w:tr>
        <w:trPr>
          <w:trHeight w:val="428" w:hRule="exact"/>
        </w:trPr>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8" w:right="0"/>
              <w:jc w:val="center"/>
              <w:rPr>
                <w:rFonts w:ascii="宋体" w:hAnsi="宋体" w:cs="宋体" w:eastAsia="宋体" w:hint="default"/>
                <w:sz w:val="21"/>
                <w:szCs w:val="21"/>
              </w:rPr>
            </w:pPr>
            <w:r>
              <w:rPr>
                <w:rFonts w:ascii="宋体" w:hAnsi="宋体" w:cs="宋体" w:eastAsia="宋体" w:hint="default"/>
                <w:sz w:val="21"/>
                <w:szCs w:val="21"/>
              </w:rPr>
              <w:t>所有者权益合计</w:t>
            </w:r>
          </w:p>
        </w:tc>
        <w:tc>
          <w:tcPr>
            <w:tcW w:w="1709"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 w:right="0"/>
              <w:jc w:val="center"/>
              <w:rPr>
                <w:rFonts w:ascii="Times New Roman" w:hAnsi="Times New Roman" w:cs="Times New Roman" w:eastAsia="Times New Roman" w:hint="default"/>
                <w:sz w:val="21"/>
                <w:szCs w:val="21"/>
              </w:rPr>
            </w:pPr>
            <w:r>
              <w:rPr>
                <w:rFonts w:ascii="Times New Roman"/>
                <w:sz w:val="21"/>
              </w:rPr>
              <w:t>26,614,411.65</w:t>
            </w:r>
          </w:p>
        </w:tc>
        <w:tc>
          <w:tcPr>
            <w:tcW w:w="1407"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1" w:right="0"/>
              <w:jc w:val="left"/>
              <w:rPr>
                <w:rFonts w:ascii="Times New Roman" w:hAnsi="Times New Roman" w:cs="Times New Roman" w:eastAsia="Times New Roman" w:hint="default"/>
                <w:sz w:val="21"/>
                <w:szCs w:val="21"/>
              </w:rPr>
            </w:pPr>
            <w:r>
              <w:rPr>
                <w:rFonts w:ascii="Times New Roman"/>
                <w:sz w:val="21"/>
              </w:rPr>
              <w:t>26,614,411.65</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center"/>
              <w:rPr>
                <w:rFonts w:ascii="Times New Roman" w:hAnsi="Times New Roman" w:cs="Times New Roman" w:eastAsia="Times New Roman" w:hint="default"/>
                <w:sz w:val="21"/>
                <w:szCs w:val="21"/>
              </w:rPr>
            </w:pPr>
            <w:r>
              <w:rPr>
                <w:rFonts w:ascii="Times New Roman"/>
                <w:sz w:val="21"/>
              </w:rPr>
              <w:t>26,614,411.65</w:t>
            </w:r>
          </w:p>
        </w:tc>
      </w:tr>
    </w:tbl>
    <w:p>
      <w:pPr>
        <w:spacing w:line="240" w:lineRule="auto" w:before="3"/>
        <w:rPr>
          <w:rFonts w:ascii="宋体" w:hAnsi="宋体" w:cs="宋体" w:eastAsia="宋体" w:hint="default"/>
          <w:b/>
          <w:bCs/>
          <w:sz w:val="5"/>
          <w:szCs w:val="5"/>
        </w:rPr>
      </w:pPr>
    </w:p>
    <w:p>
      <w:pPr>
        <w:pStyle w:val="BodyText"/>
        <w:spacing w:line="261" w:lineRule="auto" w:before="36"/>
        <w:ind w:right="1133" w:firstLine="360"/>
        <w:jc w:val="both"/>
      </w:pPr>
      <w:r>
        <w:rPr/>
        <w:t>注</w:t>
      </w:r>
      <w:r>
        <w:rPr>
          <w:rFonts w:ascii="Times New Roman" w:hAnsi="Times New Roman" w:cs="Times New Roman" w:eastAsia="Times New Roman" w:hint="default"/>
        </w:rPr>
        <w:t>1</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日，账面价值</w:t>
      </w:r>
      <w:r>
        <w:rPr>
          <w:rFonts w:ascii="Times New Roman" w:hAnsi="Times New Roman" w:cs="Times New Roman" w:eastAsia="Times New Roman" w:hint="default"/>
        </w:rPr>
        <w:t>1,722,384.00</w:t>
      </w:r>
      <w:r>
        <w:rPr/>
        <w:t>元的股票投资以前年度被分类为以公允价值计量且其变</w:t>
      </w:r>
      <w:r>
        <w:rPr>
          <w:w w:val="100"/>
        </w:rPr>
        <w:t> </w:t>
      </w:r>
      <w:r>
        <w:rPr/>
        <w:t>动计入当期损益的金融资产，重分类至交易性金融资产。</w:t>
      </w:r>
    </w:p>
    <w:p>
      <w:pPr>
        <w:pStyle w:val="BodyText"/>
        <w:spacing w:line="261" w:lineRule="auto" w:before="56"/>
        <w:ind w:right="1134" w:firstLine="360"/>
        <w:jc w:val="both"/>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日，账面价值</w:t>
      </w:r>
      <w:r>
        <w:rPr>
          <w:rFonts w:ascii="Times New Roman" w:hAnsi="Times New Roman" w:cs="Times New Roman" w:eastAsia="Times New Roman" w:hint="default"/>
        </w:rPr>
        <w:t>19,373,991.97</w:t>
      </w:r>
      <w:r>
        <w:rPr/>
        <w:t>元的应收票据，因公司管理该金额资产的业务模式是既收取</w:t>
      </w:r>
      <w:r>
        <w:rPr>
          <w:w w:val="100"/>
        </w:rPr>
        <w:t> </w:t>
      </w:r>
      <w:r>
        <w:rPr/>
        <w:t>合同现金流量又出售该金融资产为目标，将该部分金融资产重分类至应收款项融资。</w:t>
      </w:r>
    </w:p>
    <w:p>
      <w:pPr>
        <w:pStyle w:val="BodyText"/>
        <w:spacing w:line="264" w:lineRule="auto" w:before="52"/>
        <w:ind w:right="1123" w:firstLine="360"/>
        <w:jc w:val="both"/>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日，账面价值</w:t>
      </w:r>
      <w:r>
        <w:rPr>
          <w:rFonts w:ascii="Times New Roman" w:hAnsi="Times New Roman" w:cs="Times New Roman" w:eastAsia="Times New Roman" w:hint="default"/>
        </w:rPr>
        <w:t>72,927,564.25</w:t>
      </w:r>
      <w:r>
        <w:rPr/>
        <w:t>元的金融资产系对被投资单位不能控制、共同控制且无重大</w:t>
      </w:r>
      <w:r>
        <w:rPr>
          <w:w w:val="100"/>
        </w:rPr>
        <w:t> </w:t>
      </w:r>
      <w:r>
        <w:rPr>
          <w:spacing w:val="-2"/>
        </w:rPr>
        <w:t>影响的股权投资，以前年度分类为可供出售金融资产，因公司将其指定为以公允价值计量且其变动计入其</w:t>
      </w:r>
      <w:r>
        <w:rPr>
          <w:spacing w:val="-33"/>
        </w:rPr>
        <w:t> </w:t>
      </w:r>
      <w:r>
        <w:rPr>
          <w:spacing w:val="-33"/>
        </w:rPr>
      </w:r>
      <w:r>
        <w:rPr/>
        <w:t>他综合收益的金融资产，按公允价值对期初余额重新计量后的金额</w:t>
      </w:r>
      <w:r>
        <w:rPr>
          <w:rFonts w:ascii="Times New Roman" w:hAnsi="Times New Roman" w:cs="Times New Roman" w:eastAsia="Times New Roman" w:hint="default"/>
        </w:rPr>
        <w:t>103,099,569.02</w:t>
      </w:r>
      <w:r>
        <w:rPr/>
        <w:t>分类至其他权益工具投</w:t>
      </w:r>
      <w:r>
        <w:rPr>
          <w:spacing w:val="23"/>
        </w:rPr>
        <w:t> </w:t>
      </w:r>
      <w:r>
        <w:rPr>
          <w:spacing w:val="23"/>
        </w:rPr>
      </w:r>
      <w:r>
        <w:rPr/>
        <w:t>资，相应公允价值变动确认递延所得税负债和其他综合收益。</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spacing w:line="444" w:lineRule="auto" w:before="0"/>
        <w:ind w:left="535" w:right="1007" w:firstLine="0"/>
        <w:jc w:val="left"/>
        <w:rPr>
          <w:rFonts w:ascii="宋体" w:hAnsi="宋体" w:cs="宋体" w:eastAsia="宋体" w:hint="default"/>
          <w:sz w:val="21"/>
          <w:szCs w:val="21"/>
        </w:rPr>
      </w:pPr>
      <w:r>
        <w:rPr>
          <w:rFonts w:ascii="宋体" w:hAnsi="宋体" w:cs="宋体" w:eastAsia="宋体" w:hint="default"/>
          <w:b/>
          <w:bCs/>
          <w:sz w:val="21"/>
          <w:szCs w:val="21"/>
        </w:rPr>
        <w:t>执行新债务重组及非货币性资产交换准则对本公司的影响</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本公司自</w:t>
      </w:r>
      <w:r>
        <w:rPr>
          <w:rFonts w:ascii="宋体" w:hAnsi="宋体" w:cs="宋体" w:eastAsia="宋体" w:hint="default"/>
          <w:spacing w:val="-2"/>
          <w:sz w:val="21"/>
          <w:szCs w:val="21"/>
        </w:rPr>
        <w:t>2019</w:t>
      </w:r>
      <w:r>
        <w:rPr>
          <w:rFonts w:ascii="宋体" w:hAnsi="宋体" w:cs="宋体" w:eastAsia="宋体" w:hint="default"/>
          <w:spacing w:val="-2"/>
          <w:sz w:val="21"/>
          <w:szCs w:val="21"/>
        </w:rPr>
        <w:t>年</w:t>
      </w:r>
      <w:r>
        <w:rPr>
          <w:rFonts w:ascii="宋体" w:hAnsi="宋体" w:cs="宋体" w:eastAsia="宋体" w:hint="default"/>
          <w:spacing w:val="-2"/>
          <w:sz w:val="21"/>
          <w:szCs w:val="21"/>
        </w:rPr>
        <w:t>6</w:t>
      </w:r>
      <w:r>
        <w:rPr>
          <w:rFonts w:ascii="宋体" w:hAnsi="宋体" w:cs="宋体" w:eastAsia="宋体" w:hint="default"/>
          <w:spacing w:val="-2"/>
          <w:sz w:val="21"/>
          <w:szCs w:val="21"/>
        </w:rPr>
        <w:t>月</w:t>
      </w:r>
      <w:r>
        <w:rPr>
          <w:rFonts w:ascii="宋体" w:hAnsi="宋体" w:cs="宋体" w:eastAsia="宋体" w:hint="default"/>
          <w:spacing w:val="-2"/>
          <w:sz w:val="21"/>
          <w:szCs w:val="21"/>
        </w:rPr>
        <w:t>10</w:t>
      </w:r>
      <w:r>
        <w:rPr>
          <w:rFonts w:ascii="宋体" w:hAnsi="宋体" w:cs="宋体" w:eastAsia="宋体" w:hint="default"/>
          <w:spacing w:val="-2"/>
          <w:sz w:val="21"/>
          <w:szCs w:val="21"/>
        </w:rPr>
        <w:t>日起执行财政部</w:t>
      </w:r>
      <w:r>
        <w:rPr>
          <w:rFonts w:ascii="宋体" w:hAnsi="宋体" w:cs="宋体" w:eastAsia="宋体" w:hint="default"/>
          <w:spacing w:val="-2"/>
          <w:sz w:val="21"/>
          <w:szCs w:val="21"/>
        </w:rPr>
        <w:t>2019</w:t>
      </w:r>
      <w:r>
        <w:rPr>
          <w:rFonts w:ascii="宋体" w:hAnsi="宋体" w:cs="宋体" w:eastAsia="宋体" w:hint="default"/>
          <w:spacing w:val="-2"/>
          <w:sz w:val="21"/>
          <w:szCs w:val="21"/>
        </w:rPr>
        <w:t>年修订的《企业会计准则第</w:t>
      </w:r>
      <w:r>
        <w:rPr>
          <w:rFonts w:ascii="宋体" w:hAnsi="宋体" w:cs="宋体" w:eastAsia="宋体" w:hint="default"/>
          <w:spacing w:val="-2"/>
          <w:sz w:val="21"/>
          <w:szCs w:val="21"/>
        </w:rPr>
        <w:t>7</w:t>
      </w:r>
      <w:r>
        <w:rPr>
          <w:rFonts w:ascii="宋体" w:hAnsi="宋体" w:cs="宋体" w:eastAsia="宋体" w:hint="default"/>
          <w:spacing w:val="77"/>
          <w:sz w:val="21"/>
          <w:szCs w:val="21"/>
        </w:rPr>
        <w:t> </w:t>
      </w:r>
      <w:r>
        <w:rPr>
          <w:rFonts w:ascii="宋体" w:hAnsi="宋体" w:cs="宋体" w:eastAsia="宋体" w:hint="default"/>
          <w:spacing w:val="-2"/>
          <w:sz w:val="21"/>
          <w:szCs w:val="21"/>
        </w:rPr>
        <w:t>号——非货币性资产交换》，</w:t>
      </w:r>
    </w:p>
    <w:p>
      <w:pPr>
        <w:pStyle w:val="BodyText"/>
        <w:spacing w:line="408" w:lineRule="auto" w:before="17"/>
        <w:ind w:right="1129"/>
        <w:jc w:val="both"/>
      </w:pPr>
      <w:r>
        <w:rPr/>
        <w:t>自</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17</w:t>
      </w:r>
      <w:r>
        <w:rPr/>
        <w:t>日起执行财政部</w:t>
      </w:r>
      <w:r>
        <w:rPr>
          <w:rFonts w:ascii="宋体" w:hAnsi="宋体" w:cs="宋体" w:eastAsia="宋体" w:hint="default"/>
        </w:rPr>
        <w:t>2019</w:t>
      </w:r>
      <w:r>
        <w:rPr/>
        <w:t>年修订的《企业会计准则第</w:t>
      </w:r>
      <w:r>
        <w:rPr>
          <w:rFonts w:ascii="宋体" w:hAnsi="宋体" w:cs="宋体" w:eastAsia="宋体" w:hint="default"/>
        </w:rPr>
        <w:t>12</w:t>
      </w:r>
      <w:r>
        <w:rPr>
          <w:rFonts w:ascii="宋体" w:hAnsi="宋体" w:cs="宋体" w:eastAsia="宋体" w:hint="default"/>
          <w:spacing w:val="25"/>
        </w:rPr>
        <w:t> </w:t>
      </w:r>
      <w:r>
        <w:rPr>
          <w:spacing w:val="-3"/>
        </w:rPr>
        <w:t>号——债务重组》。该项会计政策变更</w:t>
      </w:r>
      <w:r>
        <w:rPr>
          <w:spacing w:val="-103"/>
        </w:rPr>
        <w:t> </w:t>
      </w:r>
      <w:r>
        <w:rPr>
          <w:spacing w:val="-103"/>
        </w:rPr>
      </w:r>
      <w:r>
        <w:rPr>
          <w:spacing w:val="-2"/>
        </w:rPr>
        <w:t>采用未来适用法处理，并根据准则的规定对于</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日至准则实施日之间发生的非货币性资产交换和</w:t>
      </w:r>
      <w:r>
        <w:rPr>
          <w:spacing w:val="-31"/>
        </w:rPr>
        <w:t> </w:t>
      </w:r>
      <w:r>
        <w:rPr>
          <w:spacing w:val="-31"/>
        </w:rPr>
      </w:r>
      <w:r>
        <w:rPr/>
        <w:t>债务重组进行调整。</w:t>
      </w:r>
    </w:p>
    <w:p>
      <w:pPr>
        <w:pStyle w:val="BodyText"/>
        <w:spacing w:line="240" w:lineRule="auto" w:before="82"/>
        <w:ind w:left="535" w:right="1764"/>
        <w:jc w:val="left"/>
      </w:pPr>
      <w:r>
        <w:rPr/>
        <w:t>本公司执行上述准则对本报告期内财务报表无重大影响。</w:t>
      </w:r>
    </w:p>
    <w:p>
      <w:pPr>
        <w:spacing w:line="240" w:lineRule="auto" w:before="2"/>
        <w:rPr>
          <w:rFonts w:ascii="宋体" w:hAnsi="宋体" w:cs="宋体" w:eastAsia="宋体" w:hint="default"/>
          <w:sz w:val="29"/>
          <w:szCs w:val="29"/>
        </w:rPr>
      </w:pPr>
    </w:p>
    <w:p>
      <w:pPr>
        <w:pStyle w:val="Heading2"/>
        <w:spacing w:line="240" w:lineRule="auto"/>
        <w:ind w:right="0"/>
        <w:jc w:val="both"/>
        <w:rPr>
          <w:b w:val="0"/>
          <w:bCs w:val="0"/>
        </w:rPr>
      </w:pPr>
      <w:bookmarkStart w:name="七、与上年度财务报告相比，合并报表范围发生变化的情况说明" w:id="67"/>
      <w:bookmarkEnd w:id="67"/>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7"/>
          <w:szCs w:val="27"/>
        </w:rPr>
      </w:pPr>
    </w:p>
    <w:p>
      <w:pPr>
        <w:spacing w:before="0"/>
        <w:ind w:left="113" w:right="0" w:firstLine="0"/>
        <w:jc w:val="both"/>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pStyle w:val="BodyText"/>
        <w:spacing w:line="273" w:lineRule="auto" w:before="84"/>
        <w:ind w:right="1125" w:firstLine="422"/>
        <w:jc w:val="both"/>
      </w:pPr>
      <w:r>
        <w:rPr>
          <w:spacing w:val="-2"/>
        </w:rPr>
        <w:t>报告期内处置子公司深圳前海维恩贝特科技有限公司，并丧失控制权；本期新设子公司北京迪科云起</w:t>
      </w:r>
      <w:r>
        <w:rPr>
          <w:w w:val="100"/>
        </w:rPr>
        <w:t> </w:t>
      </w:r>
      <w:r>
        <w:rPr>
          <w:spacing w:val="-2"/>
        </w:rPr>
        <w:t>科技有限公司、新设孙公司合肥天源迪科职业培训学校有限公司、芜湖迪科数金科技有限公司、香港维恩</w:t>
      </w:r>
      <w:r>
        <w:rPr>
          <w:spacing w:val="-33"/>
        </w:rPr>
        <w:t> </w:t>
      </w:r>
      <w:r>
        <w:rPr>
          <w:spacing w:val="-33"/>
        </w:rPr>
      </w:r>
      <w:r>
        <w:rPr>
          <w:spacing w:val="-2"/>
        </w:rPr>
        <w:t>贝特。北京迪科云起科技有限公司、合肥天源迪科职业培训学校有限公司和芜湖迪科数金科技有限公司尚</w:t>
      </w:r>
      <w:r>
        <w:rPr>
          <w:spacing w:val="-33"/>
        </w:rPr>
        <w:t> </w:t>
      </w:r>
      <w:r>
        <w:rPr>
          <w:spacing w:val="-33"/>
        </w:rPr>
      </w:r>
      <w:r>
        <w:rPr/>
        <w:t>未开展业务。</w:t>
      </w:r>
    </w:p>
    <w:p>
      <w:pPr>
        <w:spacing w:after="0" w:line="273" w:lineRule="auto"/>
        <w:jc w:val="both"/>
        <w:sectPr>
          <w:pgSz w:w="11910" w:h="16840"/>
          <w:pgMar w:header="906" w:footer="1022" w:top="1100" w:bottom="1220" w:left="1020" w:right="0"/>
        </w:sectPr>
      </w:pPr>
    </w:p>
    <w:p>
      <w:pPr>
        <w:spacing w:line="240" w:lineRule="auto" w:before="6"/>
        <w:rPr>
          <w:rFonts w:ascii="宋体" w:hAnsi="宋体" w:cs="宋体" w:eastAsia="宋体" w:hint="default"/>
          <w:sz w:val="20"/>
          <w:szCs w:val="20"/>
        </w:rPr>
      </w:pPr>
    </w:p>
    <w:p>
      <w:pPr>
        <w:pStyle w:val="Heading2"/>
        <w:spacing w:line="240" w:lineRule="auto" w:before="26"/>
        <w:ind w:right="1764"/>
        <w:jc w:val="left"/>
        <w:rPr>
          <w:b w:val="0"/>
          <w:bCs w:val="0"/>
        </w:rPr>
      </w:pPr>
      <w:bookmarkStart w:name="八、聘任、解聘会计师事务所情况" w:id="68"/>
      <w:bookmarkEnd w:id="68"/>
      <w:r>
        <w:rPr>
          <w:b w:val="0"/>
          <w:bCs w:val="0"/>
        </w:rPr>
      </w:r>
      <w:r>
        <w:rPr/>
        <w:t>八、聘任、解聘会计师事务所情况</w:t>
      </w:r>
      <w:r>
        <w:rPr>
          <w:b w:val="0"/>
          <w:bCs w:val="0"/>
        </w:rPr>
      </w:r>
    </w:p>
    <w:p>
      <w:pPr>
        <w:spacing w:line="240" w:lineRule="auto" w:before="3"/>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现聘任的会计事务所</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92"/>
        <w:gridCol w:w="4777"/>
      </w:tblGrid>
      <w:tr>
        <w:trPr>
          <w:trHeight w:val="40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大华会计师事务所（特殊普通合伙）</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116.6</w:t>
            </w:r>
          </w:p>
        </w:tc>
      </w:tr>
      <w:tr>
        <w:trPr>
          <w:trHeight w:val="398"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陈勇、吕红涛</w:t>
            </w:r>
          </w:p>
        </w:tc>
      </w:tr>
      <w:tr>
        <w:trPr>
          <w:trHeight w:val="40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57" w:lineRule="auto" w:before="119"/>
        <w:ind w:left="113" w:right="769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否</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是否在审计期间改聘会计师事务所</w:t>
      </w:r>
    </w:p>
    <w:p>
      <w:pPr>
        <w:spacing w:line="362" w:lineRule="auto" w:before="26"/>
        <w:ind w:left="113" w:right="769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否</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更换会计师事务所是否履行审批程序</w:t>
      </w:r>
    </w:p>
    <w:p>
      <w:pPr>
        <w:spacing w:line="357" w:lineRule="auto" w:before="23"/>
        <w:ind w:left="113" w:right="769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否</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聘任、解聘会计师事务所情况说明</w:t>
      </w:r>
    </w:p>
    <w:p>
      <w:pPr>
        <w:spacing w:line="316" w:lineRule="auto" w:before="26"/>
        <w:ind w:left="113" w:right="1007" w:firstLine="422"/>
        <w:jc w:val="left"/>
        <w:rPr>
          <w:rFonts w:ascii="宋体" w:hAnsi="宋体" w:cs="宋体" w:eastAsia="宋体" w:hint="default"/>
          <w:sz w:val="18"/>
          <w:szCs w:val="18"/>
        </w:rPr>
      </w:pPr>
      <w:r>
        <w:rPr>
          <w:rFonts w:ascii="宋体" w:hAnsi="宋体" w:cs="宋体" w:eastAsia="宋体" w:hint="default"/>
          <w:spacing w:val="-6"/>
          <w:w w:val="101"/>
          <w:sz w:val="18"/>
          <w:szCs w:val="18"/>
        </w:rPr>
        <w:t>因原审计团队离开立信会计师事务所（特殊普通合伙）并加入大华会计师事务所（特殊普通合伙），为保障业务与服务</w:t>
      </w:r>
      <w:r>
        <w:rPr>
          <w:rFonts w:ascii="宋体" w:hAnsi="宋体" w:cs="宋体" w:eastAsia="宋体" w:hint="default"/>
          <w:w w:val="101"/>
          <w:sz w:val="18"/>
          <w:szCs w:val="18"/>
        </w:rPr>
        <w:t> </w:t>
      </w:r>
      <w:r>
        <w:rPr>
          <w:rFonts w:ascii="宋体" w:hAnsi="宋体" w:cs="宋体" w:eastAsia="宋体" w:hint="default"/>
          <w:spacing w:val="-3"/>
          <w:sz w:val="18"/>
          <w:szCs w:val="18"/>
        </w:rPr>
        <w:t>的延续性，公司变更大华会计师事务所（特殊普通合伙）为公司</w:t>
      </w:r>
      <w:r>
        <w:rPr>
          <w:rFonts w:ascii="宋体" w:hAnsi="宋体" w:cs="宋体" w:eastAsia="宋体" w:hint="default"/>
          <w:spacing w:val="-3"/>
          <w:sz w:val="18"/>
          <w:szCs w:val="18"/>
        </w:rPr>
        <w:t>2019</w:t>
      </w:r>
      <w:r>
        <w:rPr>
          <w:rFonts w:ascii="宋体" w:hAnsi="宋体" w:cs="宋体" w:eastAsia="宋体" w:hint="default"/>
          <w:spacing w:val="-3"/>
          <w:sz w:val="18"/>
          <w:szCs w:val="18"/>
        </w:rPr>
        <w:t>年度财务报表及内部控制审计机构。</w:t>
      </w:r>
    </w:p>
    <w:p>
      <w:pPr>
        <w:spacing w:line="316" w:lineRule="auto" w:before="19"/>
        <w:ind w:left="113" w:right="1007" w:firstLine="364"/>
        <w:jc w:val="left"/>
        <w:rPr>
          <w:rFonts w:ascii="宋体" w:hAnsi="宋体" w:cs="宋体" w:eastAsia="宋体" w:hint="default"/>
          <w:sz w:val="18"/>
          <w:szCs w:val="18"/>
        </w:rPr>
      </w:pPr>
      <w:r>
        <w:rPr>
          <w:rFonts w:ascii="宋体" w:hAnsi="宋体" w:cs="宋体" w:eastAsia="宋体" w:hint="default"/>
          <w:spacing w:val="-4"/>
          <w:w w:val="101"/>
          <w:sz w:val="18"/>
          <w:szCs w:val="18"/>
        </w:rPr>
        <w:t>公司于</w:t>
      </w:r>
      <w:r>
        <w:rPr>
          <w:rFonts w:ascii="宋体" w:hAnsi="宋体" w:cs="宋体" w:eastAsia="宋体" w:hint="default"/>
          <w:spacing w:val="-4"/>
          <w:w w:val="101"/>
          <w:sz w:val="18"/>
          <w:szCs w:val="18"/>
        </w:rPr>
        <w:t>2020</w:t>
      </w:r>
      <w:r>
        <w:rPr>
          <w:rFonts w:ascii="宋体" w:hAnsi="宋体" w:cs="宋体" w:eastAsia="宋体" w:hint="default"/>
          <w:spacing w:val="-4"/>
          <w:w w:val="101"/>
          <w:sz w:val="18"/>
          <w:szCs w:val="18"/>
        </w:rPr>
        <w:t>年</w:t>
      </w:r>
      <w:r>
        <w:rPr>
          <w:rFonts w:ascii="宋体" w:hAnsi="宋体" w:cs="宋体" w:eastAsia="宋体" w:hint="default"/>
          <w:spacing w:val="-4"/>
          <w:w w:val="101"/>
          <w:sz w:val="18"/>
          <w:szCs w:val="18"/>
        </w:rPr>
        <w:t>1</w:t>
      </w:r>
      <w:r>
        <w:rPr>
          <w:rFonts w:ascii="宋体" w:hAnsi="宋体" w:cs="宋体" w:eastAsia="宋体" w:hint="default"/>
          <w:spacing w:val="-4"/>
          <w:w w:val="101"/>
          <w:sz w:val="18"/>
          <w:szCs w:val="18"/>
        </w:rPr>
        <w:t>月</w:t>
      </w:r>
      <w:r>
        <w:rPr>
          <w:rFonts w:ascii="宋体" w:hAnsi="宋体" w:cs="宋体" w:eastAsia="宋体" w:hint="default"/>
          <w:spacing w:val="-4"/>
          <w:w w:val="101"/>
          <w:sz w:val="18"/>
          <w:szCs w:val="18"/>
        </w:rPr>
        <w:t>2</w:t>
      </w:r>
      <w:r>
        <w:rPr>
          <w:rFonts w:ascii="宋体" w:hAnsi="宋体" w:cs="宋体" w:eastAsia="宋体" w:hint="default"/>
          <w:spacing w:val="-4"/>
          <w:w w:val="101"/>
          <w:sz w:val="18"/>
          <w:szCs w:val="18"/>
        </w:rPr>
        <w:t>日召开</w:t>
      </w:r>
      <w:r>
        <w:rPr>
          <w:rFonts w:ascii="宋体" w:hAnsi="宋体" w:cs="宋体" w:eastAsia="宋体" w:hint="default"/>
          <w:spacing w:val="-4"/>
          <w:w w:val="101"/>
          <w:sz w:val="18"/>
          <w:szCs w:val="18"/>
        </w:rPr>
        <w:t>2020</w:t>
      </w:r>
      <w:r>
        <w:rPr>
          <w:rFonts w:ascii="宋体" w:hAnsi="宋体" w:cs="宋体" w:eastAsia="宋体" w:hint="default"/>
          <w:spacing w:val="-4"/>
          <w:w w:val="101"/>
          <w:sz w:val="18"/>
          <w:szCs w:val="18"/>
        </w:rPr>
        <w:t>年第一次临时</w:t>
      </w:r>
      <w:hyperlink r:id="rId14">
        <w:r>
          <w:rPr>
            <w:rFonts w:ascii="宋体" w:hAnsi="宋体" w:cs="宋体" w:eastAsia="宋体" w:hint="default"/>
            <w:spacing w:val="-4"/>
            <w:w w:val="101"/>
            <w:sz w:val="18"/>
            <w:szCs w:val="18"/>
          </w:rPr>
          <w:t>股东</w:t>
        </w:r>
      </w:hyperlink>
      <w:r>
        <w:rPr>
          <w:rFonts w:ascii="宋体" w:hAnsi="宋体" w:cs="宋体" w:eastAsia="宋体" w:hint="default"/>
          <w:spacing w:val="-4"/>
          <w:w w:val="101"/>
          <w:sz w:val="18"/>
          <w:szCs w:val="18"/>
        </w:rPr>
        <w:t>大会，会议审议通过了《关于变更</w:t>
      </w:r>
      <w:r>
        <w:rPr>
          <w:rFonts w:ascii="宋体" w:hAnsi="宋体" w:cs="宋体" w:eastAsia="宋体" w:hint="default"/>
          <w:spacing w:val="-4"/>
          <w:w w:val="101"/>
          <w:sz w:val="18"/>
          <w:szCs w:val="18"/>
        </w:rPr>
        <w:t>2019</w:t>
      </w:r>
      <w:r>
        <w:rPr>
          <w:rFonts w:ascii="宋体" w:hAnsi="宋体" w:cs="宋体" w:eastAsia="宋体" w:hint="default"/>
          <w:spacing w:val="-4"/>
          <w:w w:val="101"/>
          <w:sz w:val="18"/>
          <w:szCs w:val="18"/>
        </w:rPr>
        <w:t>年度审计机构的议案》，同意聘</w:t>
      </w:r>
      <w:r>
        <w:rPr>
          <w:rFonts w:ascii="宋体" w:hAnsi="宋体" w:cs="宋体" w:eastAsia="宋体" w:hint="default"/>
          <w:w w:val="101"/>
          <w:sz w:val="18"/>
          <w:szCs w:val="18"/>
        </w:rPr>
        <w:t> </w:t>
      </w:r>
      <w:r>
        <w:rPr>
          <w:rFonts w:ascii="宋体" w:hAnsi="宋体" w:cs="宋体" w:eastAsia="宋体" w:hint="default"/>
          <w:spacing w:val="-4"/>
          <w:sz w:val="18"/>
          <w:szCs w:val="18"/>
        </w:rPr>
        <w:t>请大华</w:t>
      </w:r>
      <w:hyperlink r:id="rId15">
        <w:r>
          <w:rPr>
            <w:rFonts w:ascii="宋体" w:hAnsi="宋体" w:cs="宋体" w:eastAsia="宋体" w:hint="default"/>
            <w:spacing w:val="-4"/>
            <w:sz w:val="18"/>
            <w:szCs w:val="18"/>
          </w:rPr>
          <w:t>会计师事务所</w:t>
        </w:r>
      </w:hyperlink>
      <w:r>
        <w:rPr>
          <w:rFonts w:ascii="宋体" w:hAnsi="宋体" w:cs="宋体" w:eastAsia="宋体" w:hint="default"/>
          <w:spacing w:val="-4"/>
          <w:sz w:val="18"/>
          <w:szCs w:val="18"/>
        </w:rPr>
        <w:t>（特殊普通合伙）为公司</w:t>
      </w:r>
      <w:r>
        <w:rPr>
          <w:rFonts w:ascii="宋体" w:hAnsi="宋体" w:cs="宋体" w:eastAsia="宋体" w:hint="default"/>
          <w:spacing w:val="-4"/>
          <w:sz w:val="18"/>
          <w:szCs w:val="18"/>
        </w:rPr>
        <w:t>2019</w:t>
      </w:r>
      <w:r>
        <w:rPr>
          <w:rFonts w:ascii="宋体" w:hAnsi="宋体" w:cs="宋体" w:eastAsia="宋体" w:hint="default"/>
          <w:spacing w:val="-4"/>
          <w:sz w:val="18"/>
          <w:szCs w:val="18"/>
        </w:rPr>
        <w:t>年度的审计机构，大华会计师事务所（特殊普通合伙）在</w:t>
      </w:r>
      <w:r>
        <w:rPr>
          <w:rFonts w:ascii="宋体" w:hAnsi="宋体" w:cs="宋体" w:eastAsia="宋体" w:hint="default"/>
          <w:spacing w:val="-4"/>
          <w:sz w:val="18"/>
          <w:szCs w:val="18"/>
        </w:rPr>
        <w:t>2019</w:t>
      </w:r>
      <w:r>
        <w:rPr>
          <w:rFonts w:ascii="宋体" w:hAnsi="宋体" w:cs="宋体" w:eastAsia="宋体" w:hint="default"/>
          <w:spacing w:val="-4"/>
          <w:sz w:val="18"/>
          <w:szCs w:val="18"/>
        </w:rPr>
        <w:t>年度的审计</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6"/>
          <w:sz w:val="18"/>
          <w:szCs w:val="18"/>
        </w:rPr>
        <w:t>工作中，遵循独立、客观、公证、公允的原则，切实履行了审计机构应尽的职责，从专业角度维护了公司及股东的合法权益，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表现了良好的职业操守和业务素质。</w:t>
      </w:r>
    </w:p>
    <w:p>
      <w:pPr>
        <w:spacing w:line="240" w:lineRule="auto" w:before="0"/>
        <w:rPr>
          <w:rFonts w:ascii="宋体" w:hAnsi="宋体" w:cs="宋体" w:eastAsia="宋体" w:hint="default"/>
          <w:sz w:val="18"/>
          <w:szCs w:val="18"/>
        </w:rPr>
      </w:pPr>
    </w:p>
    <w:p>
      <w:pPr>
        <w:spacing w:before="139"/>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聘请内部控制审计会计师事务所、财务顾问或保荐人情况</w:t>
      </w:r>
    </w:p>
    <w:p>
      <w:pPr>
        <w:spacing w:before="115"/>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4"/>
          <w:szCs w:val="24"/>
        </w:rPr>
      </w:pPr>
    </w:p>
    <w:p>
      <w:pPr>
        <w:pStyle w:val="Heading2"/>
        <w:spacing w:line="240" w:lineRule="auto"/>
        <w:ind w:right="1764"/>
        <w:jc w:val="left"/>
        <w:rPr>
          <w:b w:val="0"/>
          <w:bCs w:val="0"/>
        </w:rPr>
      </w:pPr>
      <w:bookmarkStart w:name="九、年度报告披露后面临暂停上市和终止上市情况" w:id="69"/>
      <w:bookmarkEnd w:id="69"/>
      <w:r>
        <w:rPr>
          <w:b w:val="0"/>
          <w:bCs w:val="0"/>
        </w:rPr>
      </w:r>
      <w:r>
        <w:rPr/>
        <w:t>九、年度报告披露后面临暂停上市和终止上市情况</w:t>
      </w:r>
      <w:r>
        <w:rPr>
          <w:b w:val="0"/>
          <w:bCs w:val="0"/>
        </w:rPr>
      </w:r>
    </w:p>
    <w:p>
      <w:pPr>
        <w:spacing w:line="240" w:lineRule="auto" w:before="8"/>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1764"/>
        <w:jc w:val="left"/>
        <w:rPr>
          <w:b w:val="0"/>
          <w:bCs w:val="0"/>
        </w:rPr>
      </w:pPr>
      <w:bookmarkStart w:name="十、破产重整相关事项" w:id="70"/>
      <w:bookmarkEnd w:id="70"/>
      <w:r>
        <w:rPr>
          <w:b w:val="0"/>
          <w:bCs w:val="0"/>
        </w:rPr>
      </w:r>
      <w:r>
        <w:rPr/>
        <w:t>十、破产重整相关事项</w:t>
      </w:r>
      <w:r>
        <w:rPr>
          <w:b w:val="0"/>
          <w:bCs w:val="0"/>
        </w:rPr>
      </w:r>
    </w:p>
    <w:p>
      <w:pPr>
        <w:spacing w:line="240" w:lineRule="auto" w:before="7"/>
        <w:rPr>
          <w:rFonts w:ascii="宋体" w:hAnsi="宋体" w:cs="宋体" w:eastAsia="宋体" w:hint="default"/>
          <w:b/>
          <w:bCs/>
          <w:sz w:val="27"/>
          <w:szCs w:val="27"/>
        </w:rPr>
      </w:pPr>
    </w:p>
    <w:p>
      <w:pPr>
        <w:spacing w:line="357" w:lineRule="auto" w:before="0"/>
        <w:ind w:left="113" w:right="7695"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公司报告期未发生破产重整相关事项。</w:t>
      </w:r>
    </w:p>
    <w:p>
      <w:pPr>
        <w:spacing w:line="240" w:lineRule="auto" w:before="3"/>
        <w:rPr>
          <w:rFonts w:ascii="宋体" w:hAnsi="宋体" w:cs="宋体" w:eastAsia="宋体" w:hint="default"/>
          <w:sz w:val="17"/>
          <w:szCs w:val="17"/>
        </w:rPr>
      </w:pPr>
    </w:p>
    <w:p>
      <w:pPr>
        <w:pStyle w:val="Heading2"/>
        <w:spacing w:line="240" w:lineRule="auto"/>
        <w:ind w:right="1764"/>
        <w:jc w:val="left"/>
        <w:rPr>
          <w:b w:val="0"/>
          <w:bCs w:val="0"/>
        </w:rPr>
      </w:pPr>
      <w:bookmarkStart w:name="十一、重大诉讼、仲裁事项" w:id="71"/>
      <w:bookmarkEnd w:id="71"/>
      <w:r>
        <w:rPr>
          <w:b w:val="0"/>
          <w:bCs w:val="0"/>
        </w:rPr>
      </w:r>
      <w:r>
        <w:rPr/>
        <w:t>十一、重大诉讼、仲裁事项</w:t>
      </w:r>
      <w:r>
        <w:rPr>
          <w:b w:val="0"/>
          <w:bCs w:val="0"/>
        </w:rPr>
      </w:r>
    </w:p>
    <w:p>
      <w:pPr>
        <w:spacing w:line="240" w:lineRule="auto" w:before="7"/>
        <w:rPr>
          <w:rFonts w:ascii="宋体" w:hAnsi="宋体" w:cs="宋体" w:eastAsia="宋体" w:hint="default"/>
          <w:b/>
          <w:bCs/>
          <w:sz w:val="27"/>
          <w:szCs w:val="27"/>
        </w:rPr>
      </w:pPr>
    </w:p>
    <w:p>
      <w:pPr>
        <w:spacing w:line="362" w:lineRule="auto" w:before="0"/>
        <w:ind w:left="113" w:right="7695"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本年度公司无重大诉讼、仲裁事项。</w:t>
      </w:r>
    </w:p>
    <w:p>
      <w:pPr>
        <w:spacing w:line="240" w:lineRule="auto" w:before="13"/>
        <w:rPr>
          <w:rFonts w:ascii="宋体" w:hAnsi="宋体" w:cs="宋体" w:eastAsia="宋体" w:hint="default"/>
          <w:sz w:val="16"/>
          <w:szCs w:val="16"/>
        </w:rPr>
      </w:pPr>
    </w:p>
    <w:p>
      <w:pPr>
        <w:pStyle w:val="Heading2"/>
        <w:spacing w:line="240" w:lineRule="auto"/>
        <w:ind w:right="1764"/>
        <w:jc w:val="left"/>
        <w:rPr>
          <w:b w:val="0"/>
          <w:bCs w:val="0"/>
        </w:rPr>
      </w:pPr>
      <w:bookmarkStart w:name="十二、处罚及整改情况" w:id="72"/>
      <w:bookmarkEnd w:id="72"/>
      <w:r>
        <w:rPr>
          <w:b w:val="0"/>
          <w:bCs w:val="0"/>
        </w:rPr>
      </w:r>
      <w:r>
        <w:rPr/>
        <w:t>十二、处罚及整改情况</w:t>
      </w:r>
      <w:r>
        <w:rPr>
          <w:b w:val="0"/>
          <w:bCs w:val="0"/>
        </w:rPr>
      </w:r>
    </w:p>
    <w:p>
      <w:pPr>
        <w:spacing w:line="240" w:lineRule="auto" w:before="7"/>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2"/>
        <w:rPr>
          <w:rFonts w:ascii="宋体" w:hAnsi="宋体" w:cs="宋体" w:eastAsia="宋体" w:hint="default"/>
          <w:sz w:val="23"/>
          <w:szCs w:val="23"/>
        </w:rPr>
      </w:pPr>
    </w:p>
    <w:p>
      <w:pPr>
        <w:spacing w:before="46"/>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公司报告期不存在处罚及整改情况。</w:t>
      </w:r>
    </w:p>
    <w:p>
      <w:pPr>
        <w:spacing w:line="240" w:lineRule="auto" w:before="13"/>
        <w:rPr>
          <w:rFonts w:ascii="宋体" w:hAnsi="宋体" w:cs="宋体" w:eastAsia="宋体" w:hint="default"/>
          <w:sz w:val="23"/>
          <w:szCs w:val="23"/>
        </w:rPr>
      </w:pPr>
    </w:p>
    <w:p>
      <w:pPr>
        <w:pStyle w:val="Heading2"/>
        <w:spacing w:line="240" w:lineRule="auto"/>
        <w:ind w:right="1764"/>
        <w:jc w:val="left"/>
        <w:rPr>
          <w:b w:val="0"/>
          <w:bCs w:val="0"/>
        </w:rPr>
      </w:pPr>
      <w:bookmarkStart w:name="十三、公司及其控股股东、实际控制人的诚信状况" w:id="73"/>
      <w:bookmarkEnd w:id="73"/>
      <w:r>
        <w:rPr>
          <w:b w:val="0"/>
          <w:bCs w:val="0"/>
        </w:rPr>
      </w:r>
      <w:r>
        <w:rPr/>
        <w:t>十三、公司及其控股股东、实际控制人的诚信状况</w:t>
      </w:r>
      <w:r>
        <w:rPr>
          <w:b w:val="0"/>
          <w:bCs w:val="0"/>
        </w:rPr>
      </w:r>
    </w:p>
    <w:p>
      <w:pPr>
        <w:spacing w:line="240" w:lineRule="auto" w:before="8"/>
        <w:rPr>
          <w:rFonts w:ascii="宋体" w:hAnsi="宋体" w:cs="宋体" w:eastAsia="宋体" w:hint="default"/>
          <w:b/>
          <w:bCs/>
          <w:sz w:val="27"/>
          <w:szCs w:val="27"/>
        </w:rPr>
      </w:pPr>
    </w:p>
    <w:p>
      <w:pPr>
        <w:spacing w:line="357" w:lineRule="auto" w:before="0"/>
        <w:ind w:left="113" w:right="3606"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公司第一大股东陈友先生不存在诉讼事项，不存在较大数额债务到期未清偿的情况。</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3"/>
          <w:szCs w:val="23"/>
        </w:rPr>
      </w:pPr>
    </w:p>
    <w:p>
      <w:pPr>
        <w:pStyle w:val="Heading2"/>
        <w:spacing w:line="240" w:lineRule="auto"/>
        <w:ind w:right="1764"/>
        <w:jc w:val="left"/>
        <w:rPr>
          <w:b w:val="0"/>
          <w:bCs w:val="0"/>
        </w:rPr>
      </w:pPr>
      <w:bookmarkStart w:name="十四、公司股权激励计划、员工持股计划或其他员工激励措施的实施情况" w:id="74"/>
      <w:bookmarkEnd w:id="74"/>
      <w:r>
        <w:rPr>
          <w:b w:val="0"/>
          <w:bCs w:val="0"/>
        </w:rPr>
      </w:r>
      <w:r>
        <w:rPr/>
        <w:t>十四、公司股权激励计划、员工持股计划或其他员工激励措施的实施情况</w:t>
      </w:r>
      <w:r>
        <w:rPr>
          <w:b w:val="0"/>
          <w:bCs w:val="0"/>
        </w:rPr>
      </w:r>
    </w:p>
    <w:p>
      <w:pPr>
        <w:spacing w:line="240" w:lineRule="auto" w:before="3"/>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before="110"/>
        <w:ind w:left="593" w:right="1764" w:firstLine="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、报告期内股权激励计划履行情况</w:t>
      </w:r>
    </w:p>
    <w:p>
      <w:pPr>
        <w:spacing w:line="319" w:lineRule="auto" w:before="76"/>
        <w:ind w:left="113" w:right="1007" w:firstLine="48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w:t>
      </w:r>
      <w:r>
        <w:rPr>
          <w:rFonts w:ascii="宋体" w:hAnsi="宋体" w:cs="宋体" w:eastAsia="宋体" w:hint="default"/>
          <w:spacing w:val="-3"/>
          <w:sz w:val="18"/>
          <w:szCs w:val="18"/>
        </w:rPr>
        <w:t>2019</w:t>
      </w:r>
      <w:r>
        <w:rPr>
          <w:rFonts w:ascii="宋体" w:hAnsi="宋体" w:cs="宋体" w:eastAsia="宋体" w:hint="default"/>
          <w:spacing w:val="-3"/>
          <w:sz w:val="18"/>
          <w:szCs w:val="18"/>
        </w:rPr>
        <w:t>年</w:t>
      </w:r>
      <w:r>
        <w:rPr>
          <w:rFonts w:ascii="宋体" w:hAnsi="宋体" w:cs="宋体" w:eastAsia="宋体" w:hint="default"/>
          <w:spacing w:val="-3"/>
          <w:sz w:val="18"/>
          <w:szCs w:val="18"/>
        </w:rPr>
        <w:t>3</w:t>
      </w:r>
      <w:r>
        <w:rPr>
          <w:rFonts w:ascii="宋体" w:hAnsi="宋体" w:cs="宋体" w:eastAsia="宋体" w:hint="default"/>
          <w:spacing w:val="-3"/>
          <w:sz w:val="18"/>
          <w:szCs w:val="18"/>
        </w:rPr>
        <w:t>月</w:t>
      </w:r>
      <w:r>
        <w:rPr>
          <w:rFonts w:ascii="宋体" w:hAnsi="宋体" w:cs="宋体" w:eastAsia="宋体" w:hint="default"/>
          <w:spacing w:val="-3"/>
          <w:sz w:val="18"/>
          <w:szCs w:val="18"/>
        </w:rPr>
        <w:t>27</w:t>
      </w:r>
      <w:r>
        <w:rPr>
          <w:rFonts w:ascii="宋体" w:hAnsi="宋体" w:cs="宋体" w:eastAsia="宋体" w:hint="default"/>
          <w:spacing w:val="-3"/>
          <w:sz w:val="18"/>
          <w:szCs w:val="18"/>
        </w:rPr>
        <w:t>日，第四届董事会第二十六次会议、第四届监事会第二十三次会议审议通过了《关于回购注销已离</w:t>
      </w:r>
      <w:r>
        <w:rPr>
          <w:rFonts w:ascii="宋体" w:hAnsi="宋体" w:cs="宋体" w:eastAsia="宋体" w:hint="default"/>
          <w:w w:val="101"/>
          <w:sz w:val="18"/>
          <w:szCs w:val="18"/>
        </w:rPr>
        <w:t> </w:t>
      </w:r>
      <w:r>
        <w:rPr>
          <w:rFonts w:ascii="宋体" w:hAnsi="宋体" w:cs="宋体" w:eastAsia="宋体" w:hint="default"/>
          <w:spacing w:val="-5"/>
          <w:w w:val="101"/>
          <w:sz w:val="18"/>
          <w:szCs w:val="18"/>
        </w:rPr>
        <w:t>职激励对象已获授但尚未解锁的限制性股票的议案》。因公司限制性股票激励计划激励对象（王榆棋、陈小燕、贾志强、李</w:t>
      </w:r>
      <w:r>
        <w:rPr>
          <w:rFonts w:ascii="宋体" w:hAnsi="宋体" w:cs="宋体" w:eastAsia="宋体" w:hint="default"/>
          <w:spacing w:val="-43"/>
          <w:w w:val="101"/>
          <w:sz w:val="18"/>
          <w:szCs w:val="18"/>
        </w:rPr>
        <w:t> </w:t>
      </w:r>
      <w:r>
        <w:rPr>
          <w:rFonts w:ascii="宋体" w:hAnsi="宋体" w:cs="宋体" w:eastAsia="宋体" w:hint="default"/>
          <w:spacing w:val="-43"/>
          <w:w w:val="101"/>
          <w:sz w:val="18"/>
          <w:szCs w:val="18"/>
        </w:rPr>
      </w:r>
      <w:r>
        <w:rPr>
          <w:rFonts w:ascii="宋体" w:hAnsi="宋体" w:cs="宋体" w:eastAsia="宋体" w:hint="default"/>
          <w:spacing w:val="-3"/>
          <w:sz w:val="18"/>
          <w:szCs w:val="18"/>
        </w:rPr>
        <w:t>伟、刘文钧、张自云、司磊、林浩、刘振奎、王超、郑智先、唐波、朱立智）共</w:t>
      </w:r>
      <w:r>
        <w:rPr>
          <w:rFonts w:ascii="宋体" w:hAnsi="宋体" w:cs="宋体" w:eastAsia="宋体" w:hint="default"/>
          <w:spacing w:val="-3"/>
          <w:sz w:val="18"/>
          <w:szCs w:val="18"/>
        </w:rPr>
        <w:t>13</w:t>
      </w:r>
      <w:r>
        <w:rPr>
          <w:rFonts w:ascii="宋体" w:hAnsi="宋体" w:cs="宋体" w:eastAsia="宋体" w:hint="default"/>
          <w:spacing w:val="-3"/>
          <w:sz w:val="18"/>
          <w:szCs w:val="18"/>
        </w:rPr>
        <w:t>人因个人原因离职，已不符合激励条件，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其已获授但尚未解锁的限制性股票合计</w:t>
      </w:r>
      <w:r>
        <w:rPr>
          <w:rFonts w:ascii="宋体" w:hAnsi="宋体" w:cs="宋体" w:eastAsia="宋体" w:hint="default"/>
          <w:sz w:val="18"/>
          <w:szCs w:val="18"/>
        </w:rPr>
        <w:t>136,880 </w:t>
      </w:r>
      <w:r>
        <w:rPr>
          <w:rFonts w:ascii="宋体" w:hAnsi="宋体" w:cs="宋体" w:eastAsia="宋体" w:hint="default"/>
          <w:spacing w:val="-3"/>
          <w:sz w:val="18"/>
          <w:szCs w:val="18"/>
        </w:rPr>
        <w:t>股将全部注销。回购价格为每股 </w:t>
      </w:r>
      <w:r>
        <w:rPr>
          <w:rFonts w:ascii="宋体" w:hAnsi="宋体" w:cs="宋体" w:eastAsia="宋体" w:hint="default"/>
          <w:sz w:val="18"/>
          <w:szCs w:val="18"/>
        </w:rPr>
        <w:t>8.5849129</w:t>
      </w:r>
      <w:r>
        <w:rPr>
          <w:rFonts w:ascii="宋体" w:hAnsi="宋体" w:cs="宋体" w:eastAsia="宋体" w:hint="default"/>
          <w:spacing w:val="46"/>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spacing w:before="17"/>
        <w:ind w:left="593" w:right="0" w:firstLine="0"/>
        <w:jc w:val="left"/>
        <w:rPr>
          <w:rFonts w:ascii="宋体" w:hAnsi="宋体" w:cs="宋体" w:eastAsia="宋体" w:hint="default"/>
          <w:sz w:val="18"/>
          <w:szCs w:val="18"/>
        </w:rPr>
      </w:pPr>
      <w:r>
        <w:rPr>
          <w:rFonts w:ascii="宋体" w:hAnsi="宋体" w:cs="宋体" w:eastAsia="宋体" w:hint="default"/>
          <w:spacing w:val="-3"/>
          <w:sz w:val="18"/>
          <w:szCs w:val="18"/>
        </w:rPr>
        <w:t>经过本次调整，限制性股票激励计划授予的限制性股票数量（不含已解锁的第一期、第二期）调整为  </w:t>
      </w:r>
      <w:r>
        <w:rPr>
          <w:rFonts w:ascii="宋体" w:hAnsi="宋体" w:cs="宋体" w:eastAsia="宋体" w:hint="default"/>
          <w:sz w:val="18"/>
          <w:szCs w:val="18"/>
        </w:rPr>
        <w:t>4,368,080</w:t>
      </w:r>
      <w:r>
        <w:rPr>
          <w:rFonts w:ascii="宋体" w:hAnsi="宋体" w:cs="宋体" w:eastAsia="宋体" w:hint="default"/>
          <w:spacing w:val="28"/>
          <w:sz w:val="18"/>
          <w:szCs w:val="18"/>
        </w:rPr>
        <w:t> </w:t>
      </w:r>
      <w:r>
        <w:rPr>
          <w:rFonts w:ascii="宋体" w:hAnsi="宋体" w:cs="宋体" w:eastAsia="宋体" w:hint="default"/>
          <w:sz w:val="18"/>
          <w:szCs w:val="18"/>
        </w:rPr>
        <w:t>股，</w:t>
      </w:r>
    </w:p>
    <w:p>
      <w:pPr>
        <w:spacing w:before="76"/>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授予对象调整为 </w:t>
      </w:r>
      <w:r>
        <w:rPr>
          <w:rFonts w:ascii="宋体" w:hAnsi="宋体" w:cs="宋体" w:eastAsia="宋体" w:hint="default"/>
          <w:sz w:val="18"/>
          <w:szCs w:val="18"/>
        </w:rPr>
        <w:t>348</w:t>
      </w:r>
      <w:r>
        <w:rPr>
          <w:rFonts w:ascii="宋体" w:hAnsi="宋体" w:cs="宋体" w:eastAsia="宋体" w:hint="default"/>
          <w:spacing w:val="31"/>
          <w:sz w:val="18"/>
          <w:szCs w:val="18"/>
        </w:rPr>
        <w:t> </w:t>
      </w:r>
      <w:r>
        <w:rPr>
          <w:rFonts w:ascii="宋体" w:hAnsi="宋体" w:cs="宋体" w:eastAsia="宋体" w:hint="default"/>
          <w:spacing w:val="-5"/>
          <w:sz w:val="18"/>
          <w:szCs w:val="18"/>
        </w:rPr>
        <w:t>人。</w:t>
      </w:r>
      <w:r>
        <w:rPr>
          <w:rFonts w:ascii="宋体" w:hAnsi="宋体" w:cs="宋体" w:eastAsia="宋体" w:hint="default"/>
          <w:sz w:val="18"/>
          <w:szCs w:val="18"/>
        </w:rPr>
      </w:r>
    </w:p>
    <w:p>
      <w:pPr>
        <w:spacing w:line="319" w:lineRule="auto" w:before="76"/>
        <w:ind w:left="113" w:right="1123" w:firstLine="480"/>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w:t>
      </w:r>
      <w:r>
        <w:rPr>
          <w:rFonts w:ascii="宋体" w:hAnsi="宋体" w:cs="宋体" w:eastAsia="宋体" w:hint="default"/>
          <w:spacing w:val="-3"/>
          <w:sz w:val="18"/>
          <w:szCs w:val="18"/>
        </w:rPr>
        <w:t>）</w:t>
      </w:r>
      <w:r>
        <w:rPr>
          <w:rFonts w:ascii="宋体" w:hAnsi="宋体" w:cs="宋体" w:eastAsia="宋体" w:hint="default"/>
          <w:spacing w:val="-3"/>
          <w:sz w:val="18"/>
          <w:szCs w:val="18"/>
        </w:rPr>
        <w:t>2019</w:t>
      </w:r>
      <w:r>
        <w:rPr>
          <w:rFonts w:ascii="宋体" w:hAnsi="宋体" w:cs="宋体" w:eastAsia="宋体" w:hint="default"/>
          <w:spacing w:val="-3"/>
          <w:sz w:val="18"/>
          <w:szCs w:val="18"/>
        </w:rPr>
        <w:t>年</w:t>
      </w:r>
      <w:r>
        <w:rPr>
          <w:rFonts w:ascii="宋体" w:hAnsi="宋体" w:cs="宋体" w:eastAsia="宋体" w:hint="default"/>
          <w:spacing w:val="-3"/>
          <w:sz w:val="18"/>
          <w:szCs w:val="18"/>
        </w:rPr>
        <w:t>4</w:t>
      </w:r>
      <w:r>
        <w:rPr>
          <w:rFonts w:ascii="宋体" w:hAnsi="宋体" w:cs="宋体" w:eastAsia="宋体" w:hint="default"/>
          <w:spacing w:val="-3"/>
          <w:sz w:val="18"/>
          <w:szCs w:val="18"/>
        </w:rPr>
        <w:t>月</w:t>
      </w:r>
      <w:r>
        <w:rPr>
          <w:rFonts w:ascii="宋体" w:hAnsi="宋体" w:cs="宋体" w:eastAsia="宋体" w:hint="default"/>
          <w:spacing w:val="-3"/>
          <w:sz w:val="18"/>
          <w:szCs w:val="18"/>
        </w:rPr>
        <w:t>26</w:t>
      </w:r>
      <w:r>
        <w:rPr>
          <w:rFonts w:ascii="宋体" w:hAnsi="宋体" w:cs="宋体" w:eastAsia="宋体" w:hint="default"/>
          <w:spacing w:val="-3"/>
          <w:sz w:val="18"/>
          <w:szCs w:val="18"/>
        </w:rPr>
        <w:t>日，第五届董事会第一次会议、第五届监事会第一次会议审议通过了《关于回购注销激励对象已获</w:t>
      </w:r>
      <w:r>
        <w:rPr>
          <w:rFonts w:ascii="宋体" w:hAnsi="宋体" w:cs="宋体" w:eastAsia="宋体" w:hint="default"/>
          <w:w w:val="101"/>
          <w:sz w:val="18"/>
          <w:szCs w:val="18"/>
        </w:rPr>
        <w:t> </w:t>
      </w:r>
      <w:r>
        <w:rPr>
          <w:rFonts w:ascii="宋体" w:hAnsi="宋体" w:cs="宋体" w:eastAsia="宋体" w:hint="default"/>
          <w:spacing w:val="-7"/>
          <w:w w:val="101"/>
          <w:sz w:val="18"/>
          <w:szCs w:val="18"/>
        </w:rPr>
        <w:t>授但尚未解锁的限制性股票的议案》。根据公司《</w:t>
      </w:r>
      <w:r>
        <w:rPr>
          <w:rFonts w:ascii="宋体" w:hAnsi="宋体" w:cs="宋体" w:eastAsia="宋体" w:hint="default"/>
          <w:spacing w:val="-7"/>
          <w:w w:val="101"/>
          <w:sz w:val="18"/>
          <w:szCs w:val="18"/>
        </w:rPr>
        <w:t>2016</w:t>
      </w:r>
      <w:r>
        <w:rPr>
          <w:rFonts w:ascii="宋体" w:hAnsi="宋体" w:cs="宋体" w:eastAsia="宋体" w:hint="default"/>
          <w:spacing w:val="-7"/>
          <w:w w:val="101"/>
          <w:sz w:val="18"/>
          <w:szCs w:val="18"/>
        </w:rPr>
        <w:t>年限制性股票激励计划（草案）》，基于</w:t>
      </w:r>
      <w:r>
        <w:rPr>
          <w:rFonts w:ascii="宋体" w:hAnsi="宋体" w:cs="宋体" w:eastAsia="宋体" w:hint="default"/>
          <w:spacing w:val="-7"/>
          <w:w w:val="101"/>
          <w:sz w:val="18"/>
          <w:szCs w:val="18"/>
        </w:rPr>
        <w:t>2018</w:t>
      </w:r>
      <w:r>
        <w:rPr>
          <w:rFonts w:ascii="宋体" w:hAnsi="宋体" w:cs="宋体" w:eastAsia="宋体" w:hint="default"/>
          <w:spacing w:val="-7"/>
          <w:w w:val="101"/>
          <w:sz w:val="18"/>
          <w:szCs w:val="18"/>
        </w:rPr>
        <w:t>年度个人考核结果，已获</w:t>
      </w:r>
      <w:r>
        <w:rPr>
          <w:rFonts w:ascii="宋体" w:hAnsi="宋体" w:cs="宋体" w:eastAsia="宋体" w:hint="default"/>
          <w:spacing w:val="-85"/>
          <w:w w:val="101"/>
          <w:sz w:val="18"/>
          <w:szCs w:val="18"/>
        </w:rPr>
        <w:t> </w:t>
      </w:r>
      <w:r>
        <w:rPr>
          <w:rFonts w:ascii="宋体" w:hAnsi="宋体" w:cs="宋体" w:eastAsia="宋体" w:hint="default"/>
          <w:spacing w:val="-85"/>
          <w:w w:val="101"/>
          <w:sz w:val="18"/>
          <w:szCs w:val="18"/>
        </w:rPr>
      </w:r>
      <w:r>
        <w:rPr>
          <w:rFonts w:ascii="宋体" w:hAnsi="宋体" w:cs="宋体" w:eastAsia="宋体" w:hint="default"/>
          <w:sz w:val="18"/>
          <w:szCs w:val="18"/>
        </w:rPr>
        <w:t>授但尚未解锁的限制性股票合计</w:t>
      </w:r>
      <w:r>
        <w:rPr>
          <w:rFonts w:ascii="宋体" w:hAnsi="宋体" w:cs="宋体" w:eastAsia="宋体" w:hint="default"/>
          <w:sz w:val="18"/>
          <w:szCs w:val="18"/>
        </w:rPr>
        <w:t>501,672</w:t>
      </w:r>
      <w:r>
        <w:rPr>
          <w:rFonts w:ascii="宋体" w:hAnsi="宋体" w:cs="宋体" w:eastAsia="宋体" w:hint="default"/>
          <w:sz w:val="18"/>
          <w:szCs w:val="18"/>
        </w:rPr>
        <w:t>股将回购注销。回购价格为每股</w:t>
      </w:r>
      <w:r>
        <w:rPr>
          <w:rFonts w:ascii="宋体" w:hAnsi="宋体" w:cs="宋体" w:eastAsia="宋体" w:hint="default"/>
          <w:sz w:val="18"/>
          <w:szCs w:val="18"/>
        </w:rPr>
        <w:t>8.5849129</w:t>
      </w:r>
      <w:r>
        <w:rPr>
          <w:rFonts w:ascii="宋体" w:hAnsi="宋体" w:cs="宋体" w:eastAsia="宋体" w:hint="default"/>
          <w:sz w:val="18"/>
          <w:szCs w:val="18"/>
        </w:rPr>
        <w:t>元。</w:t>
      </w:r>
    </w:p>
    <w:p>
      <w:pPr>
        <w:spacing w:before="17"/>
        <w:ind w:left="593" w:right="1007" w:firstLine="0"/>
        <w:jc w:val="left"/>
        <w:rPr>
          <w:rFonts w:ascii="宋体" w:hAnsi="宋体" w:cs="宋体" w:eastAsia="宋体" w:hint="default"/>
          <w:sz w:val="18"/>
          <w:szCs w:val="18"/>
        </w:rPr>
      </w:pPr>
      <w:r>
        <w:rPr>
          <w:rFonts w:ascii="宋体" w:hAnsi="宋体" w:cs="宋体" w:eastAsia="宋体" w:hint="default"/>
          <w:spacing w:val="-3"/>
          <w:sz w:val="18"/>
          <w:szCs w:val="18"/>
        </w:rPr>
        <w:t>经过本次调整，限制性股票激励计划授予的限制性股票数量尚未解锁股份为 </w:t>
      </w:r>
      <w:r>
        <w:rPr>
          <w:rFonts w:ascii="宋体" w:hAnsi="宋体" w:cs="宋体" w:eastAsia="宋体" w:hint="default"/>
          <w:sz w:val="18"/>
          <w:szCs w:val="18"/>
        </w:rPr>
        <w:t>3,866,408 </w:t>
      </w:r>
      <w:r>
        <w:rPr>
          <w:rFonts w:ascii="宋体" w:hAnsi="宋体" w:cs="宋体" w:eastAsia="宋体" w:hint="default"/>
          <w:spacing w:val="-3"/>
          <w:sz w:val="18"/>
          <w:szCs w:val="18"/>
        </w:rPr>
        <w:t>股，激励对象为 </w:t>
      </w:r>
      <w:r>
        <w:rPr>
          <w:rFonts w:ascii="宋体" w:hAnsi="宋体" w:cs="宋体" w:eastAsia="宋体" w:hint="default"/>
          <w:sz w:val="18"/>
          <w:szCs w:val="18"/>
        </w:rPr>
        <w:t>348 </w:t>
      </w:r>
      <w:r>
        <w:rPr>
          <w:rFonts w:ascii="宋体" w:hAnsi="宋体" w:cs="宋体" w:eastAsia="宋体" w:hint="default"/>
          <w:spacing w:val="36"/>
          <w:sz w:val="18"/>
          <w:szCs w:val="18"/>
        </w:rPr>
        <w:t> </w:t>
      </w:r>
      <w:r>
        <w:rPr>
          <w:rFonts w:ascii="宋体" w:hAnsi="宋体" w:cs="宋体" w:eastAsia="宋体" w:hint="default"/>
          <w:spacing w:val="-5"/>
          <w:sz w:val="18"/>
          <w:szCs w:val="18"/>
        </w:rPr>
        <w:t>人。</w:t>
      </w:r>
      <w:r>
        <w:rPr>
          <w:rFonts w:ascii="宋体" w:hAnsi="宋体" w:cs="宋体" w:eastAsia="宋体" w:hint="default"/>
          <w:sz w:val="18"/>
          <w:szCs w:val="18"/>
        </w:rPr>
      </w:r>
    </w:p>
    <w:p>
      <w:pPr>
        <w:spacing w:line="316" w:lineRule="auto" w:before="76"/>
        <w:ind w:left="113" w:right="1007" w:firstLine="48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3</w:t>
      </w:r>
      <w:r>
        <w:rPr>
          <w:rFonts w:ascii="宋体" w:hAnsi="宋体" w:cs="宋体" w:eastAsia="宋体" w:hint="default"/>
          <w:spacing w:val="-3"/>
          <w:sz w:val="18"/>
          <w:szCs w:val="18"/>
        </w:rPr>
        <w:t>）</w:t>
      </w:r>
      <w:r>
        <w:rPr>
          <w:rFonts w:ascii="宋体" w:hAnsi="宋体" w:cs="宋体" w:eastAsia="宋体" w:hint="default"/>
          <w:spacing w:val="-3"/>
          <w:sz w:val="18"/>
          <w:szCs w:val="18"/>
        </w:rPr>
        <w:t>2019</w:t>
      </w:r>
      <w:r>
        <w:rPr>
          <w:rFonts w:ascii="宋体" w:hAnsi="宋体" w:cs="宋体" w:eastAsia="宋体" w:hint="default"/>
          <w:spacing w:val="-3"/>
          <w:sz w:val="18"/>
          <w:szCs w:val="18"/>
        </w:rPr>
        <w:t>年</w:t>
      </w:r>
      <w:r>
        <w:rPr>
          <w:rFonts w:ascii="宋体" w:hAnsi="宋体" w:cs="宋体" w:eastAsia="宋体" w:hint="default"/>
          <w:spacing w:val="-3"/>
          <w:sz w:val="18"/>
          <w:szCs w:val="18"/>
        </w:rPr>
        <w:t>4</w:t>
      </w:r>
      <w:r>
        <w:rPr>
          <w:rFonts w:ascii="宋体" w:hAnsi="宋体" w:cs="宋体" w:eastAsia="宋体" w:hint="default"/>
          <w:spacing w:val="-3"/>
          <w:sz w:val="18"/>
          <w:szCs w:val="18"/>
        </w:rPr>
        <w:t>月</w:t>
      </w:r>
      <w:r>
        <w:rPr>
          <w:rFonts w:ascii="宋体" w:hAnsi="宋体" w:cs="宋体" w:eastAsia="宋体" w:hint="default"/>
          <w:spacing w:val="-3"/>
          <w:sz w:val="18"/>
          <w:szCs w:val="18"/>
        </w:rPr>
        <w:t>26</w:t>
      </w:r>
      <w:r>
        <w:rPr>
          <w:rFonts w:ascii="宋体" w:hAnsi="宋体" w:cs="宋体" w:eastAsia="宋体" w:hint="default"/>
          <w:spacing w:val="-3"/>
          <w:sz w:val="18"/>
          <w:szCs w:val="18"/>
        </w:rPr>
        <w:t>日，第五届董事会第一次会议、第五届监事会第一次会议审议通过了《关于第三期限制性股票解锁</w:t>
      </w:r>
      <w:r>
        <w:rPr>
          <w:rFonts w:ascii="宋体" w:hAnsi="宋体" w:cs="宋体" w:eastAsia="宋体" w:hint="default"/>
          <w:w w:val="101"/>
          <w:sz w:val="18"/>
          <w:szCs w:val="18"/>
        </w:rPr>
        <w:t> </w:t>
      </w:r>
      <w:r>
        <w:rPr>
          <w:rFonts w:ascii="宋体" w:hAnsi="宋体" w:cs="宋体" w:eastAsia="宋体" w:hint="default"/>
          <w:spacing w:val="-4"/>
          <w:w w:val="101"/>
          <w:sz w:val="18"/>
          <w:szCs w:val="18"/>
        </w:rPr>
        <w:t>条件具备的议案》，同意</w:t>
      </w:r>
      <w:r>
        <w:rPr>
          <w:rFonts w:ascii="宋体" w:hAnsi="宋体" w:cs="宋体" w:eastAsia="宋体" w:hint="default"/>
          <w:spacing w:val="-4"/>
          <w:w w:val="101"/>
          <w:sz w:val="18"/>
          <w:szCs w:val="18"/>
        </w:rPr>
        <w:t>348</w:t>
      </w:r>
      <w:r>
        <w:rPr>
          <w:rFonts w:ascii="宋体" w:hAnsi="宋体" w:cs="宋体" w:eastAsia="宋体" w:hint="default"/>
          <w:spacing w:val="-4"/>
          <w:w w:val="101"/>
          <w:sz w:val="18"/>
          <w:szCs w:val="18"/>
        </w:rPr>
        <w:t>名激励对象在限制性股票激励计划第三个解锁期解锁限制性股票</w:t>
      </w:r>
      <w:r>
        <w:rPr>
          <w:rFonts w:ascii="宋体" w:hAnsi="宋体" w:cs="宋体" w:eastAsia="宋体" w:hint="default"/>
          <w:spacing w:val="-4"/>
          <w:w w:val="101"/>
          <w:sz w:val="18"/>
          <w:szCs w:val="18"/>
        </w:rPr>
        <w:t>3,866,408</w:t>
      </w:r>
      <w:r>
        <w:rPr>
          <w:rFonts w:ascii="宋体" w:hAnsi="宋体" w:cs="宋体" w:eastAsia="宋体" w:hint="default"/>
          <w:spacing w:val="-4"/>
          <w:w w:val="101"/>
          <w:sz w:val="18"/>
          <w:szCs w:val="18"/>
        </w:rPr>
        <w:t>股。</w:t>
      </w:r>
      <w:r>
        <w:rPr>
          <w:rFonts w:ascii="宋体" w:hAnsi="宋体" w:cs="宋体" w:eastAsia="宋体" w:hint="default"/>
          <w:sz w:val="18"/>
          <w:szCs w:val="18"/>
        </w:rPr>
      </w:r>
    </w:p>
    <w:p>
      <w:pPr>
        <w:spacing w:line="319" w:lineRule="auto" w:before="19"/>
        <w:ind w:left="113" w:right="1131" w:firstLine="360"/>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4</w:t>
      </w:r>
      <w:r>
        <w:rPr>
          <w:rFonts w:ascii="宋体" w:hAnsi="宋体" w:cs="宋体" w:eastAsia="宋体" w:hint="default"/>
          <w:spacing w:val="-3"/>
          <w:sz w:val="18"/>
          <w:szCs w:val="18"/>
        </w:rPr>
        <w:t>）经公司</w:t>
      </w:r>
      <w:r>
        <w:rPr>
          <w:rFonts w:ascii="宋体" w:hAnsi="宋体" w:cs="宋体" w:eastAsia="宋体" w:hint="default"/>
          <w:spacing w:val="-3"/>
          <w:sz w:val="18"/>
          <w:szCs w:val="18"/>
        </w:rPr>
        <w:t>2018</w:t>
      </w:r>
      <w:r>
        <w:rPr>
          <w:rFonts w:ascii="宋体" w:hAnsi="宋体" w:cs="宋体" w:eastAsia="宋体" w:hint="default"/>
          <w:spacing w:val="-3"/>
          <w:sz w:val="18"/>
          <w:szCs w:val="18"/>
        </w:rPr>
        <w:t>年年度股东大会审议通过，公司于</w:t>
      </w:r>
      <w:r>
        <w:rPr>
          <w:rFonts w:ascii="宋体" w:hAnsi="宋体" w:cs="宋体" w:eastAsia="宋体" w:hint="default"/>
          <w:spacing w:val="-3"/>
          <w:sz w:val="18"/>
          <w:szCs w:val="18"/>
        </w:rPr>
        <w:t>2019</w:t>
      </w:r>
      <w:r>
        <w:rPr>
          <w:rFonts w:ascii="宋体" w:hAnsi="宋体" w:cs="宋体" w:eastAsia="宋体" w:hint="default"/>
          <w:spacing w:val="-3"/>
          <w:sz w:val="18"/>
          <w:szCs w:val="18"/>
        </w:rPr>
        <w:t>年</w:t>
      </w:r>
      <w:r>
        <w:rPr>
          <w:rFonts w:ascii="宋体" w:hAnsi="宋体" w:cs="宋体" w:eastAsia="宋体" w:hint="default"/>
          <w:spacing w:val="-3"/>
          <w:sz w:val="18"/>
          <w:szCs w:val="18"/>
        </w:rPr>
        <w:t>6</w:t>
      </w:r>
      <w:r>
        <w:rPr>
          <w:rFonts w:ascii="宋体" w:hAnsi="宋体" w:cs="宋体" w:eastAsia="宋体" w:hint="default"/>
          <w:spacing w:val="-3"/>
          <w:sz w:val="18"/>
          <w:szCs w:val="18"/>
        </w:rPr>
        <w:t>月</w:t>
      </w:r>
      <w:r>
        <w:rPr>
          <w:rFonts w:ascii="宋体" w:hAnsi="宋体" w:cs="宋体" w:eastAsia="宋体" w:hint="default"/>
          <w:spacing w:val="-3"/>
          <w:sz w:val="18"/>
          <w:szCs w:val="18"/>
        </w:rPr>
        <w:t>5</w:t>
      </w:r>
      <w:r>
        <w:rPr>
          <w:rFonts w:ascii="宋体" w:hAnsi="宋体" w:cs="宋体" w:eastAsia="宋体" w:hint="default"/>
          <w:spacing w:val="-3"/>
          <w:sz w:val="18"/>
          <w:szCs w:val="18"/>
        </w:rPr>
        <w:t>日实施完毕</w:t>
      </w:r>
      <w:r>
        <w:rPr>
          <w:rFonts w:ascii="宋体" w:hAnsi="宋体" w:cs="宋体" w:eastAsia="宋体" w:hint="default"/>
          <w:spacing w:val="-3"/>
          <w:sz w:val="18"/>
          <w:szCs w:val="18"/>
        </w:rPr>
        <w:t>2018</w:t>
      </w:r>
      <w:r>
        <w:rPr>
          <w:rFonts w:ascii="宋体" w:hAnsi="宋体" w:cs="宋体" w:eastAsia="宋体" w:hint="default"/>
          <w:spacing w:val="-3"/>
          <w:sz w:val="18"/>
          <w:szCs w:val="18"/>
        </w:rPr>
        <w:t>年度权益分派方案：向全体股东每</w:t>
      </w:r>
      <w:r>
        <w:rPr>
          <w:rFonts w:ascii="宋体" w:hAnsi="宋体" w:cs="宋体" w:eastAsia="宋体" w:hint="default"/>
          <w:spacing w:val="-3"/>
          <w:sz w:val="18"/>
          <w:szCs w:val="18"/>
        </w:rPr>
        <w:t>10</w:t>
      </w:r>
      <w:r>
        <w:rPr>
          <w:rFonts w:ascii="宋体" w:hAnsi="宋体" w:cs="宋体" w:eastAsia="宋体" w:hint="default"/>
          <w:spacing w:val="-3"/>
          <w:sz w:val="18"/>
          <w:szCs w:val="18"/>
        </w:rPr>
        <w:t>股</w:t>
      </w:r>
      <w:r>
        <w:rPr>
          <w:rFonts w:ascii="宋体" w:hAnsi="宋体" w:cs="宋体" w:eastAsia="宋体" w:hint="default"/>
          <w:w w:val="101"/>
          <w:sz w:val="18"/>
          <w:szCs w:val="18"/>
        </w:rPr>
        <w:t> </w:t>
      </w:r>
      <w:r>
        <w:rPr>
          <w:rFonts w:ascii="宋体" w:hAnsi="宋体" w:cs="宋体" w:eastAsia="宋体" w:hint="default"/>
          <w:spacing w:val="-2"/>
          <w:w w:val="101"/>
          <w:sz w:val="18"/>
          <w:szCs w:val="18"/>
        </w:rPr>
        <w:t>派发现金股利</w:t>
      </w:r>
      <w:r>
        <w:rPr>
          <w:rFonts w:ascii="宋体" w:hAnsi="宋体" w:cs="宋体" w:eastAsia="宋体" w:hint="default"/>
          <w:spacing w:val="-2"/>
          <w:w w:val="101"/>
          <w:sz w:val="18"/>
          <w:szCs w:val="18"/>
        </w:rPr>
        <w:t>0.601189</w:t>
      </w:r>
      <w:r>
        <w:rPr>
          <w:rFonts w:ascii="宋体" w:hAnsi="宋体" w:cs="宋体" w:eastAsia="宋体" w:hint="default"/>
          <w:spacing w:val="4"/>
          <w:w w:val="101"/>
          <w:sz w:val="18"/>
          <w:szCs w:val="18"/>
        </w:rPr>
        <w:t> </w:t>
      </w:r>
      <w:r>
        <w:rPr>
          <w:rFonts w:ascii="宋体" w:hAnsi="宋体" w:cs="宋体" w:eastAsia="宋体" w:hint="default"/>
          <w:spacing w:val="-7"/>
          <w:w w:val="101"/>
          <w:sz w:val="18"/>
          <w:szCs w:val="18"/>
        </w:rPr>
        <w:t>元人民币（含税），以资本公积金向全体股东每</w:t>
      </w:r>
      <w:r>
        <w:rPr>
          <w:rFonts w:ascii="宋体" w:hAnsi="宋体" w:cs="宋体" w:eastAsia="宋体" w:hint="default"/>
          <w:spacing w:val="-7"/>
          <w:w w:val="101"/>
          <w:sz w:val="18"/>
          <w:szCs w:val="18"/>
        </w:rPr>
        <w:t>10</w:t>
      </w:r>
      <w:r>
        <w:rPr>
          <w:rFonts w:ascii="宋体" w:hAnsi="宋体" w:cs="宋体" w:eastAsia="宋体" w:hint="default"/>
          <w:spacing w:val="10"/>
          <w:w w:val="101"/>
          <w:sz w:val="18"/>
          <w:szCs w:val="18"/>
        </w:rPr>
        <w:t> </w:t>
      </w:r>
      <w:r>
        <w:rPr>
          <w:rFonts w:ascii="宋体" w:hAnsi="宋体" w:cs="宋体" w:eastAsia="宋体" w:hint="default"/>
          <w:spacing w:val="-2"/>
          <w:w w:val="101"/>
          <w:sz w:val="18"/>
          <w:szCs w:val="18"/>
        </w:rPr>
        <w:t>股转增</w:t>
      </w:r>
      <w:r>
        <w:rPr>
          <w:rFonts w:ascii="宋体" w:hAnsi="宋体" w:cs="宋体" w:eastAsia="宋体" w:hint="default"/>
          <w:spacing w:val="-2"/>
          <w:w w:val="101"/>
          <w:sz w:val="18"/>
          <w:szCs w:val="18"/>
        </w:rPr>
        <w:t>6.011892</w:t>
      </w:r>
      <w:r>
        <w:rPr>
          <w:rFonts w:ascii="宋体" w:hAnsi="宋体" w:cs="宋体" w:eastAsia="宋体" w:hint="default"/>
          <w:spacing w:val="-2"/>
          <w:w w:val="101"/>
          <w:sz w:val="18"/>
          <w:szCs w:val="18"/>
        </w:rPr>
        <w:t>股。受上述权益分派因素影响，</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本次符合解限条件的激励对象共计</w:t>
      </w:r>
      <w:r>
        <w:rPr>
          <w:rFonts w:ascii="宋体" w:hAnsi="宋体" w:cs="宋体" w:eastAsia="宋体" w:hint="default"/>
          <w:spacing w:val="-3"/>
          <w:sz w:val="18"/>
          <w:szCs w:val="18"/>
        </w:rPr>
        <w:t>348</w:t>
      </w:r>
      <w:r>
        <w:rPr>
          <w:rFonts w:ascii="宋体" w:hAnsi="宋体" w:cs="宋体" w:eastAsia="宋体" w:hint="default"/>
          <w:spacing w:val="-3"/>
          <w:sz w:val="18"/>
          <w:szCs w:val="18"/>
        </w:rPr>
        <w:t>人，本次可解限的股权激励限售股数量变动为</w:t>
      </w:r>
      <w:r>
        <w:rPr>
          <w:rFonts w:ascii="宋体" w:hAnsi="宋体" w:cs="宋体" w:eastAsia="宋体" w:hint="default"/>
          <w:spacing w:val="-3"/>
          <w:sz w:val="18"/>
          <w:szCs w:val="18"/>
        </w:rPr>
        <w:t>6,190,850</w:t>
      </w:r>
      <w:r>
        <w:rPr>
          <w:rFonts w:ascii="宋体" w:hAnsi="宋体" w:cs="宋体" w:eastAsia="宋体" w:hint="default"/>
          <w:spacing w:val="-3"/>
          <w:sz w:val="18"/>
          <w:szCs w:val="18"/>
        </w:rPr>
        <w:t>股。</w:t>
      </w:r>
    </w:p>
    <w:p>
      <w:pPr>
        <w:spacing w:line="316" w:lineRule="auto" w:before="17"/>
        <w:ind w:left="386" w:right="1764" w:firstLine="86"/>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5</w:t>
      </w:r>
      <w:r>
        <w:rPr>
          <w:rFonts w:ascii="宋体" w:hAnsi="宋体" w:cs="宋体" w:eastAsia="宋体" w:hint="default"/>
          <w:spacing w:val="-2"/>
          <w:sz w:val="18"/>
          <w:szCs w:val="18"/>
        </w:rPr>
        <w:t>）</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7</w:t>
      </w:r>
      <w:r>
        <w:rPr>
          <w:rFonts w:ascii="宋体" w:hAnsi="宋体" w:cs="宋体" w:eastAsia="宋体" w:hint="default"/>
          <w:spacing w:val="-2"/>
          <w:sz w:val="18"/>
          <w:szCs w:val="18"/>
        </w:rPr>
        <w:t>月</w:t>
      </w:r>
      <w:r>
        <w:rPr>
          <w:rFonts w:ascii="宋体" w:hAnsi="宋体" w:cs="宋体" w:eastAsia="宋体" w:hint="default"/>
          <w:spacing w:val="-2"/>
          <w:sz w:val="18"/>
          <w:szCs w:val="18"/>
        </w:rPr>
        <w:t>1</w:t>
      </w:r>
      <w:r>
        <w:rPr>
          <w:rFonts w:ascii="宋体" w:hAnsi="宋体" w:cs="宋体" w:eastAsia="宋体" w:hint="default"/>
          <w:spacing w:val="-2"/>
          <w:sz w:val="18"/>
          <w:szCs w:val="18"/>
        </w:rPr>
        <w:t>日，限制性股票激励计划第三个解锁期解锁的限制性股票</w:t>
      </w:r>
      <w:r>
        <w:rPr>
          <w:rFonts w:ascii="宋体" w:hAnsi="宋体" w:cs="宋体" w:eastAsia="宋体" w:hint="default"/>
          <w:spacing w:val="-2"/>
          <w:sz w:val="18"/>
          <w:szCs w:val="18"/>
        </w:rPr>
        <w:t>6,190,850</w:t>
      </w:r>
      <w:r>
        <w:rPr>
          <w:rFonts w:ascii="宋体" w:hAnsi="宋体" w:cs="宋体" w:eastAsia="宋体" w:hint="default"/>
          <w:spacing w:val="-2"/>
          <w:sz w:val="18"/>
          <w:szCs w:val="18"/>
        </w:rPr>
        <w:t>股上市。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2</w:t>
      </w:r>
      <w:r>
        <w:rPr>
          <w:rFonts w:ascii="宋体" w:hAnsi="宋体" w:cs="宋体" w:eastAsia="宋体" w:hint="default"/>
          <w:spacing w:val="-3"/>
          <w:sz w:val="18"/>
          <w:szCs w:val="18"/>
        </w:rPr>
        <w:t>、股权激励事项临时报告披露网站查询索引</w:t>
      </w:r>
    </w:p>
    <w:tbl>
      <w:tblPr>
        <w:tblW w:w="0" w:type="auto"/>
        <w:jc w:val="left"/>
        <w:tblInd w:w="103" w:type="dxa"/>
        <w:tblLayout w:type="fixed"/>
        <w:tblCellMar>
          <w:top w:w="0" w:type="dxa"/>
          <w:left w:w="0" w:type="dxa"/>
          <w:bottom w:w="0" w:type="dxa"/>
          <w:right w:w="0" w:type="dxa"/>
        </w:tblCellMar>
        <w:tblLook w:val="01E0"/>
      </w:tblPr>
      <w:tblGrid>
        <w:gridCol w:w="3284"/>
        <w:gridCol w:w="3289"/>
        <w:gridCol w:w="3285"/>
      </w:tblGrid>
      <w:tr>
        <w:trPr>
          <w:trHeight w:val="416" w:hRule="exact"/>
        </w:trPr>
        <w:tc>
          <w:tcPr>
            <w:tcW w:w="32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b/>
                <w:bCs/>
                <w:sz w:val="18"/>
                <w:szCs w:val="18"/>
              </w:rPr>
              <w:t>公告名称</w:t>
            </w:r>
            <w:r>
              <w:rPr>
                <w:rFonts w:ascii="宋体" w:hAnsi="宋体" w:cs="宋体" w:eastAsia="宋体" w:hint="default"/>
                <w:sz w:val="18"/>
                <w:szCs w:val="18"/>
              </w:rPr>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b/>
                <w:bCs/>
                <w:sz w:val="18"/>
                <w:szCs w:val="18"/>
              </w:rPr>
              <w:t>披露日期</w:t>
            </w:r>
            <w:r>
              <w:rPr>
                <w:rFonts w:ascii="宋体" w:hAnsi="宋体" w:cs="宋体" w:eastAsia="宋体" w:hint="default"/>
                <w:sz w:val="18"/>
                <w:szCs w:val="18"/>
              </w:rPr>
            </w:r>
          </w:p>
        </w:tc>
        <w:tc>
          <w:tcPr>
            <w:tcW w:w="32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b/>
                <w:bCs/>
                <w:sz w:val="18"/>
                <w:szCs w:val="18"/>
              </w:rPr>
              <w:t>披露索引</w:t>
            </w:r>
            <w:r>
              <w:rPr>
                <w:rFonts w:ascii="宋体" w:hAnsi="宋体" w:cs="宋体" w:eastAsia="宋体" w:hint="default"/>
                <w:sz w:val="18"/>
                <w:szCs w:val="18"/>
              </w:rPr>
            </w:r>
          </w:p>
        </w:tc>
      </w:tr>
      <w:tr>
        <w:trPr>
          <w:trHeight w:val="440" w:hRule="exact"/>
        </w:trPr>
        <w:tc>
          <w:tcPr>
            <w:tcW w:w="328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0"/>
              <w:ind w:left="4" w:right="0"/>
              <w:jc w:val="left"/>
              <w:rPr>
                <w:rFonts w:ascii="宋体" w:hAnsi="宋体" w:cs="宋体" w:eastAsia="宋体" w:hint="default"/>
                <w:sz w:val="18"/>
                <w:szCs w:val="18"/>
              </w:rPr>
            </w:pPr>
            <w:r>
              <w:rPr>
                <w:rFonts w:ascii="宋体" w:hAnsi="宋体" w:cs="宋体" w:eastAsia="宋体" w:hint="default"/>
                <w:spacing w:val="-3"/>
                <w:sz w:val="18"/>
                <w:szCs w:val="18"/>
              </w:rPr>
              <w:t>关于回购注销部分限制性股票的减资公告</w:t>
            </w:r>
          </w:p>
        </w:tc>
        <w:tc>
          <w:tcPr>
            <w:tcW w:w="328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sz w:val="18"/>
              </w:rPr>
              <w:t>2019/3/29</w:t>
            </w:r>
          </w:p>
        </w:tc>
        <w:tc>
          <w:tcPr>
            <w:tcW w:w="328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0"/>
              <w:ind w:right="84"/>
              <w:jc w:val="center"/>
              <w:rPr>
                <w:rFonts w:ascii="宋体" w:hAnsi="宋体" w:cs="宋体" w:eastAsia="宋体" w:hint="default"/>
                <w:sz w:val="18"/>
                <w:szCs w:val="18"/>
              </w:rPr>
            </w:pPr>
            <w:r>
              <w:rPr>
                <w:rFonts w:ascii="宋体" w:hAnsi="宋体" w:cs="宋体" w:eastAsia="宋体" w:hint="default"/>
                <w:spacing w:val="-4"/>
                <w:sz w:val="18"/>
                <w:szCs w:val="18"/>
              </w:rPr>
              <w:t>巨潮资讯网</w:t>
            </w:r>
            <w:hyperlink r:id="rId12">
              <w:r>
                <w:rPr>
                  <w:rFonts w:ascii="宋体" w:hAnsi="宋体" w:cs="宋体" w:eastAsia="宋体" w:hint="default"/>
                  <w:spacing w:val="-4"/>
                  <w:sz w:val="18"/>
                  <w:szCs w:val="18"/>
                </w:rPr>
                <w:t>www.cninfo.com.cn</w:t>
              </w:r>
            </w:hyperlink>
            <w:r>
              <w:rPr>
                <w:rFonts w:ascii="宋体" w:hAnsi="宋体" w:cs="宋体" w:eastAsia="宋体" w:hint="default"/>
                <w:spacing w:val="-4"/>
                <w:sz w:val="18"/>
                <w:szCs w:val="18"/>
              </w:rPr>
              <w:t>（</w:t>
            </w:r>
            <w:r>
              <w:rPr>
                <w:rFonts w:ascii="宋体" w:hAnsi="宋体" w:cs="宋体" w:eastAsia="宋体" w:hint="default"/>
                <w:spacing w:val="-4"/>
                <w:sz w:val="18"/>
                <w:szCs w:val="18"/>
              </w:rPr>
              <w:t>2019-25</w:t>
            </w:r>
            <w:r>
              <w:rPr>
                <w:rFonts w:ascii="宋体" w:hAnsi="宋体" w:cs="宋体" w:eastAsia="宋体" w:hint="default"/>
                <w:sz w:val="18"/>
                <w:szCs w:val="18"/>
              </w:rPr>
            </w:r>
          </w:p>
        </w:tc>
      </w:tr>
      <w:tr>
        <w:trPr>
          <w:trHeight w:val="778"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3"/>
              <w:ind w:left="4" w:right="737"/>
              <w:jc w:val="left"/>
              <w:rPr>
                <w:rFonts w:ascii="宋体" w:hAnsi="宋体" w:cs="宋体" w:eastAsia="宋体" w:hint="default"/>
                <w:sz w:val="18"/>
                <w:szCs w:val="18"/>
              </w:rPr>
            </w:pPr>
            <w:r>
              <w:rPr>
                <w:rFonts w:ascii="宋体" w:hAnsi="宋体" w:cs="宋体" w:eastAsia="宋体" w:hint="default"/>
                <w:spacing w:val="-3"/>
                <w:sz w:val="18"/>
                <w:szCs w:val="18"/>
              </w:rPr>
              <w:t>关于调整限制性股票激励计划之</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个人考核指标的公告</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sz w:val="18"/>
              </w:rPr>
              <w:t>2019/4/4</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84"/>
              <w:jc w:val="center"/>
              <w:rPr>
                <w:rFonts w:ascii="宋体" w:hAnsi="宋体" w:cs="宋体" w:eastAsia="宋体" w:hint="default"/>
                <w:sz w:val="18"/>
                <w:szCs w:val="18"/>
              </w:rPr>
            </w:pPr>
            <w:r>
              <w:rPr>
                <w:rFonts w:ascii="宋体" w:hAnsi="宋体" w:cs="宋体" w:eastAsia="宋体" w:hint="default"/>
                <w:spacing w:val="-4"/>
                <w:sz w:val="18"/>
                <w:szCs w:val="18"/>
              </w:rPr>
              <w:t>巨潮资讯网</w:t>
            </w:r>
            <w:hyperlink r:id="rId12">
              <w:r>
                <w:rPr>
                  <w:rFonts w:ascii="宋体" w:hAnsi="宋体" w:cs="宋体" w:eastAsia="宋体" w:hint="default"/>
                  <w:spacing w:val="-4"/>
                  <w:sz w:val="18"/>
                  <w:szCs w:val="18"/>
                </w:rPr>
                <w:t>www.cninfo.com.cn</w:t>
              </w:r>
            </w:hyperlink>
            <w:r>
              <w:rPr>
                <w:rFonts w:ascii="宋体" w:hAnsi="宋体" w:cs="宋体" w:eastAsia="宋体" w:hint="default"/>
                <w:spacing w:val="-4"/>
                <w:sz w:val="18"/>
                <w:szCs w:val="18"/>
              </w:rPr>
              <w:t>（</w:t>
            </w:r>
            <w:r>
              <w:rPr>
                <w:rFonts w:ascii="宋体" w:hAnsi="宋体" w:cs="宋体" w:eastAsia="宋体" w:hint="default"/>
                <w:spacing w:val="-4"/>
                <w:sz w:val="18"/>
                <w:szCs w:val="18"/>
              </w:rPr>
              <w:t>2019-35</w:t>
            </w:r>
            <w:r>
              <w:rPr>
                <w:rFonts w:ascii="宋体" w:hAnsi="宋体" w:cs="宋体" w:eastAsia="宋体" w:hint="default"/>
                <w:sz w:val="18"/>
                <w:szCs w:val="18"/>
              </w:rPr>
            </w:r>
          </w:p>
        </w:tc>
      </w:tr>
      <w:tr>
        <w:trPr>
          <w:trHeight w:val="740"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8"/>
              <w:ind w:left="4" w:right="-5"/>
              <w:jc w:val="left"/>
              <w:rPr>
                <w:rFonts w:ascii="宋体" w:hAnsi="宋体" w:cs="宋体" w:eastAsia="宋体" w:hint="default"/>
                <w:sz w:val="18"/>
                <w:szCs w:val="18"/>
              </w:rPr>
            </w:pPr>
            <w:r>
              <w:rPr>
                <w:rFonts w:ascii="宋体" w:hAnsi="宋体" w:cs="宋体" w:eastAsia="宋体" w:hint="default"/>
                <w:spacing w:val="-1"/>
                <w:sz w:val="18"/>
                <w:szCs w:val="18"/>
              </w:rPr>
              <w:t>关于回购注销激励对象已获授但尚未解锁</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的限制性股票的公告</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sz w:val="18"/>
              </w:rPr>
              <w:t>2019/4/27</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84"/>
              <w:jc w:val="center"/>
              <w:rPr>
                <w:rFonts w:ascii="宋体" w:hAnsi="宋体" w:cs="宋体" w:eastAsia="宋体" w:hint="default"/>
                <w:sz w:val="18"/>
                <w:szCs w:val="18"/>
              </w:rPr>
            </w:pPr>
            <w:r>
              <w:rPr>
                <w:rFonts w:ascii="宋体" w:hAnsi="宋体" w:cs="宋体" w:eastAsia="宋体" w:hint="default"/>
                <w:spacing w:val="-4"/>
                <w:sz w:val="18"/>
                <w:szCs w:val="18"/>
              </w:rPr>
              <w:t>巨潮资讯网</w:t>
            </w:r>
            <w:hyperlink r:id="rId12">
              <w:r>
                <w:rPr>
                  <w:rFonts w:ascii="宋体" w:hAnsi="宋体" w:cs="宋体" w:eastAsia="宋体" w:hint="default"/>
                  <w:spacing w:val="-4"/>
                  <w:sz w:val="18"/>
                  <w:szCs w:val="18"/>
                </w:rPr>
                <w:t>www.cninfo.com.cn</w:t>
              </w:r>
            </w:hyperlink>
            <w:r>
              <w:rPr>
                <w:rFonts w:ascii="宋体" w:hAnsi="宋体" w:cs="宋体" w:eastAsia="宋体" w:hint="default"/>
                <w:spacing w:val="-4"/>
                <w:sz w:val="18"/>
                <w:szCs w:val="18"/>
              </w:rPr>
              <w:t>（</w:t>
            </w:r>
            <w:r>
              <w:rPr>
                <w:rFonts w:ascii="宋体" w:hAnsi="宋体" w:cs="宋体" w:eastAsia="宋体" w:hint="default"/>
                <w:spacing w:val="-4"/>
                <w:sz w:val="18"/>
                <w:szCs w:val="18"/>
              </w:rPr>
              <w:t>2019-42</w:t>
            </w:r>
            <w:r>
              <w:rPr>
                <w:rFonts w:ascii="宋体" w:hAnsi="宋体" w:cs="宋体" w:eastAsia="宋体" w:hint="default"/>
                <w:sz w:val="18"/>
                <w:szCs w:val="18"/>
              </w:rPr>
            </w:r>
          </w:p>
        </w:tc>
      </w:tr>
      <w:tr>
        <w:trPr>
          <w:trHeight w:val="427"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pacing w:val="-3"/>
                <w:sz w:val="18"/>
                <w:szCs w:val="18"/>
              </w:rPr>
              <w:t>关于回购注销部分限制性股票的减资公告</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sz w:val="18"/>
              </w:rPr>
              <w:t>2019/4/27</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84"/>
              <w:jc w:val="center"/>
              <w:rPr>
                <w:rFonts w:ascii="宋体" w:hAnsi="宋体" w:cs="宋体" w:eastAsia="宋体" w:hint="default"/>
                <w:sz w:val="18"/>
                <w:szCs w:val="18"/>
              </w:rPr>
            </w:pPr>
            <w:r>
              <w:rPr>
                <w:rFonts w:ascii="宋体" w:hAnsi="宋体" w:cs="宋体" w:eastAsia="宋体" w:hint="default"/>
                <w:spacing w:val="-4"/>
                <w:sz w:val="18"/>
                <w:szCs w:val="18"/>
              </w:rPr>
              <w:t>巨潮资讯网</w:t>
            </w:r>
            <w:hyperlink r:id="rId12">
              <w:r>
                <w:rPr>
                  <w:rFonts w:ascii="宋体" w:hAnsi="宋体" w:cs="宋体" w:eastAsia="宋体" w:hint="default"/>
                  <w:spacing w:val="-4"/>
                  <w:sz w:val="18"/>
                  <w:szCs w:val="18"/>
                </w:rPr>
                <w:t>www.cninfo.com.cn</w:t>
              </w:r>
            </w:hyperlink>
            <w:r>
              <w:rPr>
                <w:rFonts w:ascii="宋体" w:hAnsi="宋体" w:cs="宋体" w:eastAsia="宋体" w:hint="default"/>
                <w:spacing w:val="-4"/>
                <w:sz w:val="18"/>
                <w:szCs w:val="18"/>
              </w:rPr>
              <w:t>（</w:t>
            </w:r>
            <w:r>
              <w:rPr>
                <w:rFonts w:ascii="宋体" w:hAnsi="宋体" w:cs="宋体" w:eastAsia="宋体" w:hint="default"/>
                <w:spacing w:val="-4"/>
                <w:sz w:val="18"/>
                <w:szCs w:val="18"/>
              </w:rPr>
              <w:t>2019-46</w:t>
            </w:r>
            <w:r>
              <w:rPr>
                <w:rFonts w:ascii="宋体" w:hAnsi="宋体" w:cs="宋体" w:eastAsia="宋体" w:hint="default"/>
                <w:sz w:val="18"/>
                <w:szCs w:val="18"/>
              </w:rPr>
            </w:r>
          </w:p>
        </w:tc>
      </w:tr>
      <w:tr>
        <w:trPr>
          <w:trHeight w:val="739"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8"/>
              <w:ind w:left="4" w:right="-5"/>
              <w:jc w:val="left"/>
              <w:rPr>
                <w:rFonts w:ascii="宋体" w:hAnsi="宋体" w:cs="宋体" w:eastAsia="宋体" w:hint="default"/>
                <w:sz w:val="18"/>
                <w:szCs w:val="18"/>
              </w:rPr>
            </w:pPr>
            <w:r>
              <w:rPr>
                <w:rFonts w:ascii="宋体" w:hAnsi="宋体" w:cs="宋体" w:eastAsia="宋体" w:hint="default"/>
                <w:spacing w:val="-1"/>
                <w:sz w:val="18"/>
                <w:szCs w:val="18"/>
              </w:rPr>
              <w:t>关于限制性股票激励计划第三个解锁期解</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锁条件具备的公告</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sz w:val="18"/>
              </w:rPr>
              <w:t>2019/4/27</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84"/>
              <w:jc w:val="center"/>
              <w:rPr>
                <w:rFonts w:ascii="宋体" w:hAnsi="宋体" w:cs="宋体" w:eastAsia="宋体" w:hint="default"/>
                <w:sz w:val="18"/>
                <w:szCs w:val="18"/>
              </w:rPr>
            </w:pPr>
            <w:r>
              <w:rPr>
                <w:rFonts w:ascii="宋体" w:hAnsi="宋体" w:cs="宋体" w:eastAsia="宋体" w:hint="default"/>
                <w:spacing w:val="-4"/>
                <w:sz w:val="18"/>
                <w:szCs w:val="18"/>
              </w:rPr>
              <w:t>巨潮资讯网</w:t>
            </w:r>
            <w:hyperlink r:id="rId12">
              <w:r>
                <w:rPr>
                  <w:rFonts w:ascii="宋体" w:hAnsi="宋体" w:cs="宋体" w:eastAsia="宋体" w:hint="default"/>
                  <w:spacing w:val="-4"/>
                  <w:sz w:val="18"/>
                  <w:szCs w:val="18"/>
                </w:rPr>
                <w:t>www.cninfo.com.cn</w:t>
              </w:r>
            </w:hyperlink>
            <w:r>
              <w:rPr>
                <w:rFonts w:ascii="宋体" w:hAnsi="宋体" w:cs="宋体" w:eastAsia="宋体" w:hint="default"/>
                <w:spacing w:val="-4"/>
                <w:sz w:val="18"/>
                <w:szCs w:val="18"/>
              </w:rPr>
              <w:t>（</w:t>
            </w:r>
            <w:r>
              <w:rPr>
                <w:rFonts w:ascii="宋体" w:hAnsi="宋体" w:cs="宋体" w:eastAsia="宋体" w:hint="default"/>
                <w:spacing w:val="-4"/>
                <w:sz w:val="18"/>
                <w:szCs w:val="18"/>
              </w:rPr>
              <w:t>2019-41</w:t>
            </w:r>
            <w:r>
              <w:rPr>
                <w:rFonts w:ascii="宋体" w:hAnsi="宋体" w:cs="宋体" w:eastAsia="宋体" w:hint="default"/>
                <w:sz w:val="18"/>
                <w:szCs w:val="18"/>
              </w:rPr>
            </w:r>
          </w:p>
        </w:tc>
      </w:tr>
      <w:tr>
        <w:trPr>
          <w:trHeight w:val="428"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pacing w:val="-3"/>
                <w:sz w:val="18"/>
                <w:szCs w:val="18"/>
              </w:rPr>
              <w:t>关于部分限制性股票回购注销完成公告</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2019/5/24</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84"/>
              <w:jc w:val="center"/>
              <w:rPr>
                <w:rFonts w:ascii="宋体" w:hAnsi="宋体" w:cs="宋体" w:eastAsia="宋体" w:hint="default"/>
                <w:sz w:val="18"/>
                <w:szCs w:val="18"/>
              </w:rPr>
            </w:pPr>
            <w:r>
              <w:rPr>
                <w:rFonts w:ascii="宋体" w:hAnsi="宋体" w:cs="宋体" w:eastAsia="宋体" w:hint="default"/>
                <w:spacing w:val="-4"/>
                <w:sz w:val="18"/>
                <w:szCs w:val="18"/>
              </w:rPr>
              <w:t>巨潮资讯网</w:t>
            </w:r>
            <w:hyperlink r:id="rId12">
              <w:r>
                <w:rPr>
                  <w:rFonts w:ascii="宋体" w:hAnsi="宋体" w:cs="宋体" w:eastAsia="宋体" w:hint="default"/>
                  <w:spacing w:val="-4"/>
                  <w:sz w:val="18"/>
                  <w:szCs w:val="18"/>
                </w:rPr>
                <w:t>www.cninfo.com.cn</w:t>
              </w:r>
            </w:hyperlink>
            <w:r>
              <w:rPr>
                <w:rFonts w:ascii="宋体" w:hAnsi="宋体" w:cs="宋体" w:eastAsia="宋体" w:hint="default"/>
                <w:spacing w:val="-4"/>
                <w:sz w:val="18"/>
                <w:szCs w:val="18"/>
              </w:rPr>
              <w:t>（</w:t>
            </w:r>
            <w:r>
              <w:rPr>
                <w:rFonts w:ascii="宋体" w:hAnsi="宋体" w:cs="宋体" w:eastAsia="宋体" w:hint="default"/>
                <w:spacing w:val="-4"/>
                <w:sz w:val="18"/>
                <w:szCs w:val="18"/>
              </w:rPr>
              <w:t>2019-49</w:t>
            </w:r>
            <w:r>
              <w:rPr>
                <w:rFonts w:ascii="宋体" w:hAnsi="宋体" w:cs="宋体" w:eastAsia="宋体" w:hint="default"/>
                <w:sz w:val="18"/>
                <w:szCs w:val="18"/>
              </w:rPr>
            </w:r>
          </w:p>
        </w:tc>
      </w:tr>
      <w:tr>
        <w:trPr>
          <w:trHeight w:val="739" w:hRule="exact"/>
        </w:trPr>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63"/>
              <w:ind w:left="4" w:right="-5"/>
              <w:jc w:val="left"/>
              <w:rPr>
                <w:rFonts w:ascii="宋体" w:hAnsi="宋体" w:cs="宋体" w:eastAsia="宋体" w:hint="default"/>
                <w:sz w:val="18"/>
                <w:szCs w:val="18"/>
              </w:rPr>
            </w:pPr>
            <w:r>
              <w:rPr>
                <w:rFonts w:ascii="宋体" w:hAnsi="宋体" w:cs="宋体" w:eastAsia="宋体" w:hint="default"/>
                <w:spacing w:val="-1"/>
                <w:sz w:val="18"/>
                <w:szCs w:val="18"/>
              </w:rPr>
              <w:t>关于限制性股票激励计划第三个解锁期股</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份上市流通的提示性公告</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sz w:val="18"/>
              </w:rPr>
              <w:t>2019/6/26</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84"/>
              <w:jc w:val="center"/>
              <w:rPr>
                <w:rFonts w:ascii="宋体" w:hAnsi="宋体" w:cs="宋体" w:eastAsia="宋体" w:hint="default"/>
                <w:sz w:val="18"/>
                <w:szCs w:val="18"/>
              </w:rPr>
            </w:pPr>
            <w:r>
              <w:rPr>
                <w:rFonts w:ascii="宋体" w:hAnsi="宋体" w:cs="宋体" w:eastAsia="宋体" w:hint="default"/>
                <w:spacing w:val="-4"/>
                <w:sz w:val="18"/>
                <w:szCs w:val="18"/>
              </w:rPr>
              <w:t>巨潮资讯网</w:t>
            </w:r>
            <w:hyperlink r:id="rId12">
              <w:r>
                <w:rPr>
                  <w:rFonts w:ascii="宋体" w:hAnsi="宋体" w:cs="宋体" w:eastAsia="宋体" w:hint="default"/>
                  <w:spacing w:val="-4"/>
                  <w:sz w:val="18"/>
                  <w:szCs w:val="18"/>
                </w:rPr>
                <w:t>www.cninfo.com.cn</w:t>
              </w:r>
            </w:hyperlink>
            <w:r>
              <w:rPr>
                <w:rFonts w:ascii="宋体" w:hAnsi="宋体" w:cs="宋体" w:eastAsia="宋体" w:hint="default"/>
                <w:spacing w:val="-4"/>
                <w:sz w:val="18"/>
                <w:szCs w:val="18"/>
              </w:rPr>
              <w:t>（</w:t>
            </w:r>
            <w:r>
              <w:rPr>
                <w:rFonts w:ascii="宋体" w:hAnsi="宋体" w:cs="宋体" w:eastAsia="宋体" w:hint="default"/>
                <w:spacing w:val="-4"/>
                <w:sz w:val="18"/>
                <w:szCs w:val="18"/>
              </w:rPr>
              <w:t>2019-54</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spacing w:line="316" w:lineRule="auto" w:before="46"/>
        <w:ind w:left="593" w:right="1007" w:firstLine="0"/>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、实施股权激励计划对公司本报告期及以后各年度财务状况和经营成果的影响</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pacing w:val="-3"/>
          <w:sz w:val="18"/>
          <w:szCs w:val="18"/>
        </w:rPr>
        <w:t>根据《企业会计准则第</w:t>
      </w:r>
      <w:r>
        <w:rPr>
          <w:rFonts w:ascii="宋体" w:hAnsi="宋体" w:cs="宋体" w:eastAsia="宋体" w:hint="default"/>
          <w:spacing w:val="-3"/>
          <w:sz w:val="18"/>
          <w:szCs w:val="18"/>
        </w:rPr>
        <w:t>11</w:t>
      </w:r>
      <w:r>
        <w:rPr>
          <w:rFonts w:ascii="宋体" w:hAnsi="宋体" w:cs="宋体" w:eastAsia="宋体" w:hint="default"/>
          <w:spacing w:val="-3"/>
          <w:sz w:val="18"/>
          <w:szCs w:val="18"/>
        </w:rPr>
        <w:t>号——股份支付》和《企业会计准则第</w:t>
      </w:r>
      <w:r>
        <w:rPr>
          <w:rFonts w:ascii="宋体" w:hAnsi="宋体" w:cs="宋体" w:eastAsia="宋体" w:hint="default"/>
          <w:spacing w:val="-3"/>
          <w:sz w:val="18"/>
          <w:szCs w:val="18"/>
        </w:rPr>
        <w:t>22</w:t>
      </w:r>
      <w:r>
        <w:rPr>
          <w:rFonts w:ascii="宋体" w:hAnsi="宋体" w:cs="宋体" w:eastAsia="宋体" w:hint="default"/>
          <w:spacing w:val="-3"/>
          <w:sz w:val="18"/>
          <w:szCs w:val="18"/>
        </w:rPr>
        <w:t>号——金融工具确认和计量》中关于公允价值确定</w:t>
      </w:r>
    </w:p>
    <w:p>
      <w:pPr>
        <w:spacing w:line="319" w:lineRule="auto" w:before="19"/>
        <w:ind w:left="113" w:right="1122" w:firstLine="0"/>
        <w:jc w:val="both"/>
        <w:rPr>
          <w:rFonts w:ascii="宋体" w:hAnsi="宋体" w:cs="宋体" w:eastAsia="宋体" w:hint="default"/>
          <w:sz w:val="18"/>
          <w:szCs w:val="18"/>
        </w:rPr>
      </w:pPr>
      <w:r>
        <w:rPr>
          <w:rFonts w:ascii="宋体" w:hAnsi="宋体" w:cs="宋体" w:eastAsia="宋体" w:hint="default"/>
          <w:spacing w:val="-4"/>
          <w:sz w:val="18"/>
          <w:szCs w:val="18"/>
        </w:rPr>
        <w:t>的相关规定，企业需要选择适当的估值模型对限制性股票的公允价值进行计算，按照《企业会计准则第</w:t>
      </w:r>
      <w:r>
        <w:rPr>
          <w:rFonts w:ascii="宋体" w:hAnsi="宋体" w:cs="宋体" w:eastAsia="宋体" w:hint="default"/>
          <w:spacing w:val="-4"/>
          <w:sz w:val="18"/>
          <w:szCs w:val="18"/>
        </w:rPr>
        <w:t>11</w:t>
      </w:r>
      <w:r>
        <w:rPr>
          <w:rFonts w:ascii="宋体" w:hAnsi="宋体" w:cs="宋体" w:eastAsia="宋体" w:hint="default"/>
          <w:spacing w:val="-4"/>
          <w:sz w:val="18"/>
          <w:szCs w:val="18"/>
        </w:rPr>
        <w:t>号－股份支付》的</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4"/>
          <w:sz w:val="18"/>
          <w:szCs w:val="18"/>
        </w:rPr>
        <w:t>规定，公司将在禁售期的每个资产负债表日，根据最新取得的可解锁人数变动、业绩指标完成情况等后续信息，修正预计可</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4"/>
          <w:sz w:val="18"/>
          <w:szCs w:val="18"/>
        </w:rPr>
        <w:t>解锁的限制性股票数量，并按照限制性股票授予日的公允价值，最终确认本计划的股份支付费用，该等费用将在本计划的实</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施过程中按照解锁比例进行分期确认。董事会已确定激励计划的授予日为</w:t>
      </w:r>
      <w:r>
        <w:rPr>
          <w:rFonts w:ascii="宋体" w:hAnsi="宋体" w:cs="宋体" w:eastAsia="宋体" w:hint="default"/>
          <w:spacing w:val="-3"/>
          <w:sz w:val="18"/>
          <w:szCs w:val="18"/>
        </w:rPr>
        <w:t>2016</w:t>
      </w:r>
      <w:r>
        <w:rPr>
          <w:rFonts w:ascii="宋体" w:hAnsi="宋体" w:cs="宋体" w:eastAsia="宋体" w:hint="default"/>
          <w:spacing w:val="-3"/>
          <w:sz w:val="18"/>
          <w:szCs w:val="18"/>
        </w:rPr>
        <w:t>年</w:t>
      </w:r>
      <w:r>
        <w:rPr>
          <w:rFonts w:ascii="宋体" w:hAnsi="宋体" w:cs="宋体" w:eastAsia="宋体" w:hint="default"/>
          <w:spacing w:val="-3"/>
          <w:sz w:val="18"/>
          <w:szCs w:val="18"/>
        </w:rPr>
        <w:t>4</w:t>
      </w:r>
      <w:r>
        <w:rPr>
          <w:rFonts w:ascii="宋体" w:hAnsi="宋体" w:cs="宋体" w:eastAsia="宋体" w:hint="default"/>
          <w:spacing w:val="-3"/>
          <w:sz w:val="18"/>
          <w:szCs w:val="18"/>
        </w:rPr>
        <w:t>月</w:t>
      </w:r>
      <w:r>
        <w:rPr>
          <w:rFonts w:ascii="宋体" w:hAnsi="宋体" w:cs="宋体" w:eastAsia="宋体" w:hint="default"/>
          <w:spacing w:val="-3"/>
          <w:sz w:val="18"/>
          <w:szCs w:val="18"/>
        </w:rPr>
        <w:t>21</w:t>
      </w:r>
      <w:r>
        <w:rPr>
          <w:rFonts w:ascii="宋体" w:hAnsi="宋体" w:cs="宋体" w:eastAsia="宋体" w:hint="default"/>
          <w:spacing w:val="-3"/>
          <w:sz w:val="18"/>
          <w:szCs w:val="18"/>
        </w:rPr>
        <w:t>日，未来将根据授予日限制性股票的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公允价值总额确认激励成本。根据公司限制性股票的授予和解锁情况，经测算，预计公司此次股权激励财务成本为</w:t>
      </w:r>
      <w:r>
        <w:rPr>
          <w:rFonts w:ascii="宋体" w:hAnsi="宋体" w:cs="宋体" w:eastAsia="宋体" w:hint="default"/>
          <w:spacing w:val="-4"/>
          <w:sz w:val="18"/>
          <w:szCs w:val="18"/>
        </w:rPr>
        <w:t>1,538.12</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3"/>
          <w:sz w:val="18"/>
          <w:szCs w:val="18"/>
        </w:rPr>
        <w:t>万元，则激励成本在</w:t>
      </w:r>
      <w:r>
        <w:rPr>
          <w:rFonts w:ascii="宋体" w:hAnsi="宋体" w:cs="宋体" w:eastAsia="宋体" w:hint="default"/>
          <w:spacing w:val="-3"/>
          <w:sz w:val="18"/>
          <w:szCs w:val="18"/>
        </w:rPr>
        <w:t>2016</w:t>
      </w:r>
      <w:r>
        <w:rPr>
          <w:rFonts w:ascii="宋体" w:hAnsi="宋体" w:cs="宋体" w:eastAsia="宋体" w:hint="default"/>
          <w:spacing w:val="-3"/>
          <w:sz w:val="18"/>
          <w:szCs w:val="18"/>
        </w:rPr>
        <w:t>年—</w:t>
      </w:r>
      <w:r>
        <w:rPr>
          <w:rFonts w:ascii="宋体" w:hAnsi="宋体" w:cs="宋体" w:eastAsia="宋体" w:hint="default"/>
          <w:spacing w:val="-3"/>
          <w:sz w:val="18"/>
          <w:szCs w:val="18"/>
        </w:rPr>
        <w:t>2019</w:t>
      </w:r>
      <w:r>
        <w:rPr>
          <w:rFonts w:ascii="宋体" w:hAnsi="宋体" w:cs="宋体" w:eastAsia="宋体" w:hint="default"/>
          <w:spacing w:val="-3"/>
          <w:sz w:val="18"/>
          <w:szCs w:val="18"/>
        </w:rPr>
        <w:t>年的摊销情况见下表：</w:t>
      </w:r>
    </w:p>
    <w:p>
      <w:pPr>
        <w:spacing w:line="240" w:lineRule="auto" w:before="10"/>
        <w:rPr>
          <w:rFonts w:ascii="宋体" w:hAnsi="宋体" w:cs="宋体" w:eastAsia="宋体" w:hint="default"/>
          <w:sz w:val="24"/>
          <w:szCs w:val="24"/>
        </w:rPr>
      </w:pPr>
    </w:p>
    <w:tbl>
      <w:tblPr>
        <w:tblW w:w="0" w:type="auto"/>
        <w:jc w:val="left"/>
        <w:tblInd w:w="710" w:type="dxa"/>
        <w:tblLayout w:type="fixed"/>
        <w:tblCellMar>
          <w:top w:w="0" w:type="dxa"/>
          <w:left w:w="0" w:type="dxa"/>
          <w:bottom w:w="0" w:type="dxa"/>
          <w:right w:w="0" w:type="dxa"/>
        </w:tblCellMar>
        <w:tblLook w:val="01E0"/>
      </w:tblPr>
      <w:tblGrid>
        <w:gridCol w:w="1150"/>
        <w:gridCol w:w="1071"/>
        <w:gridCol w:w="1330"/>
        <w:gridCol w:w="1066"/>
        <w:gridCol w:w="1066"/>
        <w:gridCol w:w="1066"/>
        <w:gridCol w:w="1066"/>
      </w:tblGrid>
      <w:tr>
        <w:trPr>
          <w:trHeight w:val="653" w:hRule="exact"/>
        </w:trPr>
        <w:tc>
          <w:tcPr>
            <w:tcW w:w="11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209" w:right="0"/>
              <w:jc w:val="left"/>
              <w:rPr>
                <w:rFonts w:ascii="宋体" w:hAnsi="宋体" w:cs="宋体" w:eastAsia="宋体" w:hint="default"/>
                <w:sz w:val="18"/>
                <w:szCs w:val="18"/>
              </w:rPr>
            </w:pPr>
            <w:r>
              <w:rPr>
                <w:rFonts w:ascii="宋体" w:hAnsi="宋体" w:cs="宋体" w:eastAsia="宋体" w:hint="default"/>
                <w:b/>
                <w:bCs/>
                <w:sz w:val="18"/>
                <w:szCs w:val="18"/>
              </w:rPr>
              <w:t>期权份额</w:t>
            </w:r>
            <w:r>
              <w:rPr>
                <w:rFonts w:ascii="宋体" w:hAnsi="宋体" w:cs="宋体" w:eastAsia="宋体" w:hint="default"/>
                <w:sz w:val="18"/>
                <w:szCs w:val="18"/>
              </w:rPr>
            </w:r>
          </w:p>
          <w:p>
            <w:pPr>
              <w:pStyle w:val="TableParagraph"/>
              <w:spacing w:line="240" w:lineRule="auto" w:before="76"/>
              <w:ind w:left="300" w:right="0"/>
              <w:jc w:val="left"/>
              <w:rPr>
                <w:rFonts w:ascii="宋体" w:hAnsi="宋体" w:cs="宋体" w:eastAsia="宋体" w:hint="default"/>
                <w:sz w:val="18"/>
                <w:szCs w:val="18"/>
              </w:rPr>
            </w:pPr>
            <w:r>
              <w:rPr>
                <w:rFonts w:ascii="宋体" w:hAnsi="宋体" w:cs="宋体" w:eastAsia="宋体" w:hint="default"/>
                <w:b/>
                <w:bCs/>
                <w:sz w:val="18"/>
                <w:szCs w:val="18"/>
              </w:rPr>
              <w:t>（份）</w:t>
            </w:r>
            <w:r>
              <w:rPr>
                <w:rFonts w:ascii="宋体" w:hAnsi="宋体" w:cs="宋体" w:eastAsia="宋体" w:hint="default"/>
                <w:sz w:val="18"/>
                <w:szCs w:val="18"/>
              </w:rPr>
            </w:r>
          </w:p>
        </w:tc>
        <w:tc>
          <w:tcPr>
            <w:tcW w:w="107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167" w:right="0"/>
              <w:jc w:val="left"/>
              <w:rPr>
                <w:rFonts w:ascii="宋体" w:hAnsi="宋体" w:cs="宋体" w:eastAsia="宋体" w:hint="default"/>
                <w:sz w:val="18"/>
                <w:szCs w:val="18"/>
              </w:rPr>
            </w:pPr>
            <w:r>
              <w:rPr>
                <w:rFonts w:ascii="宋体" w:hAnsi="宋体" w:cs="宋体" w:eastAsia="宋体" w:hint="default"/>
                <w:b/>
                <w:bCs/>
                <w:sz w:val="18"/>
                <w:szCs w:val="18"/>
              </w:rPr>
              <w:t>期权价值</w:t>
            </w:r>
            <w:r>
              <w:rPr>
                <w:rFonts w:ascii="宋体" w:hAnsi="宋体" w:cs="宋体" w:eastAsia="宋体" w:hint="default"/>
                <w:sz w:val="18"/>
                <w:szCs w:val="18"/>
              </w:rPr>
            </w:r>
          </w:p>
          <w:p>
            <w:pPr>
              <w:pStyle w:val="TableParagraph"/>
              <w:spacing w:line="240" w:lineRule="auto" w:before="76"/>
              <w:ind w:left="259" w:right="0"/>
              <w:jc w:val="left"/>
              <w:rPr>
                <w:rFonts w:ascii="宋体" w:hAnsi="宋体" w:cs="宋体" w:eastAsia="宋体" w:hint="default"/>
                <w:sz w:val="18"/>
                <w:szCs w:val="18"/>
              </w:rPr>
            </w:pPr>
            <w:r>
              <w:rPr>
                <w:rFonts w:ascii="宋体" w:hAnsi="宋体" w:cs="宋体" w:eastAsia="宋体" w:hint="default"/>
                <w:b/>
                <w:bCs/>
                <w:sz w:val="18"/>
                <w:szCs w:val="18"/>
              </w:rPr>
              <w:t>（元）</w:t>
            </w:r>
            <w:r>
              <w:rPr>
                <w:rFonts w:ascii="宋体" w:hAnsi="宋体" w:cs="宋体" w:eastAsia="宋体" w:hint="default"/>
                <w:sz w:val="18"/>
                <w:szCs w:val="18"/>
              </w:rPr>
            </w:r>
          </w:p>
        </w:tc>
        <w:tc>
          <w:tcPr>
            <w:tcW w:w="13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297" w:right="0"/>
              <w:jc w:val="left"/>
              <w:rPr>
                <w:rFonts w:ascii="宋体" w:hAnsi="宋体" w:cs="宋体" w:eastAsia="宋体" w:hint="default"/>
                <w:sz w:val="18"/>
                <w:szCs w:val="18"/>
              </w:rPr>
            </w:pPr>
            <w:r>
              <w:rPr>
                <w:rFonts w:ascii="宋体" w:hAnsi="宋体" w:cs="宋体" w:eastAsia="宋体" w:hint="default"/>
                <w:b/>
                <w:bCs/>
                <w:sz w:val="18"/>
                <w:szCs w:val="18"/>
              </w:rPr>
              <w:t>期权成本</w:t>
            </w:r>
            <w:r>
              <w:rPr>
                <w:rFonts w:ascii="宋体" w:hAnsi="宋体" w:cs="宋体" w:eastAsia="宋体" w:hint="default"/>
                <w:sz w:val="18"/>
                <w:szCs w:val="18"/>
              </w:rPr>
            </w:r>
          </w:p>
          <w:p>
            <w:pPr>
              <w:pStyle w:val="TableParagraph"/>
              <w:spacing w:line="240" w:lineRule="auto" w:before="76"/>
              <w:ind w:left="297" w:right="0"/>
              <w:jc w:val="lef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10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25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2016</w:t>
            </w:r>
            <w:r>
              <w:rPr>
                <w:rFonts w:ascii="宋体" w:hAnsi="宋体" w:cs="宋体" w:eastAsia="宋体" w:hint="default"/>
                <w:b/>
                <w:bCs/>
                <w:sz w:val="18"/>
                <w:szCs w:val="18"/>
              </w:rPr>
              <w:t>年</w:t>
            </w:r>
            <w:r>
              <w:rPr>
                <w:rFonts w:ascii="宋体" w:hAnsi="宋体" w:cs="宋体" w:eastAsia="宋体" w:hint="default"/>
                <w:sz w:val="18"/>
                <w:szCs w:val="18"/>
              </w:rPr>
            </w:r>
          </w:p>
          <w:p>
            <w:pPr>
              <w:pStyle w:val="TableParagraph"/>
              <w:spacing w:line="240" w:lineRule="auto" w:before="63"/>
              <w:ind w:left="163" w:right="0"/>
              <w:jc w:val="lef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10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25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w:t>
            </w:r>
            <w:r>
              <w:rPr>
                <w:rFonts w:ascii="宋体" w:hAnsi="宋体" w:cs="宋体" w:eastAsia="宋体" w:hint="default"/>
                <w:sz w:val="18"/>
                <w:szCs w:val="18"/>
              </w:rPr>
            </w:r>
          </w:p>
          <w:p>
            <w:pPr>
              <w:pStyle w:val="TableParagraph"/>
              <w:spacing w:line="240" w:lineRule="auto" w:before="63"/>
              <w:ind w:left="163" w:right="0"/>
              <w:jc w:val="lef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10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25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w:t>
            </w:r>
            <w:r>
              <w:rPr>
                <w:rFonts w:ascii="宋体" w:hAnsi="宋体" w:cs="宋体" w:eastAsia="宋体" w:hint="default"/>
                <w:sz w:val="18"/>
                <w:szCs w:val="18"/>
              </w:rPr>
            </w:r>
          </w:p>
          <w:p>
            <w:pPr>
              <w:pStyle w:val="TableParagraph"/>
              <w:spacing w:line="240" w:lineRule="auto" w:before="63"/>
              <w:ind w:left="163" w:right="0"/>
              <w:jc w:val="lef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10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25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w:t>
            </w:r>
            <w:r>
              <w:rPr>
                <w:rFonts w:ascii="宋体" w:hAnsi="宋体" w:cs="宋体" w:eastAsia="宋体" w:hint="default"/>
                <w:sz w:val="18"/>
                <w:szCs w:val="18"/>
              </w:rPr>
            </w:r>
          </w:p>
          <w:p>
            <w:pPr>
              <w:pStyle w:val="TableParagraph"/>
              <w:spacing w:line="240" w:lineRule="auto" w:before="63"/>
              <w:ind w:left="163" w:right="0"/>
              <w:jc w:val="lef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r>
      <w:tr>
        <w:trPr>
          <w:trHeight w:val="350" w:hRule="exact"/>
        </w:trPr>
        <w:tc>
          <w:tcPr>
            <w:tcW w:w="115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7"/>
              <w:ind w:left="170" w:right="0"/>
              <w:jc w:val="left"/>
              <w:rPr>
                <w:rFonts w:ascii="Times New Roman" w:hAnsi="Times New Roman" w:cs="Times New Roman" w:eastAsia="Times New Roman" w:hint="default"/>
                <w:sz w:val="18"/>
                <w:szCs w:val="18"/>
              </w:rPr>
            </w:pPr>
            <w:r>
              <w:rPr>
                <w:rFonts w:ascii="Times New Roman"/>
                <w:sz w:val="18"/>
              </w:rPr>
              <w:t>10,924,118</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31" w:right="0"/>
              <w:jc w:val="left"/>
              <w:rPr>
                <w:rFonts w:ascii="Times New Roman" w:hAnsi="Times New Roman" w:cs="Times New Roman" w:eastAsia="Times New Roman" w:hint="default"/>
                <w:sz w:val="18"/>
                <w:szCs w:val="18"/>
              </w:rPr>
            </w:pPr>
            <w:r>
              <w:rPr>
                <w:rFonts w:ascii="Times New Roman"/>
                <w:sz w:val="18"/>
              </w:rPr>
              <w:t>1.408</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45" w:right="0"/>
              <w:jc w:val="left"/>
              <w:rPr>
                <w:rFonts w:ascii="Times New Roman" w:hAnsi="Times New Roman" w:cs="Times New Roman" w:eastAsia="Times New Roman" w:hint="default"/>
                <w:sz w:val="18"/>
                <w:szCs w:val="18"/>
              </w:rPr>
            </w:pPr>
            <w:r>
              <w:rPr>
                <w:rFonts w:ascii="Times New Roman"/>
                <w:sz w:val="18"/>
              </w:rPr>
              <w:t>1,538.12</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78" w:right="0"/>
              <w:jc w:val="left"/>
              <w:rPr>
                <w:rFonts w:ascii="Times New Roman" w:hAnsi="Times New Roman" w:cs="Times New Roman" w:eastAsia="Times New Roman" w:hint="default"/>
                <w:sz w:val="18"/>
                <w:szCs w:val="18"/>
              </w:rPr>
            </w:pPr>
            <w:r>
              <w:rPr>
                <w:rFonts w:ascii="Times New Roman"/>
                <w:sz w:val="18"/>
              </w:rPr>
              <w:t>689.32</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78" w:right="0"/>
              <w:jc w:val="left"/>
              <w:rPr>
                <w:rFonts w:ascii="Times New Roman" w:hAnsi="Times New Roman" w:cs="Times New Roman" w:eastAsia="Times New Roman" w:hint="default"/>
                <w:sz w:val="18"/>
                <w:szCs w:val="18"/>
              </w:rPr>
            </w:pPr>
            <w:r>
              <w:rPr>
                <w:rFonts w:ascii="Times New Roman"/>
                <w:sz w:val="18"/>
              </w:rPr>
              <w:t>639.31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78" w:right="0"/>
              <w:jc w:val="left"/>
              <w:rPr>
                <w:rFonts w:ascii="Times New Roman" w:hAnsi="Times New Roman" w:cs="Times New Roman" w:eastAsia="Times New Roman" w:hint="default"/>
                <w:sz w:val="18"/>
                <w:szCs w:val="18"/>
              </w:rPr>
            </w:pPr>
            <w:r>
              <w:rPr>
                <w:rFonts w:ascii="Times New Roman"/>
                <w:sz w:val="18"/>
              </w:rPr>
              <w:t>228.91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92" w:right="0"/>
              <w:jc w:val="left"/>
              <w:rPr>
                <w:rFonts w:ascii="Times New Roman" w:hAnsi="Times New Roman" w:cs="Times New Roman" w:eastAsia="Times New Roman" w:hint="default"/>
                <w:sz w:val="18"/>
                <w:szCs w:val="18"/>
              </w:rPr>
            </w:pPr>
            <w:r>
              <w:rPr>
                <w:rFonts w:ascii="Times New Roman"/>
                <w:sz w:val="18"/>
              </w:rPr>
              <w:t>-19.42</w:t>
            </w:r>
          </w:p>
        </w:tc>
      </w:tr>
    </w:tbl>
    <w:p>
      <w:pPr>
        <w:spacing w:line="240" w:lineRule="auto" w:before="5"/>
        <w:rPr>
          <w:rFonts w:ascii="宋体" w:hAnsi="宋体" w:cs="宋体" w:eastAsia="宋体" w:hint="default"/>
          <w:sz w:val="24"/>
          <w:szCs w:val="24"/>
        </w:rPr>
      </w:pPr>
    </w:p>
    <w:p>
      <w:pPr>
        <w:spacing w:before="46"/>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公司需遵守《深圳证券交易所行业信息披露指引第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号——上市公司从事软件与信息技术服务业务》的披露要求</w:t>
      </w:r>
    </w:p>
    <w:p>
      <w:pPr>
        <w:spacing w:line="240" w:lineRule="auto" w:before="13"/>
        <w:rPr>
          <w:rFonts w:ascii="宋体" w:hAnsi="宋体" w:cs="宋体" w:eastAsia="宋体" w:hint="default"/>
          <w:sz w:val="22"/>
          <w:szCs w:val="22"/>
        </w:rPr>
      </w:pPr>
    </w:p>
    <w:p>
      <w:pPr>
        <w:pStyle w:val="Heading2"/>
        <w:spacing w:line="240" w:lineRule="auto"/>
        <w:ind w:right="1764"/>
        <w:jc w:val="left"/>
        <w:rPr>
          <w:b w:val="0"/>
          <w:bCs w:val="0"/>
        </w:rPr>
      </w:pPr>
      <w:bookmarkStart w:name="十五、重大关联交易" w:id="75"/>
      <w:bookmarkEnd w:id="75"/>
      <w:r>
        <w:rPr>
          <w:b w:val="0"/>
          <w:bCs w:val="0"/>
        </w:rPr>
      </w:r>
      <w:r>
        <w:rPr/>
        <w:t>十五、重大关联交易</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764"/>
        <w:jc w:val="left"/>
        <w:rPr>
          <w:b w:val="0"/>
          <w:bCs w:val="0"/>
        </w:rPr>
      </w:pPr>
      <w:bookmarkStart w:name="1、与日常经营相关的关联交易" w:id="76"/>
      <w:bookmarkEnd w:id="76"/>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1"/>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797"/>
        <w:gridCol w:w="682"/>
        <w:gridCol w:w="677"/>
        <w:gridCol w:w="701"/>
        <w:gridCol w:w="682"/>
        <w:gridCol w:w="672"/>
        <w:gridCol w:w="677"/>
        <w:gridCol w:w="672"/>
        <w:gridCol w:w="672"/>
        <w:gridCol w:w="677"/>
        <w:gridCol w:w="673"/>
        <w:gridCol w:w="677"/>
        <w:gridCol w:w="668"/>
        <w:gridCol w:w="648"/>
      </w:tblGrid>
      <w:tr>
        <w:trPr>
          <w:trHeight w:val="1652"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15" w:right="118" w:hanging="92"/>
              <w:jc w:val="left"/>
              <w:rPr>
                <w:rFonts w:ascii="宋体" w:hAnsi="宋体" w:cs="宋体" w:eastAsia="宋体" w:hint="default"/>
                <w:sz w:val="18"/>
                <w:szCs w:val="18"/>
              </w:rPr>
            </w:pPr>
            <w:r>
              <w:rPr>
                <w:rFonts w:ascii="宋体" w:hAnsi="宋体" w:cs="宋体" w:eastAsia="宋体" w:hint="default"/>
                <w:sz w:val="18"/>
                <w:szCs w:val="18"/>
              </w:rPr>
              <w:t>关联交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153" w:right="151"/>
              <w:jc w:val="left"/>
              <w:rPr>
                <w:rFonts w:ascii="宋体" w:hAnsi="宋体" w:cs="宋体" w:eastAsia="宋体" w:hint="default"/>
                <w:sz w:val="18"/>
                <w:szCs w:val="18"/>
              </w:rPr>
            </w:pPr>
            <w:r>
              <w:rPr>
                <w:rFonts w:ascii="宋体" w:hAnsi="宋体" w:cs="宋体" w:eastAsia="宋体" w:hint="default"/>
                <w:sz w:val="18"/>
                <w:szCs w:val="18"/>
              </w:rPr>
              <w:t>关联</w:t>
            </w:r>
            <w:r>
              <w:rPr>
                <w:rFonts w:ascii="宋体" w:hAnsi="宋体" w:cs="宋体" w:eastAsia="宋体" w:hint="default"/>
                <w:spacing w:val="-86"/>
                <w:sz w:val="18"/>
                <w:szCs w:val="18"/>
              </w:rPr>
              <w:t> </w:t>
            </w:r>
            <w:r>
              <w:rPr>
                <w:rFonts w:ascii="宋体" w:hAnsi="宋体" w:cs="宋体" w:eastAsia="宋体" w:hint="default"/>
                <w:sz w:val="18"/>
                <w:szCs w:val="18"/>
              </w:rPr>
              <w:t>关系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48" w:right="153"/>
              <w:jc w:val="both"/>
              <w:rPr>
                <w:rFonts w:ascii="宋体" w:hAnsi="宋体" w:cs="宋体" w:eastAsia="宋体" w:hint="default"/>
                <w:sz w:val="18"/>
                <w:szCs w:val="18"/>
              </w:rPr>
            </w:pPr>
            <w:r>
              <w:rPr>
                <w:rFonts w:ascii="宋体" w:hAnsi="宋体" w:cs="宋体" w:eastAsia="宋体" w:hint="default"/>
                <w:sz w:val="18"/>
                <w:szCs w:val="18"/>
              </w:rPr>
              <w:t>关联</w:t>
            </w:r>
            <w:r>
              <w:rPr>
                <w:rFonts w:ascii="宋体" w:hAnsi="宋体" w:cs="宋体" w:eastAsia="宋体" w:hint="default"/>
                <w:spacing w:val="-86"/>
                <w:sz w:val="18"/>
                <w:szCs w:val="18"/>
              </w:rPr>
              <w:t> </w:t>
            </w:r>
            <w:r>
              <w:rPr>
                <w:rFonts w:ascii="宋体" w:hAnsi="宋体" w:cs="宋体" w:eastAsia="宋体" w:hint="default"/>
                <w:sz w:val="18"/>
                <w:szCs w:val="18"/>
              </w:rPr>
              <w:t>交易</w:t>
            </w:r>
            <w:r>
              <w:rPr>
                <w:rFonts w:ascii="宋体" w:hAnsi="宋体" w:cs="宋体" w:eastAsia="宋体" w:hint="default"/>
                <w:spacing w:val="-86"/>
                <w:sz w:val="18"/>
                <w:szCs w:val="18"/>
              </w:rPr>
              <w:t> </w:t>
            </w:r>
            <w:r>
              <w:rPr>
                <w:rFonts w:ascii="宋体" w:hAnsi="宋体" w:cs="宋体" w:eastAsia="宋体" w:hint="default"/>
                <w:sz w:val="18"/>
                <w:szCs w:val="18"/>
              </w:rPr>
              <w:t>类型</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63" w:right="161"/>
              <w:jc w:val="both"/>
              <w:rPr>
                <w:rFonts w:ascii="宋体" w:hAnsi="宋体" w:cs="宋体" w:eastAsia="宋体" w:hint="default"/>
                <w:sz w:val="18"/>
                <w:szCs w:val="18"/>
              </w:rPr>
            </w:pPr>
            <w:r>
              <w:rPr>
                <w:rFonts w:ascii="宋体" w:hAnsi="宋体" w:cs="宋体" w:eastAsia="宋体" w:hint="default"/>
                <w:sz w:val="18"/>
                <w:szCs w:val="18"/>
              </w:rPr>
              <w:t>关联</w:t>
            </w:r>
            <w:r>
              <w:rPr>
                <w:rFonts w:ascii="宋体" w:hAnsi="宋体" w:cs="宋体" w:eastAsia="宋体" w:hint="default"/>
                <w:spacing w:val="-86"/>
                <w:sz w:val="18"/>
                <w:szCs w:val="18"/>
              </w:rPr>
              <w:t> </w:t>
            </w:r>
            <w:r>
              <w:rPr>
                <w:rFonts w:ascii="宋体" w:hAnsi="宋体" w:cs="宋体" w:eastAsia="宋体" w:hint="default"/>
                <w:sz w:val="18"/>
                <w:szCs w:val="18"/>
              </w:rPr>
              <w:t>交易</w:t>
            </w:r>
            <w:r>
              <w:rPr>
                <w:rFonts w:ascii="宋体" w:hAnsi="宋体" w:cs="宋体" w:eastAsia="宋体" w:hint="default"/>
                <w:spacing w:val="-86"/>
                <w:sz w:val="18"/>
                <w:szCs w:val="18"/>
              </w:rPr>
              <w:t> </w:t>
            </w:r>
            <w:r>
              <w:rPr>
                <w:rFonts w:ascii="宋体" w:hAnsi="宋体" w:cs="宋体" w:eastAsia="宋体" w:hint="default"/>
                <w:sz w:val="18"/>
                <w:szCs w:val="18"/>
              </w:rPr>
              <w:t>内容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58" w:right="147"/>
              <w:jc w:val="both"/>
              <w:rPr>
                <w:rFonts w:ascii="宋体" w:hAnsi="宋体" w:cs="宋体" w:eastAsia="宋体" w:hint="default"/>
                <w:sz w:val="18"/>
                <w:szCs w:val="18"/>
              </w:rPr>
            </w:pPr>
            <w:r>
              <w:rPr>
                <w:rFonts w:ascii="宋体" w:hAnsi="宋体" w:cs="宋体" w:eastAsia="宋体" w:hint="default"/>
                <w:sz w:val="18"/>
                <w:szCs w:val="18"/>
              </w:rPr>
              <w:t>关联</w:t>
            </w:r>
            <w:r>
              <w:rPr>
                <w:rFonts w:ascii="宋体" w:hAnsi="宋体" w:cs="宋体" w:eastAsia="宋体" w:hint="default"/>
                <w:spacing w:val="-86"/>
                <w:sz w:val="18"/>
                <w:szCs w:val="18"/>
              </w:rPr>
              <w:t> </w:t>
            </w:r>
            <w:r>
              <w:rPr>
                <w:rFonts w:ascii="宋体" w:hAnsi="宋体" w:cs="宋体" w:eastAsia="宋体" w:hint="default"/>
                <w:sz w:val="18"/>
                <w:szCs w:val="18"/>
              </w:rPr>
              <w:t>交易</w:t>
            </w:r>
            <w:r>
              <w:rPr>
                <w:rFonts w:ascii="宋体" w:hAnsi="宋体" w:cs="宋体" w:eastAsia="宋体" w:hint="default"/>
                <w:spacing w:val="-86"/>
                <w:sz w:val="18"/>
                <w:szCs w:val="18"/>
              </w:rPr>
              <w:t> </w:t>
            </w:r>
            <w:r>
              <w:rPr>
                <w:rFonts w:ascii="宋体" w:hAnsi="宋体" w:cs="宋体" w:eastAsia="宋体" w:hint="default"/>
                <w:sz w:val="18"/>
                <w:szCs w:val="18"/>
              </w:rPr>
              <w:t>定价</w:t>
            </w:r>
            <w:r>
              <w:rPr>
                <w:rFonts w:ascii="宋体" w:hAnsi="宋体" w:cs="宋体" w:eastAsia="宋体" w:hint="default"/>
                <w:spacing w:val="-86"/>
                <w:sz w:val="18"/>
                <w:szCs w:val="18"/>
              </w:rPr>
              <w:t> </w:t>
            </w:r>
            <w:r>
              <w:rPr>
                <w:rFonts w:ascii="宋体" w:hAnsi="宋体" w:cs="宋体" w:eastAsia="宋体" w:hint="default"/>
                <w:sz w:val="18"/>
                <w:szCs w:val="18"/>
              </w:rPr>
              <w:t>原则</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48" w:right="146"/>
              <w:jc w:val="both"/>
              <w:rPr>
                <w:rFonts w:ascii="宋体" w:hAnsi="宋体" w:cs="宋体" w:eastAsia="宋体" w:hint="default"/>
                <w:sz w:val="18"/>
                <w:szCs w:val="18"/>
              </w:rPr>
            </w:pPr>
            <w:r>
              <w:rPr>
                <w:rFonts w:ascii="宋体" w:hAnsi="宋体" w:cs="宋体" w:eastAsia="宋体" w:hint="default"/>
                <w:sz w:val="18"/>
                <w:szCs w:val="18"/>
              </w:rPr>
              <w:t>关联</w:t>
            </w:r>
            <w:r>
              <w:rPr>
                <w:rFonts w:ascii="宋体" w:hAnsi="宋体" w:cs="宋体" w:eastAsia="宋体" w:hint="default"/>
                <w:spacing w:val="-86"/>
                <w:sz w:val="18"/>
                <w:szCs w:val="18"/>
              </w:rPr>
              <w:t> </w:t>
            </w:r>
            <w:r>
              <w:rPr>
                <w:rFonts w:ascii="宋体" w:hAnsi="宋体" w:cs="宋体" w:eastAsia="宋体" w:hint="default"/>
                <w:sz w:val="18"/>
                <w:szCs w:val="18"/>
              </w:rPr>
              <w:t>交易</w:t>
            </w:r>
            <w:r>
              <w:rPr>
                <w:rFonts w:ascii="宋体" w:hAnsi="宋体" w:cs="宋体" w:eastAsia="宋体" w:hint="default"/>
                <w:spacing w:val="-86"/>
                <w:sz w:val="18"/>
                <w:szCs w:val="18"/>
              </w:rPr>
              <w:t> </w:t>
            </w:r>
            <w:r>
              <w:rPr>
                <w:rFonts w:ascii="宋体" w:hAnsi="宋体" w:cs="宋体" w:eastAsia="宋体" w:hint="default"/>
                <w:sz w:val="18"/>
                <w:szCs w:val="18"/>
              </w:rPr>
              <w:t>价格</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53" w:right="147"/>
              <w:jc w:val="both"/>
              <w:rPr>
                <w:rFonts w:ascii="宋体" w:hAnsi="宋体" w:cs="宋体" w:eastAsia="宋体" w:hint="default"/>
                <w:sz w:val="18"/>
                <w:szCs w:val="18"/>
              </w:rPr>
            </w:pPr>
            <w:r>
              <w:rPr>
                <w:rFonts w:ascii="宋体" w:hAnsi="宋体" w:cs="宋体" w:eastAsia="宋体" w:hint="default"/>
                <w:sz w:val="18"/>
                <w:szCs w:val="18"/>
              </w:rPr>
              <w:t>关联</w:t>
            </w:r>
            <w:r>
              <w:rPr>
                <w:rFonts w:ascii="宋体" w:hAnsi="宋体" w:cs="宋体" w:eastAsia="宋体" w:hint="default"/>
                <w:spacing w:val="-86"/>
                <w:sz w:val="18"/>
                <w:szCs w:val="18"/>
              </w:rPr>
              <w:t> </w:t>
            </w:r>
            <w:r>
              <w:rPr>
                <w:rFonts w:ascii="宋体" w:hAnsi="宋体" w:cs="宋体" w:eastAsia="宋体" w:hint="default"/>
                <w:sz w:val="18"/>
                <w:szCs w:val="18"/>
              </w:rPr>
              <w:t>交易</w:t>
            </w:r>
            <w:r>
              <w:rPr>
                <w:rFonts w:ascii="宋体" w:hAnsi="宋体" w:cs="宋体" w:eastAsia="宋体" w:hint="default"/>
                <w:spacing w:val="-86"/>
                <w:sz w:val="18"/>
                <w:szCs w:val="18"/>
              </w:rPr>
              <w:t> </w:t>
            </w:r>
            <w:r>
              <w:rPr>
                <w:rFonts w:ascii="宋体" w:hAnsi="宋体" w:cs="宋体" w:eastAsia="宋体" w:hint="default"/>
                <w:sz w:val="18"/>
                <w:szCs w:val="18"/>
              </w:rPr>
              <w:t>金额</w:t>
            </w:r>
          </w:p>
          <w:p>
            <w:pPr>
              <w:pStyle w:val="TableParagraph"/>
              <w:spacing w:line="324" w:lineRule="auto" w:before="19"/>
              <w:ind w:left="153" w:right="147"/>
              <w:jc w:val="both"/>
              <w:rPr>
                <w:rFonts w:ascii="宋体" w:hAnsi="宋体" w:cs="宋体" w:eastAsia="宋体" w:hint="default"/>
                <w:sz w:val="18"/>
                <w:szCs w:val="18"/>
              </w:rPr>
            </w:pPr>
            <w:r>
              <w:rPr>
                <w:rFonts w:ascii="宋体" w:hAnsi="宋体" w:cs="宋体" w:eastAsia="宋体" w:hint="default"/>
                <w:sz w:val="18"/>
                <w:szCs w:val="18"/>
              </w:rPr>
              <w:t>（万</w:t>
            </w:r>
            <w:r>
              <w:rPr>
                <w:rFonts w:ascii="宋体" w:hAnsi="宋体" w:cs="宋体" w:eastAsia="宋体" w:hint="default"/>
                <w:spacing w:val="-86"/>
                <w:sz w:val="18"/>
                <w:szCs w:val="18"/>
              </w:rPr>
              <w:t> </w:t>
            </w:r>
            <w:r>
              <w:rPr>
                <w:rFonts w:ascii="宋体" w:hAnsi="宋体" w:cs="宋体" w:eastAsia="宋体" w:hint="default"/>
                <w:sz w:val="18"/>
                <w:szCs w:val="18"/>
              </w:rPr>
              <w:t>元）</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48" w:right="146"/>
              <w:jc w:val="both"/>
              <w:rPr>
                <w:rFonts w:ascii="宋体" w:hAnsi="宋体" w:cs="宋体" w:eastAsia="宋体" w:hint="default"/>
                <w:sz w:val="18"/>
                <w:szCs w:val="18"/>
              </w:rPr>
            </w:pPr>
            <w:r>
              <w:rPr>
                <w:rFonts w:ascii="宋体" w:hAnsi="宋体" w:cs="宋体" w:eastAsia="宋体" w:hint="default"/>
                <w:sz w:val="18"/>
                <w:szCs w:val="18"/>
              </w:rPr>
              <w:t>占同</w:t>
            </w:r>
            <w:r>
              <w:rPr>
                <w:rFonts w:ascii="宋体" w:hAnsi="宋体" w:cs="宋体" w:eastAsia="宋体" w:hint="default"/>
                <w:spacing w:val="-86"/>
                <w:sz w:val="18"/>
                <w:szCs w:val="18"/>
              </w:rPr>
              <w:t> </w:t>
            </w:r>
            <w:r>
              <w:rPr>
                <w:rFonts w:ascii="宋体" w:hAnsi="宋体" w:cs="宋体" w:eastAsia="宋体" w:hint="default"/>
                <w:sz w:val="18"/>
                <w:szCs w:val="18"/>
              </w:rPr>
              <w:t>类交</w:t>
            </w:r>
            <w:r>
              <w:rPr>
                <w:rFonts w:ascii="宋体" w:hAnsi="宋体" w:cs="宋体" w:eastAsia="宋体" w:hint="default"/>
                <w:spacing w:val="-86"/>
                <w:sz w:val="18"/>
                <w:szCs w:val="18"/>
              </w:rPr>
              <w:t> </w:t>
            </w:r>
            <w:r>
              <w:rPr>
                <w:rFonts w:ascii="宋体" w:hAnsi="宋体" w:cs="宋体" w:eastAsia="宋体" w:hint="default"/>
                <w:sz w:val="18"/>
                <w:szCs w:val="18"/>
              </w:rPr>
              <w:t>易金</w:t>
            </w:r>
            <w:r>
              <w:rPr>
                <w:rFonts w:ascii="宋体" w:hAnsi="宋体" w:cs="宋体" w:eastAsia="宋体" w:hint="default"/>
                <w:spacing w:val="-86"/>
                <w:sz w:val="18"/>
                <w:szCs w:val="18"/>
              </w:rPr>
              <w:t> </w:t>
            </w:r>
            <w:r>
              <w:rPr>
                <w:rFonts w:ascii="宋体" w:hAnsi="宋体" w:cs="宋体" w:eastAsia="宋体" w:hint="default"/>
                <w:sz w:val="18"/>
                <w:szCs w:val="18"/>
              </w:rPr>
              <w:t>额的</w:t>
            </w:r>
            <w:r>
              <w:rPr>
                <w:rFonts w:ascii="宋体" w:hAnsi="宋体" w:cs="宋体" w:eastAsia="宋体" w:hint="default"/>
                <w:spacing w:val="-86"/>
                <w:sz w:val="18"/>
                <w:szCs w:val="18"/>
              </w:rPr>
              <w:t> </w:t>
            </w:r>
            <w:r>
              <w:rPr>
                <w:rFonts w:ascii="宋体" w:hAnsi="宋体" w:cs="宋体" w:eastAsia="宋体" w:hint="default"/>
                <w:sz w:val="18"/>
                <w:szCs w:val="18"/>
              </w:rPr>
              <w:t>比例</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94" w:firstLine="48"/>
              <w:jc w:val="both"/>
              <w:rPr>
                <w:rFonts w:ascii="宋体" w:hAnsi="宋体" w:cs="宋体" w:eastAsia="宋体" w:hint="default"/>
                <w:sz w:val="18"/>
                <w:szCs w:val="18"/>
              </w:rPr>
            </w:pPr>
            <w:r>
              <w:rPr>
                <w:rFonts w:ascii="宋体" w:hAnsi="宋体" w:cs="宋体" w:eastAsia="宋体" w:hint="default"/>
                <w:sz w:val="18"/>
                <w:szCs w:val="18"/>
              </w:rPr>
              <w:t>获批</w:t>
            </w:r>
            <w:r>
              <w:rPr>
                <w:rFonts w:ascii="宋体" w:hAnsi="宋体" w:cs="宋体" w:eastAsia="宋体" w:hint="default"/>
                <w:w w:val="101"/>
                <w:sz w:val="18"/>
                <w:szCs w:val="18"/>
              </w:rPr>
              <w:t> </w:t>
            </w:r>
            <w:r>
              <w:rPr>
                <w:rFonts w:ascii="宋体" w:hAnsi="宋体" w:cs="宋体" w:eastAsia="宋体" w:hint="default"/>
                <w:sz w:val="18"/>
                <w:szCs w:val="18"/>
              </w:rPr>
              <w:t>的交</w:t>
            </w:r>
            <w:r>
              <w:rPr>
                <w:rFonts w:ascii="宋体" w:hAnsi="宋体" w:cs="宋体" w:eastAsia="宋体" w:hint="default"/>
                <w:spacing w:val="-86"/>
                <w:sz w:val="18"/>
                <w:szCs w:val="18"/>
              </w:rPr>
              <w:t> </w:t>
            </w:r>
            <w:r>
              <w:rPr>
                <w:rFonts w:ascii="宋体" w:hAnsi="宋体" w:cs="宋体" w:eastAsia="宋体" w:hint="default"/>
                <w:sz w:val="18"/>
                <w:szCs w:val="18"/>
              </w:rPr>
              <w:t>易额</w:t>
            </w:r>
            <w:r>
              <w:rPr>
                <w:rFonts w:ascii="宋体" w:hAnsi="宋体" w:cs="宋体" w:eastAsia="宋体" w:hint="default"/>
                <w:spacing w:val="-86"/>
                <w:sz w:val="18"/>
                <w:szCs w:val="18"/>
              </w:rPr>
              <w:t> </w:t>
            </w:r>
            <w:r>
              <w:rPr>
                <w:rFonts w:ascii="宋体" w:hAnsi="宋体" w:cs="宋体" w:eastAsia="宋体" w:hint="default"/>
                <w:spacing w:val="-29"/>
                <w:w w:val="101"/>
                <w:sz w:val="18"/>
                <w:szCs w:val="18"/>
              </w:rPr>
              <w:t>度（万</w:t>
            </w:r>
            <w:r>
              <w:rPr>
                <w:rFonts w:ascii="宋体" w:hAnsi="宋体" w:cs="宋体" w:eastAsia="宋体" w:hint="default"/>
                <w:w w:val="101"/>
                <w:sz w:val="18"/>
                <w:szCs w:val="18"/>
              </w:rPr>
              <w:t> </w:t>
            </w:r>
            <w:r>
              <w:rPr>
                <w:rFonts w:ascii="宋体" w:hAnsi="宋体" w:cs="宋体" w:eastAsia="宋体" w:hint="default"/>
                <w:sz w:val="18"/>
                <w:szCs w:val="18"/>
              </w:rPr>
              <w:t>元）</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53" w:right="146"/>
              <w:jc w:val="both"/>
              <w:rPr>
                <w:rFonts w:ascii="宋体" w:hAnsi="宋体" w:cs="宋体" w:eastAsia="宋体" w:hint="default"/>
                <w:sz w:val="18"/>
                <w:szCs w:val="18"/>
              </w:rPr>
            </w:pPr>
            <w:r>
              <w:rPr>
                <w:rFonts w:ascii="宋体" w:hAnsi="宋体" w:cs="宋体" w:eastAsia="宋体" w:hint="default"/>
                <w:sz w:val="18"/>
                <w:szCs w:val="18"/>
              </w:rPr>
              <w:t>是否</w:t>
            </w:r>
            <w:r>
              <w:rPr>
                <w:rFonts w:ascii="宋体" w:hAnsi="宋体" w:cs="宋体" w:eastAsia="宋体" w:hint="default"/>
                <w:spacing w:val="-86"/>
                <w:sz w:val="18"/>
                <w:szCs w:val="18"/>
              </w:rPr>
              <w:t> </w:t>
            </w:r>
            <w:r>
              <w:rPr>
                <w:rFonts w:ascii="宋体" w:hAnsi="宋体" w:cs="宋体" w:eastAsia="宋体" w:hint="default"/>
                <w:sz w:val="18"/>
                <w:szCs w:val="18"/>
              </w:rPr>
              <w:t>超过</w:t>
            </w:r>
            <w:r>
              <w:rPr>
                <w:rFonts w:ascii="宋体" w:hAnsi="宋体" w:cs="宋体" w:eastAsia="宋体" w:hint="default"/>
                <w:spacing w:val="-86"/>
                <w:sz w:val="18"/>
                <w:szCs w:val="18"/>
              </w:rPr>
              <w:t> </w:t>
            </w:r>
            <w:r>
              <w:rPr>
                <w:rFonts w:ascii="宋体" w:hAnsi="宋体" w:cs="宋体" w:eastAsia="宋体" w:hint="default"/>
                <w:sz w:val="18"/>
                <w:szCs w:val="18"/>
              </w:rPr>
              <w:t>获批</w:t>
            </w:r>
            <w:r>
              <w:rPr>
                <w:rFonts w:ascii="宋体" w:hAnsi="宋体" w:cs="宋体" w:eastAsia="宋体" w:hint="default"/>
                <w:spacing w:val="-86"/>
                <w:sz w:val="18"/>
                <w:szCs w:val="18"/>
              </w:rPr>
              <w:t> </w:t>
            </w:r>
            <w:r>
              <w:rPr>
                <w:rFonts w:ascii="宋体" w:hAnsi="宋体" w:cs="宋体" w:eastAsia="宋体" w:hint="default"/>
                <w:sz w:val="18"/>
                <w:szCs w:val="18"/>
              </w:rPr>
              <w:t>额度</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49" w:right="146"/>
              <w:jc w:val="both"/>
              <w:rPr>
                <w:rFonts w:ascii="宋体" w:hAnsi="宋体" w:cs="宋体" w:eastAsia="宋体" w:hint="default"/>
                <w:sz w:val="18"/>
                <w:szCs w:val="18"/>
              </w:rPr>
            </w:pPr>
            <w:r>
              <w:rPr>
                <w:rFonts w:ascii="宋体" w:hAnsi="宋体" w:cs="宋体" w:eastAsia="宋体" w:hint="default"/>
                <w:sz w:val="18"/>
                <w:szCs w:val="18"/>
              </w:rPr>
              <w:t>关联</w:t>
            </w:r>
            <w:r>
              <w:rPr>
                <w:rFonts w:ascii="宋体" w:hAnsi="宋体" w:cs="宋体" w:eastAsia="宋体" w:hint="default"/>
                <w:spacing w:val="-86"/>
                <w:sz w:val="18"/>
                <w:szCs w:val="18"/>
              </w:rPr>
              <w:t> </w:t>
            </w:r>
            <w:r>
              <w:rPr>
                <w:rFonts w:ascii="宋体" w:hAnsi="宋体" w:cs="宋体" w:eastAsia="宋体" w:hint="default"/>
                <w:sz w:val="18"/>
                <w:szCs w:val="18"/>
              </w:rPr>
              <w:t>交易</w:t>
            </w:r>
            <w:r>
              <w:rPr>
                <w:rFonts w:ascii="宋体" w:hAnsi="宋体" w:cs="宋体" w:eastAsia="宋体" w:hint="default"/>
                <w:spacing w:val="-86"/>
                <w:sz w:val="18"/>
                <w:szCs w:val="18"/>
              </w:rPr>
              <w:t> </w:t>
            </w:r>
            <w:r>
              <w:rPr>
                <w:rFonts w:ascii="宋体" w:hAnsi="宋体" w:cs="宋体" w:eastAsia="宋体" w:hint="default"/>
                <w:sz w:val="18"/>
                <w:szCs w:val="18"/>
              </w:rPr>
              <w:t>结算</w:t>
            </w:r>
            <w:r>
              <w:rPr>
                <w:rFonts w:ascii="宋体" w:hAnsi="宋体" w:cs="宋体" w:eastAsia="宋体" w:hint="default"/>
                <w:spacing w:val="-86"/>
                <w:sz w:val="18"/>
                <w:szCs w:val="18"/>
              </w:rPr>
              <w:t> </w:t>
            </w:r>
            <w:r>
              <w:rPr>
                <w:rFonts w:ascii="宋体" w:hAnsi="宋体" w:cs="宋体" w:eastAsia="宋体" w:hint="default"/>
                <w:sz w:val="18"/>
                <w:szCs w:val="18"/>
              </w:rPr>
              <w:t>方式</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53" w:right="146"/>
              <w:jc w:val="both"/>
              <w:rPr>
                <w:rFonts w:ascii="宋体" w:hAnsi="宋体" w:cs="宋体" w:eastAsia="宋体" w:hint="default"/>
                <w:sz w:val="18"/>
                <w:szCs w:val="18"/>
              </w:rPr>
            </w:pPr>
            <w:r>
              <w:rPr>
                <w:rFonts w:ascii="宋体" w:hAnsi="宋体" w:cs="宋体" w:eastAsia="宋体" w:hint="default"/>
                <w:sz w:val="18"/>
                <w:szCs w:val="18"/>
              </w:rPr>
              <w:t>可获</w:t>
            </w:r>
            <w:r>
              <w:rPr>
                <w:rFonts w:ascii="宋体" w:hAnsi="宋体" w:cs="宋体" w:eastAsia="宋体" w:hint="default"/>
                <w:spacing w:val="-86"/>
                <w:sz w:val="18"/>
                <w:szCs w:val="18"/>
              </w:rPr>
              <w:t> </w:t>
            </w:r>
            <w:r>
              <w:rPr>
                <w:rFonts w:ascii="宋体" w:hAnsi="宋体" w:cs="宋体" w:eastAsia="宋体" w:hint="default"/>
                <w:sz w:val="18"/>
                <w:szCs w:val="18"/>
              </w:rPr>
              <w:t>得的</w:t>
            </w:r>
            <w:r>
              <w:rPr>
                <w:rFonts w:ascii="宋体" w:hAnsi="宋体" w:cs="宋体" w:eastAsia="宋体" w:hint="default"/>
                <w:spacing w:val="-86"/>
                <w:sz w:val="18"/>
                <w:szCs w:val="18"/>
              </w:rPr>
              <w:t> </w:t>
            </w:r>
            <w:r>
              <w:rPr>
                <w:rFonts w:ascii="宋体" w:hAnsi="宋体" w:cs="宋体" w:eastAsia="宋体" w:hint="default"/>
                <w:sz w:val="18"/>
                <w:szCs w:val="18"/>
              </w:rPr>
              <w:t>同类</w:t>
            </w:r>
            <w:r>
              <w:rPr>
                <w:rFonts w:ascii="宋体" w:hAnsi="宋体" w:cs="宋体" w:eastAsia="宋体" w:hint="default"/>
                <w:spacing w:val="-86"/>
                <w:sz w:val="18"/>
                <w:szCs w:val="18"/>
              </w:rPr>
              <w:t> </w:t>
            </w:r>
            <w:r>
              <w:rPr>
                <w:rFonts w:ascii="宋体" w:hAnsi="宋体" w:cs="宋体" w:eastAsia="宋体" w:hint="default"/>
                <w:sz w:val="18"/>
                <w:szCs w:val="18"/>
              </w:rPr>
              <w:t>交易</w:t>
            </w:r>
            <w:r>
              <w:rPr>
                <w:rFonts w:ascii="宋体" w:hAnsi="宋体" w:cs="宋体" w:eastAsia="宋体" w:hint="default"/>
                <w:spacing w:val="-86"/>
                <w:sz w:val="18"/>
                <w:szCs w:val="18"/>
              </w:rPr>
              <w:t> </w:t>
            </w:r>
            <w:r>
              <w:rPr>
                <w:rFonts w:ascii="宋体" w:hAnsi="宋体" w:cs="宋体" w:eastAsia="宋体" w:hint="default"/>
                <w:sz w:val="18"/>
                <w:szCs w:val="18"/>
              </w:rPr>
              <w:t>市价</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149" w:right="143"/>
              <w:jc w:val="left"/>
              <w:rPr>
                <w:rFonts w:ascii="宋体" w:hAnsi="宋体" w:cs="宋体" w:eastAsia="宋体" w:hint="default"/>
                <w:sz w:val="18"/>
                <w:szCs w:val="18"/>
              </w:rPr>
            </w:pPr>
            <w:r>
              <w:rPr>
                <w:rFonts w:ascii="宋体" w:hAnsi="宋体" w:cs="宋体" w:eastAsia="宋体" w:hint="default"/>
                <w:sz w:val="18"/>
                <w:szCs w:val="18"/>
              </w:rPr>
              <w:t>披露</w:t>
            </w:r>
            <w:r>
              <w:rPr>
                <w:rFonts w:ascii="宋体" w:hAnsi="宋体" w:cs="宋体" w:eastAsia="宋体" w:hint="default"/>
                <w:spacing w:val="-86"/>
                <w:sz w:val="18"/>
                <w:szCs w:val="18"/>
              </w:rPr>
              <w:t> </w:t>
            </w:r>
            <w:r>
              <w:rPr>
                <w:rFonts w:ascii="宋体" w:hAnsi="宋体" w:cs="宋体" w:eastAsia="宋体" w:hint="default"/>
                <w:sz w:val="18"/>
                <w:szCs w:val="18"/>
              </w:rPr>
              <w:t>日期</w:t>
            </w: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139" w:right="132"/>
              <w:jc w:val="left"/>
              <w:rPr>
                <w:rFonts w:ascii="宋体" w:hAnsi="宋体" w:cs="宋体" w:eastAsia="宋体" w:hint="default"/>
                <w:sz w:val="18"/>
                <w:szCs w:val="18"/>
              </w:rPr>
            </w:pPr>
            <w:r>
              <w:rPr>
                <w:rFonts w:ascii="宋体" w:hAnsi="宋体" w:cs="宋体" w:eastAsia="宋体" w:hint="default"/>
                <w:sz w:val="18"/>
                <w:szCs w:val="18"/>
              </w:rPr>
              <w:t>披露</w:t>
            </w:r>
            <w:r>
              <w:rPr>
                <w:rFonts w:ascii="宋体" w:hAnsi="宋体" w:cs="宋体" w:eastAsia="宋体" w:hint="default"/>
                <w:spacing w:val="-86"/>
                <w:sz w:val="18"/>
                <w:szCs w:val="18"/>
              </w:rPr>
              <w:t> </w:t>
            </w:r>
            <w:r>
              <w:rPr>
                <w:rFonts w:ascii="宋体" w:hAnsi="宋体" w:cs="宋体" w:eastAsia="宋体" w:hint="default"/>
                <w:sz w:val="18"/>
                <w:szCs w:val="18"/>
              </w:rPr>
              <w:t>索引</w:t>
            </w:r>
          </w:p>
        </w:tc>
      </w:tr>
      <w:tr>
        <w:trPr>
          <w:trHeight w:val="352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105" w:right="137"/>
              <w:jc w:val="both"/>
              <w:rPr>
                <w:rFonts w:ascii="宋体" w:hAnsi="宋体" w:cs="宋体" w:eastAsia="宋体" w:hint="default"/>
                <w:sz w:val="18"/>
                <w:szCs w:val="18"/>
              </w:rPr>
            </w:pPr>
            <w:r>
              <w:rPr>
                <w:rFonts w:ascii="宋体" w:hAnsi="宋体" w:cs="宋体" w:eastAsia="宋体" w:hint="default"/>
                <w:sz w:val="18"/>
                <w:szCs w:val="18"/>
              </w:rPr>
              <w:t>北京江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融信科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05" w:right="199"/>
              <w:jc w:val="left"/>
              <w:rPr>
                <w:rFonts w:ascii="宋体" w:hAnsi="宋体" w:cs="宋体" w:eastAsia="宋体" w:hint="default"/>
                <w:sz w:val="18"/>
                <w:szCs w:val="18"/>
              </w:rPr>
            </w:pPr>
            <w:r>
              <w:rPr>
                <w:rFonts w:ascii="宋体" w:hAnsi="宋体" w:cs="宋体" w:eastAsia="宋体" w:hint="default"/>
                <w:sz w:val="18"/>
                <w:szCs w:val="18"/>
              </w:rPr>
              <w:t>投资</w:t>
            </w:r>
            <w:r>
              <w:rPr>
                <w:rFonts w:ascii="宋体" w:hAnsi="宋体" w:cs="宋体" w:eastAsia="宋体" w:hint="default"/>
                <w:spacing w:val="-86"/>
                <w:sz w:val="18"/>
                <w:szCs w:val="18"/>
              </w:rPr>
              <w:t> </w:t>
            </w:r>
            <w:r>
              <w:rPr>
                <w:rFonts w:ascii="宋体" w:hAnsi="宋体" w:cs="宋体" w:eastAsia="宋体" w:hint="default"/>
                <w:sz w:val="18"/>
                <w:szCs w:val="18"/>
              </w:rPr>
              <w:t>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2" w:lineRule="auto"/>
              <w:ind w:left="100" w:right="154"/>
              <w:jc w:val="both"/>
              <w:rPr>
                <w:rFonts w:ascii="宋体" w:hAnsi="宋体" w:cs="宋体" w:eastAsia="宋体" w:hint="default"/>
                <w:sz w:val="18"/>
                <w:szCs w:val="18"/>
              </w:rPr>
            </w:pPr>
            <w:r>
              <w:rPr>
                <w:rFonts w:ascii="宋体" w:hAnsi="宋体" w:cs="宋体" w:eastAsia="宋体" w:hint="default"/>
                <w:sz w:val="18"/>
                <w:szCs w:val="18"/>
              </w:rPr>
              <w:t>出售</w:t>
            </w:r>
            <w:r>
              <w:rPr>
                <w:rFonts w:ascii="宋体" w:hAnsi="宋体" w:cs="宋体" w:eastAsia="宋体" w:hint="default"/>
                <w:spacing w:val="-86"/>
                <w:sz w:val="18"/>
                <w:szCs w:val="18"/>
              </w:rPr>
              <w:t> </w:t>
            </w:r>
            <w:r>
              <w:rPr>
                <w:rFonts w:ascii="宋体" w:hAnsi="宋体" w:cs="宋体" w:eastAsia="宋体" w:hint="default"/>
                <w:sz w:val="18"/>
                <w:szCs w:val="18"/>
              </w:rPr>
              <w:t>商品</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提供</w:t>
            </w:r>
            <w:r>
              <w:rPr>
                <w:rFonts w:ascii="宋体" w:hAnsi="宋体" w:cs="宋体" w:eastAsia="宋体" w:hint="default"/>
                <w:spacing w:val="-86"/>
                <w:sz w:val="18"/>
                <w:szCs w:val="18"/>
              </w:rPr>
              <w:t> </w:t>
            </w:r>
            <w:r>
              <w:rPr>
                <w:rFonts w:ascii="宋体" w:hAnsi="宋体" w:cs="宋体" w:eastAsia="宋体" w:hint="default"/>
                <w:sz w:val="18"/>
                <w:szCs w:val="18"/>
              </w:rPr>
              <w:t>劳务</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00" w:right="223"/>
              <w:jc w:val="left"/>
              <w:rPr>
                <w:rFonts w:ascii="宋体" w:hAnsi="宋体" w:cs="宋体" w:eastAsia="宋体" w:hint="default"/>
                <w:sz w:val="18"/>
                <w:szCs w:val="18"/>
              </w:rPr>
            </w:pPr>
            <w:r>
              <w:rPr>
                <w:rFonts w:ascii="宋体" w:hAnsi="宋体" w:cs="宋体" w:eastAsia="宋体" w:hint="default"/>
                <w:sz w:val="18"/>
                <w:szCs w:val="18"/>
              </w:rPr>
              <w:t>软件</w:t>
            </w:r>
            <w:r>
              <w:rPr>
                <w:rFonts w:ascii="宋体" w:hAnsi="宋体" w:cs="宋体" w:eastAsia="宋体" w:hint="default"/>
                <w:spacing w:val="-86"/>
                <w:sz w:val="18"/>
                <w:szCs w:val="18"/>
              </w:rPr>
              <w:t> </w:t>
            </w:r>
            <w:r>
              <w:rPr>
                <w:rFonts w:ascii="宋体" w:hAnsi="宋体" w:cs="宋体" w:eastAsia="宋体" w:hint="default"/>
                <w:sz w:val="18"/>
                <w:szCs w:val="18"/>
              </w:rPr>
              <w:t>开发</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05" w:right="200"/>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pacing w:val="-86"/>
                <w:sz w:val="18"/>
                <w:szCs w:val="18"/>
              </w:rPr>
              <w:t> </w:t>
            </w:r>
            <w:r>
              <w:rPr>
                <w:rFonts w:ascii="宋体" w:hAnsi="宋体" w:cs="宋体" w:eastAsia="宋体" w:hint="default"/>
                <w:sz w:val="18"/>
                <w:szCs w:val="18"/>
              </w:rPr>
              <w:t>定价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578.0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578.0</w:t>
            </w:r>
          </w:p>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40.81</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05" w:right="194"/>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pacing w:val="-86"/>
                <w:sz w:val="18"/>
                <w:szCs w:val="18"/>
              </w:rPr>
              <w:t> </w:t>
            </w:r>
            <w:r>
              <w:rPr>
                <w:rFonts w:ascii="宋体" w:hAnsi="宋体" w:cs="宋体" w:eastAsia="宋体" w:hint="default"/>
                <w:sz w:val="18"/>
                <w:szCs w:val="18"/>
              </w:rPr>
              <w:t>定价</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7"/>
              <w:ind w:left="101"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both"/>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118"/>
              <w:ind w:left="105" w:right="0"/>
              <w:jc w:val="both"/>
              <w:rPr>
                <w:rFonts w:ascii="Times New Roman" w:hAnsi="Times New Roman" w:cs="Times New Roman" w:eastAsia="Times New Roman" w:hint="default"/>
                <w:sz w:val="18"/>
                <w:szCs w:val="18"/>
              </w:rPr>
            </w:pPr>
            <w:r>
              <w:rPr>
                <w:rFonts w:ascii="Times New Roman"/>
                <w:sz w:val="18"/>
              </w:rPr>
              <w:t>2019</w:t>
            </w:r>
          </w:p>
          <w:p>
            <w:pPr>
              <w:pStyle w:val="TableParagraph"/>
              <w:spacing w:line="319" w:lineRule="auto" w:before="63"/>
              <w:ind w:left="105" w:right="167"/>
              <w:jc w:val="both"/>
              <w:rPr>
                <w:rFonts w:ascii="宋体" w:hAnsi="宋体" w:cs="宋体" w:eastAsia="宋体" w:hint="default"/>
                <w:sz w:val="18"/>
                <w:szCs w:val="18"/>
              </w:rPr>
            </w:pPr>
            <w:r>
              <w:rPr>
                <w:rFonts w:ascii="宋体" w:hAnsi="宋体" w:cs="宋体" w:eastAsia="宋体" w:hint="default"/>
                <w:sz w:val="18"/>
                <w:szCs w:val="18"/>
              </w:rPr>
              <w:t>年度</w:t>
            </w:r>
            <w:r>
              <w:rPr>
                <w:rFonts w:ascii="宋体" w:hAnsi="宋体" w:cs="宋体" w:eastAsia="宋体" w:hint="default"/>
                <w:spacing w:val="-86"/>
                <w:sz w:val="18"/>
                <w:szCs w:val="18"/>
              </w:rPr>
              <w:t> </w:t>
            </w:r>
            <w:r>
              <w:rPr>
                <w:rFonts w:ascii="宋体" w:hAnsi="宋体" w:cs="宋体" w:eastAsia="宋体" w:hint="default"/>
                <w:sz w:val="18"/>
                <w:szCs w:val="18"/>
              </w:rPr>
              <w:t>日常</w:t>
            </w:r>
            <w:r>
              <w:rPr>
                <w:rFonts w:ascii="宋体" w:hAnsi="宋体" w:cs="宋体" w:eastAsia="宋体" w:hint="default"/>
                <w:spacing w:val="-86"/>
                <w:sz w:val="18"/>
                <w:szCs w:val="18"/>
              </w:rPr>
              <w:t> </w:t>
            </w:r>
            <w:r>
              <w:rPr>
                <w:rFonts w:ascii="宋体" w:hAnsi="宋体" w:cs="宋体" w:eastAsia="宋体" w:hint="default"/>
                <w:sz w:val="18"/>
                <w:szCs w:val="18"/>
              </w:rPr>
              <w:t>关联</w:t>
            </w:r>
            <w:r>
              <w:rPr>
                <w:rFonts w:ascii="宋体" w:hAnsi="宋体" w:cs="宋体" w:eastAsia="宋体" w:hint="default"/>
                <w:spacing w:val="-86"/>
                <w:sz w:val="18"/>
                <w:szCs w:val="18"/>
              </w:rPr>
              <w:t> </w:t>
            </w:r>
            <w:r>
              <w:rPr>
                <w:rFonts w:ascii="宋体" w:hAnsi="宋体" w:cs="宋体" w:eastAsia="宋体" w:hint="default"/>
                <w:sz w:val="18"/>
                <w:szCs w:val="18"/>
              </w:rPr>
              <w:t>交易</w:t>
            </w:r>
            <w:r>
              <w:rPr>
                <w:rFonts w:ascii="宋体" w:hAnsi="宋体" w:cs="宋体" w:eastAsia="宋体" w:hint="default"/>
                <w:spacing w:val="-86"/>
                <w:sz w:val="18"/>
                <w:szCs w:val="18"/>
              </w:rPr>
              <w:t> </w:t>
            </w:r>
            <w:r>
              <w:rPr>
                <w:rFonts w:ascii="宋体" w:hAnsi="宋体" w:cs="宋体" w:eastAsia="宋体" w:hint="default"/>
                <w:sz w:val="18"/>
                <w:szCs w:val="18"/>
              </w:rPr>
              <w:t>的公</w:t>
            </w:r>
            <w:r>
              <w:rPr>
                <w:rFonts w:ascii="宋体" w:hAnsi="宋体" w:cs="宋体" w:eastAsia="宋体" w:hint="default"/>
                <w:spacing w:val="-86"/>
                <w:sz w:val="18"/>
                <w:szCs w:val="18"/>
              </w:rPr>
              <w:t> </w:t>
            </w:r>
            <w:r>
              <w:rPr>
                <w:rFonts w:ascii="宋体" w:hAnsi="宋体" w:cs="宋体" w:eastAsia="宋体" w:hint="default"/>
                <w:sz w:val="18"/>
                <w:szCs w:val="18"/>
              </w:rPr>
              <w:t>告</w:t>
            </w:r>
          </w:p>
          <w:p>
            <w:pPr>
              <w:pStyle w:val="TableParagraph"/>
              <w:spacing w:line="340" w:lineRule="auto" w:before="17"/>
              <w:ind w:left="105" w:right="108"/>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z w:val="18"/>
                <w:szCs w:val="18"/>
              </w:rPr>
              <w:t>19-20</w:t>
            </w:r>
          </w:p>
          <w:p>
            <w:pPr>
              <w:pStyle w:val="TableParagraph"/>
              <w:spacing w:line="220" w:lineRule="exact"/>
              <w:ind w:left="105" w:right="0"/>
              <w:jc w:val="both"/>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r>
        <w:trPr>
          <w:trHeight w:val="223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319" w:lineRule="auto"/>
              <w:ind w:left="105" w:right="137"/>
              <w:jc w:val="both"/>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科陆电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子科技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24" w:lineRule="auto"/>
              <w:ind w:left="105" w:right="199"/>
              <w:jc w:val="left"/>
              <w:rPr>
                <w:rFonts w:ascii="宋体" w:hAnsi="宋体" w:cs="宋体" w:eastAsia="宋体" w:hint="default"/>
                <w:sz w:val="18"/>
                <w:szCs w:val="18"/>
              </w:rPr>
            </w:pPr>
            <w:r>
              <w:rPr>
                <w:rFonts w:ascii="宋体" w:hAnsi="宋体" w:cs="宋体" w:eastAsia="宋体" w:hint="default"/>
                <w:sz w:val="18"/>
                <w:szCs w:val="18"/>
              </w:rPr>
              <w:t>关联</w:t>
            </w:r>
            <w:r>
              <w:rPr>
                <w:rFonts w:ascii="宋体" w:hAnsi="宋体" w:cs="宋体" w:eastAsia="宋体" w:hint="default"/>
                <w:spacing w:val="-86"/>
                <w:sz w:val="18"/>
                <w:szCs w:val="18"/>
              </w:rPr>
              <w:t> </w:t>
            </w:r>
            <w:r>
              <w:rPr>
                <w:rFonts w:ascii="宋体" w:hAnsi="宋体" w:cs="宋体" w:eastAsia="宋体" w:hint="default"/>
                <w:sz w:val="18"/>
                <w:szCs w:val="18"/>
              </w:rPr>
              <w:t>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4" w:lineRule="auto"/>
              <w:ind w:left="100" w:right="154"/>
              <w:jc w:val="both"/>
              <w:rPr>
                <w:rFonts w:ascii="宋体" w:hAnsi="宋体" w:cs="宋体" w:eastAsia="宋体" w:hint="default"/>
                <w:sz w:val="18"/>
                <w:szCs w:val="18"/>
              </w:rPr>
            </w:pPr>
            <w:r>
              <w:rPr>
                <w:rFonts w:ascii="宋体" w:hAnsi="宋体" w:cs="宋体" w:eastAsia="宋体" w:hint="default"/>
                <w:sz w:val="18"/>
                <w:szCs w:val="18"/>
              </w:rPr>
              <w:t>出售</w:t>
            </w:r>
            <w:r>
              <w:rPr>
                <w:rFonts w:ascii="宋体" w:hAnsi="宋体" w:cs="宋体" w:eastAsia="宋体" w:hint="default"/>
                <w:spacing w:val="-86"/>
                <w:sz w:val="18"/>
                <w:szCs w:val="18"/>
              </w:rPr>
              <w:t> </w:t>
            </w:r>
            <w:r>
              <w:rPr>
                <w:rFonts w:ascii="宋体" w:hAnsi="宋体" w:cs="宋体" w:eastAsia="宋体" w:hint="default"/>
                <w:sz w:val="18"/>
                <w:szCs w:val="18"/>
              </w:rPr>
              <w:t>商品</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提供</w:t>
            </w:r>
            <w:r>
              <w:rPr>
                <w:rFonts w:ascii="宋体" w:hAnsi="宋体" w:cs="宋体" w:eastAsia="宋体" w:hint="default"/>
                <w:spacing w:val="-86"/>
                <w:sz w:val="18"/>
                <w:szCs w:val="18"/>
              </w:rPr>
              <w:t> </w:t>
            </w:r>
            <w:r>
              <w:rPr>
                <w:rFonts w:ascii="宋体" w:hAnsi="宋体" w:cs="宋体" w:eastAsia="宋体" w:hint="default"/>
                <w:sz w:val="18"/>
                <w:szCs w:val="18"/>
              </w:rPr>
              <w:t>劳务</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24" w:lineRule="auto"/>
              <w:ind w:left="100" w:right="223"/>
              <w:jc w:val="left"/>
              <w:rPr>
                <w:rFonts w:ascii="宋体" w:hAnsi="宋体" w:cs="宋体" w:eastAsia="宋体" w:hint="default"/>
                <w:sz w:val="18"/>
                <w:szCs w:val="18"/>
              </w:rPr>
            </w:pPr>
            <w:r>
              <w:rPr>
                <w:rFonts w:ascii="宋体" w:hAnsi="宋体" w:cs="宋体" w:eastAsia="宋体" w:hint="default"/>
                <w:sz w:val="18"/>
                <w:szCs w:val="18"/>
              </w:rPr>
              <w:t>软件</w:t>
            </w:r>
            <w:r>
              <w:rPr>
                <w:rFonts w:ascii="宋体" w:hAnsi="宋体" w:cs="宋体" w:eastAsia="宋体" w:hint="default"/>
                <w:spacing w:val="-86"/>
                <w:sz w:val="18"/>
                <w:szCs w:val="18"/>
              </w:rPr>
              <w:t> </w:t>
            </w:r>
            <w:r>
              <w:rPr>
                <w:rFonts w:ascii="宋体" w:hAnsi="宋体" w:cs="宋体" w:eastAsia="宋体" w:hint="default"/>
                <w:sz w:val="18"/>
                <w:szCs w:val="18"/>
              </w:rPr>
              <w:t>开发</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24" w:lineRule="auto"/>
              <w:ind w:left="105" w:right="200"/>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pacing w:val="-86"/>
                <w:sz w:val="18"/>
                <w:szCs w:val="18"/>
              </w:rPr>
              <w:t> </w:t>
            </w:r>
            <w:r>
              <w:rPr>
                <w:rFonts w:ascii="宋体" w:hAnsi="宋体" w:cs="宋体" w:eastAsia="宋体" w:hint="default"/>
                <w:sz w:val="18"/>
                <w:szCs w:val="18"/>
              </w:rPr>
              <w:t>定价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00" w:right="0"/>
              <w:jc w:val="left"/>
              <w:rPr>
                <w:rFonts w:ascii="Times New Roman" w:hAnsi="Times New Roman" w:cs="Times New Roman" w:eastAsia="Times New Roman" w:hint="default"/>
                <w:sz w:val="18"/>
                <w:szCs w:val="18"/>
              </w:rPr>
            </w:pPr>
            <w:r>
              <w:rPr>
                <w:rFonts w:ascii="Times New Roman"/>
                <w:sz w:val="18"/>
              </w:rPr>
              <w:t>368.7</w:t>
            </w:r>
          </w:p>
          <w:p>
            <w:pPr>
              <w:pStyle w:val="TableParagraph"/>
              <w:spacing w:line="240" w:lineRule="auto" w:before="110"/>
              <w:ind w:left="100"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99"/>
              <w:jc w:val="right"/>
              <w:rPr>
                <w:rFonts w:ascii="Times New Roman" w:hAnsi="Times New Roman" w:cs="Times New Roman" w:eastAsia="Times New Roman" w:hint="default"/>
                <w:sz w:val="18"/>
                <w:szCs w:val="18"/>
              </w:rPr>
            </w:pPr>
            <w:r>
              <w:rPr>
                <w:rFonts w:ascii="Times New Roman"/>
                <w:spacing w:val="-1"/>
                <w:sz w:val="18"/>
              </w:rPr>
              <w:t>368.7</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53" w:right="0"/>
              <w:jc w:val="left"/>
              <w:rPr>
                <w:rFonts w:ascii="Times New Roman" w:hAnsi="Times New Roman" w:cs="Times New Roman" w:eastAsia="Times New Roman" w:hint="default"/>
                <w:sz w:val="18"/>
                <w:szCs w:val="18"/>
              </w:rPr>
            </w:pPr>
            <w:r>
              <w:rPr>
                <w:rFonts w:ascii="Times New Roman"/>
                <w:sz w:val="18"/>
              </w:rPr>
              <w:t>26.03</w:t>
            </w:r>
          </w:p>
          <w:p>
            <w:pPr>
              <w:pStyle w:val="TableParagraph"/>
              <w:spacing w:line="240" w:lineRule="auto" w:before="110"/>
              <w:ind w:left="407"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800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24" w:lineRule="auto"/>
              <w:ind w:left="105" w:right="194"/>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pacing w:val="-86"/>
                <w:sz w:val="18"/>
                <w:szCs w:val="18"/>
              </w:rPr>
              <w:t> </w:t>
            </w:r>
            <w:r>
              <w:rPr>
                <w:rFonts w:ascii="宋体" w:hAnsi="宋体" w:cs="宋体" w:eastAsia="宋体" w:hint="default"/>
                <w:sz w:val="18"/>
                <w:szCs w:val="18"/>
              </w:rPr>
              <w:t>定价</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7"/>
              <w:ind w:left="101"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both"/>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114"/>
              <w:ind w:left="105" w:right="0"/>
              <w:jc w:val="both"/>
              <w:rPr>
                <w:rFonts w:ascii="Times New Roman" w:hAnsi="Times New Roman" w:cs="Times New Roman" w:eastAsia="Times New Roman" w:hint="default"/>
                <w:sz w:val="18"/>
                <w:szCs w:val="18"/>
              </w:rPr>
            </w:pPr>
            <w:r>
              <w:rPr>
                <w:rFonts w:ascii="Times New Roman"/>
                <w:sz w:val="18"/>
              </w:rPr>
              <w:t>2019</w:t>
            </w:r>
          </w:p>
          <w:p>
            <w:pPr>
              <w:pStyle w:val="TableParagraph"/>
              <w:spacing w:line="319" w:lineRule="auto" w:before="63"/>
              <w:ind w:left="105" w:right="167"/>
              <w:jc w:val="both"/>
              <w:rPr>
                <w:rFonts w:ascii="宋体" w:hAnsi="宋体" w:cs="宋体" w:eastAsia="宋体" w:hint="default"/>
                <w:sz w:val="18"/>
                <w:szCs w:val="18"/>
              </w:rPr>
            </w:pPr>
            <w:r>
              <w:rPr>
                <w:rFonts w:ascii="宋体" w:hAnsi="宋体" w:cs="宋体" w:eastAsia="宋体" w:hint="default"/>
                <w:sz w:val="18"/>
                <w:szCs w:val="18"/>
              </w:rPr>
              <w:t>年度</w:t>
            </w:r>
            <w:r>
              <w:rPr>
                <w:rFonts w:ascii="宋体" w:hAnsi="宋体" w:cs="宋体" w:eastAsia="宋体" w:hint="default"/>
                <w:spacing w:val="-86"/>
                <w:sz w:val="18"/>
                <w:szCs w:val="18"/>
              </w:rPr>
              <w:t> </w:t>
            </w:r>
            <w:r>
              <w:rPr>
                <w:rFonts w:ascii="宋体" w:hAnsi="宋体" w:cs="宋体" w:eastAsia="宋体" w:hint="default"/>
                <w:sz w:val="18"/>
                <w:szCs w:val="18"/>
              </w:rPr>
              <w:t>日常</w:t>
            </w:r>
            <w:r>
              <w:rPr>
                <w:rFonts w:ascii="宋体" w:hAnsi="宋体" w:cs="宋体" w:eastAsia="宋体" w:hint="default"/>
                <w:spacing w:val="-86"/>
                <w:sz w:val="18"/>
                <w:szCs w:val="18"/>
              </w:rPr>
              <w:t> </w:t>
            </w:r>
            <w:r>
              <w:rPr>
                <w:rFonts w:ascii="宋体" w:hAnsi="宋体" w:cs="宋体" w:eastAsia="宋体" w:hint="default"/>
                <w:sz w:val="18"/>
                <w:szCs w:val="18"/>
              </w:rPr>
              <w:t>关联</w:t>
            </w:r>
            <w:r>
              <w:rPr>
                <w:rFonts w:ascii="宋体" w:hAnsi="宋体" w:cs="宋体" w:eastAsia="宋体" w:hint="default"/>
                <w:spacing w:val="-86"/>
                <w:sz w:val="18"/>
                <w:szCs w:val="18"/>
              </w:rPr>
              <w:t> </w:t>
            </w:r>
            <w:r>
              <w:rPr>
                <w:rFonts w:ascii="宋体" w:hAnsi="宋体" w:cs="宋体" w:eastAsia="宋体" w:hint="default"/>
                <w:sz w:val="18"/>
                <w:szCs w:val="18"/>
              </w:rPr>
              <w:t>交易</w:t>
            </w:r>
            <w:r>
              <w:rPr>
                <w:rFonts w:ascii="宋体" w:hAnsi="宋体" w:cs="宋体" w:eastAsia="宋体" w:hint="default"/>
                <w:spacing w:val="-86"/>
                <w:sz w:val="18"/>
                <w:szCs w:val="18"/>
              </w:rPr>
              <w:t> </w:t>
            </w:r>
            <w:r>
              <w:rPr>
                <w:rFonts w:ascii="宋体" w:hAnsi="宋体" w:cs="宋体" w:eastAsia="宋体" w:hint="default"/>
                <w:sz w:val="18"/>
                <w:szCs w:val="18"/>
              </w:rPr>
              <w:t>的公</w:t>
            </w:r>
          </w:p>
        </w:tc>
      </w:tr>
    </w:tbl>
    <w:p>
      <w:pPr>
        <w:spacing w:after="0" w:line="319" w:lineRule="auto"/>
        <w:jc w:val="both"/>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797"/>
        <w:gridCol w:w="682"/>
        <w:gridCol w:w="677"/>
        <w:gridCol w:w="701"/>
        <w:gridCol w:w="682"/>
        <w:gridCol w:w="672"/>
        <w:gridCol w:w="677"/>
        <w:gridCol w:w="672"/>
        <w:gridCol w:w="672"/>
        <w:gridCol w:w="677"/>
        <w:gridCol w:w="673"/>
        <w:gridCol w:w="677"/>
        <w:gridCol w:w="668"/>
        <w:gridCol w:w="648"/>
      </w:tblGrid>
      <w:tr>
        <w:trPr>
          <w:trHeight w:val="1297" w:hRule="exact"/>
        </w:trPr>
        <w:tc>
          <w:tcPr>
            <w:tcW w:w="797"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w w:val="101"/>
                <w:sz w:val="18"/>
                <w:szCs w:val="18"/>
              </w:rPr>
              <w:t>告</w:t>
            </w:r>
            <w:r>
              <w:rPr>
                <w:rFonts w:ascii="宋体" w:hAnsi="宋体" w:cs="宋体" w:eastAsia="宋体" w:hint="default"/>
                <w:sz w:val="18"/>
                <w:szCs w:val="18"/>
              </w:rPr>
            </w:r>
          </w:p>
          <w:p>
            <w:pPr>
              <w:pStyle w:val="TableParagraph"/>
              <w:spacing w:line="340" w:lineRule="auto" w:before="76"/>
              <w:ind w:left="105" w:right="108"/>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z w:val="18"/>
                <w:szCs w:val="18"/>
              </w:rPr>
              <w:t>19-20</w:t>
            </w:r>
          </w:p>
          <w:p>
            <w:pPr>
              <w:pStyle w:val="TableParagraph"/>
              <w:spacing w:line="220" w:lineRule="exact"/>
              <w:ind w:left="10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r>
        <w:trPr>
          <w:trHeight w:val="165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37"/>
              <w:jc w:val="both"/>
              <w:rPr>
                <w:rFonts w:ascii="宋体" w:hAnsi="宋体" w:cs="宋体" w:eastAsia="宋体" w:hint="default"/>
                <w:sz w:val="18"/>
                <w:szCs w:val="18"/>
              </w:rPr>
            </w:pPr>
            <w:r>
              <w:rPr>
                <w:rFonts w:ascii="宋体" w:hAnsi="宋体" w:cs="宋体" w:eastAsia="宋体" w:hint="default"/>
                <w:sz w:val="18"/>
                <w:szCs w:val="18"/>
              </w:rPr>
              <w:t>东南亚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电信集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团股份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105" w:right="199"/>
              <w:jc w:val="left"/>
              <w:rPr>
                <w:rFonts w:ascii="宋体" w:hAnsi="宋体" w:cs="宋体" w:eastAsia="宋体" w:hint="default"/>
                <w:sz w:val="18"/>
                <w:szCs w:val="18"/>
              </w:rPr>
            </w:pPr>
            <w:r>
              <w:rPr>
                <w:rFonts w:ascii="宋体" w:hAnsi="宋体" w:cs="宋体" w:eastAsia="宋体" w:hint="default"/>
                <w:sz w:val="18"/>
                <w:szCs w:val="18"/>
              </w:rPr>
              <w:t>投资</w:t>
            </w:r>
            <w:r>
              <w:rPr>
                <w:rFonts w:ascii="宋体" w:hAnsi="宋体" w:cs="宋体" w:eastAsia="宋体" w:hint="default"/>
                <w:spacing w:val="-86"/>
                <w:sz w:val="18"/>
                <w:szCs w:val="18"/>
              </w:rPr>
              <w:t> </w:t>
            </w:r>
            <w:r>
              <w:rPr>
                <w:rFonts w:ascii="宋体" w:hAnsi="宋体" w:cs="宋体" w:eastAsia="宋体" w:hint="default"/>
                <w:sz w:val="18"/>
                <w:szCs w:val="18"/>
              </w:rPr>
              <w:t>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2" w:lineRule="auto"/>
              <w:ind w:left="100" w:right="154"/>
              <w:jc w:val="both"/>
              <w:rPr>
                <w:rFonts w:ascii="宋体" w:hAnsi="宋体" w:cs="宋体" w:eastAsia="宋体" w:hint="default"/>
                <w:sz w:val="18"/>
                <w:szCs w:val="18"/>
              </w:rPr>
            </w:pPr>
            <w:r>
              <w:rPr>
                <w:rFonts w:ascii="宋体" w:hAnsi="宋体" w:cs="宋体" w:eastAsia="宋体" w:hint="default"/>
                <w:sz w:val="18"/>
                <w:szCs w:val="18"/>
              </w:rPr>
              <w:t>出售</w:t>
            </w:r>
            <w:r>
              <w:rPr>
                <w:rFonts w:ascii="宋体" w:hAnsi="宋体" w:cs="宋体" w:eastAsia="宋体" w:hint="default"/>
                <w:spacing w:val="-86"/>
                <w:sz w:val="18"/>
                <w:szCs w:val="18"/>
              </w:rPr>
              <w:t> </w:t>
            </w:r>
            <w:r>
              <w:rPr>
                <w:rFonts w:ascii="宋体" w:hAnsi="宋体" w:cs="宋体" w:eastAsia="宋体" w:hint="default"/>
                <w:sz w:val="18"/>
                <w:szCs w:val="18"/>
              </w:rPr>
              <w:t>商品</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提供</w:t>
            </w:r>
            <w:r>
              <w:rPr>
                <w:rFonts w:ascii="宋体" w:hAnsi="宋体" w:cs="宋体" w:eastAsia="宋体" w:hint="default"/>
                <w:spacing w:val="-86"/>
                <w:sz w:val="18"/>
                <w:szCs w:val="18"/>
              </w:rPr>
              <w:t> </w:t>
            </w:r>
            <w:r>
              <w:rPr>
                <w:rFonts w:ascii="宋体" w:hAnsi="宋体" w:cs="宋体" w:eastAsia="宋体" w:hint="default"/>
                <w:sz w:val="18"/>
                <w:szCs w:val="18"/>
              </w:rPr>
              <w:t>劳务</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100" w:right="223"/>
              <w:jc w:val="left"/>
              <w:rPr>
                <w:rFonts w:ascii="宋体" w:hAnsi="宋体" w:cs="宋体" w:eastAsia="宋体" w:hint="default"/>
                <w:sz w:val="18"/>
                <w:szCs w:val="18"/>
              </w:rPr>
            </w:pPr>
            <w:r>
              <w:rPr>
                <w:rFonts w:ascii="宋体" w:hAnsi="宋体" w:cs="宋体" w:eastAsia="宋体" w:hint="default"/>
                <w:sz w:val="18"/>
                <w:szCs w:val="18"/>
              </w:rPr>
              <w:t>软件</w:t>
            </w:r>
            <w:r>
              <w:rPr>
                <w:rFonts w:ascii="宋体" w:hAnsi="宋体" w:cs="宋体" w:eastAsia="宋体" w:hint="default"/>
                <w:spacing w:val="-86"/>
                <w:sz w:val="18"/>
                <w:szCs w:val="18"/>
              </w:rPr>
              <w:t> </w:t>
            </w:r>
            <w:r>
              <w:rPr>
                <w:rFonts w:ascii="宋体" w:hAnsi="宋体" w:cs="宋体" w:eastAsia="宋体" w:hint="default"/>
                <w:sz w:val="18"/>
                <w:szCs w:val="18"/>
              </w:rPr>
              <w:t>开发</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105" w:right="200"/>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pacing w:val="-86"/>
                <w:sz w:val="18"/>
                <w:szCs w:val="18"/>
              </w:rPr>
              <w:t> </w:t>
            </w:r>
            <w:r>
              <w:rPr>
                <w:rFonts w:ascii="宋体" w:hAnsi="宋体" w:cs="宋体" w:eastAsia="宋体" w:hint="default"/>
                <w:sz w:val="18"/>
                <w:szCs w:val="18"/>
              </w:rPr>
              <w:t>定价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00" w:right="0"/>
              <w:jc w:val="left"/>
              <w:rPr>
                <w:rFonts w:ascii="Times New Roman" w:hAnsi="Times New Roman" w:cs="Times New Roman" w:eastAsia="Times New Roman" w:hint="default"/>
                <w:sz w:val="18"/>
                <w:szCs w:val="18"/>
              </w:rPr>
            </w:pPr>
            <w:r>
              <w:rPr>
                <w:rFonts w:ascii="Times New Roman"/>
                <w:sz w:val="18"/>
              </w:rPr>
              <w:t>140.9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pacing w:val="-1"/>
                <w:sz w:val="18"/>
              </w:rPr>
              <w:t>140.9</w:t>
            </w:r>
          </w:p>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38" w:right="0"/>
              <w:jc w:val="center"/>
              <w:rPr>
                <w:rFonts w:ascii="Times New Roman" w:hAnsi="Times New Roman" w:cs="Times New Roman" w:eastAsia="Times New Roman" w:hint="default"/>
                <w:sz w:val="18"/>
                <w:szCs w:val="18"/>
              </w:rPr>
            </w:pPr>
            <w:r>
              <w:rPr>
                <w:rFonts w:ascii="Times New Roman"/>
                <w:sz w:val="18"/>
              </w:rPr>
              <w:t>9.95</w:t>
            </w:r>
          </w:p>
          <w:p>
            <w:pPr>
              <w:pStyle w:val="TableParagraph"/>
              <w:spacing w:line="240" w:lineRule="auto" w:before="105"/>
              <w:ind w:left="305"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105" w:right="194"/>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pacing w:val="-86"/>
                <w:sz w:val="18"/>
                <w:szCs w:val="18"/>
              </w:rPr>
              <w:t> </w:t>
            </w:r>
            <w:r>
              <w:rPr>
                <w:rFonts w:ascii="宋体" w:hAnsi="宋体" w:cs="宋体" w:eastAsia="宋体" w:hint="default"/>
                <w:sz w:val="18"/>
                <w:szCs w:val="18"/>
              </w:rPr>
              <w:t>定价</w:t>
            </w:r>
          </w:p>
        </w:tc>
        <w:tc>
          <w:tcPr>
            <w:tcW w:w="66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352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2"/>
              <w:ind w:left="105" w:right="137"/>
              <w:jc w:val="both"/>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汇巨信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息技术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316" w:lineRule="auto"/>
              <w:ind w:left="105" w:right="199"/>
              <w:jc w:val="left"/>
              <w:rPr>
                <w:rFonts w:ascii="宋体" w:hAnsi="宋体" w:cs="宋体" w:eastAsia="宋体" w:hint="default"/>
                <w:sz w:val="18"/>
                <w:szCs w:val="18"/>
              </w:rPr>
            </w:pPr>
            <w:r>
              <w:rPr>
                <w:rFonts w:ascii="宋体" w:hAnsi="宋体" w:cs="宋体" w:eastAsia="宋体" w:hint="default"/>
                <w:sz w:val="18"/>
                <w:szCs w:val="18"/>
              </w:rPr>
              <w:t>联营</w:t>
            </w:r>
            <w:r>
              <w:rPr>
                <w:rFonts w:ascii="宋体" w:hAnsi="宋体" w:cs="宋体" w:eastAsia="宋体" w:hint="default"/>
                <w:spacing w:val="-86"/>
                <w:sz w:val="18"/>
                <w:szCs w:val="18"/>
              </w:rPr>
              <w:t> </w:t>
            </w:r>
            <w:r>
              <w:rPr>
                <w:rFonts w:ascii="宋体" w:hAnsi="宋体" w:cs="宋体" w:eastAsia="宋体" w:hint="default"/>
                <w:sz w:val="18"/>
                <w:szCs w:val="18"/>
              </w:rPr>
              <w:t>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13"/>
              <w:ind w:left="100" w:right="154"/>
              <w:jc w:val="both"/>
              <w:rPr>
                <w:rFonts w:ascii="宋体" w:hAnsi="宋体" w:cs="宋体" w:eastAsia="宋体" w:hint="default"/>
                <w:sz w:val="18"/>
                <w:szCs w:val="18"/>
              </w:rPr>
            </w:pPr>
            <w:r>
              <w:rPr>
                <w:rFonts w:ascii="宋体" w:hAnsi="宋体" w:cs="宋体" w:eastAsia="宋体" w:hint="default"/>
                <w:sz w:val="18"/>
                <w:szCs w:val="18"/>
              </w:rPr>
              <w:t>出售</w:t>
            </w:r>
            <w:r>
              <w:rPr>
                <w:rFonts w:ascii="宋体" w:hAnsi="宋体" w:cs="宋体" w:eastAsia="宋体" w:hint="default"/>
                <w:spacing w:val="-86"/>
                <w:sz w:val="18"/>
                <w:szCs w:val="18"/>
              </w:rPr>
              <w:t> </w:t>
            </w:r>
            <w:r>
              <w:rPr>
                <w:rFonts w:ascii="宋体" w:hAnsi="宋体" w:cs="宋体" w:eastAsia="宋体" w:hint="default"/>
                <w:sz w:val="18"/>
                <w:szCs w:val="18"/>
              </w:rPr>
              <w:t>商品</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提供</w:t>
            </w:r>
            <w:r>
              <w:rPr>
                <w:rFonts w:ascii="宋体" w:hAnsi="宋体" w:cs="宋体" w:eastAsia="宋体" w:hint="default"/>
                <w:spacing w:val="-86"/>
                <w:sz w:val="18"/>
                <w:szCs w:val="18"/>
              </w:rPr>
              <w:t> </w:t>
            </w:r>
            <w:r>
              <w:rPr>
                <w:rFonts w:ascii="宋体" w:hAnsi="宋体" w:cs="宋体" w:eastAsia="宋体" w:hint="default"/>
                <w:sz w:val="18"/>
                <w:szCs w:val="18"/>
              </w:rPr>
              <w:t>劳务</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316" w:lineRule="auto"/>
              <w:ind w:left="100" w:right="223"/>
              <w:jc w:val="left"/>
              <w:rPr>
                <w:rFonts w:ascii="宋体" w:hAnsi="宋体" w:cs="宋体" w:eastAsia="宋体" w:hint="default"/>
                <w:sz w:val="18"/>
                <w:szCs w:val="18"/>
              </w:rPr>
            </w:pPr>
            <w:r>
              <w:rPr>
                <w:rFonts w:ascii="宋体" w:hAnsi="宋体" w:cs="宋体" w:eastAsia="宋体" w:hint="default"/>
                <w:sz w:val="18"/>
                <w:szCs w:val="18"/>
              </w:rPr>
              <w:t>软件</w:t>
            </w:r>
            <w:r>
              <w:rPr>
                <w:rFonts w:ascii="宋体" w:hAnsi="宋体" w:cs="宋体" w:eastAsia="宋体" w:hint="default"/>
                <w:spacing w:val="-86"/>
                <w:sz w:val="18"/>
                <w:szCs w:val="18"/>
              </w:rPr>
              <w:t> </w:t>
            </w:r>
            <w:r>
              <w:rPr>
                <w:rFonts w:ascii="宋体" w:hAnsi="宋体" w:cs="宋体" w:eastAsia="宋体" w:hint="default"/>
                <w:sz w:val="18"/>
                <w:szCs w:val="18"/>
              </w:rPr>
              <w:t>开发</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316" w:lineRule="auto"/>
              <w:ind w:left="105" w:right="200"/>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pacing w:val="-86"/>
                <w:sz w:val="18"/>
                <w:szCs w:val="18"/>
              </w:rPr>
              <w:t> </w:t>
            </w:r>
            <w:r>
              <w:rPr>
                <w:rFonts w:ascii="宋体" w:hAnsi="宋体" w:cs="宋体" w:eastAsia="宋体" w:hint="default"/>
                <w:sz w:val="18"/>
                <w:szCs w:val="18"/>
              </w:rPr>
              <w:t>定价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55"/>
              <w:jc w:val="center"/>
              <w:rPr>
                <w:rFonts w:ascii="Times New Roman" w:hAnsi="Times New Roman" w:cs="Times New Roman" w:eastAsia="Times New Roman" w:hint="default"/>
                <w:sz w:val="18"/>
                <w:szCs w:val="18"/>
              </w:rPr>
            </w:pPr>
            <w:r>
              <w:rPr>
                <w:rFonts w:ascii="Times New Roman"/>
                <w:sz w:val="18"/>
              </w:rPr>
              <w:t>42.11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42.11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38" w:right="0"/>
              <w:jc w:val="center"/>
              <w:rPr>
                <w:rFonts w:ascii="Times New Roman" w:hAnsi="Times New Roman" w:cs="Times New Roman" w:eastAsia="Times New Roman" w:hint="default"/>
                <w:sz w:val="18"/>
                <w:szCs w:val="18"/>
              </w:rPr>
            </w:pPr>
            <w:r>
              <w:rPr>
                <w:rFonts w:ascii="Times New Roman"/>
                <w:sz w:val="18"/>
              </w:rPr>
              <w:t>2.97</w:t>
            </w:r>
          </w:p>
          <w:p>
            <w:pPr>
              <w:pStyle w:val="TableParagraph"/>
              <w:spacing w:line="240" w:lineRule="auto" w:before="105"/>
              <w:ind w:left="305"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316" w:lineRule="auto"/>
              <w:ind w:left="105" w:right="194"/>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pacing w:val="-86"/>
                <w:sz w:val="18"/>
                <w:szCs w:val="18"/>
              </w:rPr>
              <w:t> </w:t>
            </w:r>
            <w:r>
              <w:rPr>
                <w:rFonts w:ascii="宋体" w:hAnsi="宋体" w:cs="宋体" w:eastAsia="宋体" w:hint="default"/>
                <w:sz w:val="18"/>
                <w:szCs w:val="18"/>
              </w:rPr>
              <w:t>定价</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7"/>
              <w:ind w:left="101"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both"/>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118"/>
              <w:ind w:left="105" w:right="0"/>
              <w:jc w:val="both"/>
              <w:rPr>
                <w:rFonts w:ascii="Times New Roman" w:hAnsi="Times New Roman" w:cs="Times New Roman" w:eastAsia="Times New Roman" w:hint="default"/>
                <w:sz w:val="18"/>
                <w:szCs w:val="18"/>
              </w:rPr>
            </w:pPr>
            <w:r>
              <w:rPr>
                <w:rFonts w:ascii="Times New Roman"/>
                <w:sz w:val="18"/>
              </w:rPr>
              <w:t>2019</w:t>
            </w:r>
          </w:p>
          <w:p>
            <w:pPr>
              <w:pStyle w:val="TableParagraph"/>
              <w:spacing w:line="319" w:lineRule="auto" w:before="63"/>
              <w:ind w:left="105" w:right="167"/>
              <w:jc w:val="both"/>
              <w:rPr>
                <w:rFonts w:ascii="宋体" w:hAnsi="宋体" w:cs="宋体" w:eastAsia="宋体" w:hint="default"/>
                <w:sz w:val="18"/>
                <w:szCs w:val="18"/>
              </w:rPr>
            </w:pPr>
            <w:r>
              <w:rPr>
                <w:rFonts w:ascii="宋体" w:hAnsi="宋体" w:cs="宋体" w:eastAsia="宋体" w:hint="default"/>
                <w:sz w:val="18"/>
                <w:szCs w:val="18"/>
              </w:rPr>
              <w:t>年度</w:t>
            </w:r>
            <w:r>
              <w:rPr>
                <w:rFonts w:ascii="宋体" w:hAnsi="宋体" w:cs="宋体" w:eastAsia="宋体" w:hint="default"/>
                <w:spacing w:val="-86"/>
                <w:sz w:val="18"/>
                <w:szCs w:val="18"/>
              </w:rPr>
              <w:t> </w:t>
            </w:r>
            <w:r>
              <w:rPr>
                <w:rFonts w:ascii="宋体" w:hAnsi="宋体" w:cs="宋体" w:eastAsia="宋体" w:hint="default"/>
                <w:sz w:val="18"/>
                <w:szCs w:val="18"/>
              </w:rPr>
              <w:t>日常</w:t>
            </w:r>
            <w:r>
              <w:rPr>
                <w:rFonts w:ascii="宋体" w:hAnsi="宋体" w:cs="宋体" w:eastAsia="宋体" w:hint="default"/>
                <w:spacing w:val="-86"/>
                <w:sz w:val="18"/>
                <w:szCs w:val="18"/>
              </w:rPr>
              <w:t> </w:t>
            </w:r>
            <w:r>
              <w:rPr>
                <w:rFonts w:ascii="宋体" w:hAnsi="宋体" w:cs="宋体" w:eastAsia="宋体" w:hint="default"/>
                <w:sz w:val="18"/>
                <w:szCs w:val="18"/>
              </w:rPr>
              <w:t>关联</w:t>
            </w:r>
            <w:r>
              <w:rPr>
                <w:rFonts w:ascii="宋体" w:hAnsi="宋体" w:cs="宋体" w:eastAsia="宋体" w:hint="default"/>
                <w:spacing w:val="-86"/>
                <w:sz w:val="18"/>
                <w:szCs w:val="18"/>
              </w:rPr>
              <w:t> </w:t>
            </w:r>
            <w:r>
              <w:rPr>
                <w:rFonts w:ascii="宋体" w:hAnsi="宋体" w:cs="宋体" w:eastAsia="宋体" w:hint="default"/>
                <w:sz w:val="18"/>
                <w:szCs w:val="18"/>
              </w:rPr>
              <w:t>交易</w:t>
            </w:r>
            <w:r>
              <w:rPr>
                <w:rFonts w:ascii="宋体" w:hAnsi="宋体" w:cs="宋体" w:eastAsia="宋体" w:hint="default"/>
                <w:spacing w:val="-86"/>
                <w:sz w:val="18"/>
                <w:szCs w:val="18"/>
              </w:rPr>
              <w:t> </w:t>
            </w:r>
            <w:r>
              <w:rPr>
                <w:rFonts w:ascii="宋体" w:hAnsi="宋体" w:cs="宋体" w:eastAsia="宋体" w:hint="default"/>
                <w:sz w:val="18"/>
                <w:szCs w:val="18"/>
              </w:rPr>
              <w:t>的公</w:t>
            </w:r>
            <w:r>
              <w:rPr>
                <w:rFonts w:ascii="宋体" w:hAnsi="宋体" w:cs="宋体" w:eastAsia="宋体" w:hint="default"/>
                <w:spacing w:val="-86"/>
                <w:sz w:val="18"/>
                <w:szCs w:val="18"/>
              </w:rPr>
              <w:t> </w:t>
            </w:r>
            <w:r>
              <w:rPr>
                <w:rFonts w:ascii="宋体" w:hAnsi="宋体" w:cs="宋体" w:eastAsia="宋体" w:hint="default"/>
                <w:sz w:val="18"/>
                <w:szCs w:val="18"/>
              </w:rPr>
              <w:t>告</w:t>
            </w:r>
          </w:p>
          <w:p>
            <w:pPr>
              <w:pStyle w:val="TableParagraph"/>
              <w:spacing w:line="340" w:lineRule="auto" w:before="17"/>
              <w:ind w:left="105" w:right="108"/>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z w:val="18"/>
                <w:szCs w:val="18"/>
              </w:rPr>
              <w:t>19-20</w:t>
            </w:r>
          </w:p>
          <w:p>
            <w:pPr>
              <w:pStyle w:val="TableParagraph"/>
              <w:spacing w:line="220" w:lineRule="exact"/>
              <w:ind w:left="105" w:right="0"/>
              <w:jc w:val="both"/>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52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2"/>
              <w:ind w:left="105" w:right="137"/>
              <w:jc w:val="both"/>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汇巨信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息技术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21" w:lineRule="auto"/>
              <w:ind w:left="105" w:right="199"/>
              <w:jc w:val="left"/>
              <w:rPr>
                <w:rFonts w:ascii="宋体" w:hAnsi="宋体" w:cs="宋体" w:eastAsia="宋体" w:hint="default"/>
                <w:sz w:val="18"/>
                <w:szCs w:val="18"/>
              </w:rPr>
            </w:pPr>
            <w:r>
              <w:rPr>
                <w:rFonts w:ascii="宋体" w:hAnsi="宋体" w:cs="宋体" w:eastAsia="宋体" w:hint="default"/>
                <w:sz w:val="18"/>
                <w:szCs w:val="18"/>
              </w:rPr>
              <w:t>联营</w:t>
            </w:r>
            <w:r>
              <w:rPr>
                <w:rFonts w:ascii="宋体" w:hAnsi="宋体" w:cs="宋体" w:eastAsia="宋体" w:hint="default"/>
                <w:spacing w:val="-86"/>
                <w:sz w:val="18"/>
                <w:szCs w:val="18"/>
              </w:rPr>
              <w:t> </w:t>
            </w:r>
            <w:r>
              <w:rPr>
                <w:rFonts w:ascii="宋体" w:hAnsi="宋体" w:cs="宋体" w:eastAsia="宋体" w:hint="default"/>
                <w:sz w:val="18"/>
                <w:szCs w:val="18"/>
              </w:rPr>
              <w:t>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9"/>
              <w:ind w:left="100" w:right="154"/>
              <w:jc w:val="both"/>
              <w:rPr>
                <w:rFonts w:ascii="宋体" w:hAnsi="宋体" w:cs="宋体" w:eastAsia="宋体" w:hint="default"/>
                <w:sz w:val="18"/>
                <w:szCs w:val="18"/>
              </w:rPr>
            </w:pPr>
            <w:r>
              <w:rPr>
                <w:rFonts w:ascii="宋体" w:hAnsi="宋体" w:cs="宋体" w:eastAsia="宋体" w:hint="default"/>
                <w:sz w:val="18"/>
                <w:szCs w:val="18"/>
              </w:rPr>
              <w:t>采购</w:t>
            </w:r>
            <w:r>
              <w:rPr>
                <w:rFonts w:ascii="宋体" w:hAnsi="宋体" w:cs="宋体" w:eastAsia="宋体" w:hint="default"/>
                <w:spacing w:val="-86"/>
                <w:sz w:val="18"/>
                <w:szCs w:val="18"/>
              </w:rPr>
              <w:t> </w:t>
            </w:r>
            <w:r>
              <w:rPr>
                <w:rFonts w:ascii="宋体" w:hAnsi="宋体" w:cs="宋体" w:eastAsia="宋体" w:hint="default"/>
                <w:sz w:val="18"/>
                <w:szCs w:val="18"/>
              </w:rPr>
              <w:t>商品</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接受</w:t>
            </w:r>
            <w:r>
              <w:rPr>
                <w:rFonts w:ascii="宋体" w:hAnsi="宋体" w:cs="宋体" w:eastAsia="宋体" w:hint="default"/>
                <w:spacing w:val="-86"/>
                <w:sz w:val="18"/>
                <w:szCs w:val="18"/>
              </w:rPr>
              <w:t> </w:t>
            </w:r>
            <w:r>
              <w:rPr>
                <w:rFonts w:ascii="宋体" w:hAnsi="宋体" w:cs="宋体" w:eastAsia="宋体" w:hint="default"/>
                <w:sz w:val="18"/>
                <w:szCs w:val="18"/>
              </w:rPr>
              <w:t>劳务</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21" w:lineRule="auto"/>
              <w:ind w:left="100" w:right="223"/>
              <w:jc w:val="left"/>
              <w:rPr>
                <w:rFonts w:ascii="宋体" w:hAnsi="宋体" w:cs="宋体" w:eastAsia="宋体" w:hint="default"/>
                <w:sz w:val="18"/>
                <w:szCs w:val="18"/>
              </w:rPr>
            </w:pPr>
            <w:r>
              <w:rPr>
                <w:rFonts w:ascii="宋体" w:hAnsi="宋体" w:cs="宋体" w:eastAsia="宋体" w:hint="default"/>
                <w:sz w:val="18"/>
                <w:szCs w:val="18"/>
              </w:rPr>
              <w:t>软件</w:t>
            </w:r>
            <w:r>
              <w:rPr>
                <w:rFonts w:ascii="宋体" w:hAnsi="宋体" w:cs="宋体" w:eastAsia="宋体" w:hint="default"/>
                <w:spacing w:val="-86"/>
                <w:sz w:val="18"/>
                <w:szCs w:val="18"/>
              </w:rPr>
              <w:t> </w:t>
            </w:r>
            <w:r>
              <w:rPr>
                <w:rFonts w:ascii="宋体" w:hAnsi="宋体" w:cs="宋体" w:eastAsia="宋体" w:hint="default"/>
                <w:sz w:val="18"/>
                <w:szCs w:val="18"/>
              </w:rPr>
              <w:t>开发</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21" w:lineRule="auto"/>
              <w:ind w:left="105" w:right="200"/>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pacing w:val="-86"/>
                <w:sz w:val="18"/>
                <w:szCs w:val="18"/>
              </w:rPr>
              <w:t> </w:t>
            </w:r>
            <w:r>
              <w:rPr>
                <w:rFonts w:ascii="宋体" w:hAnsi="宋体" w:cs="宋体" w:eastAsia="宋体" w:hint="default"/>
                <w:sz w:val="18"/>
                <w:szCs w:val="18"/>
              </w:rPr>
              <w:t>定价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119.7</w:t>
            </w:r>
          </w:p>
          <w:p>
            <w:pPr>
              <w:pStyle w:val="TableParagraph"/>
              <w:spacing w:line="240" w:lineRule="auto" w:before="110"/>
              <w:ind w:left="100"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119.7</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38" w:right="0"/>
              <w:jc w:val="center"/>
              <w:rPr>
                <w:rFonts w:ascii="Times New Roman" w:hAnsi="Times New Roman" w:cs="Times New Roman" w:eastAsia="Times New Roman" w:hint="default"/>
                <w:sz w:val="18"/>
                <w:szCs w:val="18"/>
              </w:rPr>
            </w:pPr>
            <w:r>
              <w:rPr>
                <w:rFonts w:ascii="Times New Roman"/>
                <w:sz w:val="18"/>
              </w:rPr>
              <w:t>8.45</w:t>
            </w:r>
          </w:p>
          <w:p>
            <w:pPr>
              <w:pStyle w:val="TableParagraph"/>
              <w:spacing w:line="240" w:lineRule="auto" w:before="110"/>
              <w:ind w:left="305"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21" w:lineRule="auto"/>
              <w:ind w:left="105" w:right="194"/>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pacing w:val="-86"/>
                <w:sz w:val="18"/>
                <w:szCs w:val="18"/>
              </w:rPr>
              <w:t> </w:t>
            </w:r>
            <w:r>
              <w:rPr>
                <w:rFonts w:ascii="宋体" w:hAnsi="宋体" w:cs="宋体" w:eastAsia="宋体" w:hint="default"/>
                <w:sz w:val="18"/>
                <w:szCs w:val="18"/>
              </w:rPr>
              <w:t>定价</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01"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7"/>
              <w:ind w:left="101"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both"/>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114"/>
              <w:ind w:left="105" w:right="0"/>
              <w:jc w:val="both"/>
              <w:rPr>
                <w:rFonts w:ascii="Times New Roman" w:hAnsi="Times New Roman" w:cs="Times New Roman" w:eastAsia="Times New Roman" w:hint="default"/>
                <w:sz w:val="18"/>
                <w:szCs w:val="18"/>
              </w:rPr>
            </w:pPr>
            <w:r>
              <w:rPr>
                <w:rFonts w:ascii="Times New Roman"/>
                <w:sz w:val="18"/>
              </w:rPr>
              <w:t>2019</w:t>
            </w:r>
          </w:p>
          <w:p>
            <w:pPr>
              <w:pStyle w:val="TableParagraph"/>
              <w:spacing w:line="316" w:lineRule="auto" w:before="63"/>
              <w:ind w:left="105" w:right="167"/>
              <w:jc w:val="both"/>
              <w:rPr>
                <w:rFonts w:ascii="宋体" w:hAnsi="宋体" w:cs="宋体" w:eastAsia="宋体" w:hint="default"/>
                <w:sz w:val="18"/>
                <w:szCs w:val="18"/>
              </w:rPr>
            </w:pPr>
            <w:r>
              <w:rPr>
                <w:rFonts w:ascii="宋体" w:hAnsi="宋体" w:cs="宋体" w:eastAsia="宋体" w:hint="default"/>
                <w:sz w:val="18"/>
                <w:szCs w:val="18"/>
              </w:rPr>
              <w:t>年度</w:t>
            </w:r>
            <w:r>
              <w:rPr>
                <w:rFonts w:ascii="宋体" w:hAnsi="宋体" w:cs="宋体" w:eastAsia="宋体" w:hint="default"/>
                <w:spacing w:val="-86"/>
                <w:sz w:val="18"/>
                <w:szCs w:val="18"/>
              </w:rPr>
              <w:t> </w:t>
            </w:r>
            <w:r>
              <w:rPr>
                <w:rFonts w:ascii="宋体" w:hAnsi="宋体" w:cs="宋体" w:eastAsia="宋体" w:hint="default"/>
                <w:sz w:val="18"/>
                <w:szCs w:val="18"/>
              </w:rPr>
              <w:t>日常</w:t>
            </w:r>
            <w:r>
              <w:rPr>
                <w:rFonts w:ascii="宋体" w:hAnsi="宋体" w:cs="宋体" w:eastAsia="宋体" w:hint="default"/>
                <w:spacing w:val="-86"/>
                <w:sz w:val="18"/>
                <w:szCs w:val="18"/>
              </w:rPr>
              <w:t> </w:t>
            </w:r>
            <w:r>
              <w:rPr>
                <w:rFonts w:ascii="宋体" w:hAnsi="宋体" w:cs="宋体" w:eastAsia="宋体" w:hint="default"/>
                <w:sz w:val="18"/>
                <w:szCs w:val="18"/>
              </w:rPr>
              <w:t>关联</w:t>
            </w:r>
            <w:r>
              <w:rPr>
                <w:rFonts w:ascii="宋体" w:hAnsi="宋体" w:cs="宋体" w:eastAsia="宋体" w:hint="default"/>
                <w:spacing w:val="-86"/>
                <w:sz w:val="18"/>
                <w:szCs w:val="18"/>
              </w:rPr>
              <w:t> </w:t>
            </w:r>
            <w:r>
              <w:rPr>
                <w:rFonts w:ascii="宋体" w:hAnsi="宋体" w:cs="宋体" w:eastAsia="宋体" w:hint="default"/>
                <w:sz w:val="18"/>
                <w:szCs w:val="18"/>
              </w:rPr>
              <w:t>交易</w:t>
            </w:r>
            <w:r>
              <w:rPr>
                <w:rFonts w:ascii="宋体" w:hAnsi="宋体" w:cs="宋体" w:eastAsia="宋体" w:hint="default"/>
                <w:spacing w:val="-86"/>
                <w:sz w:val="18"/>
                <w:szCs w:val="18"/>
              </w:rPr>
              <w:t> </w:t>
            </w:r>
            <w:r>
              <w:rPr>
                <w:rFonts w:ascii="宋体" w:hAnsi="宋体" w:cs="宋体" w:eastAsia="宋体" w:hint="default"/>
                <w:sz w:val="18"/>
                <w:szCs w:val="18"/>
              </w:rPr>
              <w:t>的公</w:t>
            </w:r>
            <w:r>
              <w:rPr>
                <w:rFonts w:ascii="宋体" w:hAnsi="宋体" w:cs="宋体" w:eastAsia="宋体" w:hint="default"/>
                <w:spacing w:val="-86"/>
                <w:sz w:val="18"/>
                <w:szCs w:val="18"/>
              </w:rPr>
              <w:t> </w:t>
            </w:r>
            <w:r>
              <w:rPr>
                <w:rFonts w:ascii="宋体" w:hAnsi="宋体" w:cs="宋体" w:eastAsia="宋体" w:hint="default"/>
                <w:sz w:val="18"/>
                <w:szCs w:val="18"/>
              </w:rPr>
              <w:t>告</w:t>
            </w:r>
          </w:p>
          <w:p>
            <w:pPr>
              <w:pStyle w:val="TableParagraph"/>
              <w:spacing w:line="340" w:lineRule="auto" w:before="19"/>
              <w:ind w:left="105" w:right="108"/>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z w:val="18"/>
                <w:szCs w:val="18"/>
              </w:rPr>
              <w:t>19-20</w:t>
            </w:r>
          </w:p>
          <w:p>
            <w:pPr>
              <w:pStyle w:val="TableParagraph"/>
              <w:spacing w:line="219" w:lineRule="exact"/>
              <w:ind w:left="105" w:right="0"/>
              <w:jc w:val="both"/>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51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105" w:right="137"/>
              <w:jc w:val="both"/>
              <w:rPr>
                <w:rFonts w:ascii="宋体" w:hAnsi="宋体" w:cs="宋体" w:eastAsia="宋体" w:hint="default"/>
                <w:sz w:val="18"/>
                <w:szCs w:val="18"/>
              </w:rPr>
            </w:pPr>
            <w:r>
              <w:rPr>
                <w:rFonts w:ascii="宋体" w:hAnsi="宋体" w:cs="宋体" w:eastAsia="宋体" w:hint="default"/>
                <w:sz w:val="18"/>
                <w:szCs w:val="18"/>
              </w:rPr>
              <w:t>广州天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源信息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科技股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21" w:lineRule="auto"/>
              <w:ind w:left="105" w:right="199"/>
              <w:jc w:val="left"/>
              <w:rPr>
                <w:rFonts w:ascii="宋体" w:hAnsi="宋体" w:cs="宋体" w:eastAsia="宋体" w:hint="default"/>
                <w:sz w:val="18"/>
                <w:szCs w:val="18"/>
              </w:rPr>
            </w:pPr>
            <w:r>
              <w:rPr>
                <w:rFonts w:ascii="宋体" w:hAnsi="宋体" w:cs="宋体" w:eastAsia="宋体" w:hint="default"/>
                <w:sz w:val="18"/>
                <w:szCs w:val="18"/>
              </w:rPr>
              <w:t>联营</w:t>
            </w:r>
            <w:r>
              <w:rPr>
                <w:rFonts w:ascii="宋体" w:hAnsi="宋体" w:cs="宋体" w:eastAsia="宋体" w:hint="default"/>
                <w:spacing w:val="-86"/>
                <w:sz w:val="18"/>
                <w:szCs w:val="18"/>
              </w:rPr>
              <w:t> </w:t>
            </w:r>
            <w:r>
              <w:rPr>
                <w:rFonts w:ascii="宋体" w:hAnsi="宋体" w:cs="宋体" w:eastAsia="宋体" w:hint="default"/>
                <w:sz w:val="18"/>
                <w:szCs w:val="18"/>
              </w:rPr>
              <w:t>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9"/>
              <w:ind w:left="100" w:right="154"/>
              <w:jc w:val="both"/>
              <w:rPr>
                <w:rFonts w:ascii="宋体" w:hAnsi="宋体" w:cs="宋体" w:eastAsia="宋体" w:hint="default"/>
                <w:sz w:val="18"/>
                <w:szCs w:val="18"/>
              </w:rPr>
            </w:pPr>
            <w:r>
              <w:rPr>
                <w:rFonts w:ascii="宋体" w:hAnsi="宋体" w:cs="宋体" w:eastAsia="宋体" w:hint="default"/>
                <w:sz w:val="18"/>
                <w:szCs w:val="18"/>
              </w:rPr>
              <w:t>采购</w:t>
            </w:r>
            <w:r>
              <w:rPr>
                <w:rFonts w:ascii="宋体" w:hAnsi="宋体" w:cs="宋体" w:eastAsia="宋体" w:hint="default"/>
                <w:spacing w:val="-86"/>
                <w:sz w:val="18"/>
                <w:szCs w:val="18"/>
              </w:rPr>
              <w:t> </w:t>
            </w:r>
            <w:r>
              <w:rPr>
                <w:rFonts w:ascii="宋体" w:hAnsi="宋体" w:cs="宋体" w:eastAsia="宋体" w:hint="default"/>
                <w:sz w:val="18"/>
                <w:szCs w:val="18"/>
              </w:rPr>
              <w:t>商品</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接受</w:t>
            </w:r>
            <w:r>
              <w:rPr>
                <w:rFonts w:ascii="宋体" w:hAnsi="宋体" w:cs="宋体" w:eastAsia="宋体" w:hint="default"/>
                <w:spacing w:val="-86"/>
                <w:sz w:val="18"/>
                <w:szCs w:val="18"/>
              </w:rPr>
              <w:t> </w:t>
            </w:r>
            <w:r>
              <w:rPr>
                <w:rFonts w:ascii="宋体" w:hAnsi="宋体" w:cs="宋体" w:eastAsia="宋体" w:hint="default"/>
                <w:sz w:val="18"/>
                <w:szCs w:val="18"/>
              </w:rPr>
              <w:t>劳务</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21" w:lineRule="auto"/>
              <w:ind w:left="100" w:right="223"/>
              <w:jc w:val="left"/>
              <w:rPr>
                <w:rFonts w:ascii="宋体" w:hAnsi="宋体" w:cs="宋体" w:eastAsia="宋体" w:hint="default"/>
                <w:sz w:val="18"/>
                <w:szCs w:val="18"/>
              </w:rPr>
            </w:pPr>
            <w:r>
              <w:rPr>
                <w:rFonts w:ascii="宋体" w:hAnsi="宋体" w:cs="宋体" w:eastAsia="宋体" w:hint="default"/>
                <w:sz w:val="18"/>
                <w:szCs w:val="18"/>
              </w:rPr>
              <w:t>软件</w:t>
            </w:r>
            <w:r>
              <w:rPr>
                <w:rFonts w:ascii="宋体" w:hAnsi="宋体" w:cs="宋体" w:eastAsia="宋体" w:hint="default"/>
                <w:spacing w:val="-86"/>
                <w:sz w:val="18"/>
                <w:szCs w:val="18"/>
              </w:rPr>
              <w:t> </w:t>
            </w:r>
            <w:r>
              <w:rPr>
                <w:rFonts w:ascii="宋体" w:hAnsi="宋体" w:cs="宋体" w:eastAsia="宋体" w:hint="default"/>
                <w:sz w:val="18"/>
                <w:szCs w:val="18"/>
              </w:rPr>
              <w:t>开发</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21" w:lineRule="auto"/>
              <w:ind w:left="105" w:right="200"/>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pacing w:val="-86"/>
                <w:sz w:val="18"/>
                <w:szCs w:val="18"/>
              </w:rPr>
              <w:t> </w:t>
            </w:r>
            <w:r>
              <w:rPr>
                <w:rFonts w:ascii="宋体" w:hAnsi="宋体" w:cs="宋体" w:eastAsia="宋体" w:hint="default"/>
                <w:sz w:val="18"/>
                <w:szCs w:val="18"/>
              </w:rPr>
              <w:t>定价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37"/>
              <w:jc w:val="center"/>
              <w:rPr>
                <w:rFonts w:ascii="Times New Roman" w:hAnsi="Times New Roman" w:cs="Times New Roman" w:eastAsia="Times New Roman" w:hint="default"/>
                <w:sz w:val="18"/>
                <w:szCs w:val="18"/>
              </w:rPr>
            </w:pPr>
            <w:r>
              <w:rPr>
                <w:rFonts w:ascii="Times New Roman"/>
                <w:sz w:val="18"/>
              </w:rPr>
              <w:t>8.52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8.52</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38" w:right="0"/>
              <w:jc w:val="center"/>
              <w:rPr>
                <w:rFonts w:ascii="Times New Roman" w:hAnsi="Times New Roman" w:cs="Times New Roman" w:eastAsia="Times New Roman" w:hint="default"/>
                <w:sz w:val="18"/>
                <w:szCs w:val="18"/>
              </w:rPr>
            </w:pPr>
            <w:r>
              <w:rPr>
                <w:rFonts w:ascii="Times New Roman"/>
                <w:sz w:val="18"/>
              </w:rPr>
              <w:t>0.60</w:t>
            </w:r>
          </w:p>
          <w:p>
            <w:pPr>
              <w:pStyle w:val="TableParagraph"/>
              <w:spacing w:line="240" w:lineRule="auto" w:before="110"/>
              <w:ind w:left="305"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21" w:lineRule="auto"/>
              <w:ind w:left="105" w:right="194"/>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pacing w:val="-86"/>
                <w:sz w:val="18"/>
                <w:szCs w:val="18"/>
              </w:rPr>
              <w:t> </w:t>
            </w:r>
            <w:r>
              <w:rPr>
                <w:rFonts w:ascii="宋体" w:hAnsi="宋体" w:cs="宋体" w:eastAsia="宋体" w:hint="default"/>
                <w:sz w:val="18"/>
                <w:szCs w:val="18"/>
              </w:rPr>
              <w:t>定价</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01"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7"/>
              <w:ind w:left="101"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both"/>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114"/>
              <w:ind w:left="105" w:right="0"/>
              <w:jc w:val="both"/>
              <w:rPr>
                <w:rFonts w:ascii="Times New Roman" w:hAnsi="Times New Roman" w:cs="Times New Roman" w:eastAsia="Times New Roman" w:hint="default"/>
                <w:sz w:val="18"/>
                <w:szCs w:val="18"/>
              </w:rPr>
            </w:pPr>
            <w:r>
              <w:rPr>
                <w:rFonts w:ascii="Times New Roman"/>
                <w:sz w:val="18"/>
              </w:rPr>
              <w:t>2019</w:t>
            </w:r>
          </w:p>
          <w:p>
            <w:pPr>
              <w:pStyle w:val="TableParagraph"/>
              <w:spacing w:line="316" w:lineRule="auto" w:before="63"/>
              <w:ind w:left="105" w:right="167"/>
              <w:jc w:val="both"/>
              <w:rPr>
                <w:rFonts w:ascii="宋体" w:hAnsi="宋体" w:cs="宋体" w:eastAsia="宋体" w:hint="default"/>
                <w:sz w:val="18"/>
                <w:szCs w:val="18"/>
              </w:rPr>
            </w:pPr>
            <w:r>
              <w:rPr>
                <w:rFonts w:ascii="宋体" w:hAnsi="宋体" w:cs="宋体" w:eastAsia="宋体" w:hint="default"/>
                <w:sz w:val="18"/>
                <w:szCs w:val="18"/>
              </w:rPr>
              <w:t>年度</w:t>
            </w:r>
            <w:r>
              <w:rPr>
                <w:rFonts w:ascii="宋体" w:hAnsi="宋体" w:cs="宋体" w:eastAsia="宋体" w:hint="default"/>
                <w:spacing w:val="-86"/>
                <w:sz w:val="18"/>
                <w:szCs w:val="18"/>
              </w:rPr>
              <w:t> </w:t>
            </w:r>
            <w:r>
              <w:rPr>
                <w:rFonts w:ascii="宋体" w:hAnsi="宋体" w:cs="宋体" w:eastAsia="宋体" w:hint="default"/>
                <w:sz w:val="18"/>
                <w:szCs w:val="18"/>
              </w:rPr>
              <w:t>日常</w:t>
            </w:r>
            <w:r>
              <w:rPr>
                <w:rFonts w:ascii="宋体" w:hAnsi="宋体" w:cs="宋体" w:eastAsia="宋体" w:hint="default"/>
                <w:spacing w:val="-86"/>
                <w:sz w:val="18"/>
                <w:szCs w:val="18"/>
              </w:rPr>
              <w:t> </w:t>
            </w:r>
            <w:r>
              <w:rPr>
                <w:rFonts w:ascii="宋体" w:hAnsi="宋体" w:cs="宋体" w:eastAsia="宋体" w:hint="default"/>
                <w:sz w:val="18"/>
                <w:szCs w:val="18"/>
              </w:rPr>
              <w:t>关联</w:t>
            </w:r>
            <w:r>
              <w:rPr>
                <w:rFonts w:ascii="宋体" w:hAnsi="宋体" w:cs="宋体" w:eastAsia="宋体" w:hint="default"/>
                <w:spacing w:val="-86"/>
                <w:sz w:val="18"/>
                <w:szCs w:val="18"/>
              </w:rPr>
              <w:t> </w:t>
            </w:r>
            <w:r>
              <w:rPr>
                <w:rFonts w:ascii="宋体" w:hAnsi="宋体" w:cs="宋体" w:eastAsia="宋体" w:hint="default"/>
                <w:sz w:val="18"/>
                <w:szCs w:val="18"/>
              </w:rPr>
              <w:t>交易</w:t>
            </w:r>
            <w:r>
              <w:rPr>
                <w:rFonts w:ascii="宋体" w:hAnsi="宋体" w:cs="宋体" w:eastAsia="宋体" w:hint="default"/>
                <w:spacing w:val="-86"/>
                <w:sz w:val="18"/>
                <w:szCs w:val="18"/>
              </w:rPr>
              <w:t> </w:t>
            </w:r>
            <w:r>
              <w:rPr>
                <w:rFonts w:ascii="宋体" w:hAnsi="宋体" w:cs="宋体" w:eastAsia="宋体" w:hint="default"/>
                <w:sz w:val="18"/>
                <w:szCs w:val="18"/>
              </w:rPr>
              <w:t>的公</w:t>
            </w:r>
            <w:r>
              <w:rPr>
                <w:rFonts w:ascii="宋体" w:hAnsi="宋体" w:cs="宋体" w:eastAsia="宋体" w:hint="default"/>
                <w:spacing w:val="-86"/>
                <w:sz w:val="18"/>
                <w:szCs w:val="18"/>
              </w:rPr>
              <w:t> </w:t>
            </w:r>
            <w:r>
              <w:rPr>
                <w:rFonts w:ascii="宋体" w:hAnsi="宋体" w:cs="宋体" w:eastAsia="宋体" w:hint="default"/>
                <w:sz w:val="18"/>
                <w:szCs w:val="18"/>
              </w:rPr>
              <w:t>告</w:t>
            </w:r>
          </w:p>
          <w:p>
            <w:pPr>
              <w:pStyle w:val="TableParagraph"/>
              <w:spacing w:line="340" w:lineRule="auto" w:before="19"/>
              <w:ind w:left="105" w:right="108"/>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z w:val="18"/>
                <w:szCs w:val="18"/>
              </w:rPr>
              <w:t>19-20</w:t>
            </w:r>
          </w:p>
          <w:p>
            <w:pPr>
              <w:pStyle w:val="TableParagraph"/>
              <w:spacing w:line="219" w:lineRule="exact"/>
              <w:ind w:left="105" w:right="0"/>
              <w:jc w:val="both"/>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北京信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联营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市场</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50"/>
              <w:jc w:val="center"/>
              <w:rPr>
                <w:rFonts w:ascii="Times New Roman" w:hAnsi="Times New Roman" w:cs="Times New Roman" w:eastAsia="Times New Roman" w:hint="default"/>
                <w:sz w:val="18"/>
                <w:szCs w:val="18"/>
              </w:rPr>
            </w:pPr>
            <w:r>
              <w:rPr>
                <w:rFonts w:ascii="Times New Roman"/>
                <w:sz w:val="18"/>
              </w:rPr>
              <w:t>123.8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18"/>
                <w:szCs w:val="18"/>
              </w:rPr>
            </w:pPr>
            <w:r>
              <w:rPr>
                <w:rFonts w:ascii="Times New Roman"/>
                <w:spacing w:val="-1"/>
                <w:sz w:val="18"/>
              </w:rPr>
              <w:t>123.8</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39" w:right="0"/>
              <w:jc w:val="left"/>
              <w:rPr>
                <w:rFonts w:ascii="Times New Roman" w:hAnsi="Times New Roman" w:cs="Times New Roman" w:eastAsia="Times New Roman" w:hint="default"/>
                <w:sz w:val="18"/>
                <w:szCs w:val="18"/>
              </w:rPr>
            </w:pPr>
            <w:r>
              <w:rPr>
                <w:rFonts w:ascii="Times New Roman"/>
                <w:sz w:val="18"/>
              </w:rPr>
              <w:t>8.74</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500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市场</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1" w:right="0"/>
              <w:jc w:val="left"/>
              <w:rPr>
                <w:rFonts w:ascii="Times New Roman" w:hAnsi="Times New Roman" w:cs="Times New Roman" w:eastAsia="Times New Roman" w:hint="default"/>
                <w:sz w:val="18"/>
                <w:szCs w:val="18"/>
              </w:rPr>
            </w:pPr>
            <w:r>
              <w:rPr>
                <w:rFonts w:ascii="Times New Roman"/>
                <w:sz w:val="18"/>
              </w:rPr>
              <w:t>2019</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关于</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797"/>
        <w:gridCol w:w="682"/>
        <w:gridCol w:w="677"/>
        <w:gridCol w:w="701"/>
        <w:gridCol w:w="682"/>
        <w:gridCol w:w="672"/>
        <w:gridCol w:w="677"/>
        <w:gridCol w:w="672"/>
        <w:gridCol w:w="672"/>
        <w:gridCol w:w="677"/>
        <w:gridCol w:w="673"/>
        <w:gridCol w:w="677"/>
        <w:gridCol w:w="668"/>
        <w:gridCol w:w="648"/>
      </w:tblGrid>
      <w:tr>
        <w:trPr>
          <w:trHeight w:val="316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5" w:right="137"/>
              <w:jc w:val="both"/>
              <w:rPr>
                <w:rFonts w:ascii="宋体" w:hAnsi="宋体" w:cs="宋体" w:eastAsia="宋体" w:hint="default"/>
                <w:sz w:val="18"/>
                <w:szCs w:val="18"/>
              </w:rPr>
            </w:pPr>
            <w:r>
              <w:rPr>
                <w:rFonts w:ascii="宋体" w:hAnsi="宋体" w:cs="宋体" w:eastAsia="宋体" w:hint="default"/>
                <w:sz w:val="18"/>
                <w:szCs w:val="18"/>
              </w:rPr>
              <w:t>邦安达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信息科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100" w:right="154"/>
              <w:jc w:val="both"/>
              <w:rPr>
                <w:rFonts w:ascii="宋体" w:hAnsi="宋体" w:cs="宋体" w:eastAsia="宋体" w:hint="default"/>
                <w:sz w:val="18"/>
                <w:szCs w:val="18"/>
              </w:rPr>
            </w:pPr>
            <w:r>
              <w:rPr>
                <w:rFonts w:ascii="宋体" w:hAnsi="宋体" w:cs="宋体" w:eastAsia="宋体" w:hint="default"/>
                <w:sz w:val="18"/>
                <w:szCs w:val="18"/>
              </w:rPr>
              <w:t>商品</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接受</w:t>
            </w:r>
            <w:r>
              <w:rPr>
                <w:rFonts w:ascii="宋体" w:hAnsi="宋体" w:cs="宋体" w:eastAsia="宋体" w:hint="default"/>
                <w:spacing w:val="-86"/>
                <w:sz w:val="18"/>
                <w:szCs w:val="18"/>
              </w:rPr>
              <w:t> </w:t>
            </w:r>
            <w:r>
              <w:rPr>
                <w:rFonts w:ascii="宋体" w:hAnsi="宋体" w:cs="宋体" w:eastAsia="宋体" w:hint="default"/>
                <w:sz w:val="18"/>
                <w:szCs w:val="18"/>
              </w:rPr>
              <w:t>劳务</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开发</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4"/>
              <w:jc w:val="center"/>
              <w:rPr>
                <w:rFonts w:ascii="宋体" w:hAnsi="宋体" w:cs="宋体" w:eastAsia="宋体" w:hint="default"/>
                <w:sz w:val="18"/>
                <w:szCs w:val="18"/>
              </w:rPr>
            </w:pPr>
            <w:r>
              <w:rPr>
                <w:rFonts w:ascii="宋体" w:hAnsi="宋体" w:cs="宋体" w:eastAsia="宋体" w:hint="default"/>
                <w:sz w:val="18"/>
                <w:szCs w:val="18"/>
              </w:rPr>
              <w:t>定价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0"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07"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89"/>
              <w:jc w:val="center"/>
              <w:rPr>
                <w:rFonts w:ascii="宋体" w:hAnsi="宋体" w:cs="宋体" w:eastAsia="宋体" w:hint="default"/>
                <w:sz w:val="18"/>
                <w:szCs w:val="18"/>
              </w:rPr>
            </w:pPr>
            <w:r>
              <w:rPr>
                <w:rFonts w:ascii="宋体" w:hAnsi="宋体" w:cs="宋体" w:eastAsia="宋体" w:hint="default"/>
                <w:sz w:val="18"/>
                <w:szCs w:val="18"/>
              </w:rPr>
              <w:t>定价</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7"/>
              <w:ind w:left="101"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both"/>
              <w:rPr>
                <w:rFonts w:ascii="Times New Roman" w:hAnsi="Times New Roman" w:cs="Times New Roman" w:eastAsia="Times New Roman" w:hint="default"/>
                <w:sz w:val="18"/>
                <w:szCs w:val="18"/>
              </w:rPr>
            </w:pPr>
            <w:r>
              <w:rPr>
                <w:rFonts w:ascii="Times New Roman"/>
                <w:sz w:val="18"/>
              </w:rPr>
              <w:t>2019</w:t>
            </w:r>
          </w:p>
          <w:p>
            <w:pPr>
              <w:pStyle w:val="TableParagraph"/>
              <w:spacing w:line="319" w:lineRule="auto" w:before="63"/>
              <w:ind w:left="105" w:right="167"/>
              <w:jc w:val="both"/>
              <w:rPr>
                <w:rFonts w:ascii="宋体" w:hAnsi="宋体" w:cs="宋体" w:eastAsia="宋体" w:hint="default"/>
                <w:sz w:val="18"/>
                <w:szCs w:val="18"/>
              </w:rPr>
            </w:pPr>
            <w:r>
              <w:rPr>
                <w:rFonts w:ascii="宋体" w:hAnsi="宋体" w:cs="宋体" w:eastAsia="宋体" w:hint="default"/>
                <w:sz w:val="18"/>
                <w:szCs w:val="18"/>
              </w:rPr>
              <w:t>年度</w:t>
            </w:r>
            <w:r>
              <w:rPr>
                <w:rFonts w:ascii="宋体" w:hAnsi="宋体" w:cs="宋体" w:eastAsia="宋体" w:hint="default"/>
                <w:spacing w:val="-86"/>
                <w:sz w:val="18"/>
                <w:szCs w:val="18"/>
              </w:rPr>
              <w:t> </w:t>
            </w:r>
            <w:r>
              <w:rPr>
                <w:rFonts w:ascii="宋体" w:hAnsi="宋体" w:cs="宋体" w:eastAsia="宋体" w:hint="default"/>
                <w:sz w:val="18"/>
                <w:szCs w:val="18"/>
              </w:rPr>
              <w:t>日常</w:t>
            </w:r>
            <w:r>
              <w:rPr>
                <w:rFonts w:ascii="宋体" w:hAnsi="宋体" w:cs="宋体" w:eastAsia="宋体" w:hint="default"/>
                <w:spacing w:val="-86"/>
                <w:sz w:val="18"/>
                <w:szCs w:val="18"/>
              </w:rPr>
              <w:t> </w:t>
            </w:r>
            <w:r>
              <w:rPr>
                <w:rFonts w:ascii="宋体" w:hAnsi="宋体" w:cs="宋体" w:eastAsia="宋体" w:hint="default"/>
                <w:sz w:val="18"/>
                <w:szCs w:val="18"/>
              </w:rPr>
              <w:t>关联</w:t>
            </w:r>
            <w:r>
              <w:rPr>
                <w:rFonts w:ascii="宋体" w:hAnsi="宋体" w:cs="宋体" w:eastAsia="宋体" w:hint="default"/>
                <w:spacing w:val="-86"/>
                <w:sz w:val="18"/>
                <w:szCs w:val="18"/>
              </w:rPr>
              <w:t> </w:t>
            </w:r>
            <w:r>
              <w:rPr>
                <w:rFonts w:ascii="宋体" w:hAnsi="宋体" w:cs="宋体" w:eastAsia="宋体" w:hint="default"/>
                <w:sz w:val="18"/>
                <w:szCs w:val="18"/>
              </w:rPr>
              <w:t>交易</w:t>
            </w:r>
            <w:r>
              <w:rPr>
                <w:rFonts w:ascii="宋体" w:hAnsi="宋体" w:cs="宋体" w:eastAsia="宋体" w:hint="default"/>
                <w:spacing w:val="-86"/>
                <w:sz w:val="18"/>
                <w:szCs w:val="18"/>
              </w:rPr>
              <w:t> </w:t>
            </w:r>
            <w:r>
              <w:rPr>
                <w:rFonts w:ascii="宋体" w:hAnsi="宋体" w:cs="宋体" w:eastAsia="宋体" w:hint="default"/>
                <w:sz w:val="18"/>
                <w:szCs w:val="18"/>
              </w:rPr>
              <w:t>的公</w:t>
            </w:r>
            <w:r>
              <w:rPr>
                <w:rFonts w:ascii="宋体" w:hAnsi="宋体" w:cs="宋体" w:eastAsia="宋体" w:hint="default"/>
                <w:spacing w:val="-86"/>
                <w:sz w:val="18"/>
                <w:szCs w:val="18"/>
              </w:rPr>
              <w:t> </w:t>
            </w:r>
            <w:r>
              <w:rPr>
                <w:rFonts w:ascii="宋体" w:hAnsi="宋体" w:cs="宋体" w:eastAsia="宋体" w:hint="default"/>
                <w:sz w:val="18"/>
                <w:szCs w:val="18"/>
              </w:rPr>
              <w:t>告</w:t>
            </w:r>
          </w:p>
          <w:p>
            <w:pPr>
              <w:pStyle w:val="TableParagraph"/>
              <w:spacing w:line="340" w:lineRule="auto" w:before="17"/>
              <w:ind w:left="105" w:right="108"/>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z w:val="18"/>
                <w:szCs w:val="18"/>
              </w:rPr>
              <w:t>19-20</w:t>
            </w:r>
          </w:p>
          <w:p>
            <w:pPr>
              <w:pStyle w:val="TableParagraph"/>
              <w:spacing w:line="220" w:lineRule="exact"/>
              <w:ind w:left="105" w:right="0"/>
              <w:jc w:val="both"/>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52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105" w:right="137"/>
              <w:jc w:val="both"/>
              <w:rPr>
                <w:rFonts w:ascii="宋体" w:hAnsi="宋体" w:cs="宋体" w:eastAsia="宋体" w:hint="default"/>
                <w:sz w:val="18"/>
                <w:szCs w:val="18"/>
              </w:rPr>
            </w:pPr>
            <w:r>
              <w:rPr>
                <w:rFonts w:ascii="宋体" w:hAnsi="宋体" w:cs="宋体" w:eastAsia="宋体" w:hint="default"/>
                <w:sz w:val="18"/>
                <w:szCs w:val="18"/>
              </w:rPr>
              <w:t>北京江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融信科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316" w:lineRule="auto"/>
              <w:ind w:left="105" w:right="199"/>
              <w:jc w:val="left"/>
              <w:rPr>
                <w:rFonts w:ascii="宋体" w:hAnsi="宋体" w:cs="宋体" w:eastAsia="宋体" w:hint="default"/>
                <w:sz w:val="18"/>
                <w:szCs w:val="18"/>
              </w:rPr>
            </w:pPr>
            <w:r>
              <w:rPr>
                <w:rFonts w:ascii="宋体" w:hAnsi="宋体" w:cs="宋体" w:eastAsia="宋体" w:hint="default"/>
                <w:sz w:val="18"/>
                <w:szCs w:val="18"/>
              </w:rPr>
              <w:t>投资</w:t>
            </w:r>
            <w:r>
              <w:rPr>
                <w:rFonts w:ascii="宋体" w:hAnsi="宋体" w:cs="宋体" w:eastAsia="宋体" w:hint="default"/>
                <w:spacing w:val="-86"/>
                <w:sz w:val="18"/>
                <w:szCs w:val="18"/>
              </w:rPr>
              <w:t> </w:t>
            </w:r>
            <w:r>
              <w:rPr>
                <w:rFonts w:ascii="宋体" w:hAnsi="宋体" w:cs="宋体" w:eastAsia="宋体" w:hint="default"/>
                <w:sz w:val="18"/>
                <w:szCs w:val="18"/>
              </w:rPr>
              <w:t>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14"/>
              <w:ind w:left="100" w:right="154"/>
              <w:jc w:val="both"/>
              <w:rPr>
                <w:rFonts w:ascii="宋体" w:hAnsi="宋体" w:cs="宋体" w:eastAsia="宋体" w:hint="default"/>
                <w:sz w:val="18"/>
                <w:szCs w:val="18"/>
              </w:rPr>
            </w:pPr>
            <w:r>
              <w:rPr>
                <w:rFonts w:ascii="宋体" w:hAnsi="宋体" w:cs="宋体" w:eastAsia="宋体" w:hint="default"/>
                <w:sz w:val="18"/>
                <w:szCs w:val="18"/>
              </w:rPr>
              <w:t>采购</w:t>
            </w:r>
            <w:r>
              <w:rPr>
                <w:rFonts w:ascii="宋体" w:hAnsi="宋体" w:cs="宋体" w:eastAsia="宋体" w:hint="default"/>
                <w:spacing w:val="-86"/>
                <w:sz w:val="18"/>
                <w:szCs w:val="18"/>
              </w:rPr>
              <w:t> </w:t>
            </w:r>
            <w:r>
              <w:rPr>
                <w:rFonts w:ascii="宋体" w:hAnsi="宋体" w:cs="宋体" w:eastAsia="宋体" w:hint="default"/>
                <w:sz w:val="18"/>
                <w:szCs w:val="18"/>
              </w:rPr>
              <w:t>商品</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接受</w:t>
            </w:r>
            <w:r>
              <w:rPr>
                <w:rFonts w:ascii="宋体" w:hAnsi="宋体" w:cs="宋体" w:eastAsia="宋体" w:hint="default"/>
                <w:spacing w:val="-86"/>
                <w:sz w:val="18"/>
                <w:szCs w:val="18"/>
              </w:rPr>
              <w:t> </w:t>
            </w:r>
            <w:r>
              <w:rPr>
                <w:rFonts w:ascii="宋体" w:hAnsi="宋体" w:cs="宋体" w:eastAsia="宋体" w:hint="default"/>
                <w:sz w:val="18"/>
                <w:szCs w:val="18"/>
              </w:rPr>
              <w:t>劳务</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316" w:lineRule="auto"/>
              <w:ind w:left="100" w:right="223"/>
              <w:jc w:val="left"/>
              <w:rPr>
                <w:rFonts w:ascii="宋体" w:hAnsi="宋体" w:cs="宋体" w:eastAsia="宋体" w:hint="default"/>
                <w:sz w:val="18"/>
                <w:szCs w:val="18"/>
              </w:rPr>
            </w:pPr>
            <w:r>
              <w:rPr>
                <w:rFonts w:ascii="宋体" w:hAnsi="宋体" w:cs="宋体" w:eastAsia="宋体" w:hint="default"/>
                <w:sz w:val="18"/>
                <w:szCs w:val="18"/>
              </w:rPr>
              <w:t>软件</w:t>
            </w:r>
            <w:r>
              <w:rPr>
                <w:rFonts w:ascii="宋体" w:hAnsi="宋体" w:cs="宋体" w:eastAsia="宋体" w:hint="default"/>
                <w:spacing w:val="-86"/>
                <w:sz w:val="18"/>
                <w:szCs w:val="18"/>
              </w:rPr>
              <w:t> </w:t>
            </w:r>
            <w:r>
              <w:rPr>
                <w:rFonts w:ascii="宋体" w:hAnsi="宋体" w:cs="宋体" w:eastAsia="宋体" w:hint="default"/>
                <w:sz w:val="18"/>
                <w:szCs w:val="18"/>
              </w:rPr>
              <w:t>开发</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316" w:lineRule="auto"/>
              <w:ind w:left="105" w:right="200"/>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pacing w:val="-86"/>
                <w:sz w:val="18"/>
                <w:szCs w:val="18"/>
              </w:rPr>
              <w:t> </w:t>
            </w:r>
            <w:r>
              <w:rPr>
                <w:rFonts w:ascii="宋体" w:hAnsi="宋体" w:cs="宋体" w:eastAsia="宋体" w:hint="default"/>
                <w:sz w:val="18"/>
                <w:szCs w:val="18"/>
              </w:rPr>
              <w:t>定价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13.34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13.34</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38" w:right="0"/>
              <w:jc w:val="center"/>
              <w:rPr>
                <w:rFonts w:ascii="Times New Roman" w:hAnsi="Times New Roman" w:cs="Times New Roman" w:eastAsia="Times New Roman" w:hint="default"/>
                <w:sz w:val="18"/>
                <w:szCs w:val="18"/>
              </w:rPr>
            </w:pPr>
            <w:r>
              <w:rPr>
                <w:rFonts w:ascii="Times New Roman"/>
                <w:sz w:val="18"/>
              </w:rPr>
              <w:t>0.94</w:t>
            </w:r>
          </w:p>
          <w:p>
            <w:pPr>
              <w:pStyle w:val="TableParagraph"/>
              <w:spacing w:line="240" w:lineRule="auto" w:before="105"/>
              <w:ind w:left="305"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94"/>
              <w:jc w:val="center"/>
              <w:rPr>
                <w:rFonts w:ascii="宋体" w:hAnsi="宋体" w:cs="宋体" w:eastAsia="宋体" w:hint="default"/>
                <w:sz w:val="18"/>
                <w:szCs w:val="18"/>
              </w:rPr>
            </w:pPr>
            <w:r>
              <w:rPr>
                <w:rFonts w:ascii="宋体" w:hAnsi="宋体" w:cs="宋体" w:eastAsia="宋体" w:hint="default"/>
                <w:sz w:val="18"/>
                <w:szCs w:val="18"/>
              </w:rPr>
              <w:t>现金</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316" w:lineRule="auto"/>
              <w:ind w:left="105" w:right="194"/>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pacing w:val="-86"/>
                <w:sz w:val="18"/>
                <w:szCs w:val="18"/>
              </w:rPr>
              <w:t> </w:t>
            </w:r>
            <w:r>
              <w:rPr>
                <w:rFonts w:ascii="宋体" w:hAnsi="宋体" w:cs="宋体" w:eastAsia="宋体" w:hint="default"/>
                <w:sz w:val="18"/>
                <w:szCs w:val="18"/>
              </w:rPr>
              <w:t>定价</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58"/>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7"/>
              <w:ind w:left="101"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both"/>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118"/>
              <w:ind w:left="105" w:right="0"/>
              <w:jc w:val="both"/>
              <w:rPr>
                <w:rFonts w:ascii="Times New Roman" w:hAnsi="Times New Roman" w:cs="Times New Roman" w:eastAsia="Times New Roman" w:hint="default"/>
                <w:sz w:val="18"/>
                <w:szCs w:val="18"/>
              </w:rPr>
            </w:pPr>
            <w:r>
              <w:rPr>
                <w:rFonts w:ascii="Times New Roman"/>
                <w:sz w:val="18"/>
              </w:rPr>
              <w:t>2019</w:t>
            </w:r>
          </w:p>
          <w:p>
            <w:pPr>
              <w:pStyle w:val="TableParagraph"/>
              <w:spacing w:line="319" w:lineRule="auto" w:before="63"/>
              <w:ind w:left="105" w:right="167"/>
              <w:jc w:val="both"/>
              <w:rPr>
                <w:rFonts w:ascii="宋体" w:hAnsi="宋体" w:cs="宋体" w:eastAsia="宋体" w:hint="default"/>
                <w:sz w:val="18"/>
                <w:szCs w:val="18"/>
              </w:rPr>
            </w:pPr>
            <w:r>
              <w:rPr>
                <w:rFonts w:ascii="宋体" w:hAnsi="宋体" w:cs="宋体" w:eastAsia="宋体" w:hint="default"/>
                <w:sz w:val="18"/>
                <w:szCs w:val="18"/>
              </w:rPr>
              <w:t>年度</w:t>
            </w:r>
            <w:r>
              <w:rPr>
                <w:rFonts w:ascii="宋体" w:hAnsi="宋体" w:cs="宋体" w:eastAsia="宋体" w:hint="default"/>
                <w:spacing w:val="-86"/>
                <w:sz w:val="18"/>
                <w:szCs w:val="18"/>
              </w:rPr>
              <w:t> </w:t>
            </w:r>
            <w:r>
              <w:rPr>
                <w:rFonts w:ascii="宋体" w:hAnsi="宋体" w:cs="宋体" w:eastAsia="宋体" w:hint="default"/>
                <w:sz w:val="18"/>
                <w:szCs w:val="18"/>
              </w:rPr>
              <w:t>日常</w:t>
            </w:r>
            <w:r>
              <w:rPr>
                <w:rFonts w:ascii="宋体" w:hAnsi="宋体" w:cs="宋体" w:eastAsia="宋体" w:hint="default"/>
                <w:spacing w:val="-86"/>
                <w:sz w:val="18"/>
                <w:szCs w:val="18"/>
              </w:rPr>
              <w:t> </w:t>
            </w:r>
            <w:r>
              <w:rPr>
                <w:rFonts w:ascii="宋体" w:hAnsi="宋体" w:cs="宋体" w:eastAsia="宋体" w:hint="default"/>
                <w:sz w:val="18"/>
                <w:szCs w:val="18"/>
              </w:rPr>
              <w:t>关联</w:t>
            </w:r>
            <w:r>
              <w:rPr>
                <w:rFonts w:ascii="宋体" w:hAnsi="宋体" w:cs="宋体" w:eastAsia="宋体" w:hint="default"/>
                <w:spacing w:val="-86"/>
                <w:sz w:val="18"/>
                <w:szCs w:val="18"/>
              </w:rPr>
              <w:t> </w:t>
            </w:r>
            <w:r>
              <w:rPr>
                <w:rFonts w:ascii="宋体" w:hAnsi="宋体" w:cs="宋体" w:eastAsia="宋体" w:hint="default"/>
                <w:sz w:val="18"/>
                <w:szCs w:val="18"/>
              </w:rPr>
              <w:t>交易</w:t>
            </w:r>
            <w:r>
              <w:rPr>
                <w:rFonts w:ascii="宋体" w:hAnsi="宋体" w:cs="宋体" w:eastAsia="宋体" w:hint="default"/>
                <w:spacing w:val="-86"/>
                <w:sz w:val="18"/>
                <w:szCs w:val="18"/>
              </w:rPr>
              <w:t> </w:t>
            </w:r>
            <w:r>
              <w:rPr>
                <w:rFonts w:ascii="宋体" w:hAnsi="宋体" w:cs="宋体" w:eastAsia="宋体" w:hint="default"/>
                <w:sz w:val="18"/>
                <w:szCs w:val="18"/>
              </w:rPr>
              <w:t>的公</w:t>
            </w:r>
            <w:r>
              <w:rPr>
                <w:rFonts w:ascii="宋体" w:hAnsi="宋体" w:cs="宋体" w:eastAsia="宋体" w:hint="default"/>
                <w:spacing w:val="-86"/>
                <w:sz w:val="18"/>
                <w:szCs w:val="18"/>
              </w:rPr>
              <w:t> </w:t>
            </w:r>
            <w:r>
              <w:rPr>
                <w:rFonts w:ascii="宋体" w:hAnsi="宋体" w:cs="宋体" w:eastAsia="宋体" w:hint="default"/>
                <w:sz w:val="18"/>
                <w:szCs w:val="18"/>
              </w:rPr>
              <w:t>告</w:t>
            </w:r>
          </w:p>
          <w:p>
            <w:pPr>
              <w:pStyle w:val="TableParagraph"/>
              <w:spacing w:line="340" w:lineRule="auto" w:before="17"/>
              <w:ind w:left="105" w:right="108"/>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z w:val="18"/>
                <w:szCs w:val="18"/>
              </w:rPr>
              <w:t>19-20</w:t>
            </w:r>
          </w:p>
          <w:p>
            <w:pPr>
              <w:pStyle w:val="TableParagraph"/>
              <w:spacing w:line="219" w:lineRule="exact"/>
              <w:ind w:left="105" w:right="0"/>
              <w:jc w:val="both"/>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37"/>
              <w:jc w:val="both"/>
              <w:rPr>
                <w:rFonts w:ascii="宋体" w:hAnsi="宋体" w:cs="宋体" w:eastAsia="宋体" w:hint="default"/>
                <w:sz w:val="18"/>
                <w:szCs w:val="18"/>
              </w:rPr>
            </w:pPr>
            <w:r>
              <w:rPr>
                <w:rFonts w:ascii="宋体" w:hAnsi="宋体" w:cs="宋体" w:eastAsia="宋体" w:hint="default"/>
                <w:sz w:val="18"/>
                <w:szCs w:val="18"/>
              </w:rPr>
              <w:t>广州天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源互联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网有限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105" w:right="199"/>
              <w:jc w:val="left"/>
              <w:rPr>
                <w:rFonts w:ascii="宋体" w:hAnsi="宋体" w:cs="宋体" w:eastAsia="宋体" w:hint="default"/>
                <w:sz w:val="18"/>
                <w:szCs w:val="18"/>
              </w:rPr>
            </w:pPr>
            <w:r>
              <w:rPr>
                <w:rFonts w:ascii="宋体" w:hAnsi="宋体" w:cs="宋体" w:eastAsia="宋体" w:hint="default"/>
                <w:sz w:val="18"/>
                <w:szCs w:val="18"/>
              </w:rPr>
              <w:t>联营</w:t>
            </w:r>
            <w:r>
              <w:rPr>
                <w:rFonts w:ascii="宋体" w:hAnsi="宋体" w:cs="宋体" w:eastAsia="宋体" w:hint="default"/>
                <w:spacing w:val="-86"/>
                <w:sz w:val="18"/>
                <w:szCs w:val="18"/>
              </w:rPr>
              <w:t> </w:t>
            </w:r>
            <w:r>
              <w:rPr>
                <w:rFonts w:ascii="宋体" w:hAnsi="宋体" w:cs="宋体" w:eastAsia="宋体" w:hint="default"/>
                <w:sz w:val="18"/>
                <w:szCs w:val="18"/>
              </w:rPr>
              <w:t>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0" w:right="154"/>
              <w:jc w:val="both"/>
              <w:rPr>
                <w:rFonts w:ascii="宋体" w:hAnsi="宋体" w:cs="宋体" w:eastAsia="宋体" w:hint="default"/>
                <w:sz w:val="18"/>
                <w:szCs w:val="18"/>
              </w:rPr>
            </w:pPr>
            <w:r>
              <w:rPr>
                <w:rFonts w:ascii="宋体" w:hAnsi="宋体" w:cs="宋体" w:eastAsia="宋体" w:hint="default"/>
                <w:sz w:val="18"/>
                <w:szCs w:val="18"/>
              </w:rPr>
              <w:t>采购</w:t>
            </w:r>
            <w:r>
              <w:rPr>
                <w:rFonts w:ascii="宋体" w:hAnsi="宋体" w:cs="宋体" w:eastAsia="宋体" w:hint="default"/>
                <w:spacing w:val="-86"/>
                <w:sz w:val="18"/>
                <w:szCs w:val="18"/>
              </w:rPr>
              <w:t> </w:t>
            </w:r>
            <w:r>
              <w:rPr>
                <w:rFonts w:ascii="宋体" w:hAnsi="宋体" w:cs="宋体" w:eastAsia="宋体" w:hint="default"/>
                <w:sz w:val="18"/>
                <w:szCs w:val="18"/>
              </w:rPr>
              <w:t>商品</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接受</w:t>
            </w:r>
            <w:r>
              <w:rPr>
                <w:rFonts w:ascii="宋体" w:hAnsi="宋体" w:cs="宋体" w:eastAsia="宋体" w:hint="default"/>
                <w:spacing w:val="-86"/>
                <w:sz w:val="18"/>
                <w:szCs w:val="18"/>
              </w:rPr>
              <w:t> </w:t>
            </w:r>
            <w:r>
              <w:rPr>
                <w:rFonts w:ascii="宋体" w:hAnsi="宋体" w:cs="宋体" w:eastAsia="宋体" w:hint="default"/>
                <w:sz w:val="18"/>
                <w:szCs w:val="18"/>
              </w:rPr>
              <w:t>劳务</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100" w:right="223"/>
              <w:jc w:val="left"/>
              <w:rPr>
                <w:rFonts w:ascii="宋体" w:hAnsi="宋体" w:cs="宋体" w:eastAsia="宋体" w:hint="default"/>
                <w:sz w:val="18"/>
                <w:szCs w:val="18"/>
              </w:rPr>
            </w:pPr>
            <w:r>
              <w:rPr>
                <w:rFonts w:ascii="宋体" w:hAnsi="宋体" w:cs="宋体" w:eastAsia="宋体" w:hint="default"/>
                <w:sz w:val="18"/>
                <w:szCs w:val="18"/>
              </w:rPr>
              <w:t>软件</w:t>
            </w:r>
            <w:r>
              <w:rPr>
                <w:rFonts w:ascii="宋体" w:hAnsi="宋体" w:cs="宋体" w:eastAsia="宋体" w:hint="default"/>
                <w:spacing w:val="-86"/>
                <w:sz w:val="18"/>
                <w:szCs w:val="18"/>
              </w:rPr>
              <w:t> </w:t>
            </w:r>
            <w:r>
              <w:rPr>
                <w:rFonts w:ascii="宋体" w:hAnsi="宋体" w:cs="宋体" w:eastAsia="宋体" w:hint="default"/>
                <w:sz w:val="18"/>
                <w:szCs w:val="18"/>
              </w:rPr>
              <w:t>开发</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105" w:right="200"/>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pacing w:val="-86"/>
                <w:sz w:val="18"/>
                <w:szCs w:val="18"/>
              </w:rPr>
              <w:t> </w:t>
            </w:r>
            <w:r>
              <w:rPr>
                <w:rFonts w:ascii="宋体" w:hAnsi="宋体" w:cs="宋体" w:eastAsia="宋体" w:hint="default"/>
                <w:sz w:val="18"/>
                <w:szCs w:val="18"/>
              </w:rPr>
              <w:t>定价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00" w:right="0"/>
              <w:jc w:val="left"/>
              <w:rPr>
                <w:rFonts w:ascii="Times New Roman" w:hAnsi="Times New Roman" w:cs="Times New Roman" w:eastAsia="Times New Roman" w:hint="default"/>
                <w:sz w:val="18"/>
                <w:szCs w:val="18"/>
              </w:rPr>
            </w:pPr>
            <w:r>
              <w:rPr>
                <w:rFonts w:ascii="Times New Roman"/>
                <w:sz w:val="18"/>
              </w:rPr>
              <w:t>21.3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z w:val="18"/>
              </w:rPr>
              <w:t>21.3</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8" w:right="0"/>
              <w:jc w:val="center"/>
              <w:rPr>
                <w:rFonts w:ascii="Times New Roman" w:hAnsi="Times New Roman" w:cs="Times New Roman" w:eastAsia="Times New Roman" w:hint="default"/>
                <w:sz w:val="18"/>
                <w:szCs w:val="18"/>
              </w:rPr>
            </w:pPr>
            <w:r>
              <w:rPr>
                <w:rFonts w:ascii="Times New Roman"/>
                <w:sz w:val="18"/>
              </w:rPr>
              <w:t>1.50</w:t>
            </w:r>
          </w:p>
          <w:p>
            <w:pPr>
              <w:pStyle w:val="TableParagraph"/>
              <w:spacing w:line="240" w:lineRule="auto" w:before="110"/>
              <w:ind w:left="305"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94"/>
              <w:jc w:val="center"/>
              <w:rPr>
                <w:rFonts w:ascii="宋体" w:hAnsi="宋体" w:cs="宋体" w:eastAsia="宋体" w:hint="default"/>
                <w:sz w:val="18"/>
                <w:szCs w:val="18"/>
              </w:rPr>
            </w:pPr>
            <w:r>
              <w:rPr>
                <w:rFonts w:ascii="宋体" w:hAnsi="宋体" w:cs="宋体" w:eastAsia="宋体" w:hint="default"/>
                <w:sz w:val="18"/>
                <w:szCs w:val="18"/>
              </w:rPr>
              <w:t>现金</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105" w:right="194"/>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pacing w:val="-86"/>
                <w:sz w:val="18"/>
                <w:szCs w:val="18"/>
              </w:rPr>
              <w:t> </w:t>
            </w:r>
            <w:r>
              <w:rPr>
                <w:rFonts w:ascii="宋体" w:hAnsi="宋体" w:cs="宋体" w:eastAsia="宋体" w:hint="default"/>
                <w:sz w:val="18"/>
                <w:szCs w:val="18"/>
              </w:rPr>
              <w:t>定价</w:t>
            </w:r>
          </w:p>
        </w:tc>
        <w:tc>
          <w:tcPr>
            <w:tcW w:w="668"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715"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1,416.</w:t>
            </w:r>
          </w:p>
          <w:p>
            <w:pPr>
              <w:pStyle w:val="TableParagraph"/>
              <w:spacing w:line="240" w:lineRule="auto" w:before="105"/>
              <w:ind w:left="384" w:right="0"/>
              <w:jc w:val="left"/>
              <w:rPr>
                <w:rFonts w:ascii="Times New Roman" w:hAnsi="Times New Roman" w:cs="Times New Roman" w:eastAsia="Times New Roman" w:hint="default"/>
                <w:sz w:val="18"/>
                <w:szCs w:val="18"/>
              </w:rPr>
            </w:pPr>
            <w:r>
              <w:rPr>
                <w:rFonts w:ascii="Times New Roman"/>
                <w:sz w:val="18"/>
              </w:rPr>
              <w:t>69</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6,300</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大额销货退回的详细情况</w:t>
            </w:r>
          </w:p>
        </w:tc>
        <w:tc>
          <w:tcPr>
            <w:tcW w:w="671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8"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94"/>
              <w:jc w:val="left"/>
              <w:rPr>
                <w:rFonts w:ascii="宋体" w:hAnsi="宋体" w:cs="宋体" w:eastAsia="宋体" w:hint="default"/>
                <w:sz w:val="18"/>
                <w:szCs w:val="18"/>
              </w:rPr>
            </w:pPr>
            <w:r>
              <w:rPr>
                <w:rFonts w:ascii="宋体" w:hAnsi="宋体" w:cs="宋体" w:eastAsia="宋体" w:hint="default"/>
                <w:spacing w:val="-3"/>
                <w:sz w:val="18"/>
                <w:szCs w:val="18"/>
              </w:rPr>
              <w:t>按类别对本期将发生的日常关联</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交易进行总金额预计的，在报告期</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3"/>
                <w:sz w:val="18"/>
                <w:szCs w:val="18"/>
              </w:rPr>
              <w:t>内的实际履行情况（如有）</w:t>
            </w:r>
          </w:p>
        </w:tc>
        <w:tc>
          <w:tcPr>
            <w:tcW w:w="671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日，深圳天源迪科信息技术股份有限公司第四届董事会第二十六次</w:t>
            </w:r>
          </w:p>
          <w:p>
            <w:pPr>
              <w:pStyle w:val="TableParagraph"/>
              <w:spacing w:line="304" w:lineRule="auto" w:before="63"/>
              <w:ind w:left="105" w:right="94"/>
              <w:jc w:val="left"/>
              <w:rPr>
                <w:rFonts w:ascii="宋体" w:hAnsi="宋体" w:cs="宋体" w:eastAsia="宋体" w:hint="default"/>
                <w:sz w:val="18"/>
                <w:szCs w:val="18"/>
              </w:rPr>
            </w:pPr>
            <w:r>
              <w:rPr>
                <w:rFonts w:ascii="宋体" w:hAnsi="宋体" w:cs="宋体" w:eastAsia="宋体" w:hint="default"/>
                <w:spacing w:val="-3"/>
                <w:w w:val="101"/>
                <w:sz w:val="18"/>
                <w:szCs w:val="18"/>
              </w:rPr>
              <w:t>会议审议通过了《关于</w:t>
            </w:r>
            <w:r>
              <w:rPr>
                <w:rFonts w:ascii="宋体" w:hAnsi="宋体" w:cs="宋体" w:eastAsia="宋体" w:hint="default"/>
                <w:w w:val="101"/>
                <w:sz w:val="18"/>
                <w:szCs w:val="18"/>
              </w:rPr>
              <w:t> </w:t>
            </w:r>
            <w:r>
              <w:rPr>
                <w:rFonts w:ascii="Times New Roman" w:hAnsi="Times New Roman" w:cs="Times New Roman" w:eastAsia="Times New Roman" w:hint="default"/>
                <w:spacing w:val="-2"/>
                <w:w w:val="101"/>
                <w:sz w:val="18"/>
                <w:szCs w:val="18"/>
              </w:rPr>
              <w:t>2019</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7"/>
                <w:w w:val="101"/>
                <w:sz w:val="18"/>
                <w:szCs w:val="18"/>
              </w:rPr>
              <w:t>年度日常关联交易的议案》，报告期内，日常关联交易</w:t>
            </w:r>
            <w:r>
              <w:rPr>
                <w:rFonts w:ascii="宋体" w:hAnsi="宋体" w:cs="宋体" w:eastAsia="宋体" w:hint="default"/>
                <w:w w:val="101"/>
                <w:sz w:val="18"/>
                <w:szCs w:val="18"/>
              </w:rPr>
              <w:t> </w:t>
            </w:r>
            <w:r>
              <w:rPr>
                <w:rFonts w:ascii="宋体" w:hAnsi="宋体" w:cs="宋体" w:eastAsia="宋体" w:hint="default"/>
                <w:spacing w:val="-3"/>
                <w:sz w:val="18"/>
                <w:szCs w:val="18"/>
              </w:rPr>
              <w:t>金额在审议通过的预计额度内。</w:t>
            </w:r>
          </w:p>
        </w:tc>
      </w:tr>
      <w:tr>
        <w:trPr>
          <w:trHeight w:val="715"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214"/>
              <w:jc w:val="left"/>
              <w:rPr>
                <w:rFonts w:ascii="宋体" w:hAnsi="宋体" w:cs="宋体" w:eastAsia="宋体" w:hint="default"/>
                <w:sz w:val="18"/>
                <w:szCs w:val="18"/>
              </w:rPr>
            </w:pPr>
            <w:r>
              <w:rPr>
                <w:rFonts w:ascii="宋体" w:hAnsi="宋体" w:cs="宋体" w:eastAsia="宋体" w:hint="default"/>
                <w:spacing w:val="-3"/>
                <w:sz w:val="18"/>
                <w:szCs w:val="18"/>
              </w:rPr>
              <w:t>交易价格与市场参考价格差异较</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大的原因（如适用）</w:t>
            </w:r>
          </w:p>
        </w:tc>
        <w:tc>
          <w:tcPr>
            <w:tcW w:w="671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764"/>
        <w:jc w:val="left"/>
        <w:rPr>
          <w:b w:val="0"/>
          <w:bCs w:val="0"/>
        </w:rPr>
      </w:pPr>
      <w:bookmarkStart w:name="2、资产或股权收购、出售发生的关联交易" w:id="77"/>
      <w:bookmarkEnd w:id="77"/>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spacing w:line="362" w:lineRule="auto" w:before="0"/>
        <w:ind w:left="113" w:right="576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公司报告期未发生资产或股权收购、出售的关联交易。</w:t>
      </w:r>
    </w:p>
    <w:p>
      <w:pPr>
        <w:spacing w:line="240" w:lineRule="auto" w:before="4"/>
        <w:rPr>
          <w:rFonts w:ascii="宋体" w:hAnsi="宋体" w:cs="宋体" w:eastAsia="宋体" w:hint="default"/>
          <w:sz w:val="19"/>
          <w:szCs w:val="19"/>
        </w:rPr>
      </w:pPr>
    </w:p>
    <w:p>
      <w:pPr>
        <w:pStyle w:val="Heading3"/>
        <w:spacing w:line="240" w:lineRule="auto"/>
        <w:ind w:right="1764"/>
        <w:jc w:val="left"/>
        <w:rPr>
          <w:b w:val="0"/>
          <w:bCs w:val="0"/>
        </w:rPr>
      </w:pPr>
      <w:bookmarkStart w:name="3、共同对外投资的关联交易" w:id="78"/>
      <w:bookmarkEnd w:id="78"/>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1"/>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2"/>
        <w:rPr>
          <w:rFonts w:ascii="宋体" w:hAnsi="宋体" w:cs="宋体" w:eastAsia="宋体" w:hint="default"/>
          <w:sz w:val="23"/>
          <w:szCs w:val="23"/>
        </w:rPr>
      </w:pPr>
    </w:p>
    <w:p>
      <w:pPr>
        <w:spacing w:before="46"/>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公司报告期未发生共同对外投资的关联交易。</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4、关联债权债务往来" w:id="79"/>
      <w:bookmarkEnd w:id="79"/>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1"/>
        <w:rPr>
          <w:rFonts w:ascii="宋体" w:hAnsi="宋体" w:cs="宋体" w:eastAsia="宋体" w:hint="default"/>
          <w:b/>
          <w:bCs/>
          <w:sz w:val="27"/>
          <w:szCs w:val="27"/>
        </w:rPr>
      </w:pPr>
    </w:p>
    <w:p>
      <w:pPr>
        <w:spacing w:line="362" w:lineRule="auto" w:before="0"/>
        <w:ind w:left="113" w:right="7695"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是否存在非经营性关联债权债务往来</w:t>
      </w:r>
    </w:p>
    <w:p>
      <w:pPr>
        <w:spacing w:line="357" w:lineRule="auto" w:before="23"/>
        <w:ind w:left="113" w:right="8661" w:firstLine="0"/>
        <w:jc w:val="left"/>
        <w:rPr>
          <w:rFonts w:ascii="宋体" w:hAnsi="宋体" w:cs="宋体" w:eastAsia="宋体" w:hint="default"/>
          <w:sz w:val="18"/>
          <w:szCs w:val="18"/>
        </w:rPr>
      </w:pPr>
      <w:r>
        <w:rPr>
          <w:rFonts w:ascii="宋体" w:hAnsi="宋体" w:cs="宋体" w:eastAsia="宋体" w:hint="default"/>
          <w:sz w:val="18"/>
          <w:szCs w:val="18"/>
        </w:rPr>
        <w:t>√ 是 □ 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应收关联方债权</w:t>
      </w:r>
    </w:p>
    <w:tbl>
      <w:tblPr>
        <w:tblW w:w="0" w:type="auto"/>
        <w:jc w:val="left"/>
        <w:tblInd w:w="108" w:type="dxa"/>
        <w:tblLayout w:type="fixed"/>
        <w:tblCellMar>
          <w:top w:w="0" w:type="dxa"/>
          <w:left w:w="0" w:type="dxa"/>
          <w:bottom w:w="0" w:type="dxa"/>
          <w:right w:w="0" w:type="dxa"/>
        </w:tblCellMar>
        <w:tblLook w:val="01E0"/>
      </w:tblPr>
      <w:tblGrid>
        <w:gridCol w:w="932"/>
        <w:gridCol w:w="946"/>
        <w:gridCol w:w="956"/>
        <w:gridCol w:w="961"/>
        <w:gridCol w:w="956"/>
        <w:gridCol w:w="960"/>
        <w:gridCol w:w="956"/>
        <w:gridCol w:w="956"/>
        <w:gridCol w:w="960"/>
        <w:gridCol w:w="994"/>
      </w:tblGrid>
      <w:tr>
        <w:trPr>
          <w:trHeight w:val="1023" w:hRule="exact"/>
        </w:trPr>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9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1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5" w:right="108"/>
              <w:jc w:val="both"/>
              <w:rPr>
                <w:rFonts w:ascii="宋体" w:hAnsi="宋体" w:cs="宋体" w:eastAsia="宋体" w:hint="default"/>
                <w:sz w:val="18"/>
                <w:szCs w:val="18"/>
              </w:rPr>
            </w:pPr>
            <w:r>
              <w:rPr>
                <w:rFonts w:ascii="宋体" w:hAnsi="宋体" w:cs="宋体" w:eastAsia="宋体" w:hint="default"/>
                <w:sz w:val="18"/>
                <w:szCs w:val="18"/>
              </w:rPr>
              <w:t>是否存在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非经营性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资金占用</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81"/>
              <w:ind w:left="11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5" w:right="108"/>
              <w:jc w:val="center"/>
              <w:rPr>
                <w:rFonts w:ascii="宋体" w:hAnsi="宋体" w:cs="宋体" w:eastAsia="宋体" w:hint="default"/>
                <w:sz w:val="18"/>
                <w:szCs w:val="18"/>
              </w:rPr>
            </w:pPr>
            <w:r>
              <w:rPr>
                <w:rFonts w:ascii="宋体" w:hAnsi="宋体" w:cs="宋体" w:eastAsia="宋体" w:hint="default"/>
                <w:spacing w:val="-2"/>
                <w:sz w:val="18"/>
                <w:szCs w:val="18"/>
              </w:rPr>
              <w:t>本期新增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金额（万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元）</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0" w:right="108"/>
              <w:jc w:val="center"/>
              <w:rPr>
                <w:rFonts w:ascii="宋体" w:hAnsi="宋体" w:cs="宋体" w:eastAsia="宋体" w:hint="default"/>
                <w:sz w:val="18"/>
                <w:szCs w:val="18"/>
              </w:rPr>
            </w:pPr>
            <w:r>
              <w:rPr>
                <w:rFonts w:ascii="宋体" w:hAnsi="宋体" w:cs="宋体" w:eastAsia="宋体" w:hint="default"/>
                <w:spacing w:val="-2"/>
                <w:sz w:val="18"/>
                <w:szCs w:val="18"/>
              </w:rPr>
              <w:t>本期收回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金额（万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元）</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92"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81"/>
              <w:ind w:left="11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81"/>
              <w:ind w:left="129" w:right="0"/>
              <w:jc w:val="left"/>
              <w:rPr>
                <w:rFonts w:ascii="宋体" w:hAnsi="宋体" w:cs="宋体" w:eastAsia="宋体" w:hint="default"/>
                <w:sz w:val="18"/>
                <w:szCs w:val="18"/>
              </w:rPr>
            </w:pPr>
            <w:r>
              <w:rPr>
                <w:rFonts w:ascii="宋体" w:hAnsi="宋体" w:cs="宋体" w:eastAsia="宋体" w:hint="default"/>
                <w:sz w:val="18"/>
                <w:szCs w:val="18"/>
              </w:rPr>
              <w:t>（万元）</w:t>
            </w:r>
          </w:p>
        </w:tc>
      </w:tr>
    </w:tbl>
    <w:p>
      <w:pPr>
        <w:spacing w:before="70"/>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应付关联方债务</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157"/>
        <w:gridCol w:w="1042"/>
        <w:gridCol w:w="1042"/>
        <w:gridCol w:w="1047"/>
        <w:gridCol w:w="1042"/>
        <w:gridCol w:w="1047"/>
        <w:gridCol w:w="1042"/>
        <w:gridCol w:w="1047"/>
        <w:gridCol w:w="1104"/>
      </w:tblGrid>
      <w:tr>
        <w:trPr>
          <w:trHeight w:val="1028" w:hRule="exact"/>
        </w:trPr>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307"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5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51"/>
              <w:jc w:val="right"/>
              <w:rPr>
                <w:rFonts w:ascii="宋体" w:hAnsi="宋体" w:cs="宋体" w:eastAsia="宋体" w:hint="default"/>
                <w:sz w:val="18"/>
                <w:szCs w:val="18"/>
              </w:rPr>
            </w:pPr>
            <w:r>
              <w:rPr>
                <w:rFonts w:ascii="宋体" w:hAnsi="宋体" w:cs="宋体" w:eastAsia="宋体" w:hint="default"/>
                <w:spacing w:val="-2"/>
                <w:sz w:val="18"/>
                <w:szCs w:val="18"/>
              </w:rPr>
              <w:t>形成原因</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5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53" w:right="151"/>
              <w:jc w:val="center"/>
              <w:rPr>
                <w:rFonts w:ascii="宋体" w:hAnsi="宋体" w:cs="宋体" w:eastAsia="宋体" w:hint="default"/>
                <w:sz w:val="18"/>
                <w:szCs w:val="18"/>
              </w:rPr>
            </w:pPr>
            <w:r>
              <w:rPr>
                <w:rFonts w:ascii="宋体" w:hAnsi="宋体" w:cs="宋体" w:eastAsia="宋体" w:hint="default"/>
                <w:spacing w:val="-2"/>
                <w:sz w:val="18"/>
                <w:szCs w:val="18"/>
              </w:rPr>
              <w:t>本期新增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金额（万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元）</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58" w:right="151"/>
              <w:jc w:val="center"/>
              <w:rPr>
                <w:rFonts w:ascii="宋体" w:hAnsi="宋体" w:cs="宋体" w:eastAsia="宋体" w:hint="default"/>
                <w:sz w:val="18"/>
                <w:szCs w:val="18"/>
              </w:rPr>
            </w:pPr>
            <w:r>
              <w:rPr>
                <w:rFonts w:ascii="宋体" w:hAnsi="宋体" w:cs="宋体" w:eastAsia="宋体" w:hint="default"/>
                <w:spacing w:val="-2"/>
                <w:sz w:val="18"/>
                <w:szCs w:val="18"/>
              </w:rPr>
              <w:t>本期归还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金额（万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元）</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331"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6"/>
              <w:ind w:left="15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6"/>
              <w:ind w:left="187"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1027"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37"/>
              <w:jc w:val="both"/>
              <w:rPr>
                <w:rFonts w:ascii="宋体" w:hAnsi="宋体" w:cs="宋体" w:eastAsia="宋体" w:hint="default"/>
                <w:sz w:val="18"/>
                <w:szCs w:val="18"/>
              </w:rPr>
            </w:pPr>
            <w:r>
              <w:rPr>
                <w:rFonts w:ascii="宋体" w:hAnsi="宋体" w:cs="宋体" w:eastAsia="宋体" w:hint="default"/>
                <w:spacing w:val="-2"/>
                <w:sz w:val="18"/>
                <w:szCs w:val="18"/>
              </w:rPr>
              <w:t>深圳市汇巨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信息技术有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04"/>
              <w:jc w:val="right"/>
              <w:rPr>
                <w:rFonts w:ascii="宋体" w:hAnsi="宋体" w:cs="宋体" w:eastAsia="宋体" w:hint="default"/>
                <w:sz w:val="18"/>
                <w:szCs w:val="18"/>
              </w:rPr>
            </w:pPr>
            <w:r>
              <w:rPr>
                <w:rFonts w:ascii="宋体" w:hAnsi="宋体" w:cs="宋体" w:eastAsia="宋体" w:hint="default"/>
                <w:spacing w:val="-2"/>
                <w:sz w:val="18"/>
                <w:szCs w:val="18"/>
              </w:rPr>
              <w:t>财务资助</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2,400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2,400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60" w:right="0"/>
              <w:jc w:val="left"/>
              <w:rPr>
                <w:rFonts w:ascii="Times New Roman" w:hAnsi="Times New Roman" w:cs="Times New Roman" w:eastAsia="Times New Roman" w:hint="default"/>
                <w:sz w:val="18"/>
                <w:szCs w:val="18"/>
              </w:rPr>
            </w:pPr>
            <w:r>
              <w:rPr>
                <w:rFonts w:ascii="Times New Roman"/>
                <w:sz w:val="18"/>
              </w:rPr>
              <w:t>4.35%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103.58</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647" w:hRule="exact"/>
        </w:trPr>
        <w:tc>
          <w:tcPr>
            <w:tcW w:w="21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21" w:lineRule="auto"/>
              <w:ind w:left="105" w:right="99"/>
              <w:jc w:val="left"/>
              <w:rPr>
                <w:rFonts w:ascii="宋体" w:hAnsi="宋体" w:cs="宋体" w:eastAsia="宋体" w:hint="default"/>
                <w:sz w:val="18"/>
                <w:szCs w:val="18"/>
              </w:rPr>
            </w:pPr>
            <w:r>
              <w:rPr>
                <w:rFonts w:ascii="宋体" w:hAnsi="宋体" w:cs="宋体" w:eastAsia="宋体" w:hint="default"/>
                <w:spacing w:val="-3"/>
                <w:sz w:val="18"/>
                <w:szCs w:val="18"/>
              </w:rPr>
              <w:t>关联债务对公司经营成果</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及财务状况的影响</w:t>
            </w:r>
          </w:p>
        </w:tc>
        <w:tc>
          <w:tcPr>
            <w:tcW w:w="7370" w:type="dxa"/>
            <w:gridSpan w:val="7"/>
            <w:tcBorders>
              <w:top w:val="single" w:sz="4" w:space="0" w:color="000000"/>
              <w:left w:val="single" w:sz="4" w:space="0" w:color="000000"/>
              <w:bottom w:val="single" w:sz="4" w:space="0" w:color="000000"/>
              <w:right w:val="single" w:sz="4" w:space="0" w:color="000000"/>
            </w:tcBorders>
          </w:tcPr>
          <w:p>
            <w:pPr>
              <w:pStyle w:val="TableParagraph"/>
              <w:spacing w:line="309" w:lineRule="auto" w:before="54"/>
              <w:ind w:left="100" w:right="95"/>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29 </w:t>
            </w:r>
            <w:r>
              <w:rPr>
                <w:rFonts w:ascii="宋体" w:hAnsi="宋体" w:cs="宋体" w:eastAsia="宋体" w:hint="default"/>
                <w:spacing w:val="-3"/>
                <w:sz w:val="18"/>
                <w:szCs w:val="18"/>
              </w:rPr>
              <w:t>日，公司第五届董事会第二次会议审议通过《关于接受财务资助暨关联交易</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w w:val="101"/>
                <w:sz w:val="18"/>
                <w:szCs w:val="18"/>
              </w:rPr>
              <w:t>的议案》。公司接受深圳市汇巨信息技术有限公司（以下简称“汇巨技术”）财务资助，本次</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4"/>
                <w:sz w:val="18"/>
                <w:szCs w:val="18"/>
              </w:rPr>
              <w:t>财务资助以借款方式提供，借款额度在有效期限内可以循环使用，在约定期限内借款金额不</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2"/>
                <w:w w:val="101"/>
                <w:sz w:val="18"/>
                <w:szCs w:val="18"/>
              </w:rPr>
              <w:t>超过人民币</w:t>
            </w:r>
            <w:r>
              <w:rPr>
                <w:rFonts w:ascii="宋体" w:hAnsi="宋体" w:cs="宋体" w:eastAsia="宋体" w:hint="default"/>
                <w:w w:val="101"/>
                <w:sz w:val="18"/>
                <w:szCs w:val="18"/>
              </w:rPr>
              <w:t> </w:t>
            </w:r>
            <w:r>
              <w:rPr>
                <w:rFonts w:ascii="Times New Roman" w:hAnsi="Times New Roman" w:cs="Times New Roman" w:eastAsia="Times New Roman" w:hint="default"/>
                <w:spacing w:val="-1"/>
                <w:w w:val="101"/>
                <w:sz w:val="18"/>
                <w:szCs w:val="18"/>
              </w:rPr>
              <w:t>3,000</w:t>
            </w:r>
            <w:r>
              <w:rPr>
                <w:rFonts w:ascii="Times New Roman" w:hAnsi="Times New Roman" w:cs="Times New Roman" w:eastAsia="Times New Roman" w:hint="default"/>
                <w:w w:val="101"/>
                <w:sz w:val="18"/>
                <w:szCs w:val="18"/>
              </w:rPr>
              <w:t> </w:t>
            </w:r>
            <w:r>
              <w:rPr>
                <w:rFonts w:ascii="Times New Roman" w:hAnsi="Times New Roman" w:cs="Times New Roman" w:eastAsia="Times New Roman" w:hint="default"/>
                <w:spacing w:val="16"/>
                <w:w w:val="101"/>
                <w:sz w:val="18"/>
                <w:szCs w:val="18"/>
              </w:rPr>
              <w:t> </w:t>
            </w:r>
            <w:r>
              <w:rPr>
                <w:rFonts w:ascii="宋体" w:hAnsi="宋体" w:cs="宋体" w:eastAsia="宋体" w:hint="default"/>
                <w:spacing w:val="-6"/>
                <w:w w:val="101"/>
                <w:sz w:val="18"/>
                <w:szCs w:val="18"/>
              </w:rPr>
              <w:t>万元，公司按不高于银行等金融机构同期贷款利率水平向汇巨技术支付利</w:t>
            </w:r>
            <w:r>
              <w:rPr>
                <w:rFonts w:ascii="宋体" w:hAnsi="宋体" w:cs="宋体" w:eastAsia="宋体" w:hint="default"/>
                <w:spacing w:val="-6"/>
                <w:sz w:val="18"/>
                <w:szCs w:val="18"/>
              </w:rPr>
            </w:r>
          </w:p>
          <w:p>
            <w:pPr>
              <w:pStyle w:val="TableParagraph"/>
              <w:spacing w:line="240" w:lineRule="auto" w:before="10"/>
              <w:ind w:left="100" w:right="0"/>
              <w:jc w:val="both"/>
              <w:rPr>
                <w:rFonts w:ascii="宋体" w:hAnsi="宋体" w:cs="宋体" w:eastAsia="宋体" w:hint="default"/>
                <w:sz w:val="18"/>
                <w:szCs w:val="18"/>
              </w:rPr>
            </w:pPr>
            <w:r>
              <w:rPr>
                <w:rFonts w:ascii="宋体" w:hAnsi="宋体" w:cs="宋体" w:eastAsia="宋体" w:hint="default"/>
                <w:spacing w:val="-3"/>
                <w:sz w:val="18"/>
                <w:szCs w:val="18"/>
              </w:rPr>
              <w:t>息。公司将与汇巨技术签订借款合同，合同有效期限为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年至 </w:t>
            </w:r>
            <w:r>
              <w:rPr>
                <w:rFonts w:ascii="Times New Roman" w:hAnsi="Times New Roman" w:cs="Times New Roman" w:eastAsia="Times New Roman" w:hint="default"/>
                <w:sz w:val="18"/>
                <w:szCs w:val="18"/>
              </w:rPr>
              <w:t>2020  </w:t>
            </w:r>
            <w:r>
              <w:rPr>
                <w:rFonts w:ascii="Times New Roman" w:hAnsi="Times New Roman" w:cs="Times New Roman" w:eastAsia="Times New Roman" w:hint="default"/>
                <w:spacing w:val="3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5、其他重大关联交易" w:id="80"/>
      <w:bookmarkEnd w:id="80"/>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1"/>
        <w:rPr>
          <w:rFonts w:ascii="宋体" w:hAnsi="宋体" w:cs="宋体" w:eastAsia="宋体" w:hint="default"/>
          <w:b/>
          <w:bCs/>
          <w:sz w:val="27"/>
          <w:szCs w:val="27"/>
        </w:rPr>
      </w:pPr>
    </w:p>
    <w:p>
      <w:pPr>
        <w:spacing w:line="357" w:lineRule="auto" w:before="0"/>
        <w:ind w:left="113" w:right="7695"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公司报告期无其他重大关联交易。</w:t>
      </w:r>
    </w:p>
    <w:p>
      <w:pPr>
        <w:spacing w:line="240" w:lineRule="auto" w:before="4"/>
        <w:rPr>
          <w:rFonts w:ascii="宋体" w:hAnsi="宋体" w:cs="宋体" w:eastAsia="宋体" w:hint="default"/>
          <w:sz w:val="17"/>
          <w:szCs w:val="17"/>
        </w:rPr>
      </w:pPr>
    </w:p>
    <w:p>
      <w:pPr>
        <w:pStyle w:val="Heading2"/>
        <w:spacing w:line="240" w:lineRule="auto"/>
        <w:ind w:right="1764"/>
        <w:jc w:val="left"/>
        <w:rPr>
          <w:b w:val="0"/>
          <w:bCs w:val="0"/>
        </w:rPr>
      </w:pPr>
      <w:bookmarkStart w:name="十六、重大合同及其履行情况" w:id="81"/>
      <w:bookmarkEnd w:id="81"/>
      <w:r>
        <w:rPr>
          <w:b w:val="0"/>
          <w:bCs w:val="0"/>
        </w:rPr>
      </w:r>
      <w:r>
        <w:rPr/>
        <w:t>十六、重大合同及其履行情况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764"/>
        <w:jc w:val="left"/>
        <w:rPr>
          <w:b w:val="0"/>
          <w:bCs w:val="0"/>
        </w:rPr>
      </w:pPr>
      <w:bookmarkStart w:name="1、托管、承包、租赁事项情况" w:id="82"/>
      <w:bookmarkEnd w:id="82"/>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1）托管情况" w:id="83"/>
      <w:bookmarkEnd w:id="83"/>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1"/>
        <w:rPr>
          <w:rFonts w:ascii="宋体" w:hAnsi="宋体" w:cs="宋体" w:eastAsia="宋体" w:hint="default"/>
          <w:b/>
          <w:bCs/>
          <w:sz w:val="27"/>
          <w:szCs w:val="27"/>
        </w:rPr>
      </w:pPr>
    </w:p>
    <w:p>
      <w:pPr>
        <w:spacing w:line="357" w:lineRule="auto" w:before="0"/>
        <w:ind w:left="113" w:right="7695"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公司报告期不存在托管情况。</w:t>
      </w:r>
    </w:p>
    <w:p>
      <w:pPr>
        <w:spacing w:line="240" w:lineRule="auto" w:before="12"/>
        <w:rPr>
          <w:rFonts w:ascii="宋体" w:hAnsi="宋体" w:cs="宋体" w:eastAsia="宋体" w:hint="default"/>
          <w:sz w:val="19"/>
          <w:szCs w:val="19"/>
        </w:rPr>
      </w:pPr>
    </w:p>
    <w:p>
      <w:pPr>
        <w:pStyle w:val="Heading3"/>
        <w:spacing w:line="240" w:lineRule="auto"/>
        <w:ind w:right="1764"/>
        <w:jc w:val="left"/>
        <w:rPr>
          <w:b w:val="0"/>
          <w:bCs w:val="0"/>
        </w:rPr>
      </w:pPr>
      <w:bookmarkStart w:name="（2）承包情况" w:id="84"/>
      <w:bookmarkEnd w:id="84"/>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10"/>
        <w:rPr>
          <w:rFonts w:ascii="宋体" w:hAnsi="宋体" w:cs="宋体" w:eastAsia="宋体" w:hint="default"/>
          <w:b/>
          <w:bCs/>
          <w:sz w:val="26"/>
          <w:szCs w:val="26"/>
        </w:rPr>
      </w:pPr>
    </w:p>
    <w:p>
      <w:pPr>
        <w:spacing w:line="362" w:lineRule="auto" w:before="0"/>
        <w:ind w:left="113" w:right="7695"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公司报告期不存在承包情况。</w:t>
      </w:r>
    </w:p>
    <w:p>
      <w:pPr>
        <w:spacing w:after="0" w:line="362"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3"/>
        <w:spacing w:line="240" w:lineRule="auto" w:before="36"/>
        <w:ind w:right="1764"/>
        <w:jc w:val="left"/>
        <w:rPr>
          <w:b w:val="0"/>
          <w:bCs w:val="0"/>
        </w:rPr>
      </w:pPr>
      <w:bookmarkStart w:name="（3）租赁情况" w:id="85"/>
      <w:bookmarkEnd w:id="85"/>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1"/>
        <w:rPr>
          <w:rFonts w:ascii="宋体" w:hAnsi="宋体" w:cs="宋体" w:eastAsia="宋体" w:hint="default"/>
          <w:b/>
          <w:bCs/>
          <w:sz w:val="27"/>
          <w:szCs w:val="27"/>
        </w:rPr>
      </w:pPr>
    </w:p>
    <w:p>
      <w:pPr>
        <w:spacing w:line="357" w:lineRule="auto" w:before="0"/>
        <w:ind w:left="113" w:right="7695"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公司报告期不存在租赁情况。</w:t>
      </w:r>
    </w:p>
    <w:p>
      <w:pPr>
        <w:spacing w:line="240" w:lineRule="auto" w:before="7"/>
        <w:rPr>
          <w:rFonts w:ascii="宋体" w:hAnsi="宋体" w:cs="宋体" w:eastAsia="宋体" w:hint="default"/>
          <w:sz w:val="19"/>
          <w:szCs w:val="19"/>
        </w:rPr>
      </w:pPr>
    </w:p>
    <w:p>
      <w:pPr>
        <w:pStyle w:val="Heading3"/>
        <w:spacing w:line="240" w:lineRule="auto"/>
        <w:ind w:right="1764"/>
        <w:jc w:val="left"/>
        <w:rPr>
          <w:b w:val="0"/>
          <w:bCs w:val="0"/>
        </w:rPr>
      </w:pPr>
      <w:bookmarkStart w:name="2、重大担保" w:id="86"/>
      <w:bookmarkEnd w:id="86"/>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1"/>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6"/>
          <w:szCs w:val="26"/>
        </w:rPr>
      </w:pPr>
    </w:p>
    <w:p>
      <w:pPr>
        <w:pStyle w:val="Heading3"/>
        <w:spacing w:line="240" w:lineRule="auto"/>
        <w:ind w:right="1764"/>
        <w:jc w:val="left"/>
        <w:rPr>
          <w:b w:val="0"/>
          <w:bCs w:val="0"/>
        </w:rPr>
      </w:pPr>
      <w:bookmarkStart w:name="（1）担保情况" w:id="87"/>
      <w:bookmarkEnd w:id="87"/>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709"/>
        <w:gridCol w:w="927"/>
        <w:gridCol w:w="922"/>
        <w:gridCol w:w="1296"/>
        <w:gridCol w:w="1066"/>
        <w:gridCol w:w="1037"/>
        <w:gridCol w:w="1047"/>
        <w:gridCol w:w="792"/>
        <w:gridCol w:w="778"/>
      </w:tblGrid>
      <w:tr>
        <w:trPr>
          <w:trHeight w:val="40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35" w:right="0"/>
              <w:jc w:val="left"/>
              <w:rPr>
                <w:rFonts w:ascii="宋体" w:hAnsi="宋体" w:cs="宋体" w:eastAsia="宋体" w:hint="default"/>
                <w:sz w:val="18"/>
                <w:szCs w:val="18"/>
              </w:rPr>
            </w:pPr>
            <w:r>
              <w:rPr>
                <w:rFonts w:ascii="宋体" w:hAnsi="宋体" w:cs="宋体" w:eastAsia="宋体" w:hint="default"/>
                <w:spacing w:val="-3"/>
                <w:sz w:val="18"/>
                <w:szCs w:val="18"/>
              </w:rPr>
              <w:t>公司及其子公司对外担保情况（不包括对子公司的担保）</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91" w:right="180"/>
              <w:jc w:val="both"/>
              <w:rPr>
                <w:rFonts w:ascii="宋体" w:hAnsi="宋体" w:cs="宋体" w:eastAsia="宋体" w:hint="default"/>
                <w:sz w:val="18"/>
                <w:szCs w:val="18"/>
              </w:rPr>
            </w:pPr>
            <w:r>
              <w:rPr>
                <w:rFonts w:ascii="宋体" w:hAnsi="宋体" w:cs="宋体" w:eastAsia="宋体" w:hint="default"/>
                <w:sz w:val="18"/>
                <w:szCs w:val="18"/>
              </w:rPr>
              <w:t>担保额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度相关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公告披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374" w:right="176" w:hanging="183"/>
              <w:jc w:val="left"/>
              <w:rPr>
                <w:rFonts w:ascii="宋体" w:hAnsi="宋体" w:cs="宋体" w:eastAsia="宋体" w:hint="default"/>
                <w:sz w:val="18"/>
                <w:szCs w:val="18"/>
              </w:rPr>
            </w:pPr>
            <w:r>
              <w:rPr>
                <w:rFonts w:ascii="宋体" w:hAnsi="宋体" w:cs="宋体" w:eastAsia="宋体" w:hint="default"/>
                <w:sz w:val="18"/>
                <w:szCs w:val="18"/>
              </w:rPr>
              <w:t>担保额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345" w:right="161" w:hanging="178"/>
              <w:jc w:val="left"/>
              <w:rPr>
                <w:rFonts w:ascii="宋体" w:hAnsi="宋体" w:cs="宋体" w:eastAsia="宋体" w:hint="default"/>
                <w:sz w:val="18"/>
                <w:szCs w:val="18"/>
              </w:rPr>
            </w:pPr>
            <w:r>
              <w:rPr>
                <w:rFonts w:ascii="宋体" w:hAnsi="宋体" w:cs="宋体" w:eastAsia="宋体" w:hint="default"/>
                <w:sz w:val="18"/>
                <w:szCs w:val="18"/>
              </w:rPr>
              <w:t>实际担保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42"/>
              <w:jc w:val="right"/>
              <w:rPr>
                <w:rFonts w:ascii="宋体" w:hAnsi="宋体" w:cs="宋体" w:eastAsia="宋体" w:hint="default"/>
                <w:sz w:val="18"/>
                <w:szCs w:val="18"/>
              </w:rPr>
            </w:pPr>
            <w:r>
              <w:rPr>
                <w:rFonts w:ascii="宋体" w:hAnsi="宋体" w:cs="宋体" w:eastAsia="宋体" w:hint="default"/>
                <w:spacing w:val="-2"/>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19" w:right="118"/>
              <w:jc w:val="left"/>
              <w:rPr>
                <w:rFonts w:ascii="宋体" w:hAnsi="宋体" w:cs="宋体" w:eastAsia="宋体" w:hint="default"/>
                <w:sz w:val="18"/>
                <w:szCs w:val="18"/>
              </w:rPr>
            </w:pPr>
            <w:r>
              <w:rPr>
                <w:rFonts w:ascii="宋体" w:hAnsi="宋体" w:cs="宋体" w:eastAsia="宋体" w:hint="default"/>
                <w:sz w:val="18"/>
                <w:szCs w:val="18"/>
              </w:rPr>
              <w:t>是否履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行完毕</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15" w:right="108"/>
              <w:jc w:val="both"/>
              <w:rPr>
                <w:rFonts w:ascii="宋体" w:hAnsi="宋体" w:cs="宋体" w:eastAsia="宋体" w:hint="default"/>
                <w:sz w:val="18"/>
                <w:szCs w:val="18"/>
              </w:rPr>
            </w:pPr>
            <w:r>
              <w:rPr>
                <w:rFonts w:ascii="宋体" w:hAnsi="宋体" w:cs="宋体" w:eastAsia="宋体" w:hint="default"/>
                <w:sz w:val="18"/>
                <w:szCs w:val="18"/>
              </w:rPr>
              <w:t>是否为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关联方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担保</w:t>
            </w:r>
          </w:p>
        </w:tc>
      </w:tr>
      <w:tr>
        <w:trPr>
          <w:trHeight w:val="401"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pacing w:val="-3"/>
                <w:sz w:val="18"/>
                <w:szCs w:val="18"/>
              </w:rPr>
              <w:t>公司对子公司的担保情况</w:t>
            </w:r>
          </w:p>
        </w:tc>
      </w:tr>
      <w:tr>
        <w:trPr>
          <w:trHeight w:val="1340"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187" w:right="185"/>
              <w:jc w:val="both"/>
              <w:rPr>
                <w:rFonts w:ascii="宋体" w:hAnsi="宋体" w:cs="宋体" w:eastAsia="宋体" w:hint="default"/>
                <w:sz w:val="18"/>
                <w:szCs w:val="18"/>
              </w:rPr>
            </w:pPr>
            <w:r>
              <w:rPr>
                <w:rFonts w:ascii="宋体" w:hAnsi="宋体" w:cs="宋体" w:eastAsia="宋体" w:hint="default"/>
                <w:sz w:val="18"/>
                <w:szCs w:val="18"/>
              </w:rPr>
              <w:t>担保额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度相关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公告披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364" w:right="180" w:hanging="178"/>
              <w:jc w:val="left"/>
              <w:rPr>
                <w:rFonts w:ascii="宋体" w:hAnsi="宋体" w:cs="宋体" w:eastAsia="宋体" w:hint="default"/>
                <w:sz w:val="18"/>
                <w:szCs w:val="18"/>
              </w:rPr>
            </w:pPr>
            <w:r>
              <w:rPr>
                <w:rFonts w:ascii="宋体" w:hAnsi="宋体" w:cs="宋体" w:eastAsia="宋体" w:hint="default"/>
                <w:sz w:val="18"/>
                <w:szCs w:val="18"/>
              </w:rPr>
              <w:t>担保额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345" w:right="161" w:hanging="178"/>
              <w:jc w:val="left"/>
              <w:rPr>
                <w:rFonts w:ascii="宋体" w:hAnsi="宋体" w:cs="宋体" w:eastAsia="宋体" w:hint="default"/>
                <w:sz w:val="18"/>
                <w:szCs w:val="18"/>
              </w:rPr>
            </w:pPr>
            <w:r>
              <w:rPr>
                <w:rFonts w:ascii="宋体" w:hAnsi="宋体" w:cs="宋体" w:eastAsia="宋体" w:hint="default"/>
                <w:sz w:val="18"/>
                <w:szCs w:val="18"/>
              </w:rPr>
              <w:t>实际担保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47"/>
              <w:jc w:val="right"/>
              <w:rPr>
                <w:rFonts w:ascii="宋体" w:hAnsi="宋体" w:cs="宋体" w:eastAsia="宋体" w:hint="default"/>
                <w:sz w:val="18"/>
                <w:szCs w:val="18"/>
              </w:rPr>
            </w:pPr>
            <w:r>
              <w:rPr>
                <w:rFonts w:ascii="宋体" w:hAnsi="宋体" w:cs="宋体" w:eastAsia="宋体" w:hint="default"/>
                <w:spacing w:val="-2"/>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119" w:right="118"/>
              <w:jc w:val="left"/>
              <w:rPr>
                <w:rFonts w:ascii="宋体" w:hAnsi="宋体" w:cs="宋体" w:eastAsia="宋体" w:hint="default"/>
                <w:sz w:val="18"/>
                <w:szCs w:val="18"/>
              </w:rPr>
            </w:pPr>
            <w:r>
              <w:rPr>
                <w:rFonts w:ascii="宋体" w:hAnsi="宋体" w:cs="宋体" w:eastAsia="宋体" w:hint="default"/>
                <w:sz w:val="18"/>
                <w:szCs w:val="18"/>
              </w:rPr>
              <w:t>是否履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行完毕</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15" w:right="108"/>
              <w:jc w:val="both"/>
              <w:rPr>
                <w:rFonts w:ascii="宋体" w:hAnsi="宋体" w:cs="宋体" w:eastAsia="宋体" w:hint="default"/>
                <w:sz w:val="18"/>
                <w:szCs w:val="18"/>
              </w:rPr>
            </w:pPr>
            <w:r>
              <w:rPr>
                <w:rFonts w:ascii="宋体" w:hAnsi="宋体" w:cs="宋体" w:eastAsia="宋体" w:hint="default"/>
                <w:sz w:val="18"/>
                <w:szCs w:val="18"/>
              </w:rPr>
              <w:t>是否为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关联方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担保</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105" w:right="147"/>
              <w:jc w:val="left"/>
              <w:rPr>
                <w:rFonts w:ascii="宋体" w:hAnsi="宋体" w:cs="宋体" w:eastAsia="宋体" w:hint="default"/>
                <w:sz w:val="18"/>
                <w:szCs w:val="18"/>
              </w:rPr>
            </w:pPr>
            <w:r>
              <w:rPr>
                <w:rFonts w:ascii="宋体" w:hAnsi="宋体" w:cs="宋体" w:eastAsia="宋体" w:hint="default"/>
                <w:spacing w:val="-2"/>
                <w:sz w:val="18"/>
                <w:szCs w:val="18"/>
              </w:rPr>
              <w:t>合肥天源迪科信息</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技术有限公司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105" w:right="194"/>
              <w:jc w:val="left"/>
              <w:rPr>
                <w:rFonts w:ascii="宋体" w:hAnsi="宋体" w:cs="宋体" w:eastAsia="宋体" w:hint="default"/>
                <w:sz w:val="18"/>
                <w:szCs w:val="18"/>
              </w:rPr>
            </w:pPr>
            <w:r>
              <w:rPr>
                <w:rFonts w:ascii="宋体" w:hAnsi="宋体" w:cs="宋体" w:eastAsia="宋体" w:hint="default"/>
                <w:sz w:val="18"/>
                <w:szCs w:val="18"/>
              </w:rPr>
              <w:t>连带责任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05" w:right="147"/>
              <w:jc w:val="left"/>
              <w:rPr>
                <w:rFonts w:ascii="宋体" w:hAnsi="宋体" w:cs="宋体" w:eastAsia="宋体" w:hint="default"/>
                <w:sz w:val="18"/>
                <w:szCs w:val="18"/>
              </w:rPr>
            </w:pPr>
            <w:r>
              <w:rPr>
                <w:rFonts w:ascii="宋体" w:hAnsi="宋体" w:cs="宋体" w:eastAsia="宋体" w:hint="default"/>
                <w:spacing w:val="-2"/>
                <w:sz w:val="18"/>
                <w:szCs w:val="18"/>
              </w:rPr>
              <w:t>上海天源迪科信息</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技术有限公司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05" w:right="194"/>
              <w:jc w:val="left"/>
              <w:rPr>
                <w:rFonts w:ascii="宋体" w:hAnsi="宋体" w:cs="宋体" w:eastAsia="宋体" w:hint="default"/>
                <w:sz w:val="18"/>
                <w:szCs w:val="18"/>
              </w:rPr>
            </w:pPr>
            <w:r>
              <w:rPr>
                <w:rFonts w:ascii="宋体" w:hAnsi="宋体" w:cs="宋体" w:eastAsia="宋体" w:hint="default"/>
                <w:sz w:val="18"/>
                <w:szCs w:val="18"/>
              </w:rPr>
              <w:t>连带责任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5" w:right="147"/>
              <w:jc w:val="left"/>
              <w:rPr>
                <w:rFonts w:ascii="宋体" w:hAnsi="宋体" w:cs="宋体" w:eastAsia="宋体" w:hint="default"/>
                <w:sz w:val="18"/>
                <w:szCs w:val="18"/>
              </w:rPr>
            </w:pPr>
            <w:r>
              <w:rPr>
                <w:rFonts w:ascii="宋体" w:hAnsi="宋体" w:cs="宋体" w:eastAsia="宋体" w:hint="default"/>
                <w:spacing w:val="-2"/>
                <w:sz w:val="18"/>
                <w:szCs w:val="18"/>
              </w:rPr>
              <w:t>深圳市金华威数码</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科技有限公司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150,000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102,000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5" w:right="194"/>
              <w:jc w:val="left"/>
              <w:rPr>
                <w:rFonts w:ascii="宋体" w:hAnsi="宋体" w:cs="宋体" w:eastAsia="宋体" w:hint="default"/>
                <w:sz w:val="18"/>
                <w:szCs w:val="18"/>
              </w:rPr>
            </w:pPr>
            <w:r>
              <w:rPr>
                <w:rFonts w:ascii="宋体" w:hAnsi="宋体" w:cs="宋体" w:eastAsia="宋体" w:hint="default"/>
                <w:sz w:val="18"/>
                <w:szCs w:val="18"/>
              </w:rPr>
              <w:t>连带责任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5" w:right="147"/>
              <w:jc w:val="left"/>
              <w:rPr>
                <w:rFonts w:ascii="宋体" w:hAnsi="宋体" w:cs="宋体" w:eastAsia="宋体" w:hint="default"/>
                <w:sz w:val="18"/>
                <w:szCs w:val="18"/>
              </w:rPr>
            </w:pPr>
            <w:r>
              <w:rPr>
                <w:rFonts w:ascii="宋体" w:hAnsi="宋体" w:cs="宋体" w:eastAsia="宋体" w:hint="default"/>
                <w:spacing w:val="-2"/>
                <w:sz w:val="18"/>
                <w:szCs w:val="18"/>
              </w:rPr>
              <w:t>维恩贝特科技有限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w:t>
            </w:r>
          </w:p>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5" w:right="194"/>
              <w:jc w:val="left"/>
              <w:rPr>
                <w:rFonts w:ascii="宋体" w:hAnsi="宋体" w:cs="宋体" w:eastAsia="宋体" w:hint="default"/>
                <w:sz w:val="18"/>
                <w:szCs w:val="18"/>
              </w:rPr>
            </w:pPr>
            <w:r>
              <w:rPr>
                <w:rFonts w:ascii="宋体" w:hAnsi="宋体" w:cs="宋体" w:eastAsia="宋体" w:hint="default"/>
                <w:sz w:val="18"/>
                <w:szCs w:val="18"/>
              </w:rPr>
              <w:t>连带责任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5" w:right="147"/>
              <w:jc w:val="left"/>
              <w:rPr>
                <w:rFonts w:ascii="宋体" w:hAnsi="宋体" w:cs="宋体" w:eastAsia="宋体" w:hint="default"/>
                <w:sz w:val="18"/>
                <w:szCs w:val="18"/>
              </w:rPr>
            </w:pPr>
            <w:r>
              <w:rPr>
                <w:rFonts w:ascii="宋体" w:hAnsi="宋体" w:cs="宋体" w:eastAsia="宋体" w:hint="default"/>
                <w:spacing w:val="-2"/>
                <w:sz w:val="18"/>
                <w:szCs w:val="18"/>
              </w:rPr>
              <w:t>合肥天源迪科信息</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技术有限公司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5" w:right="194"/>
              <w:jc w:val="left"/>
              <w:rPr>
                <w:rFonts w:ascii="宋体" w:hAnsi="宋体" w:cs="宋体" w:eastAsia="宋体" w:hint="default"/>
                <w:sz w:val="18"/>
                <w:szCs w:val="18"/>
              </w:rPr>
            </w:pPr>
            <w:r>
              <w:rPr>
                <w:rFonts w:ascii="宋体" w:hAnsi="宋体" w:cs="宋体" w:eastAsia="宋体" w:hint="default"/>
                <w:sz w:val="18"/>
                <w:szCs w:val="18"/>
              </w:rPr>
              <w:t>连带责任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3"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76"/>
              <w:jc w:val="left"/>
              <w:rPr>
                <w:rFonts w:ascii="宋体" w:hAnsi="宋体" w:cs="宋体" w:eastAsia="宋体" w:hint="default"/>
                <w:sz w:val="18"/>
                <w:szCs w:val="18"/>
              </w:rPr>
            </w:pPr>
            <w:r>
              <w:rPr>
                <w:rFonts w:ascii="宋体" w:hAnsi="宋体" w:cs="宋体" w:eastAsia="宋体" w:hint="default"/>
                <w:spacing w:val="-3"/>
                <w:sz w:val="18"/>
                <w:szCs w:val="18"/>
              </w:rPr>
              <w:t>报告期内审批对子公司担保额</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198,000</w:t>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51"/>
              <w:jc w:val="left"/>
              <w:rPr>
                <w:rFonts w:ascii="宋体" w:hAnsi="宋体" w:cs="宋体" w:eastAsia="宋体" w:hint="default"/>
                <w:sz w:val="18"/>
                <w:szCs w:val="18"/>
              </w:rPr>
            </w:pPr>
            <w:r>
              <w:rPr>
                <w:rFonts w:ascii="宋体" w:hAnsi="宋体" w:cs="宋体" w:eastAsia="宋体" w:hint="default"/>
                <w:sz w:val="18"/>
                <w:szCs w:val="18"/>
              </w:rPr>
              <w:t>报告期内对子公司担保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实际发生额合计（</w:t>
            </w:r>
            <w:r>
              <w:rPr>
                <w:rFonts w:ascii="Times New Roman" w:hAnsi="Times New Roman" w:cs="Times New Roman" w:eastAsia="Times New Roman" w:hint="default"/>
                <w:spacing w:val="-2"/>
                <w:sz w:val="18"/>
                <w:szCs w:val="18"/>
              </w:rPr>
              <w:t>B2</w:t>
            </w:r>
            <w:r>
              <w:rPr>
                <w:rFonts w:ascii="宋体" w:hAnsi="宋体" w:cs="宋体" w:eastAsia="宋体" w:hint="default"/>
                <w:spacing w:val="-2"/>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116,700</w:t>
            </w:r>
          </w:p>
        </w:tc>
      </w:tr>
      <w:tr>
        <w:trPr>
          <w:trHeight w:val="713"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05" w:right="176"/>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报告期末已审批的对子公司担</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198,000</w:t>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05" w:right="180"/>
              <w:jc w:val="left"/>
              <w:rPr>
                <w:rFonts w:ascii="宋体" w:hAnsi="宋体" w:cs="宋体" w:eastAsia="宋体" w:hint="default"/>
                <w:sz w:val="18"/>
                <w:szCs w:val="18"/>
              </w:rPr>
            </w:pPr>
            <w:r>
              <w:rPr>
                <w:rFonts w:ascii="宋体" w:hAnsi="宋体" w:cs="宋体" w:eastAsia="宋体" w:hint="default"/>
                <w:spacing w:val="-2"/>
                <w:sz w:val="18"/>
                <w:szCs w:val="18"/>
              </w:rPr>
              <w:t>报告期末对子公司实际</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106,800</w:t>
            </w:r>
          </w:p>
        </w:tc>
      </w:tr>
    </w:tbl>
    <w:p>
      <w:pPr>
        <w:spacing w:after="0" w:line="240" w:lineRule="auto"/>
        <w:jc w:val="right"/>
        <w:rPr>
          <w:rFonts w:ascii="Times New Roman" w:hAnsi="Times New Roman" w:cs="Times New Roman" w:eastAsia="Times New Roman" w:hint="default"/>
          <w:sz w:val="18"/>
          <w:szCs w:val="18"/>
        </w:rPr>
        <w:sectPr>
          <w:headerReference w:type="default" r:id="rId16"/>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709"/>
        <w:gridCol w:w="920"/>
        <w:gridCol w:w="915"/>
        <w:gridCol w:w="1311"/>
        <w:gridCol w:w="1047"/>
        <w:gridCol w:w="1056"/>
        <w:gridCol w:w="1045"/>
        <w:gridCol w:w="785"/>
        <w:gridCol w:w="787"/>
      </w:tblGrid>
      <w:tr>
        <w:trPr>
          <w:trHeight w:val="40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子公司对子公司的担保情况</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87" w:right="178"/>
              <w:jc w:val="both"/>
              <w:rPr>
                <w:rFonts w:ascii="宋体" w:hAnsi="宋体" w:cs="宋体" w:eastAsia="宋体" w:hint="default"/>
                <w:sz w:val="18"/>
                <w:szCs w:val="18"/>
              </w:rPr>
            </w:pPr>
            <w:r>
              <w:rPr>
                <w:rFonts w:ascii="宋体" w:hAnsi="宋体" w:cs="宋体" w:eastAsia="宋体" w:hint="default"/>
                <w:sz w:val="18"/>
                <w:szCs w:val="18"/>
              </w:rPr>
              <w:t>担保额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度相关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公告披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露日期</w:t>
            </w:r>
          </w:p>
        </w:tc>
        <w:tc>
          <w:tcPr>
            <w:tcW w:w="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362" w:right="176" w:hanging="178"/>
              <w:jc w:val="left"/>
              <w:rPr>
                <w:rFonts w:ascii="宋体" w:hAnsi="宋体" w:cs="宋体" w:eastAsia="宋体" w:hint="default"/>
                <w:sz w:val="18"/>
                <w:szCs w:val="18"/>
              </w:rPr>
            </w:pPr>
            <w:r>
              <w:rPr>
                <w:rFonts w:ascii="宋体" w:hAnsi="宋体" w:cs="宋体" w:eastAsia="宋体" w:hint="default"/>
                <w:sz w:val="18"/>
                <w:szCs w:val="18"/>
              </w:rPr>
              <w:t>担保额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w:t>
            </w:r>
          </w:p>
        </w:tc>
        <w:tc>
          <w:tcPr>
            <w:tcW w:w="1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335" w:right="151" w:hanging="178"/>
              <w:jc w:val="left"/>
              <w:rPr>
                <w:rFonts w:ascii="宋体" w:hAnsi="宋体" w:cs="宋体" w:eastAsia="宋体" w:hint="default"/>
                <w:sz w:val="18"/>
                <w:szCs w:val="18"/>
              </w:rPr>
            </w:pPr>
            <w:r>
              <w:rPr>
                <w:rFonts w:ascii="宋体" w:hAnsi="宋体" w:cs="宋体" w:eastAsia="宋体" w:hint="default"/>
                <w:sz w:val="18"/>
                <w:szCs w:val="18"/>
              </w:rPr>
              <w:t>实际担保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17" w:right="113"/>
              <w:jc w:val="left"/>
              <w:rPr>
                <w:rFonts w:ascii="宋体" w:hAnsi="宋体" w:cs="宋体" w:eastAsia="宋体" w:hint="default"/>
                <w:sz w:val="18"/>
                <w:szCs w:val="18"/>
              </w:rPr>
            </w:pPr>
            <w:r>
              <w:rPr>
                <w:rFonts w:ascii="宋体" w:hAnsi="宋体" w:cs="宋体" w:eastAsia="宋体" w:hint="default"/>
                <w:sz w:val="18"/>
                <w:szCs w:val="18"/>
              </w:rPr>
              <w:t>是否履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19" w:right="113"/>
              <w:jc w:val="both"/>
              <w:rPr>
                <w:rFonts w:ascii="宋体" w:hAnsi="宋体" w:cs="宋体" w:eastAsia="宋体" w:hint="default"/>
                <w:sz w:val="18"/>
                <w:szCs w:val="18"/>
              </w:rPr>
            </w:pPr>
            <w:r>
              <w:rPr>
                <w:rFonts w:ascii="宋体" w:hAnsi="宋体" w:cs="宋体" w:eastAsia="宋体" w:hint="default"/>
                <w:sz w:val="18"/>
                <w:szCs w:val="18"/>
              </w:rPr>
              <w:t>是否为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关联方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担保</w:t>
            </w:r>
          </w:p>
        </w:tc>
      </w:tr>
      <w:tr>
        <w:trPr>
          <w:trHeight w:val="396"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pacing w:val="-3"/>
                <w:sz w:val="18"/>
                <w:szCs w:val="18"/>
              </w:rPr>
              <w:t>公司担保总额（即前三大项的合计）</w:t>
            </w:r>
          </w:p>
        </w:tc>
      </w:tr>
      <w:tr>
        <w:trPr>
          <w:trHeight w:val="720"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报告期内审批担保额度合计</w:t>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198,000</w:t>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8"/>
              <w:ind w:left="105" w:right="180"/>
              <w:jc w:val="left"/>
              <w:rPr>
                <w:rFonts w:ascii="宋体" w:hAnsi="宋体" w:cs="宋体" w:eastAsia="宋体" w:hint="default"/>
                <w:sz w:val="18"/>
                <w:szCs w:val="18"/>
              </w:rPr>
            </w:pPr>
            <w:r>
              <w:rPr>
                <w:rFonts w:ascii="宋体" w:hAnsi="宋体" w:cs="宋体" w:eastAsia="宋体" w:hint="default"/>
                <w:spacing w:val="-2"/>
                <w:sz w:val="18"/>
                <w:szCs w:val="18"/>
              </w:rPr>
              <w:t>报告期内担保实际发生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额合计（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116,700</w:t>
            </w:r>
          </w:p>
        </w:tc>
      </w:tr>
      <w:tr>
        <w:trPr>
          <w:trHeight w:val="715"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68"/>
              <w:jc w:val="left"/>
              <w:rPr>
                <w:rFonts w:ascii="宋体" w:hAnsi="宋体" w:cs="宋体" w:eastAsia="宋体" w:hint="default"/>
                <w:sz w:val="18"/>
                <w:szCs w:val="18"/>
              </w:rPr>
            </w:pPr>
            <w:r>
              <w:rPr>
                <w:rFonts w:ascii="宋体" w:hAnsi="宋体" w:cs="宋体" w:eastAsia="宋体" w:hint="default"/>
                <w:spacing w:val="-3"/>
                <w:sz w:val="18"/>
                <w:szCs w:val="18"/>
              </w:rPr>
              <w:t>报告期末已审批的担保额度合</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计（</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198,000</w:t>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80"/>
              <w:jc w:val="left"/>
              <w:rPr>
                <w:rFonts w:ascii="宋体" w:hAnsi="宋体" w:cs="宋体" w:eastAsia="宋体" w:hint="default"/>
                <w:sz w:val="18"/>
                <w:szCs w:val="18"/>
              </w:rPr>
            </w:pPr>
            <w:r>
              <w:rPr>
                <w:rFonts w:ascii="宋体" w:hAnsi="宋体" w:cs="宋体" w:eastAsia="宋体" w:hint="default"/>
                <w:spacing w:val="-2"/>
                <w:sz w:val="18"/>
                <w:szCs w:val="18"/>
              </w:rPr>
              <w:t>报告期末实际担保余额</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106,800</w:t>
            </w:r>
          </w:p>
        </w:tc>
      </w:tr>
      <w:tr>
        <w:trPr>
          <w:trHeight w:val="408"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2"/>
                <w:sz w:val="18"/>
                <w:szCs w:val="18"/>
              </w:rPr>
              <w:t>实际担保总额（即</w:t>
            </w:r>
            <w:r>
              <w:rPr>
                <w:rFonts w:ascii="宋体" w:hAnsi="宋体" w:cs="宋体" w:eastAsia="宋体" w:hint="default"/>
                <w:spacing w:val="9"/>
                <w:sz w:val="18"/>
                <w:szCs w:val="18"/>
              </w:rPr>
              <w:t> </w:t>
            </w:r>
            <w:r>
              <w:rPr>
                <w:rFonts w:ascii="Times New Roman" w:hAnsi="Times New Roman" w:cs="Times New Roman" w:eastAsia="Times New Roman" w:hint="default"/>
                <w:spacing w:val="-2"/>
                <w:sz w:val="18"/>
                <w:szCs w:val="18"/>
              </w:rPr>
              <w:t>A4+B4+C4</w:t>
            </w:r>
            <w:r>
              <w:rPr>
                <w:rFonts w:ascii="宋体" w:hAnsi="宋体" w:cs="宋体" w:eastAsia="宋体" w:hint="default"/>
                <w:spacing w:val="-2"/>
                <w:sz w:val="18"/>
                <w:szCs w:val="18"/>
              </w:rPr>
              <w:t>）占公司净资产的比例</w:t>
            </w:r>
          </w:p>
        </w:tc>
        <w:tc>
          <w:tcPr>
            <w:tcW w:w="47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33.91%</w:t>
            </w:r>
          </w:p>
        </w:tc>
      </w:tr>
      <w:tr>
        <w:trPr>
          <w:trHeight w:val="389"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21"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9"/>
              <w:ind w:left="105" w:right="219"/>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19"/>
                <w:sz w:val="18"/>
                <w:szCs w:val="18"/>
              </w:rPr>
              <w:t> </w:t>
            </w:r>
            <w:r>
              <w:rPr>
                <w:rFonts w:ascii="Times New Roman" w:hAnsi="Times New Roman" w:cs="Times New Roman" w:eastAsia="Times New Roman" w:hint="default"/>
                <w:spacing w:val="-3"/>
                <w:sz w:val="18"/>
                <w:szCs w:val="18"/>
              </w:rPr>
              <w:t>70%</w:t>
            </w:r>
            <w:r>
              <w:rPr>
                <w:rFonts w:ascii="宋体" w:hAnsi="宋体" w:cs="宋体" w:eastAsia="宋体" w:hint="default"/>
                <w:spacing w:val="-3"/>
                <w:sz w:val="18"/>
                <w:szCs w:val="18"/>
              </w:rPr>
              <w:t>的被担保对象提供的债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务担保余额（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102,000</w:t>
            </w:r>
          </w:p>
        </w:tc>
      </w:tr>
      <w:tr>
        <w:trPr>
          <w:trHeight w:val="403"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102,000</w:t>
            </w:r>
          </w:p>
        </w:tc>
      </w:tr>
      <w:tr>
        <w:trPr>
          <w:trHeight w:val="716"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95"/>
              <w:jc w:val="left"/>
              <w:rPr>
                <w:rFonts w:ascii="宋体" w:hAnsi="宋体" w:cs="宋体" w:eastAsia="宋体" w:hint="default"/>
                <w:sz w:val="18"/>
                <w:szCs w:val="18"/>
              </w:rPr>
            </w:pPr>
            <w:r>
              <w:rPr>
                <w:rFonts w:ascii="宋体" w:hAnsi="宋体" w:cs="宋体" w:eastAsia="宋体" w:hint="default"/>
                <w:spacing w:val="-4"/>
                <w:sz w:val="18"/>
                <w:szCs w:val="18"/>
              </w:rPr>
              <w:t>对未到期担保，报告期内已发生担保责任或可能承担连带清</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偿责任的情况说明（如有）</w:t>
            </w:r>
          </w:p>
        </w:tc>
        <w:tc>
          <w:tcPr>
            <w:tcW w:w="47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采用复合方式担保的具体情况说明</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2）违规对外担保情况" w:id="88"/>
      <w:bookmarkEnd w:id="88"/>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1"/>
        <w:rPr>
          <w:rFonts w:ascii="宋体" w:hAnsi="宋体" w:cs="宋体" w:eastAsia="宋体" w:hint="default"/>
          <w:b/>
          <w:bCs/>
          <w:sz w:val="27"/>
          <w:szCs w:val="27"/>
        </w:rPr>
      </w:pPr>
    </w:p>
    <w:p>
      <w:pPr>
        <w:spacing w:line="362" w:lineRule="auto" w:before="0"/>
        <w:ind w:left="113" w:right="7695"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公司报告期无违规对外担保情况。</w:t>
      </w:r>
    </w:p>
    <w:p>
      <w:pPr>
        <w:spacing w:line="240" w:lineRule="auto" w:before="3"/>
        <w:rPr>
          <w:rFonts w:ascii="宋体" w:hAnsi="宋体" w:cs="宋体" w:eastAsia="宋体" w:hint="default"/>
          <w:sz w:val="19"/>
          <w:szCs w:val="19"/>
        </w:rPr>
      </w:pPr>
    </w:p>
    <w:p>
      <w:pPr>
        <w:pStyle w:val="Heading3"/>
        <w:spacing w:line="240" w:lineRule="auto"/>
        <w:ind w:right="1764"/>
        <w:jc w:val="left"/>
        <w:rPr>
          <w:b w:val="0"/>
          <w:bCs w:val="0"/>
        </w:rPr>
      </w:pPr>
      <w:bookmarkStart w:name="3、委托他人进行现金资产管理情况" w:id="89"/>
      <w:bookmarkEnd w:id="89"/>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1）委托理财情况" w:id="90"/>
      <w:bookmarkEnd w:id="90"/>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1"/>
        <w:rPr>
          <w:rFonts w:ascii="宋体" w:hAnsi="宋体" w:cs="宋体" w:eastAsia="宋体" w:hint="default"/>
          <w:b/>
          <w:bCs/>
          <w:sz w:val="27"/>
          <w:szCs w:val="27"/>
        </w:rPr>
      </w:pPr>
    </w:p>
    <w:p>
      <w:pPr>
        <w:spacing w:line="357" w:lineRule="auto" w:before="0"/>
        <w:ind w:left="113" w:right="7695"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公司报告期不存在委托理财。</w:t>
      </w:r>
    </w:p>
    <w:p>
      <w:pPr>
        <w:spacing w:line="240" w:lineRule="auto" w:before="7"/>
        <w:rPr>
          <w:rFonts w:ascii="宋体" w:hAnsi="宋体" w:cs="宋体" w:eastAsia="宋体" w:hint="default"/>
          <w:sz w:val="19"/>
          <w:szCs w:val="19"/>
        </w:rPr>
      </w:pPr>
    </w:p>
    <w:p>
      <w:pPr>
        <w:pStyle w:val="Heading3"/>
        <w:spacing w:line="240" w:lineRule="auto"/>
        <w:ind w:right="1764"/>
        <w:jc w:val="left"/>
        <w:rPr>
          <w:b w:val="0"/>
          <w:bCs w:val="0"/>
        </w:rPr>
      </w:pPr>
      <w:bookmarkStart w:name="（2）委托贷款情况" w:id="91"/>
      <w:bookmarkEnd w:id="91"/>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1"/>
        <w:rPr>
          <w:rFonts w:ascii="宋体" w:hAnsi="宋体" w:cs="宋体" w:eastAsia="宋体" w:hint="default"/>
          <w:b/>
          <w:bCs/>
          <w:sz w:val="27"/>
          <w:szCs w:val="27"/>
        </w:rPr>
      </w:pPr>
    </w:p>
    <w:p>
      <w:pPr>
        <w:spacing w:line="357" w:lineRule="auto" w:before="0"/>
        <w:ind w:left="113" w:right="7695"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公司报告期不存在委托贷款。</w:t>
      </w:r>
    </w:p>
    <w:p>
      <w:pPr>
        <w:spacing w:line="240" w:lineRule="auto" w:before="12"/>
        <w:rPr>
          <w:rFonts w:ascii="宋体" w:hAnsi="宋体" w:cs="宋体" w:eastAsia="宋体" w:hint="default"/>
          <w:sz w:val="19"/>
          <w:szCs w:val="19"/>
        </w:rPr>
      </w:pPr>
    </w:p>
    <w:p>
      <w:pPr>
        <w:pStyle w:val="Heading3"/>
        <w:spacing w:line="240" w:lineRule="auto"/>
        <w:ind w:right="1764"/>
        <w:jc w:val="left"/>
        <w:rPr>
          <w:b w:val="0"/>
          <w:bCs w:val="0"/>
        </w:rPr>
      </w:pPr>
      <w:bookmarkStart w:name="4、其他重大合同" w:id="92"/>
      <w:bookmarkEnd w:id="92"/>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1"/>
        <w:rPr>
          <w:rFonts w:ascii="宋体" w:hAnsi="宋体" w:cs="宋体" w:eastAsia="宋体" w:hint="default"/>
          <w:b/>
          <w:bCs/>
          <w:sz w:val="27"/>
          <w:szCs w:val="27"/>
        </w:rPr>
      </w:pPr>
    </w:p>
    <w:p>
      <w:pPr>
        <w:spacing w:line="357" w:lineRule="auto" w:before="0"/>
        <w:ind w:left="113" w:right="7695"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公司报告期不存在其他重大合同。</w:t>
      </w:r>
    </w:p>
    <w:p>
      <w:pPr>
        <w:spacing w:after="0" w:line="357"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宋体" w:hAnsi="宋体" w:cs="宋体" w:eastAsia="宋体" w:hint="default"/>
          <w:sz w:val="20"/>
          <w:szCs w:val="20"/>
        </w:rPr>
      </w:pPr>
    </w:p>
    <w:p>
      <w:pPr>
        <w:pStyle w:val="Heading2"/>
        <w:spacing w:line="240" w:lineRule="auto" w:before="26"/>
        <w:ind w:right="1764"/>
        <w:jc w:val="left"/>
        <w:rPr>
          <w:b w:val="0"/>
          <w:bCs w:val="0"/>
        </w:rPr>
      </w:pPr>
      <w:bookmarkStart w:name="十七、社会责任情况" w:id="93"/>
      <w:bookmarkEnd w:id="93"/>
      <w:r>
        <w:rPr>
          <w:b w:val="0"/>
          <w:bCs w:val="0"/>
        </w:rPr>
      </w:r>
      <w:r>
        <w:rPr/>
        <w:t>十七、社会责任情况</w:t>
      </w:r>
      <w:r>
        <w:rPr>
          <w:b w:val="0"/>
          <w:bCs w:val="0"/>
        </w:rPr>
      </w:r>
    </w:p>
    <w:p>
      <w:pPr>
        <w:spacing w:line="240" w:lineRule="auto" w:before="3"/>
        <w:rPr>
          <w:rFonts w:ascii="宋体" w:hAnsi="宋体" w:cs="宋体" w:eastAsia="宋体" w:hint="default"/>
          <w:b/>
          <w:bCs/>
          <w:sz w:val="25"/>
          <w:szCs w:val="25"/>
        </w:rPr>
      </w:pPr>
    </w:p>
    <w:p>
      <w:pPr>
        <w:spacing w:line="547" w:lineRule="auto" w:before="0"/>
        <w:ind w:left="113" w:right="1007" w:firstLine="0"/>
        <w:jc w:val="left"/>
        <w:rPr>
          <w:rFonts w:ascii="宋体" w:hAnsi="宋体" w:cs="宋体" w:eastAsia="宋体" w:hint="default"/>
          <w:sz w:val="21"/>
          <w:szCs w:val="21"/>
        </w:rPr>
      </w:pPr>
      <w:bookmarkStart w:name="1、履行社会责任情况" w:id="94"/>
      <w:bookmarkEnd w:id="9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spacing w:val="-102"/>
          <w:sz w:val="21"/>
          <w:szCs w:val="21"/>
        </w:rPr>
        <w:t> </w:t>
      </w:r>
      <w:r>
        <w:rPr>
          <w:rFonts w:ascii="宋体" w:hAnsi="宋体" w:cs="宋体" w:eastAsia="宋体" w:hint="default"/>
          <w:spacing w:val="-5"/>
          <w:w w:val="101"/>
          <w:sz w:val="18"/>
          <w:szCs w:val="18"/>
        </w:rPr>
        <w:t>公司</w:t>
      </w:r>
      <w:r>
        <w:rPr>
          <w:rFonts w:ascii="宋体" w:hAnsi="宋体" w:cs="宋体" w:eastAsia="宋体" w:hint="default"/>
          <w:spacing w:val="-5"/>
          <w:w w:val="101"/>
          <w:sz w:val="18"/>
          <w:szCs w:val="18"/>
        </w:rPr>
        <w:t>2019</w:t>
      </w:r>
      <w:r>
        <w:rPr>
          <w:rFonts w:ascii="宋体" w:hAnsi="宋体" w:cs="宋体" w:eastAsia="宋体" w:hint="default"/>
          <w:spacing w:val="-5"/>
          <w:w w:val="101"/>
          <w:sz w:val="18"/>
          <w:szCs w:val="18"/>
        </w:rPr>
        <w:t>年度社会责任报告已于</w:t>
      </w:r>
      <w:r>
        <w:rPr>
          <w:rFonts w:ascii="Times New Roman" w:hAnsi="Times New Roman" w:cs="Times New Roman" w:eastAsia="Times New Roman" w:hint="default"/>
          <w:spacing w:val="-5"/>
          <w:w w:val="101"/>
          <w:sz w:val="18"/>
          <w:szCs w:val="18"/>
        </w:rPr>
        <w:t>2020</w:t>
      </w:r>
      <w:r>
        <w:rPr>
          <w:rFonts w:ascii="宋体" w:hAnsi="宋体" w:cs="宋体" w:eastAsia="宋体" w:hint="default"/>
          <w:spacing w:val="-5"/>
          <w:w w:val="101"/>
          <w:sz w:val="18"/>
          <w:szCs w:val="18"/>
        </w:rPr>
        <w:t>年</w:t>
      </w:r>
      <w:r>
        <w:rPr>
          <w:rFonts w:ascii="Times New Roman" w:hAnsi="Times New Roman" w:cs="Times New Roman" w:eastAsia="Times New Roman" w:hint="default"/>
          <w:spacing w:val="-5"/>
          <w:w w:val="101"/>
          <w:sz w:val="18"/>
          <w:szCs w:val="18"/>
        </w:rPr>
        <w:t>4</w:t>
      </w:r>
      <w:r>
        <w:rPr>
          <w:rFonts w:ascii="宋体" w:hAnsi="宋体" w:cs="宋体" w:eastAsia="宋体" w:hint="default"/>
          <w:spacing w:val="-5"/>
          <w:w w:val="101"/>
          <w:sz w:val="18"/>
          <w:szCs w:val="18"/>
        </w:rPr>
        <w:t>月</w:t>
      </w:r>
      <w:r>
        <w:rPr>
          <w:rFonts w:ascii="宋体" w:hAnsi="宋体" w:cs="宋体" w:eastAsia="宋体" w:hint="default"/>
          <w:spacing w:val="-5"/>
          <w:w w:val="101"/>
          <w:sz w:val="18"/>
          <w:szCs w:val="18"/>
        </w:rPr>
        <w:t>21</w:t>
      </w:r>
      <w:r>
        <w:rPr>
          <w:rFonts w:ascii="宋体" w:hAnsi="宋体" w:cs="宋体" w:eastAsia="宋体" w:hint="default"/>
          <w:spacing w:val="-5"/>
          <w:w w:val="101"/>
          <w:sz w:val="18"/>
          <w:szCs w:val="18"/>
        </w:rPr>
        <w:t>日披露于中国证监会指定信息披露网站（巨潮资讯网</w:t>
      </w:r>
      <w:r>
        <w:rPr>
          <w:rFonts w:ascii="Times New Roman" w:hAnsi="Times New Roman" w:cs="Times New Roman" w:eastAsia="Times New Roman" w:hint="default"/>
          <w:spacing w:val="-5"/>
          <w:w w:val="101"/>
          <w:sz w:val="18"/>
          <w:szCs w:val="18"/>
        </w:rPr>
        <w:t>http</w:t>
      </w:r>
      <w:r>
        <w:rPr>
          <w:rFonts w:ascii="宋体" w:hAnsi="宋体" w:cs="宋体" w:eastAsia="宋体" w:hint="default"/>
          <w:spacing w:val="-5"/>
          <w:w w:val="101"/>
          <w:sz w:val="18"/>
          <w:szCs w:val="18"/>
        </w:rPr>
        <w:t>：</w:t>
      </w:r>
      <w:r>
        <w:rPr>
          <w:rFonts w:ascii="Times New Roman" w:hAnsi="Times New Roman" w:cs="Times New Roman" w:eastAsia="Times New Roman" w:hint="default"/>
          <w:spacing w:val="-5"/>
          <w:w w:val="101"/>
          <w:sz w:val="18"/>
          <w:szCs w:val="18"/>
        </w:rPr>
        <w:t>//www.cninfo.com.cn)</w:t>
      </w:r>
      <w:r>
        <w:rPr>
          <w:rFonts w:ascii="Times New Roman" w:hAnsi="Times New Roman" w:cs="Times New Roman" w:eastAsia="Times New Roman" w:hint="default"/>
          <w:w w:val="101"/>
          <w:sz w:val="18"/>
          <w:szCs w:val="18"/>
        </w:rPr>
        <w:t> </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12"/>
          <w:w w:val="101"/>
          <w:sz w:val="18"/>
          <w:szCs w:val="18"/>
        </w:rPr>
        <w:t> </w:t>
      </w:r>
      <w:r>
        <w:rPr>
          <w:rFonts w:ascii="Times New Roman" w:hAnsi="Times New Roman" w:cs="Times New Roman" w:eastAsia="Times New Roman" w:hint="default"/>
          <w:spacing w:val="-12"/>
          <w:w w:val="101"/>
          <w:sz w:val="18"/>
          <w:szCs w:val="18"/>
        </w:rPr>
      </w:r>
      <w:bookmarkStart w:name="2、履行精准扶贫社会责任情况" w:id="95"/>
      <w:bookmarkEnd w:id="95"/>
      <w:r>
        <w:rPr>
          <w:rFonts w:ascii="Times New Roman" w:hAnsi="Times New Roman" w:cs="Times New Roman" w:eastAsia="Times New Roman" w:hint="default"/>
          <w:spacing w:val="-12"/>
          <w:w w:val="101"/>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sz w:val="21"/>
          <w:szCs w:val="21"/>
        </w:rPr>
      </w:r>
    </w:p>
    <w:p>
      <w:pPr>
        <w:pStyle w:val="Heading3"/>
        <w:spacing w:line="240" w:lineRule="auto" w:before="21"/>
        <w:ind w:right="1764"/>
        <w:jc w:val="left"/>
        <w:rPr>
          <w:b w:val="0"/>
          <w:bCs w:val="0"/>
        </w:rPr>
      </w:pPr>
      <w:bookmarkStart w:name="（1）精准扶贫规划" w:id="96"/>
      <w:bookmarkEnd w:id="96"/>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1"/>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公司报告年度暂未开展精准扶贫工作，也暂无后续精准扶贫计划。</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2）年度精准扶贫概要" w:id="97"/>
      <w:bookmarkEnd w:id="97"/>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3）精准扶贫成效" w:id="98"/>
      <w:bookmarkEnd w:id="98"/>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626"/>
        <w:gridCol w:w="1556"/>
        <w:gridCol w:w="4389"/>
      </w:tblGrid>
      <w:tr>
        <w:trPr>
          <w:trHeight w:val="398"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3"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4"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98"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4"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98"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4"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98"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三、所获奖项（内容、级别）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1764"/>
        <w:jc w:val="left"/>
        <w:rPr>
          <w:b w:val="0"/>
          <w:bCs w:val="0"/>
        </w:rPr>
      </w:pPr>
      <w:bookmarkStart w:name="（4）后续精准扶贫计划" w:id="99"/>
      <w:bookmarkEnd w:id="99"/>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3、环境保护相关的情况" w:id="100"/>
      <w:bookmarkEnd w:id="100"/>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spacing w:line="362" w:lineRule="auto" w:before="0"/>
        <w:ind w:left="113" w:right="5762" w:firstLine="0"/>
        <w:jc w:val="left"/>
        <w:rPr>
          <w:rFonts w:ascii="宋体" w:hAnsi="宋体" w:cs="宋体" w:eastAsia="宋体" w:hint="default"/>
          <w:sz w:val="18"/>
          <w:szCs w:val="18"/>
        </w:rPr>
      </w:pPr>
      <w:r>
        <w:rPr>
          <w:rFonts w:ascii="宋体" w:hAnsi="宋体" w:cs="宋体" w:eastAsia="宋体" w:hint="default"/>
          <w:spacing w:val="-3"/>
          <w:sz w:val="18"/>
          <w:szCs w:val="18"/>
        </w:rPr>
        <w:t>上市公司及其子公司是否属于环境保护部门公布的重点排污单位</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否</w:t>
      </w:r>
    </w:p>
    <w:p>
      <w:pPr>
        <w:spacing w:before="18"/>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公司及其子公司不属于环境保护部门公布的重点排污单位。</w:t>
      </w:r>
    </w:p>
    <w:p>
      <w:pPr>
        <w:spacing w:line="240" w:lineRule="auto" w:before="10"/>
        <w:rPr>
          <w:rFonts w:ascii="宋体" w:hAnsi="宋体" w:cs="宋体" w:eastAsia="宋体" w:hint="default"/>
          <w:sz w:val="24"/>
          <w:szCs w:val="24"/>
        </w:rPr>
      </w:pPr>
    </w:p>
    <w:p>
      <w:pPr>
        <w:pStyle w:val="Heading2"/>
        <w:spacing w:line="240" w:lineRule="auto"/>
        <w:ind w:right="1764"/>
        <w:jc w:val="left"/>
        <w:rPr>
          <w:b w:val="0"/>
          <w:bCs w:val="0"/>
        </w:rPr>
      </w:pPr>
      <w:bookmarkStart w:name="十八、其他重大事项的说明" w:id="101"/>
      <w:bookmarkEnd w:id="101"/>
      <w:r>
        <w:rPr>
          <w:b w:val="0"/>
          <w:bCs w:val="0"/>
        </w:rPr>
      </w:r>
      <w:r>
        <w:rPr/>
        <w:t>十八、其他重大事项的说明</w:t>
      </w:r>
      <w:r>
        <w:rPr>
          <w:b w:val="0"/>
          <w:bCs w:val="0"/>
        </w:rPr>
      </w:r>
    </w:p>
    <w:p>
      <w:pPr>
        <w:spacing w:line="240" w:lineRule="auto" w:before="3"/>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spacing w:line="316" w:lineRule="auto" w:before="46"/>
        <w:ind w:left="473" w:right="1007" w:firstLine="62"/>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、报告期内限制性股票回购注销情况</w:t>
      </w:r>
      <w:r>
        <w:rPr>
          <w:rFonts w:ascii="宋体" w:hAnsi="宋体" w:cs="宋体" w:eastAsia="宋体" w:hint="default"/>
          <w:w w:val="101"/>
          <w:sz w:val="18"/>
          <w:szCs w:val="18"/>
        </w:rPr>
        <w:t> </w:t>
      </w:r>
      <w:r>
        <w:rPr>
          <w:rFonts w:ascii="宋体" w:hAnsi="宋体" w:cs="宋体" w:eastAsia="宋体" w:hint="default"/>
          <w:spacing w:val="-3"/>
          <w:sz w:val="18"/>
          <w:szCs w:val="18"/>
        </w:rPr>
        <w:t>限制性股票激励计划激励对象蔡大军、黄胜、廖小荣、文明海、江卫、丰伟、詹文涛、谭琛等共</w:t>
      </w:r>
      <w:r>
        <w:rPr>
          <w:rFonts w:ascii="宋体" w:hAnsi="宋体" w:cs="宋体" w:eastAsia="宋体" w:hint="default"/>
          <w:spacing w:val="-3"/>
          <w:sz w:val="18"/>
          <w:szCs w:val="18"/>
        </w:rPr>
        <w:t>29</w:t>
      </w:r>
      <w:r>
        <w:rPr>
          <w:rFonts w:ascii="宋体" w:hAnsi="宋体" w:cs="宋体" w:eastAsia="宋体" w:hint="default"/>
          <w:spacing w:val="-3"/>
          <w:sz w:val="18"/>
          <w:szCs w:val="18"/>
        </w:rPr>
        <w:t>人因个人原因离职，</w:t>
      </w:r>
    </w:p>
    <w:p>
      <w:pPr>
        <w:spacing w:line="312" w:lineRule="auto" w:before="19"/>
        <w:ind w:left="113" w:right="1122" w:firstLine="0"/>
        <w:jc w:val="both"/>
        <w:rPr>
          <w:rFonts w:ascii="宋体" w:hAnsi="宋体" w:cs="宋体" w:eastAsia="宋体" w:hint="default"/>
          <w:sz w:val="18"/>
          <w:szCs w:val="18"/>
        </w:rPr>
      </w:pPr>
      <w:r>
        <w:rPr>
          <w:rFonts w:ascii="宋体" w:hAnsi="宋体" w:cs="宋体" w:eastAsia="宋体" w:hint="default"/>
          <w:spacing w:val="-3"/>
          <w:sz w:val="18"/>
          <w:szCs w:val="18"/>
        </w:rPr>
        <w:t>已不符合激励条件，其已获授但尚未解锁的限制性股票合计</w:t>
      </w:r>
      <w:r>
        <w:rPr>
          <w:rFonts w:ascii="宋体" w:hAnsi="宋体" w:cs="宋体" w:eastAsia="宋体" w:hint="default"/>
          <w:spacing w:val="-3"/>
          <w:sz w:val="18"/>
          <w:szCs w:val="18"/>
        </w:rPr>
        <w:t>287,800</w:t>
      </w:r>
      <w:r>
        <w:rPr>
          <w:rFonts w:ascii="宋体" w:hAnsi="宋体" w:cs="宋体" w:eastAsia="宋体" w:hint="default"/>
          <w:spacing w:val="-3"/>
          <w:sz w:val="18"/>
          <w:szCs w:val="18"/>
        </w:rPr>
        <w:t>股全部注销；基于</w:t>
      </w:r>
      <w:r>
        <w:rPr>
          <w:rFonts w:ascii="宋体" w:hAnsi="宋体" w:cs="宋体" w:eastAsia="宋体" w:hint="default"/>
          <w:spacing w:val="-3"/>
          <w:sz w:val="18"/>
          <w:szCs w:val="18"/>
        </w:rPr>
        <w:t>2018</w:t>
      </w:r>
      <w:r>
        <w:rPr>
          <w:rFonts w:ascii="宋体" w:hAnsi="宋体" w:cs="宋体" w:eastAsia="宋体" w:hint="default"/>
          <w:spacing w:val="-3"/>
          <w:sz w:val="18"/>
          <w:szCs w:val="18"/>
        </w:rPr>
        <w:t>年度个人考核结果，已获授但尚</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2"/>
          <w:sz w:val="18"/>
          <w:szCs w:val="18"/>
        </w:rPr>
        <w:t>未解锁的限制性股票合计</w:t>
      </w:r>
      <w:r>
        <w:rPr>
          <w:rFonts w:ascii="宋体" w:hAnsi="宋体" w:cs="宋体" w:eastAsia="宋体" w:hint="default"/>
          <w:spacing w:val="-2"/>
          <w:sz w:val="18"/>
          <w:szCs w:val="18"/>
        </w:rPr>
        <w:t>501,672</w:t>
      </w:r>
      <w:r>
        <w:rPr>
          <w:rFonts w:ascii="宋体" w:hAnsi="宋体" w:cs="宋体" w:eastAsia="宋体" w:hint="default"/>
          <w:spacing w:val="-2"/>
          <w:sz w:val="18"/>
          <w:szCs w:val="18"/>
        </w:rPr>
        <w:t>股将回购注销，涉及</w:t>
      </w:r>
      <w:r>
        <w:rPr>
          <w:rFonts w:ascii="宋体" w:hAnsi="宋体" w:cs="宋体" w:eastAsia="宋体" w:hint="default"/>
          <w:spacing w:val="-2"/>
          <w:sz w:val="18"/>
          <w:szCs w:val="18"/>
        </w:rPr>
        <w:t>111</w:t>
      </w:r>
      <w:r>
        <w:rPr>
          <w:rFonts w:ascii="宋体" w:hAnsi="宋体" w:cs="宋体" w:eastAsia="宋体" w:hint="default"/>
          <w:spacing w:val="-2"/>
          <w:sz w:val="18"/>
          <w:szCs w:val="18"/>
        </w:rPr>
        <w:t>名激励对象。上述限制性股票共</w:t>
      </w:r>
      <w:r>
        <w:rPr>
          <w:rFonts w:ascii="Times New Roman" w:hAnsi="Times New Roman" w:cs="Times New Roman" w:eastAsia="Times New Roman" w:hint="default"/>
          <w:spacing w:val="-2"/>
          <w:sz w:val="18"/>
          <w:szCs w:val="18"/>
        </w:rPr>
        <w:t>789,472</w:t>
      </w:r>
      <w:r>
        <w:rPr>
          <w:rFonts w:ascii="宋体" w:hAnsi="宋体" w:cs="宋体" w:eastAsia="宋体" w:hint="default"/>
          <w:spacing w:val="-2"/>
          <w:sz w:val="18"/>
          <w:szCs w:val="18"/>
        </w:rPr>
        <w:t>股已于</w:t>
      </w:r>
      <w:r>
        <w:rPr>
          <w:rFonts w:ascii="Times New Roman" w:hAnsi="Times New Roman" w:cs="Times New Roman" w:eastAsia="Times New Roman" w:hint="default"/>
          <w:spacing w:val="-2"/>
          <w:sz w:val="18"/>
          <w:szCs w:val="18"/>
        </w:rPr>
        <w:t>201</w:t>
      </w:r>
      <w:r>
        <w:rPr>
          <w:rFonts w:ascii="宋体" w:hAnsi="宋体" w:cs="宋体" w:eastAsia="宋体" w:hint="default"/>
          <w:spacing w:val="-2"/>
          <w:sz w:val="18"/>
          <w:szCs w:val="18"/>
        </w:rPr>
        <w:t>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日在中</w:t>
      </w:r>
      <w:r>
        <w:rPr>
          <w:rFonts w:ascii="宋体" w:hAnsi="宋体" w:cs="宋体" w:eastAsia="宋体" w:hint="default"/>
          <w:spacing w:val="4"/>
          <w:sz w:val="18"/>
          <w:szCs w:val="18"/>
        </w:rPr>
        <w:t> </w:t>
      </w:r>
      <w:r>
        <w:rPr>
          <w:rFonts w:ascii="宋体" w:hAnsi="宋体" w:cs="宋体" w:eastAsia="宋体" w:hint="default"/>
          <w:spacing w:val="3"/>
          <w:sz w:val="18"/>
          <w:szCs w:val="18"/>
        </w:rPr>
        <w:t>国证券登记结算有限责任公司深圳分公司完成回购注销。本次回购注销完成后，公司股份总数由 </w:t>
      </w:r>
      <w:r>
        <w:rPr>
          <w:rFonts w:ascii="宋体" w:hAnsi="宋体" w:cs="宋体" w:eastAsia="宋体" w:hint="default"/>
          <w:sz w:val="18"/>
          <w:szCs w:val="18"/>
        </w:rPr>
        <w:t>399,083,860</w:t>
      </w:r>
      <w:r>
        <w:rPr>
          <w:rFonts w:ascii="宋体" w:hAnsi="宋体" w:cs="宋体" w:eastAsia="宋体" w:hint="default"/>
          <w:sz w:val="18"/>
          <w:szCs w:val="18"/>
        </w:rPr>
        <w:t>股变更为</w:t>
      </w:r>
      <w:r>
        <w:rPr>
          <w:rFonts w:ascii="宋体" w:hAnsi="宋体" w:cs="宋体" w:eastAsia="宋体" w:hint="default"/>
          <w:spacing w:val="38"/>
          <w:sz w:val="18"/>
          <w:szCs w:val="18"/>
        </w:rPr>
        <w:t> </w:t>
      </w:r>
      <w:r>
        <w:rPr>
          <w:rFonts w:ascii="宋体" w:hAnsi="宋体" w:cs="宋体" w:eastAsia="宋体" w:hint="default"/>
          <w:spacing w:val="-2"/>
          <w:sz w:val="18"/>
          <w:szCs w:val="18"/>
        </w:rPr>
        <w:t>398,294,388</w:t>
      </w:r>
      <w:r>
        <w:rPr>
          <w:rFonts w:ascii="宋体" w:hAnsi="宋体" w:cs="宋体" w:eastAsia="宋体" w:hint="default"/>
          <w:spacing w:val="-2"/>
          <w:sz w:val="18"/>
          <w:szCs w:val="18"/>
        </w:rPr>
        <w:t>股。详见</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5</w:t>
      </w:r>
      <w:r>
        <w:rPr>
          <w:rFonts w:ascii="宋体" w:hAnsi="宋体" w:cs="宋体" w:eastAsia="宋体" w:hint="default"/>
          <w:spacing w:val="-2"/>
          <w:sz w:val="18"/>
          <w:szCs w:val="18"/>
        </w:rPr>
        <w:t>月</w:t>
      </w:r>
      <w:r>
        <w:rPr>
          <w:rFonts w:ascii="宋体" w:hAnsi="宋体" w:cs="宋体" w:eastAsia="宋体" w:hint="default"/>
          <w:spacing w:val="-2"/>
          <w:sz w:val="18"/>
          <w:szCs w:val="18"/>
        </w:rPr>
        <w:t>24</w:t>
      </w:r>
      <w:r>
        <w:rPr>
          <w:rFonts w:ascii="宋体" w:hAnsi="宋体" w:cs="宋体" w:eastAsia="宋体" w:hint="default"/>
          <w:spacing w:val="-2"/>
          <w:sz w:val="18"/>
          <w:szCs w:val="18"/>
        </w:rPr>
        <w:t>日公告（</w:t>
      </w:r>
      <w:hyperlink r:id="rId12">
        <w:r>
          <w:rPr>
            <w:rFonts w:ascii="宋体" w:hAnsi="宋体" w:cs="宋体" w:eastAsia="宋体" w:hint="default"/>
            <w:spacing w:val="-2"/>
            <w:sz w:val="18"/>
            <w:szCs w:val="18"/>
          </w:rPr>
          <w:t>www.cninfo.com.cn</w:t>
        </w:r>
      </w:hyperlink>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2"/>
          <w:sz w:val="18"/>
          <w:szCs w:val="18"/>
        </w:rPr>
        <w:t>公告</w:t>
      </w:r>
      <w:r>
        <w:rPr>
          <w:rFonts w:ascii="宋体" w:hAnsi="宋体" w:cs="宋体" w:eastAsia="宋体" w:hint="default"/>
          <w:spacing w:val="-2"/>
          <w:sz w:val="18"/>
          <w:szCs w:val="18"/>
        </w:rPr>
        <w:t>2019-49</w:t>
      </w:r>
      <w:r>
        <w:rPr>
          <w:rFonts w:ascii="宋体" w:hAnsi="宋体" w:cs="宋体" w:eastAsia="宋体" w:hint="default"/>
          <w:spacing w:val="-2"/>
          <w:sz w:val="18"/>
          <w:szCs w:val="18"/>
        </w:rPr>
        <w:t>）</w:t>
      </w:r>
    </w:p>
    <w:p>
      <w:pPr>
        <w:spacing w:line="300" w:lineRule="auto" w:before="22"/>
        <w:ind w:left="473" w:right="100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、报告期内获得的政府补助情况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w w:val="101"/>
          <w:sz w:val="18"/>
          <w:szCs w:val="18"/>
        </w:rPr>
        <w:t>截至</w:t>
      </w:r>
      <w:r>
        <w:rPr>
          <w:rFonts w:ascii="宋体" w:hAnsi="宋体" w:cs="宋体" w:eastAsia="宋体" w:hint="default"/>
          <w:spacing w:val="-6"/>
          <w:w w:val="101"/>
          <w:sz w:val="18"/>
          <w:szCs w:val="18"/>
        </w:rPr>
        <w:t>2019</w:t>
      </w:r>
      <w:r>
        <w:rPr>
          <w:rFonts w:ascii="宋体" w:hAnsi="宋体" w:cs="宋体" w:eastAsia="宋体" w:hint="default"/>
          <w:spacing w:val="-6"/>
          <w:w w:val="101"/>
          <w:sz w:val="18"/>
          <w:szCs w:val="18"/>
        </w:rPr>
        <w:t>年</w:t>
      </w:r>
      <w:r>
        <w:rPr>
          <w:rFonts w:ascii="宋体" w:hAnsi="宋体" w:cs="宋体" w:eastAsia="宋体" w:hint="default"/>
          <w:spacing w:val="-6"/>
          <w:w w:val="101"/>
          <w:sz w:val="18"/>
          <w:szCs w:val="18"/>
        </w:rPr>
        <w:t>9</w:t>
      </w:r>
      <w:r>
        <w:rPr>
          <w:rFonts w:ascii="宋体" w:hAnsi="宋体" w:cs="宋体" w:eastAsia="宋体" w:hint="default"/>
          <w:spacing w:val="-6"/>
          <w:w w:val="101"/>
          <w:sz w:val="18"/>
          <w:szCs w:val="18"/>
        </w:rPr>
        <w:t>月</w:t>
      </w:r>
      <w:r>
        <w:rPr>
          <w:rFonts w:ascii="宋体" w:hAnsi="宋体" w:cs="宋体" w:eastAsia="宋体" w:hint="default"/>
          <w:spacing w:val="-6"/>
          <w:w w:val="101"/>
          <w:sz w:val="18"/>
          <w:szCs w:val="18"/>
        </w:rPr>
        <w:t>30</w:t>
      </w:r>
      <w:r>
        <w:rPr>
          <w:rFonts w:ascii="宋体" w:hAnsi="宋体" w:cs="宋体" w:eastAsia="宋体" w:hint="default"/>
          <w:spacing w:val="-6"/>
          <w:w w:val="101"/>
          <w:sz w:val="18"/>
          <w:szCs w:val="18"/>
        </w:rPr>
        <w:t>日，深圳天源迪科信息技术股份有限公司（以下简称“公司”或“天源迪科”）及控股子公司</w:t>
      </w:r>
      <w:r>
        <w:rPr>
          <w:rFonts w:ascii="宋体" w:hAnsi="宋体" w:cs="宋体" w:eastAsia="宋体" w:hint="default"/>
          <w:spacing w:val="-6"/>
          <w:w w:val="101"/>
          <w:sz w:val="18"/>
          <w:szCs w:val="18"/>
        </w:rPr>
        <w:t>2019</w:t>
      </w:r>
      <w:r>
        <w:rPr>
          <w:rFonts w:ascii="宋体" w:hAnsi="宋体" w:cs="宋体" w:eastAsia="宋体" w:hint="default"/>
          <w:spacing w:val="-6"/>
          <w:w w:val="101"/>
          <w:sz w:val="18"/>
          <w:szCs w:val="18"/>
        </w:rPr>
        <w:t>年累</w:t>
      </w:r>
      <w:r>
        <w:rPr>
          <w:rFonts w:ascii="宋体" w:hAnsi="宋体" w:cs="宋体" w:eastAsia="宋体" w:hint="default"/>
          <w:spacing w:val="-6"/>
          <w:sz w:val="18"/>
          <w:szCs w:val="18"/>
        </w:rPr>
      </w:r>
    </w:p>
    <w:p>
      <w:pPr>
        <w:spacing w:line="309" w:lineRule="auto" w:before="31"/>
        <w:ind w:left="113" w:right="1117" w:firstLine="0"/>
        <w:jc w:val="both"/>
        <w:rPr>
          <w:rFonts w:ascii="宋体" w:hAnsi="宋体" w:cs="宋体" w:eastAsia="宋体" w:hint="default"/>
          <w:sz w:val="18"/>
          <w:szCs w:val="18"/>
        </w:rPr>
      </w:pPr>
      <w:r>
        <w:rPr>
          <w:rFonts w:ascii="宋体" w:hAnsi="宋体" w:cs="宋体" w:eastAsia="宋体" w:hint="default"/>
          <w:spacing w:val="-4"/>
          <w:sz w:val="18"/>
          <w:szCs w:val="18"/>
        </w:rPr>
        <w:t>计获得各项政府补助资金共计人民币</w:t>
      </w:r>
      <w:r>
        <w:rPr>
          <w:rFonts w:ascii="宋体" w:hAnsi="宋体" w:cs="宋体" w:eastAsia="宋体" w:hint="default"/>
          <w:spacing w:val="-4"/>
          <w:sz w:val="18"/>
          <w:szCs w:val="18"/>
        </w:rPr>
        <w:t>30,820,475.82</w:t>
      </w:r>
      <w:r>
        <w:rPr>
          <w:rFonts w:ascii="宋体" w:hAnsi="宋体" w:cs="宋体" w:eastAsia="宋体" w:hint="default"/>
          <w:spacing w:val="-4"/>
          <w:sz w:val="18"/>
          <w:szCs w:val="18"/>
        </w:rPr>
        <w:t>元，其中增值税即征即退政府补助资金为人民币</w:t>
      </w:r>
      <w:r>
        <w:rPr>
          <w:rFonts w:ascii="宋体" w:hAnsi="宋体" w:cs="宋体" w:eastAsia="宋体" w:hint="default"/>
          <w:spacing w:val="-4"/>
          <w:sz w:val="18"/>
          <w:szCs w:val="18"/>
        </w:rPr>
        <w:t>16,895,813.34</w:t>
      </w:r>
      <w:r>
        <w:rPr>
          <w:rFonts w:ascii="宋体" w:hAnsi="宋体" w:cs="宋体" w:eastAsia="宋体" w:hint="default"/>
          <w:spacing w:val="-4"/>
          <w:sz w:val="18"/>
          <w:szCs w:val="18"/>
        </w:rPr>
        <w:t>元，政府</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pacing w:val="2"/>
          <w:sz w:val="18"/>
          <w:szCs w:val="18"/>
        </w:rPr>
        <w:t>科研项目补助资金及其它政府补助资金为人民币</w:t>
      </w:r>
      <w:r>
        <w:rPr>
          <w:rFonts w:ascii="宋体" w:hAnsi="宋体" w:cs="宋体" w:eastAsia="宋体" w:hint="default"/>
          <w:spacing w:val="2"/>
          <w:sz w:val="18"/>
          <w:szCs w:val="18"/>
        </w:rPr>
        <w:t>13,924,662.48</w:t>
      </w:r>
      <w:r>
        <w:rPr>
          <w:rFonts w:ascii="宋体" w:hAnsi="宋体" w:cs="宋体" w:eastAsia="宋体" w:hint="default"/>
          <w:spacing w:val="2"/>
          <w:sz w:val="18"/>
          <w:szCs w:val="18"/>
        </w:rPr>
        <w:t>元。详见</w:t>
      </w:r>
      <w:r>
        <w:rPr>
          <w:rFonts w:ascii="Times New Roman" w:hAnsi="Times New Roman" w:cs="Times New Roman" w:eastAsia="Times New Roman" w:hint="default"/>
          <w:spacing w:val="2"/>
          <w:sz w:val="18"/>
          <w:szCs w:val="18"/>
        </w:rPr>
        <w:t>201</w:t>
      </w:r>
      <w:r>
        <w:rPr>
          <w:rFonts w:ascii="宋体" w:hAnsi="宋体" w:cs="宋体" w:eastAsia="宋体" w:hint="default"/>
          <w:spacing w:val="2"/>
          <w:sz w:val="18"/>
          <w:szCs w:val="18"/>
        </w:rPr>
        <w:t>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w:t>
      </w:r>
      <w:r>
        <w:rPr>
          <w:rFonts w:ascii="宋体" w:hAnsi="宋体" w:cs="宋体" w:eastAsia="宋体" w:hint="default"/>
          <w:spacing w:val="2"/>
          <w:sz w:val="18"/>
          <w:szCs w:val="18"/>
        </w:rPr>
        <w:t>30</w:t>
      </w:r>
      <w:r>
        <w:rPr>
          <w:rFonts w:ascii="宋体" w:hAnsi="宋体" w:cs="宋体" w:eastAsia="宋体" w:hint="default"/>
          <w:spacing w:val="2"/>
          <w:sz w:val="18"/>
          <w:szCs w:val="18"/>
        </w:rPr>
        <w:t>日公告（</w:t>
      </w:r>
      <w:hyperlink r:id="rId17">
        <w:r>
          <w:rPr>
            <w:rFonts w:ascii="Times New Roman" w:hAnsi="Times New Roman" w:cs="Times New Roman" w:eastAsia="Times New Roman" w:hint="default"/>
            <w:spacing w:val="2"/>
            <w:sz w:val="18"/>
            <w:szCs w:val="18"/>
          </w:rPr>
          <w:t>www.cninfo.com.cn</w:t>
        </w:r>
        <w:r>
          <w:rPr>
            <w:rFonts w:ascii="宋体" w:hAnsi="宋体" w:cs="宋体" w:eastAsia="宋体" w:hint="default"/>
            <w:spacing w:val="2"/>
            <w:sz w:val="18"/>
            <w:szCs w:val="18"/>
          </w:rPr>
          <w:t>公告</w:t>
        </w:r>
      </w:hyperlink>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Times New Roman" w:hAnsi="Times New Roman" w:cs="Times New Roman" w:eastAsia="Times New Roman" w:hint="default"/>
          <w:sz w:val="18"/>
          <w:szCs w:val="18"/>
        </w:rPr>
        <w:t>201</w:t>
      </w:r>
      <w:r>
        <w:rPr>
          <w:rFonts w:ascii="宋体" w:hAnsi="宋体" w:cs="宋体" w:eastAsia="宋体" w:hint="default"/>
          <w:sz w:val="18"/>
          <w:szCs w:val="18"/>
        </w:rPr>
        <w:t>9</w:t>
      </w:r>
      <w:r>
        <w:rPr>
          <w:rFonts w:ascii="Times New Roman" w:hAnsi="Times New Roman" w:cs="Times New Roman" w:eastAsia="Times New Roman" w:hint="default"/>
          <w:sz w:val="18"/>
          <w:szCs w:val="18"/>
        </w:rPr>
        <w:t>-</w:t>
      </w:r>
      <w:r>
        <w:rPr>
          <w:rFonts w:ascii="宋体" w:hAnsi="宋体" w:cs="宋体" w:eastAsia="宋体" w:hint="default"/>
          <w:sz w:val="18"/>
          <w:szCs w:val="18"/>
        </w:rPr>
        <w:t>79</w:t>
      </w:r>
      <w:r>
        <w:rPr>
          <w:rFonts w:ascii="宋体" w:hAnsi="宋体" w:cs="宋体" w:eastAsia="宋体" w:hint="default"/>
          <w:sz w:val="18"/>
          <w:szCs w:val="18"/>
        </w:rPr>
        <w:t>）</w:t>
      </w:r>
    </w:p>
    <w:p>
      <w:pPr>
        <w:spacing w:line="316" w:lineRule="auto" w:before="5"/>
        <w:ind w:left="473" w:right="1007" w:firstLine="4"/>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、报告期内股东股份质押事项</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2"/>
          <w:sz w:val="18"/>
          <w:szCs w:val="18"/>
        </w:rPr>
        <w:t>持有公司</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以上股份的股东陈兵先生于</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日向国元证券质押其持有的公司股份</w:t>
      </w:r>
      <w:r>
        <w:rPr>
          <w:rFonts w:ascii="Times New Roman" w:hAnsi="Times New Roman" w:cs="Times New Roman" w:eastAsia="Times New Roman" w:hint="default"/>
          <w:spacing w:val="-2"/>
          <w:sz w:val="18"/>
          <w:szCs w:val="18"/>
        </w:rPr>
        <w:t>15,000,000</w:t>
      </w:r>
      <w:r>
        <w:rPr>
          <w:rFonts w:ascii="宋体" w:hAnsi="宋体" w:cs="宋体" w:eastAsia="宋体" w:hint="default"/>
          <w:spacing w:val="-2"/>
          <w:sz w:val="18"/>
          <w:szCs w:val="18"/>
        </w:rPr>
        <w:t>股。质押解除日期</w:t>
      </w:r>
    </w:p>
    <w:p>
      <w:pPr>
        <w:spacing w:line="319" w:lineRule="auto" w:before="0"/>
        <w:ind w:left="113" w:right="1122" w:firstLine="0"/>
        <w:jc w:val="both"/>
        <w:rPr>
          <w:rFonts w:ascii="宋体" w:hAnsi="宋体" w:cs="宋体" w:eastAsia="宋体" w:hint="default"/>
          <w:sz w:val="18"/>
          <w:szCs w:val="18"/>
        </w:rPr>
      </w:pPr>
      <w:r>
        <w:rPr>
          <w:rFonts w:ascii="宋体" w:hAnsi="宋体" w:cs="宋体" w:eastAsia="宋体" w:hint="default"/>
          <w:spacing w:val="2"/>
          <w:w w:val="101"/>
          <w:sz w:val="18"/>
          <w:szCs w:val="18"/>
        </w:rPr>
        <w:t>为</w:t>
      </w:r>
      <w:r>
        <w:rPr>
          <w:rFonts w:ascii="宋体" w:hAnsi="宋体" w:cs="宋体" w:eastAsia="宋体" w:hint="default"/>
          <w:spacing w:val="2"/>
          <w:w w:val="101"/>
          <w:sz w:val="18"/>
          <w:szCs w:val="18"/>
        </w:rPr>
        <w:t>2019</w:t>
      </w:r>
      <w:r>
        <w:rPr>
          <w:rFonts w:ascii="宋体" w:hAnsi="宋体" w:cs="宋体" w:eastAsia="宋体" w:hint="default"/>
          <w:spacing w:val="2"/>
          <w:w w:val="101"/>
          <w:sz w:val="18"/>
          <w:szCs w:val="18"/>
        </w:rPr>
        <w:t>年</w:t>
      </w:r>
      <w:r>
        <w:rPr>
          <w:rFonts w:ascii="宋体" w:hAnsi="宋体" w:cs="宋体" w:eastAsia="宋体" w:hint="default"/>
          <w:spacing w:val="2"/>
          <w:w w:val="101"/>
          <w:sz w:val="18"/>
          <w:szCs w:val="18"/>
        </w:rPr>
        <w:t>4</w:t>
      </w:r>
      <w:r>
        <w:rPr>
          <w:rFonts w:ascii="宋体" w:hAnsi="宋体" w:cs="宋体" w:eastAsia="宋体" w:hint="default"/>
          <w:spacing w:val="2"/>
          <w:w w:val="101"/>
          <w:sz w:val="18"/>
          <w:szCs w:val="18"/>
        </w:rPr>
        <w:t>月</w:t>
      </w:r>
      <w:r>
        <w:rPr>
          <w:rFonts w:ascii="宋体" w:hAnsi="宋体" w:cs="宋体" w:eastAsia="宋体" w:hint="default"/>
          <w:spacing w:val="2"/>
          <w:w w:val="101"/>
          <w:sz w:val="18"/>
          <w:szCs w:val="18"/>
        </w:rPr>
        <w:t>10</w:t>
      </w:r>
      <w:r>
        <w:rPr>
          <w:rFonts w:ascii="宋体" w:hAnsi="宋体" w:cs="宋体" w:eastAsia="宋体" w:hint="default"/>
          <w:spacing w:val="2"/>
          <w:w w:val="101"/>
          <w:sz w:val="18"/>
          <w:szCs w:val="18"/>
        </w:rPr>
        <w:t>日，此质押情况详见公司于</w:t>
      </w:r>
      <w:r>
        <w:rPr>
          <w:rFonts w:ascii="宋体" w:hAnsi="宋体" w:cs="宋体" w:eastAsia="宋体" w:hint="default"/>
          <w:spacing w:val="2"/>
          <w:w w:val="101"/>
          <w:sz w:val="18"/>
          <w:szCs w:val="18"/>
        </w:rPr>
        <w:t>2018</w:t>
      </w:r>
      <w:r>
        <w:rPr>
          <w:rFonts w:ascii="宋体" w:hAnsi="宋体" w:cs="宋体" w:eastAsia="宋体" w:hint="default"/>
          <w:spacing w:val="2"/>
          <w:w w:val="101"/>
          <w:sz w:val="18"/>
          <w:szCs w:val="18"/>
        </w:rPr>
        <w:t>年</w:t>
      </w:r>
      <w:r>
        <w:rPr>
          <w:rFonts w:ascii="宋体" w:hAnsi="宋体" w:cs="宋体" w:eastAsia="宋体" w:hint="default"/>
          <w:spacing w:val="2"/>
          <w:w w:val="101"/>
          <w:sz w:val="18"/>
          <w:szCs w:val="18"/>
        </w:rPr>
        <w:t>4</w:t>
      </w:r>
      <w:r>
        <w:rPr>
          <w:rFonts w:ascii="宋体" w:hAnsi="宋体" w:cs="宋体" w:eastAsia="宋体" w:hint="default"/>
          <w:spacing w:val="2"/>
          <w:w w:val="101"/>
          <w:sz w:val="18"/>
          <w:szCs w:val="18"/>
        </w:rPr>
        <w:t>月</w:t>
      </w:r>
      <w:r>
        <w:rPr>
          <w:rFonts w:ascii="宋体" w:hAnsi="宋体" w:cs="宋体" w:eastAsia="宋体" w:hint="default"/>
          <w:spacing w:val="2"/>
          <w:w w:val="101"/>
          <w:sz w:val="18"/>
          <w:szCs w:val="18"/>
        </w:rPr>
        <w:t>12</w:t>
      </w:r>
      <w:r>
        <w:rPr>
          <w:rFonts w:ascii="宋体" w:hAnsi="宋体" w:cs="宋体" w:eastAsia="宋体" w:hint="default"/>
          <w:spacing w:val="2"/>
          <w:w w:val="101"/>
          <w:sz w:val="18"/>
          <w:szCs w:val="18"/>
        </w:rPr>
        <w:t>日《关于持股</w:t>
      </w:r>
      <w:r>
        <w:rPr>
          <w:rFonts w:ascii="宋体" w:hAnsi="宋体" w:cs="宋体" w:eastAsia="宋体" w:hint="default"/>
          <w:spacing w:val="2"/>
          <w:w w:val="101"/>
          <w:sz w:val="18"/>
          <w:szCs w:val="18"/>
        </w:rPr>
        <w:t>5%</w:t>
      </w:r>
      <w:r>
        <w:rPr>
          <w:rFonts w:ascii="宋体" w:hAnsi="宋体" w:cs="宋体" w:eastAsia="宋体" w:hint="default"/>
          <w:spacing w:val="2"/>
          <w:w w:val="101"/>
          <w:sz w:val="18"/>
          <w:szCs w:val="18"/>
        </w:rPr>
        <w:t>以上的股东股份质押的公告》，陈兵先生质押的</w:t>
      </w:r>
      <w:r>
        <w:rPr>
          <w:rFonts w:ascii="宋体" w:hAnsi="宋体" w:cs="宋体" w:eastAsia="宋体" w:hint="default"/>
          <w:spacing w:val="4"/>
          <w:w w:val="101"/>
          <w:sz w:val="18"/>
          <w:szCs w:val="18"/>
        </w:rPr>
        <w:t> </w:t>
      </w:r>
      <w:r>
        <w:rPr>
          <w:rFonts w:ascii="宋体" w:hAnsi="宋体" w:cs="宋体" w:eastAsia="宋体" w:hint="default"/>
          <w:spacing w:val="-4"/>
          <w:sz w:val="18"/>
          <w:szCs w:val="18"/>
        </w:rPr>
        <w:t>15,000,000</w:t>
      </w:r>
      <w:r>
        <w:rPr>
          <w:rFonts w:ascii="宋体" w:hAnsi="宋体" w:cs="宋体" w:eastAsia="宋体" w:hint="default"/>
          <w:spacing w:val="-4"/>
          <w:sz w:val="18"/>
          <w:szCs w:val="18"/>
        </w:rPr>
        <w:t>股本公司股份自</w:t>
      </w:r>
      <w:r>
        <w:rPr>
          <w:rFonts w:ascii="宋体" w:hAnsi="宋体" w:cs="宋体" w:eastAsia="宋体" w:hint="default"/>
          <w:spacing w:val="-4"/>
          <w:sz w:val="18"/>
          <w:szCs w:val="18"/>
        </w:rPr>
        <w:t>2019</w:t>
      </w:r>
      <w:r>
        <w:rPr>
          <w:rFonts w:ascii="宋体" w:hAnsi="宋体" w:cs="宋体" w:eastAsia="宋体" w:hint="default"/>
          <w:spacing w:val="-4"/>
          <w:sz w:val="18"/>
          <w:szCs w:val="18"/>
        </w:rPr>
        <w:t>年</w:t>
      </w:r>
      <w:r>
        <w:rPr>
          <w:rFonts w:ascii="宋体" w:hAnsi="宋体" w:cs="宋体" w:eastAsia="宋体" w:hint="default"/>
          <w:spacing w:val="-4"/>
          <w:sz w:val="18"/>
          <w:szCs w:val="18"/>
        </w:rPr>
        <w:t>4</w:t>
      </w:r>
      <w:r>
        <w:rPr>
          <w:rFonts w:ascii="宋体" w:hAnsi="宋体" w:cs="宋体" w:eastAsia="宋体" w:hint="default"/>
          <w:spacing w:val="-4"/>
          <w:sz w:val="18"/>
          <w:szCs w:val="18"/>
        </w:rPr>
        <w:t>月</w:t>
      </w:r>
      <w:r>
        <w:rPr>
          <w:rFonts w:ascii="宋体" w:hAnsi="宋体" w:cs="宋体" w:eastAsia="宋体" w:hint="default"/>
          <w:spacing w:val="-4"/>
          <w:sz w:val="18"/>
          <w:szCs w:val="18"/>
        </w:rPr>
        <w:t>10</w:t>
      </w:r>
      <w:r>
        <w:rPr>
          <w:rFonts w:ascii="宋体" w:hAnsi="宋体" w:cs="宋体" w:eastAsia="宋体" w:hint="default"/>
          <w:spacing w:val="-4"/>
          <w:sz w:val="18"/>
          <w:szCs w:val="18"/>
        </w:rPr>
        <w:t>日起延期，延期购回到期日为</w:t>
      </w:r>
      <w:r>
        <w:rPr>
          <w:rFonts w:ascii="宋体" w:hAnsi="宋体" w:cs="宋体" w:eastAsia="宋体" w:hint="default"/>
          <w:spacing w:val="-4"/>
          <w:sz w:val="18"/>
          <w:szCs w:val="18"/>
        </w:rPr>
        <w:t>2020</w:t>
      </w:r>
      <w:r>
        <w:rPr>
          <w:rFonts w:ascii="宋体" w:hAnsi="宋体" w:cs="宋体" w:eastAsia="宋体" w:hint="default"/>
          <w:spacing w:val="-4"/>
          <w:sz w:val="18"/>
          <w:szCs w:val="18"/>
        </w:rPr>
        <w:t>年</w:t>
      </w:r>
      <w:r>
        <w:rPr>
          <w:rFonts w:ascii="宋体" w:hAnsi="宋体" w:cs="宋体" w:eastAsia="宋体" w:hint="default"/>
          <w:spacing w:val="-4"/>
          <w:sz w:val="18"/>
          <w:szCs w:val="18"/>
        </w:rPr>
        <w:t>4</w:t>
      </w:r>
      <w:r>
        <w:rPr>
          <w:rFonts w:ascii="宋体" w:hAnsi="宋体" w:cs="宋体" w:eastAsia="宋体" w:hint="default"/>
          <w:spacing w:val="-4"/>
          <w:sz w:val="18"/>
          <w:szCs w:val="18"/>
        </w:rPr>
        <w:t>月</w:t>
      </w:r>
      <w:r>
        <w:rPr>
          <w:rFonts w:ascii="宋体" w:hAnsi="宋体" w:cs="宋体" w:eastAsia="宋体" w:hint="default"/>
          <w:spacing w:val="-4"/>
          <w:sz w:val="18"/>
          <w:szCs w:val="18"/>
        </w:rPr>
        <w:t>10</w:t>
      </w:r>
      <w:r>
        <w:rPr>
          <w:rFonts w:ascii="宋体" w:hAnsi="宋体" w:cs="宋体" w:eastAsia="宋体" w:hint="default"/>
          <w:spacing w:val="-4"/>
          <w:sz w:val="18"/>
          <w:szCs w:val="18"/>
        </w:rPr>
        <w:t>日。截止目前，陈兵先生持有本公司股份</w:t>
      </w:r>
    </w:p>
    <w:p>
      <w:pPr>
        <w:spacing w:before="17"/>
        <w:ind w:left="113" w:right="0" w:firstLine="0"/>
        <w:jc w:val="both"/>
        <w:rPr>
          <w:rFonts w:ascii="宋体" w:hAnsi="宋体" w:cs="宋体" w:eastAsia="宋体" w:hint="default"/>
          <w:sz w:val="18"/>
          <w:szCs w:val="18"/>
        </w:rPr>
      </w:pPr>
      <w:r>
        <w:rPr>
          <w:rFonts w:ascii="宋体" w:hAnsi="宋体" w:cs="宋体" w:eastAsia="宋体" w:hint="default"/>
          <w:spacing w:val="-3"/>
          <w:sz w:val="18"/>
          <w:szCs w:val="18"/>
        </w:rPr>
        <w:t>21,574,957</w:t>
      </w:r>
      <w:r>
        <w:rPr>
          <w:rFonts w:ascii="宋体" w:hAnsi="宋体" w:cs="宋体" w:eastAsia="宋体" w:hint="default"/>
          <w:spacing w:val="-3"/>
          <w:sz w:val="18"/>
          <w:szCs w:val="18"/>
        </w:rPr>
        <w:t>股，占公司总股本的</w:t>
      </w:r>
      <w:r>
        <w:rPr>
          <w:rFonts w:ascii="宋体" w:hAnsi="宋体" w:cs="宋体" w:eastAsia="宋体" w:hint="default"/>
          <w:spacing w:val="-3"/>
          <w:sz w:val="18"/>
          <w:szCs w:val="18"/>
        </w:rPr>
        <w:t>5.41%</w:t>
      </w:r>
      <w:r>
        <w:rPr>
          <w:rFonts w:ascii="宋体" w:hAnsi="宋体" w:cs="宋体" w:eastAsia="宋体" w:hint="default"/>
          <w:spacing w:val="-3"/>
          <w:sz w:val="18"/>
          <w:szCs w:val="18"/>
        </w:rPr>
        <w:t>，累计质押</w:t>
      </w:r>
      <w:r>
        <w:rPr>
          <w:rFonts w:ascii="宋体" w:hAnsi="宋体" w:cs="宋体" w:eastAsia="宋体" w:hint="default"/>
          <w:spacing w:val="-3"/>
          <w:sz w:val="18"/>
          <w:szCs w:val="18"/>
        </w:rPr>
        <w:t>15,000,000</w:t>
      </w:r>
      <w:r>
        <w:rPr>
          <w:rFonts w:ascii="宋体" w:hAnsi="宋体" w:cs="宋体" w:eastAsia="宋体" w:hint="default"/>
          <w:spacing w:val="-3"/>
          <w:sz w:val="18"/>
          <w:szCs w:val="18"/>
        </w:rPr>
        <w:t>股，占公司总股本</w:t>
      </w:r>
      <w:r>
        <w:rPr>
          <w:rFonts w:ascii="宋体" w:hAnsi="宋体" w:cs="宋体" w:eastAsia="宋体" w:hint="default"/>
          <w:spacing w:val="-3"/>
          <w:sz w:val="18"/>
          <w:szCs w:val="18"/>
        </w:rPr>
        <w:t>3.76%</w:t>
      </w:r>
      <w:r>
        <w:rPr>
          <w:rFonts w:ascii="宋体" w:hAnsi="宋体" w:cs="宋体" w:eastAsia="宋体" w:hint="default"/>
          <w:spacing w:val="-3"/>
          <w:sz w:val="18"/>
          <w:szCs w:val="18"/>
        </w:rPr>
        <w:t>，占其持有本公司股份的</w:t>
      </w:r>
      <w:r>
        <w:rPr>
          <w:rFonts w:ascii="宋体" w:hAnsi="宋体" w:cs="宋体" w:eastAsia="宋体" w:hint="default"/>
          <w:spacing w:val="-3"/>
          <w:sz w:val="18"/>
          <w:szCs w:val="18"/>
        </w:rPr>
        <w:t>69.53%</w:t>
      </w:r>
      <w:r>
        <w:rPr>
          <w:rFonts w:ascii="宋体" w:hAnsi="宋体" w:cs="宋体" w:eastAsia="宋体" w:hint="default"/>
          <w:spacing w:val="-3"/>
          <w:sz w:val="18"/>
          <w:szCs w:val="18"/>
        </w:rPr>
        <w:t>。详见</w:t>
      </w:r>
    </w:p>
    <w:p>
      <w:pPr>
        <w:spacing w:line="300" w:lineRule="auto" w:before="76"/>
        <w:ind w:left="473" w:right="1007"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w:t>
      </w:r>
      <w:r>
        <w:rPr>
          <w:rFonts w:ascii="宋体" w:hAnsi="宋体" w:cs="宋体" w:eastAsia="宋体" w:hint="default"/>
          <w:sz w:val="18"/>
          <w:szCs w:val="18"/>
        </w:rPr>
        <w:t>9</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日公告（</w:t>
      </w:r>
      <w:hyperlink r:id="rId18">
        <w:r>
          <w:rPr>
            <w:rFonts w:ascii="Times New Roman" w:hAnsi="Times New Roman" w:cs="Times New Roman" w:eastAsia="Times New Roman" w:hint="default"/>
            <w:sz w:val="18"/>
            <w:szCs w:val="18"/>
          </w:rPr>
          <w:t>www.cninfo.com.cn</w:t>
        </w:r>
        <w:r>
          <w:rPr>
            <w:rFonts w:ascii="宋体" w:hAnsi="宋体" w:cs="宋体" w:eastAsia="宋体" w:hint="default"/>
            <w:sz w:val="18"/>
            <w:szCs w:val="18"/>
          </w:rPr>
          <w:t>公告</w:t>
        </w:r>
        <w:r>
          <w:rPr>
            <w:rFonts w:ascii="Times New Roman" w:hAnsi="Times New Roman" w:cs="Times New Roman" w:eastAsia="Times New Roman" w:hint="default"/>
            <w:sz w:val="18"/>
            <w:szCs w:val="18"/>
          </w:rPr>
          <w:t>201</w:t>
        </w:r>
        <w:r>
          <w:rPr>
            <w:rFonts w:ascii="宋体" w:hAnsi="宋体" w:cs="宋体" w:eastAsia="宋体" w:hint="default"/>
            <w:sz w:val="18"/>
            <w:szCs w:val="18"/>
          </w:rPr>
          <w:t>9</w:t>
        </w:r>
        <w:r>
          <w:rPr>
            <w:rFonts w:ascii="Times New Roman" w:hAnsi="Times New Roman" w:cs="Times New Roman" w:eastAsia="Times New Roman" w:hint="default"/>
            <w:sz w:val="18"/>
            <w:szCs w:val="18"/>
          </w:rPr>
          <w:t>-</w:t>
        </w:r>
        <w:r>
          <w:rPr>
            <w:rFonts w:ascii="宋体" w:hAnsi="宋体" w:cs="宋体" w:eastAsia="宋体" w:hint="default"/>
            <w:sz w:val="18"/>
            <w:szCs w:val="18"/>
          </w:rPr>
          <w:t>4</w:t>
        </w:r>
        <w:r>
          <w:rPr>
            <w:rFonts w:ascii="Times New Roman" w:hAnsi="Times New Roman" w:cs="Times New Roman" w:eastAsia="Times New Roman" w:hint="default"/>
            <w:sz w:val="18"/>
            <w:szCs w:val="18"/>
          </w:rPr>
          <w:t>8</w:t>
        </w:r>
      </w:hyperlink>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spacing w:val="-4"/>
          <w:sz w:val="18"/>
          <w:szCs w:val="18"/>
        </w:rPr>
        <w:t>持有公司</w:t>
      </w:r>
      <w:r>
        <w:rPr>
          <w:rFonts w:ascii="宋体" w:hAnsi="宋体" w:cs="宋体" w:eastAsia="宋体" w:hint="default"/>
          <w:spacing w:val="-4"/>
          <w:sz w:val="18"/>
          <w:szCs w:val="18"/>
        </w:rPr>
        <w:t>5%</w:t>
      </w:r>
      <w:r>
        <w:rPr>
          <w:rFonts w:ascii="宋体" w:hAnsi="宋体" w:cs="宋体" w:eastAsia="宋体" w:hint="default"/>
          <w:spacing w:val="-4"/>
          <w:sz w:val="18"/>
          <w:szCs w:val="18"/>
        </w:rPr>
        <w:t>以上股份的股东陈友先生于</w:t>
      </w:r>
      <w:r>
        <w:rPr>
          <w:rFonts w:ascii="宋体" w:hAnsi="宋体" w:cs="宋体" w:eastAsia="宋体" w:hint="default"/>
          <w:spacing w:val="-4"/>
          <w:sz w:val="18"/>
          <w:szCs w:val="18"/>
        </w:rPr>
        <w:t>2019</w:t>
      </w:r>
      <w:r>
        <w:rPr>
          <w:rFonts w:ascii="宋体" w:hAnsi="宋体" w:cs="宋体" w:eastAsia="宋体" w:hint="default"/>
          <w:spacing w:val="-4"/>
          <w:sz w:val="18"/>
          <w:szCs w:val="18"/>
        </w:rPr>
        <w:t>年</w:t>
      </w:r>
      <w:r>
        <w:rPr>
          <w:rFonts w:ascii="宋体" w:hAnsi="宋体" w:cs="宋体" w:eastAsia="宋体" w:hint="default"/>
          <w:spacing w:val="-4"/>
          <w:sz w:val="18"/>
          <w:szCs w:val="18"/>
        </w:rPr>
        <w:t>9</w:t>
      </w:r>
      <w:r>
        <w:rPr>
          <w:rFonts w:ascii="宋体" w:hAnsi="宋体" w:cs="宋体" w:eastAsia="宋体" w:hint="default"/>
          <w:spacing w:val="-4"/>
          <w:sz w:val="18"/>
          <w:szCs w:val="18"/>
        </w:rPr>
        <w:t>月</w:t>
      </w:r>
      <w:r>
        <w:rPr>
          <w:rFonts w:ascii="宋体" w:hAnsi="宋体" w:cs="宋体" w:eastAsia="宋体" w:hint="default"/>
          <w:spacing w:val="-4"/>
          <w:sz w:val="18"/>
          <w:szCs w:val="18"/>
        </w:rPr>
        <w:t>9</w:t>
      </w:r>
      <w:r>
        <w:rPr>
          <w:rFonts w:ascii="宋体" w:hAnsi="宋体" w:cs="宋体" w:eastAsia="宋体" w:hint="default"/>
          <w:spacing w:val="-4"/>
          <w:sz w:val="18"/>
          <w:szCs w:val="18"/>
        </w:rPr>
        <w:t>日向广发证券办理了股份质押延期购回业务，共</w:t>
      </w:r>
      <w:r>
        <w:rPr>
          <w:rFonts w:ascii="宋体" w:hAnsi="宋体" w:cs="宋体" w:eastAsia="宋体" w:hint="default"/>
          <w:spacing w:val="-4"/>
          <w:sz w:val="18"/>
          <w:szCs w:val="18"/>
        </w:rPr>
        <w:t>12,008,919</w:t>
      </w:r>
      <w:r>
        <w:rPr>
          <w:rFonts w:ascii="宋体" w:hAnsi="宋体" w:cs="宋体" w:eastAsia="宋体" w:hint="default"/>
          <w:spacing w:val="-4"/>
          <w:sz w:val="18"/>
          <w:szCs w:val="18"/>
        </w:rPr>
        <w:t>股，并补</w:t>
      </w:r>
    </w:p>
    <w:p>
      <w:pPr>
        <w:spacing w:line="319" w:lineRule="auto" w:before="31"/>
        <w:ind w:left="113" w:right="1050" w:firstLine="0"/>
        <w:jc w:val="left"/>
        <w:rPr>
          <w:rFonts w:ascii="宋体" w:hAnsi="宋体" w:cs="宋体" w:eastAsia="宋体" w:hint="default"/>
          <w:sz w:val="18"/>
          <w:szCs w:val="18"/>
        </w:rPr>
      </w:pPr>
      <w:r>
        <w:rPr>
          <w:rFonts w:ascii="宋体" w:hAnsi="宋体" w:cs="宋体" w:eastAsia="宋体" w:hint="default"/>
          <w:spacing w:val="-3"/>
          <w:sz w:val="18"/>
          <w:szCs w:val="18"/>
        </w:rPr>
        <w:t>充质押</w:t>
      </w:r>
      <w:r>
        <w:rPr>
          <w:rFonts w:ascii="宋体" w:hAnsi="宋体" w:cs="宋体" w:eastAsia="宋体" w:hint="default"/>
          <w:spacing w:val="-3"/>
          <w:sz w:val="18"/>
          <w:szCs w:val="18"/>
        </w:rPr>
        <w:t>39,274</w:t>
      </w:r>
      <w:r>
        <w:rPr>
          <w:rFonts w:ascii="宋体" w:hAnsi="宋体" w:cs="宋体" w:eastAsia="宋体" w:hint="default"/>
          <w:spacing w:val="-3"/>
          <w:sz w:val="18"/>
          <w:szCs w:val="18"/>
        </w:rPr>
        <w:t>股，陈友先生本次质押正常续期，不涉及新的融资需求。截止目前，陈友先生持有本公司股份</w:t>
      </w:r>
      <w:r>
        <w:rPr>
          <w:rFonts w:ascii="宋体" w:hAnsi="宋体" w:cs="宋体" w:eastAsia="宋体" w:hint="default"/>
          <w:spacing w:val="-3"/>
          <w:sz w:val="18"/>
          <w:szCs w:val="18"/>
        </w:rPr>
        <w:t>64,937,772</w:t>
      </w:r>
      <w:r>
        <w:rPr>
          <w:rFonts w:ascii="宋体" w:hAnsi="宋体" w:cs="宋体" w:eastAsia="宋体" w:hint="default"/>
          <w:spacing w:val="-3"/>
          <w:sz w:val="18"/>
          <w:szCs w:val="18"/>
        </w:rPr>
        <w:t>股， </w:t>
      </w:r>
      <w:r>
        <w:rPr>
          <w:rFonts w:ascii="宋体" w:hAnsi="宋体" w:cs="宋体" w:eastAsia="宋体" w:hint="default"/>
          <w:spacing w:val="-2"/>
          <w:sz w:val="18"/>
          <w:szCs w:val="18"/>
        </w:rPr>
        <w:t>占公司总股本的</w:t>
      </w:r>
      <w:r>
        <w:rPr>
          <w:rFonts w:ascii="宋体" w:hAnsi="宋体" w:cs="宋体" w:eastAsia="宋体" w:hint="default"/>
          <w:spacing w:val="-2"/>
          <w:sz w:val="18"/>
          <w:szCs w:val="18"/>
        </w:rPr>
        <w:t>10.18%</w:t>
      </w:r>
      <w:r>
        <w:rPr>
          <w:rFonts w:ascii="宋体" w:hAnsi="宋体" w:cs="宋体" w:eastAsia="宋体" w:hint="default"/>
          <w:spacing w:val="-2"/>
          <w:sz w:val="18"/>
          <w:szCs w:val="18"/>
        </w:rPr>
        <w:t>，累计质押</w:t>
      </w:r>
      <w:r>
        <w:rPr>
          <w:rFonts w:ascii="宋体" w:hAnsi="宋体" w:cs="宋体" w:eastAsia="宋体" w:hint="default"/>
          <w:spacing w:val="-2"/>
          <w:sz w:val="18"/>
          <w:szCs w:val="18"/>
        </w:rPr>
        <w:t>28,317,705</w:t>
      </w:r>
      <w:r>
        <w:rPr>
          <w:rFonts w:ascii="宋体" w:hAnsi="宋体" w:cs="宋体" w:eastAsia="宋体" w:hint="default"/>
          <w:spacing w:val="-2"/>
          <w:sz w:val="18"/>
          <w:szCs w:val="18"/>
        </w:rPr>
        <w:t>股，占公司总股本</w:t>
      </w:r>
      <w:r>
        <w:rPr>
          <w:rFonts w:ascii="宋体" w:hAnsi="宋体" w:cs="宋体" w:eastAsia="宋体" w:hint="default"/>
          <w:spacing w:val="-2"/>
          <w:sz w:val="18"/>
          <w:szCs w:val="18"/>
        </w:rPr>
        <w:t>4.44%</w:t>
      </w:r>
      <w:r>
        <w:rPr>
          <w:rFonts w:ascii="宋体" w:hAnsi="宋体" w:cs="宋体" w:eastAsia="宋体" w:hint="default"/>
          <w:spacing w:val="-2"/>
          <w:sz w:val="18"/>
          <w:szCs w:val="18"/>
        </w:rPr>
        <w:t>，占其持有本公司股份的</w:t>
      </w:r>
      <w:r>
        <w:rPr>
          <w:rFonts w:ascii="宋体" w:hAnsi="宋体" w:cs="宋体" w:eastAsia="宋体" w:hint="default"/>
          <w:spacing w:val="-2"/>
          <w:sz w:val="18"/>
          <w:szCs w:val="18"/>
        </w:rPr>
        <w:t>43.61%</w:t>
      </w:r>
      <w:r>
        <w:rPr>
          <w:rFonts w:ascii="宋体" w:hAnsi="宋体" w:cs="宋体" w:eastAsia="宋体" w:hint="default"/>
          <w:spacing w:val="-2"/>
          <w:sz w:val="18"/>
          <w:szCs w:val="18"/>
        </w:rPr>
        <w:t>。详见</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9</w:t>
      </w:r>
      <w:r>
        <w:rPr>
          <w:rFonts w:ascii="宋体" w:hAnsi="宋体" w:cs="宋体" w:eastAsia="宋体" w:hint="default"/>
          <w:spacing w:val="-2"/>
          <w:sz w:val="18"/>
          <w:szCs w:val="18"/>
        </w:rPr>
        <w:t>月</w:t>
      </w:r>
      <w:r>
        <w:rPr>
          <w:rFonts w:ascii="宋体" w:hAnsi="宋体" w:cs="宋体" w:eastAsia="宋体" w:hint="default"/>
          <w:spacing w:val="-2"/>
          <w:sz w:val="18"/>
          <w:szCs w:val="18"/>
        </w:rPr>
        <w:t>9</w:t>
      </w:r>
      <w:r>
        <w:rPr>
          <w:rFonts w:ascii="宋体" w:hAnsi="宋体" w:cs="宋体" w:eastAsia="宋体" w:hint="default"/>
          <w:spacing w:val="-2"/>
          <w:sz w:val="18"/>
          <w:szCs w:val="18"/>
        </w:rPr>
        <w:t>日</w:t>
      </w:r>
      <w:r>
        <w:rPr>
          <w:rFonts w:ascii="宋体" w:hAnsi="宋体" w:cs="宋体" w:eastAsia="宋体" w:hint="default"/>
          <w:spacing w:val="50"/>
          <w:sz w:val="18"/>
          <w:szCs w:val="18"/>
        </w:rPr>
        <w:t> </w:t>
      </w:r>
      <w:r>
        <w:rPr>
          <w:rFonts w:ascii="宋体" w:hAnsi="宋体" w:cs="宋体" w:eastAsia="宋体" w:hint="default"/>
          <w:sz w:val="18"/>
          <w:szCs w:val="18"/>
        </w:rPr>
        <w:t>公告（</w:t>
      </w:r>
      <w:hyperlink r:id="rId19">
        <w:r>
          <w:rPr>
            <w:rFonts w:ascii="宋体" w:hAnsi="宋体" w:cs="宋体" w:eastAsia="宋体" w:hint="default"/>
            <w:sz w:val="18"/>
            <w:szCs w:val="18"/>
          </w:rPr>
          <w:t>www.cninfo.com.cn</w:t>
        </w:r>
        <w:r>
          <w:rPr>
            <w:rFonts w:ascii="宋体" w:hAnsi="宋体" w:cs="宋体" w:eastAsia="宋体" w:hint="default"/>
            <w:sz w:val="18"/>
            <w:szCs w:val="18"/>
          </w:rPr>
          <w:t>公告</w:t>
        </w:r>
        <w:r>
          <w:rPr>
            <w:rFonts w:ascii="宋体" w:hAnsi="宋体" w:cs="宋体" w:eastAsia="宋体" w:hint="default"/>
            <w:sz w:val="18"/>
            <w:szCs w:val="18"/>
          </w:rPr>
          <w:t>2019-70</w:t>
        </w:r>
      </w:hyperlink>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5"/>
          <w:szCs w:val="25"/>
        </w:rPr>
      </w:pPr>
    </w:p>
    <w:p>
      <w:pPr>
        <w:pStyle w:val="Heading2"/>
        <w:spacing w:line="240" w:lineRule="auto"/>
        <w:ind w:right="0"/>
        <w:jc w:val="both"/>
        <w:rPr>
          <w:b w:val="0"/>
          <w:bCs w:val="0"/>
        </w:rPr>
      </w:pPr>
      <w:bookmarkStart w:name="十九、公司子公司重大事项" w:id="102"/>
      <w:bookmarkEnd w:id="102"/>
      <w:r>
        <w:rPr>
          <w:b w:val="0"/>
          <w:bCs w:val="0"/>
        </w:rPr>
      </w:r>
      <w:r>
        <w:rPr/>
        <w:t>十九、公司子公司重大事项</w:t>
      </w:r>
      <w:r>
        <w:rPr>
          <w:b w:val="0"/>
          <w:bCs w:val="0"/>
        </w:rPr>
      </w:r>
    </w:p>
    <w:p>
      <w:pPr>
        <w:spacing w:line="240" w:lineRule="auto" w:before="3"/>
        <w:rPr>
          <w:rFonts w:ascii="宋体" w:hAnsi="宋体" w:cs="宋体" w:eastAsia="宋体" w:hint="default"/>
          <w:b/>
          <w:bCs/>
          <w:sz w:val="27"/>
          <w:szCs w:val="27"/>
        </w:rPr>
      </w:pPr>
    </w:p>
    <w:p>
      <w:pPr>
        <w:spacing w:before="0"/>
        <w:ind w:left="113" w:right="0" w:firstLine="0"/>
        <w:jc w:val="both"/>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before="145"/>
        <w:ind w:left="473" w:right="1764" w:firstLine="0"/>
        <w:jc w:val="left"/>
        <w:rPr>
          <w:rFonts w:ascii="宋体" w:hAnsi="宋体" w:cs="宋体" w:eastAsia="宋体" w:hint="default"/>
          <w:sz w:val="15"/>
          <w:szCs w:val="15"/>
        </w:rPr>
      </w:pPr>
      <w:r>
        <w:rPr>
          <w:rFonts w:ascii="宋体" w:hAnsi="宋体" w:cs="宋体" w:eastAsia="宋体" w:hint="default"/>
          <w:b/>
          <w:bCs/>
          <w:sz w:val="15"/>
          <w:szCs w:val="15"/>
        </w:rPr>
        <w:t>出售资产</w:t>
      </w:r>
      <w:r>
        <w:rPr>
          <w:rFonts w:ascii="宋体" w:hAnsi="宋体" w:cs="宋体" w:eastAsia="宋体" w:hint="default"/>
          <w:sz w:val="15"/>
          <w:szCs w:val="15"/>
        </w:rPr>
      </w:r>
    </w:p>
    <w:p>
      <w:pPr>
        <w:spacing w:line="240" w:lineRule="auto" w:before="5"/>
        <w:rPr>
          <w:rFonts w:ascii="宋体" w:hAnsi="宋体" w:cs="宋体" w:eastAsia="宋体" w:hint="default"/>
          <w:b/>
          <w:bCs/>
          <w:sz w:val="11"/>
          <w:szCs w:val="11"/>
        </w:rPr>
      </w:pPr>
    </w:p>
    <w:p>
      <w:pPr>
        <w:spacing w:line="384" w:lineRule="auto" w:before="0"/>
        <w:ind w:left="468" w:right="1184" w:firstLine="302"/>
        <w:jc w:val="both"/>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w:t>
      </w:r>
      <w:r>
        <w:rPr>
          <w:rFonts w:ascii="宋体" w:hAnsi="宋体" w:cs="宋体" w:eastAsia="宋体" w:hint="default"/>
          <w:sz w:val="15"/>
          <w:szCs w:val="15"/>
        </w:rPr>
        <w:t>）天源迪科控股子公司维恩贝特科技有限公司将其全资子公司深圳前海维恩贝特互联网金融信息服务有限公司</w:t>
      </w:r>
      <w:r>
        <w:rPr>
          <w:rFonts w:ascii="宋体" w:hAnsi="宋体" w:cs="宋体" w:eastAsia="宋体" w:hint="default"/>
          <w:sz w:val="15"/>
          <w:szCs w:val="15"/>
        </w:rPr>
        <w:t>60%</w:t>
      </w:r>
      <w:r>
        <w:rPr>
          <w:rFonts w:ascii="宋体" w:hAnsi="宋体" w:cs="宋体" w:eastAsia="宋体" w:hint="default"/>
          <w:sz w:val="15"/>
          <w:szCs w:val="15"/>
        </w:rPr>
        <w:t>股权转让，其中</w:t>
      </w:r>
      <w:r>
        <w:rPr>
          <w:rFonts w:ascii="宋体" w:hAnsi="宋体" w:cs="宋体" w:eastAsia="宋体" w:hint="default"/>
          <w:sz w:val="15"/>
          <w:szCs w:val="15"/>
        </w:rPr>
        <w:t>30%</w:t>
      </w:r>
      <w:r>
        <w:rPr>
          <w:rFonts w:ascii="宋体" w:hAnsi="宋体" w:cs="宋体" w:eastAsia="宋体" w:hint="default"/>
          <w:spacing w:val="2"/>
          <w:w w:val="99"/>
          <w:sz w:val="15"/>
          <w:szCs w:val="15"/>
        </w:rPr>
        <w:t> </w:t>
      </w:r>
      <w:r>
        <w:rPr>
          <w:rFonts w:ascii="宋体" w:hAnsi="宋体" w:cs="宋体" w:eastAsia="宋体" w:hint="default"/>
          <w:sz w:val="15"/>
          <w:szCs w:val="15"/>
        </w:rPr>
        <w:t>的股权转让给深圳曦和供应链服务有限公司，交易价格人民币</w:t>
      </w:r>
      <w:r>
        <w:rPr>
          <w:rFonts w:ascii="宋体" w:hAnsi="宋体" w:cs="宋体" w:eastAsia="宋体" w:hint="default"/>
          <w:sz w:val="15"/>
          <w:szCs w:val="15"/>
        </w:rPr>
        <w:t>150</w:t>
      </w:r>
      <w:r>
        <w:rPr>
          <w:rFonts w:ascii="宋体" w:hAnsi="宋体" w:cs="宋体" w:eastAsia="宋体" w:hint="default"/>
          <w:sz w:val="15"/>
          <w:szCs w:val="15"/>
        </w:rPr>
        <w:t>万元；</w:t>
      </w:r>
      <w:r>
        <w:rPr>
          <w:rFonts w:ascii="宋体" w:hAnsi="宋体" w:cs="宋体" w:eastAsia="宋体" w:hint="default"/>
          <w:sz w:val="15"/>
          <w:szCs w:val="15"/>
        </w:rPr>
        <w:t>30%</w:t>
      </w:r>
      <w:r>
        <w:rPr>
          <w:rFonts w:ascii="宋体" w:hAnsi="宋体" w:cs="宋体" w:eastAsia="宋体" w:hint="default"/>
          <w:sz w:val="15"/>
          <w:szCs w:val="15"/>
        </w:rPr>
        <w:t>的股权转让给给深圳市财硕投资有限公司，交易价格人民币</w:t>
      </w:r>
      <w:r>
        <w:rPr>
          <w:rFonts w:ascii="宋体" w:hAnsi="宋体" w:cs="宋体" w:eastAsia="宋体" w:hint="default"/>
          <w:sz w:val="15"/>
          <w:szCs w:val="15"/>
        </w:rPr>
        <w:t>150</w:t>
      </w:r>
      <w:r>
        <w:rPr>
          <w:rFonts w:ascii="宋体" w:hAnsi="宋体" w:cs="宋体" w:eastAsia="宋体" w:hint="default"/>
          <w:sz w:val="15"/>
          <w:szCs w:val="15"/>
        </w:rPr>
        <w:t>万</w:t>
      </w:r>
      <w:r>
        <w:rPr>
          <w:rFonts w:ascii="宋体" w:hAnsi="宋体" w:cs="宋体" w:eastAsia="宋体" w:hint="default"/>
          <w:w w:val="99"/>
          <w:sz w:val="15"/>
          <w:szCs w:val="15"/>
        </w:rPr>
        <w:t> </w:t>
      </w:r>
      <w:r>
        <w:rPr>
          <w:rFonts w:ascii="宋体" w:hAnsi="宋体" w:cs="宋体" w:eastAsia="宋体" w:hint="default"/>
          <w:sz w:val="15"/>
          <w:szCs w:val="15"/>
        </w:rPr>
        <w:t>元。</w:t>
      </w:r>
    </w:p>
    <w:p>
      <w:pPr>
        <w:spacing w:line="386" w:lineRule="auto" w:before="60"/>
        <w:ind w:left="468" w:right="1122" w:firstLine="302"/>
        <w:jc w:val="both"/>
        <w:rPr>
          <w:rFonts w:ascii="宋体" w:hAnsi="宋体" w:cs="宋体" w:eastAsia="宋体" w:hint="default"/>
          <w:sz w:val="15"/>
          <w:szCs w:val="15"/>
        </w:rPr>
      </w:pPr>
      <w:r>
        <w:rPr>
          <w:rFonts w:ascii="宋体" w:hAnsi="宋体" w:cs="宋体" w:eastAsia="宋体" w:hint="default"/>
          <w:w w:val="95"/>
          <w:sz w:val="15"/>
          <w:szCs w:val="15"/>
        </w:rPr>
        <w:t>（</w:t>
      </w:r>
      <w:r>
        <w:rPr>
          <w:rFonts w:ascii="宋体" w:hAnsi="宋体" w:cs="宋体" w:eastAsia="宋体" w:hint="default"/>
          <w:w w:val="95"/>
          <w:sz w:val="15"/>
          <w:szCs w:val="15"/>
        </w:rPr>
        <w:t>2</w:t>
      </w:r>
      <w:r>
        <w:rPr>
          <w:rFonts w:ascii="宋体" w:hAnsi="宋体" w:cs="宋体" w:eastAsia="宋体" w:hint="default"/>
          <w:w w:val="95"/>
          <w:sz w:val="15"/>
          <w:szCs w:val="15"/>
        </w:rPr>
        <w:t>）天源迪科控股子公司维恩贝特科技有限公司将其全资子公司北京维恩贝特信息技术有限公司</w:t>
      </w:r>
      <w:r>
        <w:rPr>
          <w:rFonts w:ascii="宋体" w:hAnsi="宋体" w:cs="宋体" w:eastAsia="宋体" w:hint="default"/>
          <w:w w:val="95"/>
          <w:sz w:val="15"/>
          <w:szCs w:val="15"/>
        </w:rPr>
        <w:t>100%</w:t>
      </w:r>
      <w:r>
        <w:rPr>
          <w:rFonts w:ascii="宋体" w:hAnsi="宋体" w:cs="宋体" w:eastAsia="宋体" w:hint="default"/>
          <w:w w:val="95"/>
          <w:sz w:val="15"/>
          <w:szCs w:val="15"/>
        </w:rPr>
        <w:t>的股权以人民币</w:t>
      </w:r>
      <w:r>
        <w:rPr>
          <w:rFonts w:ascii="宋体" w:hAnsi="宋体" w:cs="宋体" w:eastAsia="宋体" w:hint="default"/>
          <w:w w:val="95"/>
          <w:sz w:val="15"/>
          <w:szCs w:val="15"/>
        </w:rPr>
        <w:t>11,149,297.60</w:t>
      </w:r>
      <w:r>
        <w:rPr>
          <w:rFonts w:ascii="宋体" w:hAnsi="宋体" w:cs="宋体" w:eastAsia="宋体" w:hint="default"/>
          <w:w w:val="95"/>
          <w:sz w:val="15"/>
          <w:szCs w:val="15"/>
        </w:rPr>
        <w:t>元转</w:t>
      </w:r>
      <w:r>
        <w:rPr>
          <w:rFonts w:ascii="宋体" w:hAnsi="宋体" w:cs="宋体" w:eastAsia="宋体" w:hint="default"/>
          <w:spacing w:val="50"/>
          <w:w w:val="95"/>
          <w:sz w:val="15"/>
          <w:szCs w:val="15"/>
        </w:rPr>
        <w:t> </w:t>
      </w:r>
      <w:r>
        <w:rPr>
          <w:rFonts w:ascii="宋体" w:hAnsi="宋体" w:cs="宋体" w:eastAsia="宋体" w:hint="default"/>
          <w:spacing w:val="-1"/>
          <w:w w:val="99"/>
          <w:sz w:val="15"/>
          <w:szCs w:val="15"/>
        </w:rPr>
        <w:t>让给天源迪科，北京维恩贝特信息技术有限公司更名为“北京天源迪科网络科技有限公司”。</w:t>
      </w:r>
      <w:r>
        <w:rPr>
          <w:rFonts w:ascii="宋体" w:hAnsi="宋体" w:cs="宋体" w:eastAsia="宋体" w:hint="default"/>
          <w:spacing w:val="-1"/>
          <w:sz w:val="15"/>
          <w:szCs w:val="15"/>
        </w:rPr>
      </w:r>
    </w:p>
    <w:p>
      <w:pPr>
        <w:spacing w:line="240" w:lineRule="auto" w:before="0"/>
        <w:rPr>
          <w:rFonts w:ascii="宋体" w:hAnsi="宋体" w:cs="宋体" w:eastAsia="宋体" w:hint="default"/>
          <w:sz w:val="14"/>
          <w:szCs w:val="14"/>
        </w:rPr>
      </w:pPr>
    </w:p>
    <w:p>
      <w:pPr>
        <w:spacing w:line="240" w:lineRule="auto" w:before="12"/>
        <w:rPr>
          <w:rFonts w:ascii="宋体" w:hAnsi="宋体" w:cs="宋体" w:eastAsia="宋体" w:hint="default"/>
          <w:sz w:val="17"/>
          <w:szCs w:val="17"/>
        </w:rPr>
      </w:pPr>
    </w:p>
    <w:p>
      <w:pPr>
        <w:spacing w:before="0"/>
        <w:ind w:left="473" w:right="1764" w:firstLine="0"/>
        <w:jc w:val="left"/>
        <w:rPr>
          <w:rFonts w:ascii="宋体" w:hAnsi="宋体" w:cs="宋体" w:eastAsia="宋体" w:hint="default"/>
          <w:sz w:val="15"/>
          <w:szCs w:val="15"/>
        </w:rPr>
      </w:pPr>
      <w:r>
        <w:rPr>
          <w:rFonts w:ascii="宋体" w:hAnsi="宋体" w:cs="宋体" w:eastAsia="宋体" w:hint="default"/>
          <w:b/>
          <w:bCs/>
          <w:sz w:val="15"/>
          <w:szCs w:val="15"/>
        </w:rPr>
        <w:t>对外投资</w:t>
      </w:r>
      <w:r>
        <w:rPr>
          <w:rFonts w:ascii="宋体" w:hAnsi="宋体" w:cs="宋体" w:eastAsia="宋体" w:hint="default"/>
          <w:sz w:val="15"/>
          <w:szCs w:val="15"/>
        </w:rPr>
      </w:r>
    </w:p>
    <w:p>
      <w:pPr>
        <w:spacing w:line="240" w:lineRule="auto" w:before="5"/>
        <w:rPr>
          <w:rFonts w:ascii="宋体" w:hAnsi="宋体" w:cs="宋体" w:eastAsia="宋体" w:hint="default"/>
          <w:b/>
          <w:bCs/>
          <w:sz w:val="11"/>
          <w:szCs w:val="11"/>
        </w:rPr>
      </w:pPr>
    </w:p>
    <w:p>
      <w:pPr>
        <w:spacing w:line="388" w:lineRule="auto" w:before="0"/>
        <w:ind w:left="468" w:right="1133" w:firstLine="302"/>
        <w:jc w:val="both"/>
        <w:rPr>
          <w:rFonts w:ascii="宋体" w:hAnsi="宋体" w:cs="宋体" w:eastAsia="宋体" w:hint="default"/>
          <w:sz w:val="15"/>
          <w:szCs w:val="15"/>
        </w:rPr>
      </w:pPr>
      <w:r>
        <w:rPr>
          <w:rFonts w:ascii="宋体" w:hAnsi="宋体" w:cs="宋体" w:eastAsia="宋体" w:hint="default"/>
          <w:w w:val="95"/>
          <w:sz w:val="15"/>
          <w:szCs w:val="15"/>
        </w:rPr>
        <w:t>（</w:t>
      </w:r>
      <w:r>
        <w:rPr>
          <w:rFonts w:ascii="宋体" w:hAnsi="宋体" w:cs="宋体" w:eastAsia="宋体" w:hint="default"/>
          <w:w w:val="95"/>
          <w:sz w:val="15"/>
          <w:szCs w:val="15"/>
        </w:rPr>
        <w:t>1</w:t>
      </w:r>
      <w:r>
        <w:rPr>
          <w:rFonts w:ascii="宋体" w:hAnsi="宋体" w:cs="宋体" w:eastAsia="宋体" w:hint="default"/>
          <w:w w:val="95"/>
          <w:sz w:val="15"/>
          <w:szCs w:val="15"/>
        </w:rPr>
        <w:t>）天源迪科全资子公司合肥迪科与控股孙公司迪科数金（天源迪科通过合肥迪科持股</w:t>
      </w:r>
      <w:r>
        <w:rPr>
          <w:rFonts w:ascii="宋体" w:hAnsi="宋体" w:cs="宋体" w:eastAsia="宋体" w:hint="default"/>
          <w:w w:val="95"/>
          <w:sz w:val="15"/>
          <w:szCs w:val="15"/>
        </w:rPr>
        <w:t>84%</w:t>
      </w:r>
      <w:r>
        <w:rPr>
          <w:rFonts w:ascii="宋体" w:hAnsi="宋体" w:cs="宋体" w:eastAsia="宋体" w:hint="default"/>
          <w:w w:val="95"/>
          <w:sz w:val="15"/>
          <w:szCs w:val="15"/>
        </w:rPr>
        <w:t>）合资设立合肥天源迪科职业培训学校有限公</w:t>
      </w:r>
      <w:r>
        <w:rPr>
          <w:rFonts w:ascii="宋体" w:hAnsi="宋体" w:cs="宋体" w:eastAsia="宋体" w:hint="default"/>
          <w:spacing w:val="44"/>
          <w:w w:val="95"/>
          <w:sz w:val="15"/>
          <w:szCs w:val="15"/>
        </w:rPr>
        <w:t> </w:t>
      </w:r>
      <w:r>
        <w:rPr>
          <w:rFonts w:ascii="宋体" w:hAnsi="宋体" w:cs="宋体" w:eastAsia="宋体" w:hint="default"/>
          <w:spacing w:val="44"/>
          <w:w w:val="95"/>
          <w:sz w:val="15"/>
          <w:szCs w:val="15"/>
        </w:rPr>
      </w:r>
      <w:r>
        <w:rPr>
          <w:rFonts w:ascii="宋体" w:hAnsi="宋体" w:cs="宋体" w:eastAsia="宋体" w:hint="default"/>
          <w:sz w:val="15"/>
          <w:szCs w:val="15"/>
        </w:rPr>
        <w:t>司，注册资本</w:t>
      </w:r>
      <w:r>
        <w:rPr>
          <w:rFonts w:ascii="宋体" w:hAnsi="宋体" w:cs="宋体" w:eastAsia="宋体" w:hint="default"/>
          <w:sz w:val="15"/>
          <w:szCs w:val="15"/>
        </w:rPr>
        <w:t>500</w:t>
      </w:r>
      <w:r>
        <w:rPr>
          <w:rFonts w:ascii="宋体" w:hAnsi="宋体" w:cs="宋体" w:eastAsia="宋体" w:hint="default"/>
          <w:sz w:val="15"/>
          <w:szCs w:val="15"/>
        </w:rPr>
        <w:t>万元，合肥迪科占股</w:t>
      </w:r>
      <w:r>
        <w:rPr>
          <w:rFonts w:ascii="宋体" w:hAnsi="宋体" w:cs="宋体" w:eastAsia="宋体" w:hint="default"/>
          <w:sz w:val="15"/>
          <w:szCs w:val="15"/>
        </w:rPr>
        <w:t>70%</w:t>
      </w:r>
      <w:r>
        <w:rPr>
          <w:rFonts w:ascii="宋体" w:hAnsi="宋体" w:cs="宋体" w:eastAsia="宋体" w:hint="default"/>
          <w:sz w:val="15"/>
          <w:szCs w:val="15"/>
        </w:rPr>
        <w:t>，迪科数金占股</w:t>
      </w:r>
      <w:r>
        <w:rPr>
          <w:rFonts w:ascii="宋体" w:hAnsi="宋体" w:cs="宋体" w:eastAsia="宋体" w:hint="default"/>
          <w:sz w:val="15"/>
          <w:szCs w:val="15"/>
        </w:rPr>
        <w:t>30%</w:t>
      </w:r>
      <w:r>
        <w:rPr>
          <w:rFonts w:ascii="宋体" w:hAnsi="宋体" w:cs="宋体" w:eastAsia="宋体" w:hint="default"/>
          <w:sz w:val="15"/>
          <w:szCs w:val="15"/>
        </w:rPr>
        <w:t>。</w:t>
      </w:r>
    </w:p>
    <w:p>
      <w:pPr>
        <w:spacing w:before="66"/>
        <w:ind w:left="770" w:right="1764" w:firstLine="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2</w:t>
      </w:r>
      <w:r>
        <w:rPr>
          <w:rFonts w:ascii="宋体" w:hAnsi="宋体" w:cs="宋体" w:eastAsia="宋体" w:hint="default"/>
          <w:sz w:val="15"/>
          <w:szCs w:val="15"/>
        </w:rPr>
        <w:t>）天源迪科控股孙公司安徽迪科数金科技有限公司投资成立全资子公司芜湖迪科数金科技有限公司，注册资本</w:t>
      </w:r>
      <w:r>
        <w:rPr>
          <w:rFonts w:ascii="宋体" w:hAnsi="宋体" w:cs="宋体" w:eastAsia="宋体" w:hint="default"/>
          <w:sz w:val="15"/>
          <w:szCs w:val="15"/>
        </w:rPr>
        <w:t>1000</w:t>
      </w:r>
      <w:r>
        <w:rPr>
          <w:rFonts w:ascii="宋体" w:hAnsi="宋体" w:cs="宋体" w:eastAsia="宋体" w:hint="default"/>
          <w:sz w:val="15"/>
          <w:szCs w:val="15"/>
        </w:rPr>
        <w:t>万元。</w:t>
      </w:r>
    </w:p>
    <w:p>
      <w:pPr>
        <w:spacing w:after="0"/>
        <w:jc w:val="left"/>
        <w:rPr>
          <w:rFonts w:ascii="宋体" w:hAnsi="宋体" w:cs="宋体" w:eastAsia="宋体" w:hint="default"/>
          <w:sz w:val="15"/>
          <w:szCs w:val="15"/>
        </w:rPr>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003" w:right="1764"/>
        <w:jc w:val="left"/>
        <w:rPr>
          <w:b w:val="0"/>
          <w:bCs w:val="0"/>
        </w:rPr>
      </w:pPr>
      <w:bookmarkStart w:name="第六节股份变动及股东情况" w:id="103"/>
      <w:bookmarkEnd w:id="103"/>
      <w:r>
        <w:rPr>
          <w:b w:val="0"/>
          <w:bCs w:val="0"/>
        </w:rPr>
      </w:r>
      <w:bookmarkStart w:name="_bookmark4" w:id="104"/>
      <w:bookmarkEnd w:id="104"/>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2"/>
        <w:spacing w:line="240" w:lineRule="auto" w:before="26"/>
        <w:ind w:right="1764"/>
        <w:jc w:val="left"/>
        <w:rPr>
          <w:b w:val="0"/>
          <w:bCs w:val="0"/>
        </w:rPr>
      </w:pPr>
      <w:bookmarkStart w:name="一、股份变动情况" w:id="105"/>
      <w:bookmarkEnd w:id="105"/>
      <w:r>
        <w:rPr>
          <w:b w:val="0"/>
          <w:bCs w:val="0"/>
        </w:rPr>
      </w:r>
      <w:r>
        <w:rPr/>
        <w:t>一、股份变动情况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764"/>
        <w:jc w:val="left"/>
        <w:rPr>
          <w:b w:val="0"/>
          <w:bCs w:val="0"/>
        </w:rPr>
      </w:pPr>
      <w:bookmarkStart w:name="1、股份变动情况" w:id="106"/>
      <w:bookmarkEnd w:id="106"/>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228"/>
        <w:gridCol w:w="821"/>
        <w:gridCol w:w="826"/>
        <w:gridCol w:w="821"/>
        <w:gridCol w:w="826"/>
        <w:gridCol w:w="821"/>
        <w:gridCol w:w="821"/>
        <w:gridCol w:w="821"/>
        <w:gridCol w:w="797"/>
        <w:gridCol w:w="792"/>
      </w:tblGrid>
      <w:tr>
        <w:trPr>
          <w:trHeight w:val="403" w:hRule="exact"/>
        </w:trPr>
        <w:tc>
          <w:tcPr>
            <w:tcW w:w="2228" w:type="dxa"/>
            <w:vMerge w:val="restart"/>
            <w:tcBorders>
              <w:top w:val="single" w:sz="4" w:space="0" w:color="000000"/>
              <w:left w:val="single" w:sz="4" w:space="0" w:color="000000"/>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61" w:right="0"/>
              <w:jc w:val="left"/>
              <w:rPr>
                <w:rFonts w:ascii="宋体" w:hAnsi="宋体" w:cs="宋体" w:eastAsia="宋体" w:hint="default"/>
                <w:sz w:val="18"/>
                <w:szCs w:val="18"/>
              </w:rPr>
            </w:pPr>
            <w:r>
              <w:rPr>
                <w:rFonts w:ascii="宋体" w:hAnsi="宋体" w:cs="宋体" w:eastAsia="宋体" w:hint="default"/>
                <w:spacing w:val="-3"/>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0" w:hRule="exact"/>
        </w:trPr>
        <w:tc>
          <w:tcPr>
            <w:tcW w:w="2228"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16" w:right="127" w:hanging="178"/>
              <w:jc w:val="left"/>
              <w:rPr>
                <w:rFonts w:ascii="宋体" w:hAnsi="宋体" w:cs="宋体" w:eastAsia="宋体" w:hint="default"/>
                <w:sz w:val="18"/>
                <w:szCs w:val="18"/>
              </w:rPr>
            </w:pPr>
            <w:r>
              <w:rPr>
                <w:rFonts w:ascii="宋体" w:hAnsi="宋体" w:cs="宋体" w:eastAsia="宋体" w:hint="default"/>
                <w:sz w:val="18"/>
                <w:szCs w:val="18"/>
              </w:rPr>
              <w:t>发行新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0" w:right="132" w:hanging="87"/>
              <w:jc w:val="left"/>
              <w:rPr>
                <w:rFonts w:ascii="宋体" w:hAnsi="宋体" w:cs="宋体" w:eastAsia="宋体" w:hint="default"/>
                <w:sz w:val="18"/>
                <w:szCs w:val="18"/>
              </w:rPr>
            </w:pPr>
            <w:r>
              <w:rPr>
                <w:rFonts w:ascii="宋体" w:hAnsi="宋体" w:cs="宋体" w:eastAsia="宋体" w:hint="default"/>
                <w:sz w:val="18"/>
                <w:szCs w:val="18"/>
              </w:rPr>
              <w:t>公积金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转股</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6"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一、有限售条件股份</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2" w:right="0"/>
              <w:jc w:val="left"/>
              <w:rPr>
                <w:rFonts w:ascii="Times New Roman" w:hAnsi="Times New Roman" w:cs="Times New Roman" w:eastAsia="Times New Roman" w:hint="default"/>
                <w:sz w:val="18"/>
                <w:szCs w:val="18"/>
              </w:rPr>
            </w:pPr>
            <w:r>
              <w:rPr>
                <w:rFonts w:ascii="Times New Roman"/>
                <w:sz w:val="18"/>
              </w:rPr>
              <w:t>99,845,</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704</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25.02%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7" w:right="0"/>
              <w:jc w:val="left"/>
              <w:rPr>
                <w:rFonts w:ascii="Times New Roman" w:hAnsi="Times New Roman" w:cs="Times New Roman" w:eastAsia="Times New Roman" w:hint="default"/>
                <w:sz w:val="18"/>
                <w:szCs w:val="18"/>
              </w:rPr>
            </w:pPr>
            <w:r>
              <w:rPr>
                <w:rFonts w:ascii="Times New Roman"/>
                <w:sz w:val="18"/>
              </w:rPr>
              <w:t>58,886,</w:t>
            </w:r>
          </w:p>
          <w:p>
            <w:pPr>
              <w:pStyle w:val="TableParagraph"/>
              <w:spacing w:line="240" w:lineRule="auto" w:before="105"/>
              <w:ind w:left="437" w:right="0"/>
              <w:jc w:val="left"/>
              <w:rPr>
                <w:rFonts w:ascii="Times New Roman" w:hAnsi="Times New Roman" w:cs="Times New Roman" w:eastAsia="Times New Roman" w:hint="default"/>
                <w:sz w:val="18"/>
                <w:szCs w:val="18"/>
              </w:rPr>
            </w:pPr>
            <w:r>
              <w:rPr>
                <w:rFonts w:ascii="Times New Roman"/>
                <w:sz w:val="18"/>
              </w:rPr>
              <w:t>397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0" w:right="0"/>
              <w:jc w:val="left"/>
              <w:rPr>
                <w:rFonts w:ascii="Times New Roman" w:hAnsi="Times New Roman" w:cs="Times New Roman" w:eastAsia="Times New Roman" w:hint="default"/>
                <w:sz w:val="18"/>
                <w:szCs w:val="18"/>
              </w:rPr>
            </w:pPr>
            <w:r>
              <w:rPr>
                <w:rFonts w:ascii="Times New Roman"/>
                <w:sz w:val="18"/>
              </w:rPr>
              <w:t>-31,318,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667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2" w:right="0"/>
              <w:jc w:val="left"/>
              <w:rPr>
                <w:rFonts w:ascii="Times New Roman" w:hAnsi="Times New Roman" w:cs="Times New Roman" w:eastAsia="Times New Roman" w:hint="default"/>
                <w:sz w:val="18"/>
                <w:szCs w:val="18"/>
              </w:rPr>
            </w:pPr>
            <w:r>
              <w:rPr>
                <w:rFonts w:ascii="Times New Roman"/>
                <w:sz w:val="18"/>
              </w:rPr>
              <w:t>27,567,</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87" w:right="0"/>
              <w:jc w:val="left"/>
              <w:rPr>
                <w:rFonts w:ascii="Times New Roman" w:hAnsi="Times New Roman" w:cs="Times New Roman" w:eastAsia="Times New Roman" w:hint="default"/>
                <w:sz w:val="18"/>
                <w:szCs w:val="18"/>
              </w:rPr>
            </w:pPr>
            <w:r>
              <w:rPr>
                <w:rFonts w:ascii="Times New Roman"/>
                <w:sz w:val="18"/>
              </w:rPr>
              <w:t>127,41</w:t>
            </w:r>
          </w:p>
          <w:p>
            <w:pPr>
              <w:pStyle w:val="TableParagraph"/>
              <w:spacing w:line="240" w:lineRule="auto" w:before="105"/>
              <w:ind w:left="278" w:right="0"/>
              <w:jc w:val="left"/>
              <w:rPr>
                <w:rFonts w:ascii="Times New Roman" w:hAnsi="Times New Roman" w:cs="Times New Roman" w:eastAsia="Times New Roman" w:hint="default"/>
                <w:sz w:val="18"/>
                <w:szCs w:val="18"/>
              </w:rPr>
            </w:pPr>
            <w:r>
              <w:rPr>
                <w:rFonts w:ascii="Times New Roman"/>
                <w:sz w:val="18"/>
              </w:rPr>
              <w:t>3,434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19.98%</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99,845,</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704</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25.02%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7" w:right="0"/>
              <w:jc w:val="left"/>
              <w:rPr>
                <w:rFonts w:ascii="Times New Roman" w:hAnsi="Times New Roman" w:cs="Times New Roman" w:eastAsia="Times New Roman" w:hint="default"/>
                <w:sz w:val="18"/>
                <w:szCs w:val="18"/>
              </w:rPr>
            </w:pPr>
            <w:r>
              <w:rPr>
                <w:rFonts w:ascii="Times New Roman"/>
                <w:sz w:val="18"/>
              </w:rPr>
              <w:t>58,886,</w:t>
            </w:r>
          </w:p>
          <w:p>
            <w:pPr>
              <w:pStyle w:val="TableParagraph"/>
              <w:spacing w:line="240" w:lineRule="auto" w:before="105"/>
              <w:ind w:left="437" w:right="0"/>
              <w:jc w:val="left"/>
              <w:rPr>
                <w:rFonts w:ascii="Times New Roman" w:hAnsi="Times New Roman" w:cs="Times New Roman" w:eastAsia="Times New Roman" w:hint="default"/>
                <w:sz w:val="18"/>
                <w:szCs w:val="18"/>
              </w:rPr>
            </w:pPr>
            <w:r>
              <w:rPr>
                <w:rFonts w:ascii="Times New Roman"/>
                <w:sz w:val="18"/>
              </w:rPr>
              <w:t>397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-31,318,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667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27,567,</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7" w:right="0"/>
              <w:jc w:val="left"/>
              <w:rPr>
                <w:rFonts w:ascii="Times New Roman" w:hAnsi="Times New Roman" w:cs="Times New Roman" w:eastAsia="Times New Roman" w:hint="default"/>
                <w:sz w:val="18"/>
                <w:szCs w:val="18"/>
              </w:rPr>
            </w:pPr>
            <w:r>
              <w:rPr>
                <w:rFonts w:ascii="Times New Roman"/>
                <w:sz w:val="18"/>
              </w:rPr>
              <w:t>127,41</w:t>
            </w:r>
          </w:p>
          <w:p>
            <w:pPr>
              <w:pStyle w:val="TableParagraph"/>
              <w:spacing w:line="240" w:lineRule="auto" w:before="105"/>
              <w:ind w:left="278" w:right="0"/>
              <w:jc w:val="left"/>
              <w:rPr>
                <w:rFonts w:ascii="Times New Roman" w:hAnsi="Times New Roman" w:cs="Times New Roman" w:eastAsia="Times New Roman" w:hint="default"/>
                <w:sz w:val="18"/>
                <w:szCs w:val="18"/>
              </w:rPr>
            </w:pPr>
            <w:r>
              <w:rPr>
                <w:rFonts w:ascii="Times New Roman"/>
                <w:sz w:val="18"/>
              </w:rPr>
              <w:t>3,434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19.98%</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其中：境内法人持股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05"/>
              <w:jc w:val="right"/>
              <w:rPr>
                <w:rFonts w:ascii="宋体" w:hAnsi="宋体" w:cs="宋体" w:eastAsia="宋体" w:hint="default"/>
                <w:sz w:val="18"/>
                <w:szCs w:val="18"/>
              </w:rPr>
            </w:pPr>
            <w:r>
              <w:rPr>
                <w:rFonts w:ascii="宋体" w:hAnsi="宋体" w:cs="宋体" w:eastAsia="宋体" w:hint="default"/>
                <w:spacing w:val="-3"/>
                <w:sz w:val="18"/>
                <w:szCs w:val="18"/>
              </w:rPr>
              <w:t>境内自然人持股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99,845,</w:t>
            </w:r>
          </w:p>
          <w:p>
            <w:pPr>
              <w:pStyle w:val="TableParagraph"/>
              <w:spacing w:line="240" w:lineRule="auto" w:before="110"/>
              <w:ind w:left="441" w:right="0"/>
              <w:jc w:val="left"/>
              <w:rPr>
                <w:rFonts w:ascii="Times New Roman" w:hAnsi="Times New Roman" w:cs="Times New Roman" w:eastAsia="Times New Roman" w:hint="default"/>
                <w:sz w:val="18"/>
                <w:szCs w:val="18"/>
              </w:rPr>
            </w:pPr>
            <w:r>
              <w:rPr>
                <w:rFonts w:ascii="Times New Roman"/>
                <w:sz w:val="18"/>
              </w:rPr>
              <w:t>704</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25.02%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7" w:right="0"/>
              <w:jc w:val="left"/>
              <w:rPr>
                <w:rFonts w:ascii="Times New Roman" w:hAnsi="Times New Roman" w:cs="Times New Roman" w:eastAsia="Times New Roman" w:hint="default"/>
                <w:sz w:val="18"/>
                <w:szCs w:val="18"/>
              </w:rPr>
            </w:pPr>
            <w:r>
              <w:rPr>
                <w:rFonts w:ascii="Times New Roman"/>
                <w:sz w:val="18"/>
              </w:rPr>
              <w:t>58,886,</w:t>
            </w:r>
          </w:p>
          <w:p>
            <w:pPr>
              <w:pStyle w:val="TableParagraph"/>
              <w:spacing w:line="240" w:lineRule="auto" w:before="110"/>
              <w:ind w:left="437" w:right="0"/>
              <w:jc w:val="left"/>
              <w:rPr>
                <w:rFonts w:ascii="Times New Roman" w:hAnsi="Times New Roman" w:cs="Times New Roman" w:eastAsia="Times New Roman" w:hint="default"/>
                <w:sz w:val="18"/>
                <w:szCs w:val="18"/>
              </w:rPr>
            </w:pPr>
            <w:r>
              <w:rPr>
                <w:rFonts w:ascii="Times New Roman"/>
                <w:sz w:val="18"/>
              </w:rPr>
              <w:t>397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-31,318,</w:t>
            </w:r>
          </w:p>
          <w:p>
            <w:pPr>
              <w:pStyle w:val="TableParagraph"/>
              <w:spacing w:line="240" w:lineRule="auto" w:before="110"/>
              <w:ind w:left="441" w:right="0"/>
              <w:jc w:val="left"/>
              <w:rPr>
                <w:rFonts w:ascii="Times New Roman" w:hAnsi="Times New Roman" w:cs="Times New Roman" w:eastAsia="Times New Roman" w:hint="default"/>
                <w:sz w:val="18"/>
                <w:szCs w:val="18"/>
              </w:rPr>
            </w:pPr>
            <w:r>
              <w:rPr>
                <w:rFonts w:ascii="Times New Roman"/>
                <w:sz w:val="18"/>
              </w:rPr>
              <w:t>667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27,567,</w:t>
            </w:r>
          </w:p>
          <w:p>
            <w:pPr>
              <w:pStyle w:val="TableParagraph"/>
              <w:spacing w:line="240" w:lineRule="auto" w:before="110"/>
              <w:ind w:left="441" w:right="0"/>
              <w:jc w:val="left"/>
              <w:rPr>
                <w:rFonts w:ascii="Times New Roman" w:hAnsi="Times New Roman" w:cs="Times New Roman" w:eastAsia="Times New Roman" w:hint="default"/>
                <w:sz w:val="18"/>
                <w:szCs w:val="18"/>
              </w:rPr>
            </w:pPr>
            <w:r>
              <w:rPr>
                <w:rFonts w:ascii="Times New Roman"/>
                <w:sz w:val="18"/>
              </w:rPr>
              <w:t>730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7" w:right="0"/>
              <w:jc w:val="left"/>
              <w:rPr>
                <w:rFonts w:ascii="Times New Roman" w:hAnsi="Times New Roman" w:cs="Times New Roman" w:eastAsia="Times New Roman" w:hint="default"/>
                <w:sz w:val="18"/>
                <w:szCs w:val="18"/>
              </w:rPr>
            </w:pPr>
            <w:r>
              <w:rPr>
                <w:rFonts w:ascii="Times New Roman"/>
                <w:sz w:val="18"/>
              </w:rPr>
              <w:t>127,41</w:t>
            </w:r>
          </w:p>
          <w:p>
            <w:pPr>
              <w:pStyle w:val="TableParagraph"/>
              <w:spacing w:line="240" w:lineRule="auto" w:before="110"/>
              <w:ind w:left="278" w:right="0"/>
              <w:jc w:val="left"/>
              <w:rPr>
                <w:rFonts w:ascii="Times New Roman" w:hAnsi="Times New Roman" w:cs="Times New Roman" w:eastAsia="Times New Roman" w:hint="default"/>
                <w:sz w:val="18"/>
                <w:szCs w:val="18"/>
              </w:rPr>
            </w:pPr>
            <w:r>
              <w:rPr>
                <w:rFonts w:ascii="Times New Roman"/>
                <w:sz w:val="18"/>
              </w:rPr>
              <w:t>3,434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19.98%</w:t>
            </w:r>
          </w:p>
        </w:tc>
      </w:tr>
      <w:tr>
        <w:trPr>
          <w:trHeight w:val="40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8"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其中：境外法人持股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05"/>
              <w:jc w:val="right"/>
              <w:rPr>
                <w:rFonts w:ascii="宋体" w:hAnsi="宋体" w:cs="宋体" w:eastAsia="宋体" w:hint="default"/>
                <w:sz w:val="18"/>
                <w:szCs w:val="18"/>
              </w:rPr>
            </w:pPr>
            <w:r>
              <w:rPr>
                <w:rFonts w:ascii="宋体" w:hAnsi="宋体" w:cs="宋体" w:eastAsia="宋体" w:hint="default"/>
                <w:spacing w:val="-3"/>
                <w:sz w:val="18"/>
                <w:szCs w:val="18"/>
              </w:rPr>
              <w:t>境外自然人持股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二、无限售条件股份</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4" w:right="0"/>
              <w:jc w:val="left"/>
              <w:rPr>
                <w:rFonts w:ascii="Times New Roman" w:hAnsi="Times New Roman" w:cs="Times New Roman" w:eastAsia="Times New Roman" w:hint="default"/>
                <w:sz w:val="18"/>
                <w:szCs w:val="18"/>
              </w:rPr>
            </w:pPr>
            <w:r>
              <w:rPr>
                <w:rFonts w:ascii="Times New Roman"/>
                <w:sz w:val="18"/>
              </w:rPr>
              <w:t>299,238</w:t>
            </w:r>
          </w:p>
          <w:p>
            <w:pPr>
              <w:pStyle w:val="TableParagraph"/>
              <w:spacing w:line="240" w:lineRule="auto" w:before="110"/>
              <w:ind w:left="393" w:right="0"/>
              <w:jc w:val="left"/>
              <w:rPr>
                <w:rFonts w:ascii="Times New Roman" w:hAnsi="Times New Roman" w:cs="Times New Roman" w:eastAsia="Times New Roman" w:hint="default"/>
                <w:sz w:val="18"/>
                <w:szCs w:val="18"/>
              </w:rPr>
            </w:pPr>
            <w:r>
              <w:rPr>
                <w:rFonts w:ascii="Times New Roman"/>
                <w:sz w:val="18"/>
              </w:rPr>
              <w:t>,156</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74.98%</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9" w:right="0"/>
              <w:jc w:val="left"/>
              <w:rPr>
                <w:rFonts w:ascii="Times New Roman" w:hAnsi="Times New Roman" w:cs="Times New Roman" w:eastAsia="Times New Roman" w:hint="default"/>
                <w:sz w:val="18"/>
                <w:szCs w:val="18"/>
              </w:rPr>
            </w:pPr>
            <w:r>
              <w:rPr>
                <w:rFonts w:ascii="Times New Roman"/>
                <w:sz w:val="18"/>
              </w:rPr>
              <w:t>180,563</w:t>
            </w:r>
          </w:p>
          <w:p>
            <w:pPr>
              <w:pStyle w:val="TableParagraph"/>
              <w:spacing w:line="240" w:lineRule="auto" w:before="110"/>
              <w:ind w:left="389" w:right="0"/>
              <w:jc w:val="left"/>
              <w:rPr>
                <w:rFonts w:ascii="Times New Roman" w:hAnsi="Times New Roman" w:cs="Times New Roman" w:eastAsia="Times New Roman" w:hint="default"/>
                <w:sz w:val="18"/>
                <w:szCs w:val="18"/>
              </w:rPr>
            </w:pPr>
            <w:r>
              <w:rPr>
                <w:rFonts w:ascii="Times New Roman"/>
                <w:sz w:val="18"/>
              </w:rPr>
              <w:t>,887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30,529,</w:t>
            </w:r>
          </w:p>
          <w:p>
            <w:pPr>
              <w:pStyle w:val="TableParagraph"/>
              <w:spacing w:line="240" w:lineRule="auto" w:before="110"/>
              <w:ind w:left="441" w:right="0"/>
              <w:jc w:val="left"/>
              <w:rPr>
                <w:rFonts w:ascii="Times New Roman" w:hAnsi="Times New Roman" w:cs="Times New Roman" w:eastAsia="Times New Roman" w:hint="default"/>
                <w:sz w:val="18"/>
                <w:szCs w:val="18"/>
              </w:rPr>
            </w:pPr>
            <w:r>
              <w:rPr>
                <w:rFonts w:ascii="Times New Roman"/>
                <w:sz w:val="18"/>
              </w:rPr>
              <w:t>195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4" w:right="0"/>
              <w:jc w:val="left"/>
              <w:rPr>
                <w:rFonts w:ascii="Times New Roman" w:hAnsi="Times New Roman" w:cs="Times New Roman" w:eastAsia="Times New Roman" w:hint="default"/>
                <w:sz w:val="18"/>
                <w:szCs w:val="18"/>
              </w:rPr>
            </w:pPr>
            <w:r>
              <w:rPr>
                <w:rFonts w:ascii="Times New Roman"/>
                <w:sz w:val="18"/>
              </w:rPr>
              <w:t>211,093</w:t>
            </w:r>
          </w:p>
          <w:p>
            <w:pPr>
              <w:pStyle w:val="TableParagraph"/>
              <w:spacing w:line="240" w:lineRule="auto" w:before="110"/>
              <w:ind w:left="393" w:right="0"/>
              <w:jc w:val="left"/>
              <w:rPr>
                <w:rFonts w:ascii="Times New Roman" w:hAnsi="Times New Roman" w:cs="Times New Roman" w:eastAsia="Times New Roman" w:hint="default"/>
                <w:sz w:val="18"/>
                <w:szCs w:val="18"/>
              </w:rPr>
            </w:pPr>
            <w:r>
              <w:rPr>
                <w:rFonts w:ascii="Times New Roman"/>
                <w:sz w:val="18"/>
              </w:rPr>
              <w:t>,082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7" w:right="0"/>
              <w:jc w:val="left"/>
              <w:rPr>
                <w:rFonts w:ascii="Times New Roman" w:hAnsi="Times New Roman" w:cs="Times New Roman" w:eastAsia="Times New Roman" w:hint="default"/>
                <w:sz w:val="18"/>
                <w:szCs w:val="18"/>
              </w:rPr>
            </w:pPr>
            <w:r>
              <w:rPr>
                <w:rFonts w:ascii="Times New Roman"/>
                <w:sz w:val="18"/>
              </w:rPr>
              <w:t>510,33</w:t>
            </w:r>
          </w:p>
          <w:p>
            <w:pPr>
              <w:pStyle w:val="TableParagraph"/>
              <w:spacing w:line="240" w:lineRule="auto" w:before="110"/>
              <w:ind w:left="278" w:right="0"/>
              <w:jc w:val="left"/>
              <w:rPr>
                <w:rFonts w:ascii="Times New Roman" w:hAnsi="Times New Roman" w:cs="Times New Roman" w:eastAsia="Times New Roman" w:hint="default"/>
                <w:sz w:val="18"/>
                <w:szCs w:val="18"/>
              </w:rPr>
            </w:pPr>
            <w:r>
              <w:rPr>
                <w:rFonts w:ascii="Times New Roman"/>
                <w:sz w:val="18"/>
              </w:rPr>
              <w:t>1,238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80.02%</w:t>
            </w:r>
          </w:p>
        </w:tc>
      </w:tr>
      <w:tr>
        <w:trPr>
          <w:trHeight w:val="716"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4" w:right="0"/>
              <w:jc w:val="left"/>
              <w:rPr>
                <w:rFonts w:ascii="Times New Roman" w:hAnsi="Times New Roman" w:cs="Times New Roman" w:eastAsia="Times New Roman" w:hint="default"/>
                <w:sz w:val="18"/>
                <w:szCs w:val="18"/>
              </w:rPr>
            </w:pPr>
            <w:r>
              <w:rPr>
                <w:rFonts w:ascii="Times New Roman"/>
                <w:sz w:val="18"/>
              </w:rPr>
              <w:t>299,238</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,156</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74.98%</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9" w:right="0"/>
              <w:jc w:val="left"/>
              <w:rPr>
                <w:rFonts w:ascii="Times New Roman" w:hAnsi="Times New Roman" w:cs="Times New Roman" w:eastAsia="Times New Roman" w:hint="default"/>
                <w:sz w:val="18"/>
                <w:szCs w:val="18"/>
              </w:rPr>
            </w:pPr>
            <w:r>
              <w:rPr>
                <w:rFonts w:ascii="Times New Roman"/>
                <w:sz w:val="18"/>
              </w:rPr>
              <w:t>180,563</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,887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30,529,</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195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4" w:right="0"/>
              <w:jc w:val="left"/>
              <w:rPr>
                <w:rFonts w:ascii="Times New Roman" w:hAnsi="Times New Roman" w:cs="Times New Roman" w:eastAsia="Times New Roman" w:hint="default"/>
                <w:sz w:val="18"/>
                <w:szCs w:val="18"/>
              </w:rPr>
            </w:pPr>
            <w:r>
              <w:rPr>
                <w:rFonts w:ascii="Times New Roman"/>
                <w:sz w:val="18"/>
              </w:rPr>
              <w:t>211,093</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,082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7" w:right="0"/>
              <w:jc w:val="left"/>
              <w:rPr>
                <w:rFonts w:ascii="Times New Roman" w:hAnsi="Times New Roman" w:cs="Times New Roman" w:eastAsia="Times New Roman" w:hint="default"/>
                <w:sz w:val="18"/>
                <w:szCs w:val="18"/>
              </w:rPr>
            </w:pPr>
            <w:r>
              <w:rPr>
                <w:rFonts w:ascii="Times New Roman"/>
                <w:sz w:val="18"/>
              </w:rPr>
              <w:t>510,33</w:t>
            </w:r>
          </w:p>
          <w:p>
            <w:pPr>
              <w:pStyle w:val="TableParagraph"/>
              <w:spacing w:line="240" w:lineRule="auto" w:before="105"/>
              <w:ind w:left="278" w:right="0"/>
              <w:jc w:val="left"/>
              <w:rPr>
                <w:rFonts w:ascii="Times New Roman" w:hAnsi="Times New Roman" w:cs="Times New Roman" w:eastAsia="Times New Roman" w:hint="default"/>
                <w:sz w:val="18"/>
                <w:szCs w:val="18"/>
              </w:rPr>
            </w:pPr>
            <w:r>
              <w:rPr>
                <w:rFonts w:ascii="Times New Roman"/>
                <w:sz w:val="18"/>
              </w:rPr>
              <w:t>1,238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80.02%</w:t>
            </w:r>
          </w:p>
        </w:tc>
      </w:tr>
      <w:tr>
        <w:trPr>
          <w:trHeight w:val="398"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4" w:right="0"/>
              <w:jc w:val="left"/>
              <w:rPr>
                <w:rFonts w:ascii="Times New Roman" w:hAnsi="Times New Roman" w:cs="Times New Roman" w:eastAsia="Times New Roman" w:hint="default"/>
                <w:sz w:val="18"/>
                <w:szCs w:val="18"/>
              </w:rPr>
            </w:pPr>
            <w:r>
              <w:rPr>
                <w:rFonts w:ascii="Times New Roman"/>
                <w:sz w:val="18"/>
              </w:rPr>
              <w:t>399,083</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,860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9" w:right="0"/>
              <w:jc w:val="left"/>
              <w:rPr>
                <w:rFonts w:ascii="Times New Roman" w:hAnsi="Times New Roman" w:cs="Times New Roman" w:eastAsia="Times New Roman" w:hint="default"/>
                <w:sz w:val="18"/>
                <w:szCs w:val="18"/>
              </w:rPr>
            </w:pPr>
            <w:r>
              <w:rPr>
                <w:rFonts w:ascii="Times New Roman"/>
                <w:sz w:val="18"/>
              </w:rPr>
              <w:t>239,450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,284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-789,47</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4" w:right="0"/>
              <w:jc w:val="left"/>
              <w:rPr>
                <w:rFonts w:ascii="Times New Roman" w:hAnsi="Times New Roman" w:cs="Times New Roman" w:eastAsia="Times New Roman" w:hint="default"/>
                <w:sz w:val="18"/>
                <w:szCs w:val="18"/>
              </w:rPr>
            </w:pPr>
            <w:r>
              <w:rPr>
                <w:rFonts w:ascii="Times New Roman"/>
                <w:sz w:val="18"/>
              </w:rPr>
              <w:t>238,660</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,812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7" w:right="0"/>
              <w:jc w:val="left"/>
              <w:rPr>
                <w:rFonts w:ascii="Times New Roman" w:hAnsi="Times New Roman" w:cs="Times New Roman" w:eastAsia="Times New Roman" w:hint="default"/>
                <w:sz w:val="18"/>
                <w:szCs w:val="18"/>
              </w:rPr>
            </w:pPr>
            <w:r>
              <w:rPr>
                <w:rFonts w:ascii="Times New Roman"/>
                <w:sz w:val="18"/>
              </w:rPr>
              <w:t>637,74</w:t>
            </w:r>
          </w:p>
          <w:p>
            <w:pPr>
              <w:pStyle w:val="TableParagraph"/>
              <w:spacing w:line="240" w:lineRule="auto" w:before="105"/>
              <w:ind w:left="278" w:right="0"/>
              <w:jc w:val="left"/>
              <w:rPr>
                <w:rFonts w:ascii="Times New Roman" w:hAnsi="Times New Roman" w:cs="Times New Roman" w:eastAsia="Times New Roman" w:hint="default"/>
                <w:sz w:val="18"/>
                <w:szCs w:val="18"/>
              </w:rPr>
            </w:pPr>
            <w:r>
              <w:rPr>
                <w:rFonts w:ascii="Times New Roman"/>
                <w:sz w:val="18"/>
              </w:rPr>
              <w:t>4,672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股份变动的原因</w:t>
      </w:r>
    </w:p>
    <w:p>
      <w:pPr>
        <w:spacing w:before="115"/>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316" w:lineRule="auto" w:before="115"/>
        <w:ind w:left="535" w:right="1007" w:firstLine="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）限制性股票回购注销</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报告期内，公司注销已获授但尚未解锁的限制性股票共</w:t>
      </w:r>
      <w:r>
        <w:rPr>
          <w:rFonts w:ascii="宋体" w:hAnsi="宋体" w:cs="宋体" w:eastAsia="宋体" w:hint="default"/>
          <w:spacing w:val="-2"/>
          <w:sz w:val="18"/>
          <w:szCs w:val="18"/>
        </w:rPr>
        <w:t>789,472</w:t>
      </w:r>
      <w:r>
        <w:rPr>
          <w:rFonts w:ascii="宋体" w:hAnsi="宋体" w:cs="宋体" w:eastAsia="宋体" w:hint="default"/>
          <w:spacing w:val="-2"/>
          <w:sz w:val="18"/>
          <w:szCs w:val="18"/>
        </w:rPr>
        <w:t>股，回购价格为每股</w:t>
      </w:r>
      <w:r>
        <w:rPr>
          <w:rFonts w:ascii="宋体" w:hAnsi="宋体" w:cs="宋体" w:eastAsia="宋体" w:hint="default"/>
          <w:spacing w:val="-2"/>
          <w:sz w:val="18"/>
          <w:szCs w:val="18"/>
        </w:rPr>
        <w:t>8.5849129</w:t>
      </w:r>
      <w:r>
        <w:rPr>
          <w:rFonts w:ascii="宋体" w:hAnsi="宋体" w:cs="宋体" w:eastAsia="宋体" w:hint="default"/>
          <w:spacing w:val="-2"/>
          <w:sz w:val="18"/>
          <w:szCs w:val="18"/>
        </w:rPr>
        <w:t>元。回购注销完成后，</w:t>
      </w:r>
    </w:p>
    <w:p>
      <w:pPr>
        <w:spacing w:before="18"/>
        <w:ind w:left="113" w:right="1764" w:firstLine="0"/>
        <w:jc w:val="left"/>
        <w:rPr>
          <w:rFonts w:ascii="宋体" w:hAnsi="宋体" w:cs="宋体" w:eastAsia="宋体" w:hint="default"/>
          <w:sz w:val="18"/>
          <w:szCs w:val="18"/>
        </w:rPr>
      </w:pPr>
      <w:r>
        <w:rPr>
          <w:rFonts w:ascii="宋体" w:hAnsi="宋体" w:cs="宋体" w:eastAsia="宋体" w:hint="default"/>
          <w:sz w:val="18"/>
          <w:szCs w:val="18"/>
        </w:rPr>
        <w:t>公司股份总数由</w:t>
      </w:r>
      <w:r>
        <w:rPr>
          <w:rFonts w:ascii="宋体" w:hAnsi="宋体" w:cs="宋体" w:eastAsia="宋体" w:hint="default"/>
          <w:sz w:val="18"/>
          <w:szCs w:val="18"/>
        </w:rPr>
        <w:t>399,083,860</w:t>
      </w:r>
      <w:r>
        <w:rPr>
          <w:rFonts w:ascii="宋体" w:hAnsi="宋体" w:cs="宋体" w:eastAsia="宋体" w:hint="default"/>
          <w:sz w:val="18"/>
          <w:szCs w:val="18"/>
        </w:rPr>
        <w:t>股变更为</w:t>
      </w:r>
      <w:r>
        <w:rPr>
          <w:rFonts w:ascii="宋体" w:hAnsi="宋体" w:cs="宋体" w:eastAsia="宋体" w:hint="default"/>
          <w:sz w:val="18"/>
          <w:szCs w:val="18"/>
        </w:rPr>
        <w:t>398,294,388</w:t>
      </w:r>
      <w:r>
        <w:rPr>
          <w:rFonts w:ascii="宋体" w:hAnsi="宋体" w:cs="宋体" w:eastAsia="宋体" w:hint="default"/>
          <w:sz w:val="18"/>
          <w:szCs w:val="18"/>
        </w:rPr>
        <w:t>股。</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spacing w:line="316" w:lineRule="auto" w:before="46"/>
        <w:ind w:left="535" w:right="1007"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）公积金转股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w w:val="101"/>
          <w:sz w:val="18"/>
          <w:szCs w:val="18"/>
        </w:rPr>
        <w:t>2018</w:t>
      </w:r>
      <w:r>
        <w:rPr>
          <w:rFonts w:ascii="宋体" w:hAnsi="宋体" w:cs="宋体" w:eastAsia="宋体" w:hint="default"/>
          <w:spacing w:val="-6"/>
          <w:w w:val="101"/>
          <w:sz w:val="18"/>
          <w:szCs w:val="18"/>
        </w:rPr>
        <w:t>年度权益分派方案为：以公司总股本</w:t>
      </w:r>
      <w:r>
        <w:rPr>
          <w:rFonts w:ascii="宋体" w:hAnsi="宋体" w:cs="宋体" w:eastAsia="宋体" w:hint="default"/>
          <w:spacing w:val="-6"/>
          <w:w w:val="101"/>
          <w:sz w:val="18"/>
          <w:szCs w:val="18"/>
        </w:rPr>
        <w:t>398,294,388</w:t>
      </w:r>
      <w:r>
        <w:rPr>
          <w:rFonts w:ascii="宋体" w:hAnsi="宋体" w:cs="宋体" w:eastAsia="宋体" w:hint="default"/>
          <w:spacing w:val="-6"/>
          <w:w w:val="101"/>
          <w:sz w:val="18"/>
          <w:szCs w:val="18"/>
        </w:rPr>
        <w:t>股为基数，向全体股东每</w:t>
      </w:r>
      <w:r>
        <w:rPr>
          <w:rFonts w:ascii="宋体" w:hAnsi="宋体" w:cs="宋体" w:eastAsia="宋体" w:hint="default"/>
          <w:spacing w:val="-6"/>
          <w:w w:val="101"/>
          <w:sz w:val="18"/>
          <w:szCs w:val="18"/>
        </w:rPr>
        <w:t>10</w:t>
      </w:r>
      <w:r>
        <w:rPr>
          <w:rFonts w:ascii="宋体" w:hAnsi="宋体" w:cs="宋体" w:eastAsia="宋体" w:hint="default"/>
          <w:spacing w:val="-6"/>
          <w:w w:val="101"/>
          <w:sz w:val="18"/>
          <w:szCs w:val="18"/>
        </w:rPr>
        <w:t>股派发现金股利</w:t>
      </w:r>
      <w:r>
        <w:rPr>
          <w:rFonts w:ascii="宋体" w:hAnsi="宋体" w:cs="宋体" w:eastAsia="宋体" w:hint="default"/>
          <w:spacing w:val="-6"/>
          <w:w w:val="101"/>
          <w:sz w:val="18"/>
          <w:szCs w:val="18"/>
        </w:rPr>
        <w:t>0.601189</w:t>
      </w:r>
      <w:r>
        <w:rPr>
          <w:rFonts w:ascii="宋体" w:hAnsi="宋体" w:cs="宋体" w:eastAsia="宋体" w:hint="default"/>
          <w:spacing w:val="-6"/>
          <w:w w:val="101"/>
          <w:sz w:val="18"/>
          <w:szCs w:val="18"/>
        </w:rPr>
        <w:t>元人民币（含</w:t>
      </w:r>
      <w:r>
        <w:rPr>
          <w:rFonts w:ascii="宋体" w:hAnsi="宋体" w:cs="宋体" w:eastAsia="宋体" w:hint="default"/>
          <w:spacing w:val="-6"/>
          <w:sz w:val="18"/>
          <w:szCs w:val="18"/>
        </w:rPr>
      </w:r>
    </w:p>
    <w:p>
      <w:pPr>
        <w:spacing w:line="319" w:lineRule="auto" w:before="19"/>
        <w:ind w:left="113" w:right="1007" w:firstLine="0"/>
        <w:jc w:val="left"/>
        <w:rPr>
          <w:rFonts w:ascii="宋体" w:hAnsi="宋体" w:cs="宋体" w:eastAsia="宋体" w:hint="default"/>
          <w:sz w:val="18"/>
          <w:szCs w:val="18"/>
        </w:rPr>
      </w:pPr>
      <w:r>
        <w:rPr>
          <w:rFonts w:ascii="宋体" w:hAnsi="宋体" w:cs="宋体" w:eastAsia="宋体" w:hint="default"/>
          <w:spacing w:val="-5"/>
          <w:w w:val="101"/>
          <w:sz w:val="18"/>
          <w:szCs w:val="18"/>
        </w:rPr>
        <w:t>税），以资本公积金向全体股东每</w:t>
      </w:r>
      <w:r>
        <w:rPr>
          <w:rFonts w:ascii="宋体" w:hAnsi="宋体" w:cs="宋体" w:eastAsia="宋体" w:hint="default"/>
          <w:spacing w:val="-5"/>
          <w:w w:val="101"/>
          <w:sz w:val="18"/>
          <w:szCs w:val="18"/>
        </w:rPr>
        <w:t>10</w:t>
      </w:r>
      <w:r>
        <w:rPr>
          <w:rFonts w:ascii="宋体" w:hAnsi="宋体" w:cs="宋体" w:eastAsia="宋体" w:hint="default"/>
          <w:spacing w:val="-5"/>
          <w:w w:val="101"/>
          <w:sz w:val="18"/>
          <w:szCs w:val="18"/>
        </w:rPr>
        <w:t>股转增</w:t>
      </w:r>
      <w:r>
        <w:rPr>
          <w:rFonts w:ascii="宋体" w:hAnsi="宋体" w:cs="宋体" w:eastAsia="宋体" w:hint="default"/>
          <w:spacing w:val="-5"/>
          <w:w w:val="101"/>
          <w:sz w:val="18"/>
          <w:szCs w:val="18"/>
        </w:rPr>
        <w:t>6.011892</w:t>
      </w:r>
      <w:r>
        <w:rPr>
          <w:rFonts w:ascii="宋体" w:hAnsi="宋体" w:cs="宋体" w:eastAsia="宋体" w:hint="default"/>
          <w:spacing w:val="-5"/>
          <w:w w:val="101"/>
          <w:sz w:val="18"/>
          <w:szCs w:val="18"/>
        </w:rPr>
        <w:t>股。</w:t>
      </w:r>
      <w:r>
        <w:rPr>
          <w:rFonts w:ascii="宋体" w:hAnsi="宋体" w:cs="宋体" w:eastAsia="宋体" w:hint="default"/>
          <w:spacing w:val="-5"/>
          <w:w w:val="101"/>
          <w:sz w:val="18"/>
          <w:szCs w:val="18"/>
        </w:rPr>
        <w:t>2019</w:t>
      </w:r>
      <w:r>
        <w:rPr>
          <w:rFonts w:ascii="宋体" w:hAnsi="宋体" w:cs="宋体" w:eastAsia="宋体" w:hint="default"/>
          <w:spacing w:val="-5"/>
          <w:w w:val="101"/>
          <w:sz w:val="18"/>
          <w:szCs w:val="18"/>
        </w:rPr>
        <w:t>年</w:t>
      </w:r>
      <w:r>
        <w:rPr>
          <w:rFonts w:ascii="宋体" w:hAnsi="宋体" w:cs="宋体" w:eastAsia="宋体" w:hint="default"/>
          <w:spacing w:val="-5"/>
          <w:w w:val="101"/>
          <w:sz w:val="18"/>
          <w:szCs w:val="18"/>
        </w:rPr>
        <w:t>6</w:t>
      </w:r>
      <w:r>
        <w:rPr>
          <w:rFonts w:ascii="宋体" w:hAnsi="宋体" w:cs="宋体" w:eastAsia="宋体" w:hint="default"/>
          <w:spacing w:val="-5"/>
          <w:w w:val="101"/>
          <w:sz w:val="18"/>
          <w:szCs w:val="18"/>
        </w:rPr>
        <w:t>月</w:t>
      </w:r>
      <w:r>
        <w:rPr>
          <w:rFonts w:ascii="宋体" w:hAnsi="宋体" w:cs="宋体" w:eastAsia="宋体" w:hint="default"/>
          <w:spacing w:val="-5"/>
          <w:w w:val="101"/>
          <w:sz w:val="18"/>
          <w:szCs w:val="18"/>
        </w:rPr>
        <w:t>5</w:t>
      </w:r>
      <w:r>
        <w:rPr>
          <w:rFonts w:ascii="宋体" w:hAnsi="宋体" w:cs="宋体" w:eastAsia="宋体" w:hint="default"/>
          <w:spacing w:val="-5"/>
          <w:w w:val="101"/>
          <w:sz w:val="18"/>
          <w:szCs w:val="18"/>
        </w:rPr>
        <w:t>日，权益分派实施完毕，公司总股本从</w:t>
      </w:r>
      <w:r>
        <w:rPr>
          <w:rFonts w:ascii="宋体" w:hAnsi="宋体" w:cs="宋体" w:eastAsia="宋体" w:hint="default"/>
          <w:spacing w:val="-5"/>
          <w:w w:val="101"/>
          <w:sz w:val="18"/>
          <w:szCs w:val="18"/>
        </w:rPr>
        <w:t>398,294,388</w:t>
      </w:r>
      <w:r>
        <w:rPr>
          <w:rFonts w:ascii="宋体" w:hAnsi="宋体" w:cs="宋体" w:eastAsia="宋体" w:hint="default"/>
          <w:spacing w:val="-5"/>
          <w:w w:val="101"/>
          <w:sz w:val="18"/>
          <w:szCs w:val="18"/>
        </w:rPr>
        <w:t>股增</w:t>
      </w:r>
      <w:r>
        <w:rPr>
          <w:rFonts w:ascii="宋体" w:hAnsi="宋体" w:cs="宋体" w:eastAsia="宋体" w:hint="default"/>
          <w:spacing w:val="-64"/>
          <w:w w:val="101"/>
          <w:sz w:val="18"/>
          <w:szCs w:val="18"/>
        </w:rPr>
        <w:t> </w:t>
      </w:r>
      <w:r>
        <w:rPr>
          <w:rFonts w:ascii="宋体" w:hAnsi="宋体" w:cs="宋体" w:eastAsia="宋体" w:hint="default"/>
          <w:sz w:val="18"/>
          <w:szCs w:val="18"/>
        </w:rPr>
        <w:t>至</w:t>
      </w:r>
      <w:r>
        <w:rPr>
          <w:rFonts w:ascii="宋体" w:hAnsi="宋体" w:cs="宋体" w:eastAsia="宋体" w:hint="default"/>
          <w:sz w:val="18"/>
          <w:szCs w:val="18"/>
        </w:rPr>
        <w:t>637,744,672</w:t>
      </w:r>
      <w:r>
        <w:rPr>
          <w:rFonts w:ascii="宋体" w:hAnsi="宋体" w:cs="宋体" w:eastAsia="宋体" w:hint="default"/>
          <w:sz w:val="18"/>
          <w:szCs w:val="18"/>
        </w:rPr>
        <w:t>股。</w:t>
      </w:r>
    </w:p>
    <w:p>
      <w:pPr>
        <w:spacing w:line="240" w:lineRule="auto" w:before="0"/>
        <w:rPr>
          <w:rFonts w:ascii="宋体" w:hAnsi="宋体" w:cs="宋体" w:eastAsia="宋体" w:hint="default"/>
          <w:sz w:val="18"/>
          <w:szCs w:val="18"/>
        </w:rPr>
      </w:pPr>
    </w:p>
    <w:p>
      <w:pPr>
        <w:spacing w:before="136"/>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股份变动的批准情况</w:t>
      </w:r>
    </w:p>
    <w:p>
      <w:pPr>
        <w:spacing w:before="119"/>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319" w:lineRule="auto" w:before="110"/>
        <w:ind w:left="113" w:right="1007" w:firstLine="36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1</w:t>
      </w:r>
      <w:r>
        <w:rPr>
          <w:rFonts w:ascii="宋体" w:hAnsi="宋体" w:cs="宋体" w:eastAsia="宋体" w:hint="default"/>
          <w:spacing w:val="-4"/>
          <w:sz w:val="18"/>
          <w:szCs w:val="18"/>
        </w:rPr>
        <w:t>）</w:t>
      </w:r>
      <w:r>
        <w:rPr>
          <w:rFonts w:ascii="宋体" w:hAnsi="宋体" w:cs="宋体" w:eastAsia="宋体" w:hint="default"/>
          <w:spacing w:val="-4"/>
          <w:sz w:val="18"/>
          <w:szCs w:val="18"/>
        </w:rPr>
        <w:t>2018</w:t>
      </w:r>
      <w:r>
        <w:rPr>
          <w:rFonts w:ascii="宋体" w:hAnsi="宋体" w:cs="宋体" w:eastAsia="宋体" w:hint="default"/>
          <w:spacing w:val="-4"/>
          <w:sz w:val="18"/>
          <w:szCs w:val="18"/>
        </w:rPr>
        <w:t>年</w:t>
      </w:r>
      <w:r>
        <w:rPr>
          <w:rFonts w:ascii="宋体" w:hAnsi="宋体" w:cs="宋体" w:eastAsia="宋体" w:hint="default"/>
          <w:spacing w:val="-4"/>
          <w:sz w:val="18"/>
          <w:szCs w:val="18"/>
        </w:rPr>
        <w:t>6</w:t>
      </w:r>
      <w:r>
        <w:rPr>
          <w:rFonts w:ascii="宋体" w:hAnsi="宋体" w:cs="宋体" w:eastAsia="宋体" w:hint="default"/>
          <w:spacing w:val="-4"/>
          <w:sz w:val="18"/>
          <w:szCs w:val="18"/>
        </w:rPr>
        <w:t>月</w:t>
      </w:r>
      <w:r>
        <w:rPr>
          <w:rFonts w:ascii="宋体" w:hAnsi="宋体" w:cs="宋体" w:eastAsia="宋体" w:hint="default"/>
          <w:spacing w:val="-4"/>
          <w:sz w:val="18"/>
          <w:szCs w:val="18"/>
        </w:rPr>
        <w:t>19</w:t>
      </w:r>
      <w:r>
        <w:rPr>
          <w:rFonts w:ascii="宋体" w:hAnsi="宋体" w:cs="宋体" w:eastAsia="宋体" w:hint="default"/>
          <w:spacing w:val="-4"/>
          <w:sz w:val="18"/>
          <w:szCs w:val="18"/>
        </w:rPr>
        <w:t>日，第四届董事会第二十一次会议、第四届监事会第十八次会议审议通过了《关于回购注销已不符合</w:t>
      </w:r>
      <w:r>
        <w:rPr>
          <w:rFonts w:ascii="宋体" w:hAnsi="宋体" w:cs="宋体" w:eastAsia="宋体" w:hint="default"/>
          <w:w w:val="101"/>
          <w:sz w:val="18"/>
          <w:szCs w:val="18"/>
        </w:rPr>
        <w:t> </w:t>
      </w:r>
      <w:r>
        <w:rPr>
          <w:rFonts w:ascii="宋体" w:hAnsi="宋体" w:cs="宋体" w:eastAsia="宋体" w:hint="default"/>
          <w:spacing w:val="-6"/>
          <w:w w:val="101"/>
          <w:sz w:val="18"/>
          <w:szCs w:val="18"/>
        </w:rPr>
        <w:t>激励条件激励对象已获授但尚未解锁的限制性股票的议案》。因公司限制性股票激励计划激励对象（蔡大军、黄胜、廖小荣、</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宋体" w:hAnsi="宋体" w:cs="宋体" w:eastAsia="宋体" w:hint="default"/>
          <w:spacing w:val="-6"/>
          <w:sz w:val="18"/>
          <w:szCs w:val="18"/>
        </w:rPr>
        <w:t>文明海、江卫、丰伟、詹文涛、谭琛）共 </w:t>
      </w:r>
      <w:r>
        <w:rPr>
          <w:rFonts w:ascii="宋体" w:hAnsi="宋体" w:cs="宋体" w:eastAsia="宋体" w:hint="default"/>
          <w:spacing w:val="-4"/>
          <w:sz w:val="18"/>
          <w:szCs w:val="18"/>
        </w:rPr>
        <w:t>8</w:t>
      </w:r>
      <w:r>
        <w:rPr>
          <w:rFonts w:ascii="宋体" w:hAnsi="宋体" w:cs="宋体" w:eastAsia="宋体" w:hint="default"/>
          <w:spacing w:val="-4"/>
          <w:sz w:val="18"/>
          <w:szCs w:val="18"/>
        </w:rPr>
        <w:t>人因个人原因离职，已不符合激励条件，其已获授但尚未解锁的限制性股票合计</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z w:val="18"/>
          <w:szCs w:val="18"/>
        </w:rPr>
        <w:t>81,480</w:t>
      </w:r>
      <w:r>
        <w:rPr>
          <w:rFonts w:ascii="宋体" w:hAnsi="宋体" w:cs="宋体" w:eastAsia="宋体" w:hint="default"/>
          <w:sz w:val="18"/>
          <w:szCs w:val="18"/>
        </w:rPr>
        <w:t>股全部注销。</w:t>
      </w:r>
    </w:p>
    <w:p>
      <w:pPr>
        <w:spacing w:line="319" w:lineRule="auto" w:before="17"/>
        <w:ind w:left="113" w:right="1123" w:firstLine="360"/>
        <w:jc w:val="both"/>
        <w:rPr>
          <w:rFonts w:ascii="宋体" w:hAnsi="宋体" w:cs="宋体" w:eastAsia="宋体" w:hint="default"/>
          <w:sz w:val="18"/>
          <w:szCs w:val="18"/>
        </w:rPr>
      </w:pPr>
      <w:r>
        <w:rPr>
          <w:rFonts w:ascii="宋体" w:hAnsi="宋体" w:cs="宋体" w:eastAsia="宋体" w:hint="default"/>
          <w:spacing w:val="-4"/>
          <w:sz w:val="18"/>
          <w:szCs w:val="18"/>
        </w:rPr>
        <w:t>2018</w:t>
      </w:r>
      <w:r>
        <w:rPr>
          <w:rFonts w:ascii="宋体" w:hAnsi="宋体" w:cs="宋体" w:eastAsia="宋体" w:hint="default"/>
          <w:spacing w:val="-4"/>
          <w:sz w:val="18"/>
          <w:szCs w:val="18"/>
        </w:rPr>
        <w:t>年</w:t>
      </w:r>
      <w:r>
        <w:rPr>
          <w:rFonts w:ascii="宋体" w:hAnsi="宋体" w:cs="宋体" w:eastAsia="宋体" w:hint="default"/>
          <w:spacing w:val="-4"/>
          <w:sz w:val="18"/>
          <w:szCs w:val="18"/>
        </w:rPr>
        <w:t>10</w:t>
      </w:r>
      <w:r>
        <w:rPr>
          <w:rFonts w:ascii="宋体" w:hAnsi="宋体" w:cs="宋体" w:eastAsia="宋体" w:hint="default"/>
          <w:spacing w:val="-4"/>
          <w:sz w:val="18"/>
          <w:szCs w:val="18"/>
        </w:rPr>
        <w:t>月</w:t>
      </w:r>
      <w:r>
        <w:rPr>
          <w:rFonts w:ascii="宋体" w:hAnsi="宋体" w:cs="宋体" w:eastAsia="宋体" w:hint="default"/>
          <w:spacing w:val="-4"/>
          <w:sz w:val="18"/>
          <w:szCs w:val="18"/>
        </w:rPr>
        <w:t>23</w:t>
      </w:r>
      <w:r>
        <w:rPr>
          <w:rFonts w:ascii="宋体" w:hAnsi="宋体" w:cs="宋体" w:eastAsia="宋体" w:hint="default"/>
          <w:spacing w:val="-4"/>
          <w:sz w:val="18"/>
          <w:szCs w:val="18"/>
        </w:rPr>
        <w:t>日，第四届董事会第二十四次会议、第四届监事会第二十一次会议审议通过了《关于回购注销已不符合激</w:t>
      </w:r>
      <w:r>
        <w:rPr>
          <w:rFonts w:ascii="宋体" w:hAnsi="宋体" w:cs="宋体" w:eastAsia="宋体" w:hint="default"/>
          <w:w w:val="101"/>
          <w:sz w:val="18"/>
          <w:szCs w:val="18"/>
        </w:rPr>
        <w:t> </w:t>
      </w:r>
      <w:r>
        <w:rPr>
          <w:rFonts w:ascii="宋体" w:hAnsi="宋体" w:cs="宋体" w:eastAsia="宋体" w:hint="default"/>
          <w:spacing w:val="-4"/>
          <w:w w:val="101"/>
          <w:sz w:val="18"/>
          <w:szCs w:val="18"/>
        </w:rPr>
        <w:t>励条件激励对象已获授但尚未解锁的限制性股票的议案》。因公司限制性股票激励计划激励对象（孔德风、代慧、邓远杰、</w:t>
      </w:r>
      <w:r>
        <w:rPr>
          <w:rFonts w:ascii="宋体" w:hAnsi="宋体" w:cs="宋体" w:eastAsia="宋体" w:hint="default"/>
          <w:w w:val="101"/>
          <w:sz w:val="18"/>
          <w:szCs w:val="18"/>
        </w:rPr>
        <w:t> </w:t>
      </w:r>
      <w:r>
        <w:rPr>
          <w:rFonts w:ascii="宋体" w:hAnsi="宋体" w:cs="宋体" w:eastAsia="宋体" w:hint="default"/>
          <w:spacing w:val="-3"/>
          <w:sz w:val="18"/>
          <w:szCs w:val="18"/>
        </w:rPr>
        <w:t>黄河、刘招才、李筠、陶国洪、汤东来）共</w:t>
      </w:r>
      <w:r>
        <w:rPr>
          <w:rFonts w:ascii="宋体" w:hAnsi="宋体" w:cs="宋体" w:eastAsia="宋体" w:hint="default"/>
          <w:spacing w:val="-3"/>
          <w:sz w:val="18"/>
          <w:szCs w:val="18"/>
        </w:rPr>
        <w:t>8</w:t>
      </w:r>
      <w:r>
        <w:rPr>
          <w:rFonts w:ascii="宋体" w:hAnsi="宋体" w:cs="宋体" w:eastAsia="宋体" w:hint="default"/>
          <w:spacing w:val="-3"/>
          <w:sz w:val="18"/>
          <w:szCs w:val="18"/>
        </w:rPr>
        <w:t>人因个人原因离职，已不符合激励条件，其已获授但尚未解锁的限制性股票合</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计</w:t>
      </w:r>
      <w:r>
        <w:rPr>
          <w:rFonts w:ascii="宋体" w:hAnsi="宋体" w:cs="宋体" w:eastAsia="宋体" w:hint="default"/>
          <w:sz w:val="18"/>
          <w:szCs w:val="18"/>
        </w:rPr>
        <w:t>69,440</w:t>
      </w:r>
      <w:r>
        <w:rPr>
          <w:rFonts w:ascii="宋体" w:hAnsi="宋体" w:cs="宋体" w:eastAsia="宋体" w:hint="default"/>
          <w:sz w:val="18"/>
          <w:szCs w:val="18"/>
        </w:rPr>
        <w:t>股全部注销。</w:t>
      </w:r>
    </w:p>
    <w:p>
      <w:pPr>
        <w:spacing w:line="316" w:lineRule="auto" w:before="17"/>
        <w:ind w:left="113" w:right="1122" w:firstLine="360"/>
        <w:jc w:val="both"/>
        <w:rPr>
          <w:rFonts w:ascii="宋体" w:hAnsi="宋体" w:cs="宋体" w:eastAsia="宋体" w:hint="default"/>
          <w:sz w:val="18"/>
          <w:szCs w:val="18"/>
        </w:rPr>
      </w:pPr>
      <w:r>
        <w:rPr>
          <w:rFonts w:ascii="宋体" w:hAnsi="宋体" w:cs="宋体" w:eastAsia="宋体" w:hint="default"/>
          <w:spacing w:val="-3"/>
          <w:sz w:val="18"/>
          <w:szCs w:val="18"/>
        </w:rPr>
        <w:t>2019</w:t>
      </w:r>
      <w:r>
        <w:rPr>
          <w:rFonts w:ascii="宋体" w:hAnsi="宋体" w:cs="宋体" w:eastAsia="宋体" w:hint="default"/>
          <w:spacing w:val="-3"/>
          <w:sz w:val="18"/>
          <w:szCs w:val="18"/>
        </w:rPr>
        <w:t>年</w:t>
      </w:r>
      <w:r>
        <w:rPr>
          <w:rFonts w:ascii="宋体" w:hAnsi="宋体" w:cs="宋体" w:eastAsia="宋体" w:hint="default"/>
          <w:spacing w:val="-3"/>
          <w:sz w:val="18"/>
          <w:szCs w:val="18"/>
        </w:rPr>
        <w:t>3</w:t>
      </w:r>
      <w:r>
        <w:rPr>
          <w:rFonts w:ascii="宋体" w:hAnsi="宋体" w:cs="宋体" w:eastAsia="宋体" w:hint="default"/>
          <w:spacing w:val="-3"/>
          <w:sz w:val="18"/>
          <w:szCs w:val="18"/>
        </w:rPr>
        <w:t>月</w:t>
      </w:r>
      <w:r>
        <w:rPr>
          <w:rFonts w:ascii="宋体" w:hAnsi="宋体" w:cs="宋体" w:eastAsia="宋体" w:hint="default"/>
          <w:spacing w:val="-3"/>
          <w:sz w:val="18"/>
          <w:szCs w:val="18"/>
        </w:rPr>
        <w:t>27</w:t>
      </w:r>
      <w:r>
        <w:rPr>
          <w:rFonts w:ascii="宋体" w:hAnsi="宋体" w:cs="宋体" w:eastAsia="宋体" w:hint="default"/>
          <w:spacing w:val="-3"/>
          <w:sz w:val="18"/>
          <w:szCs w:val="18"/>
        </w:rPr>
        <w:t>日，第四届董事会第二十六次会议、第四届监事会第二十三次会议审议通过了《关于回购注销已离职激励</w:t>
      </w:r>
      <w:r>
        <w:rPr>
          <w:rFonts w:ascii="宋体" w:hAnsi="宋体" w:cs="宋体" w:eastAsia="宋体" w:hint="default"/>
          <w:w w:val="101"/>
          <w:sz w:val="18"/>
          <w:szCs w:val="18"/>
        </w:rPr>
        <w:t> </w:t>
      </w:r>
      <w:r>
        <w:rPr>
          <w:rFonts w:ascii="宋体" w:hAnsi="宋体" w:cs="宋体" w:eastAsia="宋体" w:hint="default"/>
          <w:spacing w:val="-4"/>
          <w:w w:val="101"/>
          <w:sz w:val="18"/>
          <w:szCs w:val="18"/>
        </w:rPr>
        <w:t>对象已获授但尚未解锁的限制性股票的议案》。因公司限制性股票激励计划激励对象（王榆棋、陈小燕、贾志强、李伟、刘</w:t>
      </w:r>
      <w:r>
        <w:rPr>
          <w:rFonts w:ascii="宋体" w:hAnsi="宋体" w:cs="宋体" w:eastAsia="宋体" w:hint="default"/>
          <w:w w:val="101"/>
          <w:sz w:val="18"/>
          <w:szCs w:val="18"/>
        </w:rPr>
        <w:t> </w:t>
      </w:r>
      <w:r>
        <w:rPr>
          <w:rFonts w:ascii="宋体" w:hAnsi="宋体" w:cs="宋体" w:eastAsia="宋体" w:hint="default"/>
          <w:spacing w:val="-4"/>
          <w:sz w:val="18"/>
          <w:szCs w:val="18"/>
        </w:rPr>
        <w:t>文钧、张自云、司磊、林浩、刘振奎、王超、郑智先、唐波、朱立智）共</w:t>
      </w:r>
      <w:r>
        <w:rPr>
          <w:rFonts w:ascii="宋体" w:hAnsi="宋体" w:cs="宋体" w:eastAsia="宋体" w:hint="default"/>
          <w:spacing w:val="-4"/>
          <w:sz w:val="18"/>
          <w:szCs w:val="18"/>
        </w:rPr>
        <w:t>13</w:t>
      </w:r>
      <w:r>
        <w:rPr>
          <w:rFonts w:ascii="宋体" w:hAnsi="宋体" w:cs="宋体" w:eastAsia="宋体" w:hint="default"/>
          <w:spacing w:val="-4"/>
          <w:sz w:val="18"/>
          <w:szCs w:val="18"/>
        </w:rPr>
        <w:t>人因个人原因离职，已不符合激励条件，其已获</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授但尚未解锁的限制性股票合计</w:t>
      </w:r>
      <w:r>
        <w:rPr>
          <w:rFonts w:ascii="宋体" w:hAnsi="宋体" w:cs="宋体" w:eastAsia="宋体" w:hint="default"/>
          <w:spacing w:val="-3"/>
          <w:sz w:val="18"/>
          <w:szCs w:val="18"/>
        </w:rPr>
        <w:t>136,880</w:t>
      </w:r>
      <w:r>
        <w:rPr>
          <w:rFonts w:ascii="宋体" w:hAnsi="宋体" w:cs="宋体" w:eastAsia="宋体" w:hint="default"/>
          <w:spacing w:val="-3"/>
          <w:sz w:val="18"/>
          <w:szCs w:val="18"/>
        </w:rPr>
        <w:t>股全部注销。</w:t>
      </w:r>
    </w:p>
    <w:p>
      <w:pPr>
        <w:spacing w:line="316" w:lineRule="auto" w:before="19"/>
        <w:ind w:left="113" w:right="1127" w:firstLine="360"/>
        <w:jc w:val="both"/>
        <w:rPr>
          <w:rFonts w:ascii="宋体" w:hAnsi="宋体" w:cs="宋体" w:eastAsia="宋体" w:hint="default"/>
          <w:sz w:val="18"/>
          <w:szCs w:val="18"/>
        </w:rPr>
      </w:pPr>
      <w:r>
        <w:rPr>
          <w:rFonts w:ascii="宋体" w:hAnsi="宋体" w:cs="宋体" w:eastAsia="宋体" w:hint="default"/>
          <w:spacing w:val="-3"/>
          <w:sz w:val="18"/>
          <w:szCs w:val="18"/>
        </w:rPr>
        <w:t>2019</w:t>
      </w:r>
      <w:r>
        <w:rPr>
          <w:rFonts w:ascii="宋体" w:hAnsi="宋体" w:cs="宋体" w:eastAsia="宋体" w:hint="default"/>
          <w:spacing w:val="-3"/>
          <w:sz w:val="18"/>
          <w:szCs w:val="18"/>
        </w:rPr>
        <w:t>年</w:t>
      </w:r>
      <w:r>
        <w:rPr>
          <w:rFonts w:ascii="宋体" w:hAnsi="宋体" w:cs="宋体" w:eastAsia="宋体" w:hint="default"/>
          <w:spacing w:val="-3"/>
          <w:sz w:val="18"/>
          <w:szCs w:val="18"/>
        </w:rPr>
        <w:t>4</w:t>
      </w:r>
      <w:r>
        <w:rPr>
          <w:rFonts w:ascii="宋体" w:hAnsi="宋体" w:cs="宋体" w:eastAsia="宋体" w:hint="default"/>
          <w:spacing w:val="-3"/>
          <w:sz w:val="18"/>
          <w:szCs w:val="18"/>
        </w:rPr>
        <w:t>月</w:t>
      </w:r>
      <w:r>
        <w:rPr>
          <w:rFonts w:ascii="宋体" w:hAnsi="宋体" w:cs="宋体" w:eastAsia="宋体" w:hint="default"/>
          <w:spacing w:val="-3"/>
          <w:sz w:val="18"/>
          <w:szCs w:val="18"/>
        </w:rPr>
        <w:t>26</w:t>
      </w:r>
      <w:r>
        <w:rPr>
          <w:rFonts w:ascii="宋体" w:hAnsi="宋体" w:cs="宋体" w:eastAsia="宋体" w:hint="default"/>
          <w:spacing w:val="-3"/>
          <w:sz w:val="18"/>
          <w:szCs w:val="18"/>
        </w:rPr>
        <w:t>日，第五届董事会第一次会议、第五届监事会第一次会议审议通过了《关于回购注销激励对象已获授但尚</w:t>
      </w:r>
      <w:r>
        <w:rPr>
          <w:rFonts w:ascii="宋体" w:hAnsi="宋体" w:cs="宋体" w:eastAsia="宋体" w:hint="default"/>
          <w:w w:val="101"/>
          <w:sz w:val="18"/>
          <w:szCs w:val="18"/>
        </w:rPr>
        <w:t> </w:t>
      </w:r>
      <w:r>
        <w:rPr>
          <w:rFonts w:ascii="宋体" w:hAnsi="宋体" w:cs="宋体" w:eastAsia="宋体" w:hint="default"/>
          <w:spacing w:val="-7"/>
          <w:w w:val="101"/>
          <w:sz w:val="18"/>
          <w:szCs w:val="18"/>
        </w:rPr>
        <w:t>未解锁的限制性股票的议案》。根据公司《</w:t>
      </w:r>
      <w:r>
        <w:rPr>
          <w:rFonts w:ascii="宋体" w:hAnsi="宋体" w:cs="宋体" w:eastAsia="宋体" w:hint="default"/>
          <w:spacing w:val="-7"/>
          <w:w w:val="101"/>
          <w:sz w:val="18"/>
          <w:szCs w:val="18"/>
        </w:rPr>
        <w:t>2016</w:t>
      </w:r>
      <w:r>
        <w:rPr>
          <w:rFonts w:ascii="宋体" w:hAnsi="宋体" w:cs="宋体" w:eastAsia="宋体" w:hint="default"/>
          <w:spacing w:val="-7"/>
          <w:w w:val="101"/>
          <w:sz w:val="18"/>
          <w:szCs w:val="18"/>
        </w:rPr>
        <w:t>年限制性股票激励计划（草案）》，基于</w:t>
      </w:r>
      <w:r>
        <w:rPr>
          <w:rFonts w:ascii="宋体" w:hAnsi="宋体" w:cs="宋体" w:eastAsia="宋体" w:hint="default"/>
          <w:spacing w:val="-7"/>
          <w:w w:val="101"/>
          <w:sz w:val="18"/>
          <w:szCs w:val="18"/>
        </w:rPr>
        <w:t>2018</w:t>
      </w:r>
      <w:r>
        <w:rPr>
          <w:rFonts w:ascii="宋体" w:hAnsi="宋体" w:cs="宋体" w:eastAsia="宋体" w:hint="default"/>
          <w:spacing w:val="-7"/>
          <w:w w:val="101"/>
          <w:sz w:val="18"/>
          <w:szCs w:val="18"/>
        </w:rPr>
        <w:t>年度个人考核结果，回购注销已</w:t>
      </w:r>
      <w:r>
        <w:rPr>
          <w:rFonts w:ascii="宋体" w:hAnsi="宋体" w:cs="宋体" w:eastAsia="宋体" w:hint="default"/>
          <w:spacing w:val="-80"/>
          <w:w w:val="101"/>
          <w:sz w:val="18"/>
          <w:szCs w:val="18"/>
        </w:rPr>
        <w:t> </w:t>
      </w:r>
      <w:r>
        <w:rPr>
          <w:rFonts w:ascii="宋体" w:hAnsi="宋体" w:cs="宋体" w:eastAsia="宋体" w:hint="default"/>
          <w:spacing w:val="-80"/>
          <w:w w:val="101"/>
          <w:sz w:val="18"/>
          <w:szCs w:val="18"/>
        </w:rPr>
      </w:r>
      <w:r>
        <w:rPr>
          <w:rFonts w:ascii="宋体" w:hAnsi="宋体" w:cs="宋体" w:eastAsia="宋体" w:hint="default"/>
          <w:sz w:val="18"/>
          <w:szCs w:val="18"/>
        </w:rPr>
        <w:t>获授但尚未解锁的限制性股票合计</w:t>
      </w:r>
      <w:r>
        <w:rPr>
          <w:rFonts w:ascii="宋体" w:hAnsi="宋体" w:cs="宋体" w:eastAsia="宋体" w:hint="default"/>
          <w:sz w:val="18"/>
          <w:szCs w:val="18"/>
        </w:rPr>
        <w:t>501,672</w:t>
      </w:r>
      <w:r>
        <w:rPr>
          <w:rFonts w:ascii="宋体" w:hAnsi="宋体" w:cs="宋体" w:eastAsia="宋体" w:hint="default"/>
          <w:sz w:val="18"/>
          <w:szCs w:val="18"/>
        </w:rPr>
        <w:t>股。</w:t>
      </w:r>
    </w:p>
    <w:p>
      <w:pPr>
        <w:spacing w:before="19"/>
        <w:ind w:left="473" w:right="176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w:t>
      </w:r>
      <w:r>
        <w:rPr>
          <w:rFonts w:ascii="宋体" w:hAnsi="宋体" w:cs="宋体" w:eastAsia="宋体" w:hint="default"/>
          <w:sz w:val="18"/>
          <w:szCs w:val="18"/>
        </w:rPr>
        <w:t>2018</w:t>
      </w:r>
      <w:r>
        <w:rPr>
          <w:rFonts w:ascii="宋体" w:hAnsi="宋体" w:cs="宋体" w:eastAsia="宋体" w:hint="default"/>
          <w:sz w:val="18"/>
          <w:szCs w:val="18"/>
        </w:rPr>
        <w:t>年度股东大会审议通过</w:t>
      </w:r>
      <w:r>
        <w:rPr>
          <w:rFonts w:ascii="宋体" w:hAnsi="宋体" w:cs="宋体" w:eastAsia="宋体" w:hint="default"/>
          <w:sz w:val="18"/>
          <w:szCs w:val="18"/>
        </w:rPr>
        <w:t>2018</w:t>
      </w:r>
      <w:r>
        <w:rPr>
          <w:rFonts w:ascii="宋体" w:hAnsi="宋体" w:cs="宋体" w:eastAsia="宋体" w:hint="default"/>
          <w:sz w:val="18"/>
          <w:szCs w:val="18"/>
        </w:rPr>
        <w:t>年度权益分派方案。</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8"/>
          <w:szCs w:val="18"/>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股份变动的过户情况</w:t>
      </w:r>
    </w:p>
    <w:p>
      <w:pPr>
        <w:spacing w:before="115"/>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316" w:lineRule="auto" w:before="110"/>
        <w:ind w:left="113" w:right="1050" w:firstLine="360"/>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）公司注销已获授但尚未解锁的限制性股票共</w:t>
      </w:r>
      <w:r>
        <w:rPr>
          <w:rFonts w:ascii="宋体" w:hAnsi="宋体" w:cs="宋体" w:eastAsia="宋体" w:hint="default"/>
          <w:spacing w:val="-3"/>
          <w:sz w:val="18"/>
          <w:szCs w:val="18"/>
        </w:rPr>
        <w:t>789,472</w:t>
      </w:r>
      <w:r>
        <w:rPr>
          <w:rFonts w:ascii="宋体" w:hAnsi="宋体" w:cs="宋体" w:eastAsia="宋体" w:hint="default"/>
          <w:spacing w:val="-3"/>
          <w:sz w:val="18"/>
          <w:szCs w:val="18"/>
        </w:rPr>
        <w:t>股，公司股份总数将由</w:t>
      </w:r>
      <w:r>
        <w:rPr>
          <w:rFonts w:ascii="宋体" w:hAnsi="宋体" w:cs="宋体" w:eastAsia="宋体" w:hint="default"/>
          <w:spacing w:val="-3"/>
          <w:sz w:val="18"/>
          <w:szCs w:val="18"/>
        </w:rPr>
        <w:t>399,083,860</w:t>
      </w:r>
      <w:r>
        <w:rPr>
          <w:rFonts w:ascii="宋体" w:hAnsi="宋体" w:cs="宋体" w:eastAsia="宋体" w:hint="default"/>
          <w:spacing w:val="-3"/>
          <w:sz w:val="18"/>
          <w:szCs w:val="18"/>
        </w:rPr>
        <w:t>股变更为</w:t>
      </w:r>
      <w:r>
        <w:rPr>
          <w:rFonts w:ascii="宋体" w:hAnsi="宋体" w:cs="宋体" w:eastAsia="宋体" w:hint="default"/>
          <w:spacing w:val="-3"/>
          <w:sz w:val="18"/>
          <w:szCs w:val="18"/>
        </w:rPr>
        <w:t>398,294,388</w:t>
      </w:r>
      <w:r>
        <w:rPr>
          <w:rFonts w:ascii="宋体" w:hAnsi="宋体" w:cs="宋体" w:eastAsia="宋体" w:hint="default"/>
          <w:spacing w:val="-3"/>
          <w:sz w:val="18"/>
          <w:szCs w:val="18"/>
        </w:rPr>
        <w:t>股。</w:t>
      </w:r>
      <w:r>
        <w:rPr>
          <w:rFonts w:ascii="宋体" w:hAnsi="宋体" w:cs="宋体" w:eastAsia="宋体" w:hint="default"/>
          <w:spacing w:val="-5"/>
          <w:w w:val="101"/>
          <w:sz w:val="18"/>
          <w:szCs w:val="18"/>
        </w:rPr>
        <w:t> </w:t>
      </w:r>
      <w:r>
        <w:rPr>
          <w:rFonts w:ascii="宋体" w:hAnsi="宋体" w:cs="宋体" w:eastAsia="宋体" w:hint="default"/>
          <w:spacing w:val="-3"/>
          <w:sz w:val="18"/>
          <w:szCs w:val="18"/>
        </w:rPr>
        <w:t>立信会计师事务所（特殊普通合伙）对本次限制性股票注销事项出具信会师报字</w:t>
      </w:r>
      <w:r>
        <w:rPr>
          <w:rFonts w:ascii="宋体" w:hAnsi="宋体" w:cs="宋体" w:eastAsia="宋体" w:hint="default"/>
          <w:spacing w:val="-3"/>
          <w:sz w:val="18"/>
          <w:szCs w:val="18"/>
        </w:rPr>
        <w:t>[2019] </w:t>
      </w:r>
      <w:r>
        <w:rPr>
          <w:rFonts w:ascii="宋体" w:hAnsi="宋体" w:cs="宋体" w:eastAsia="宋体" w:hint="default"/>
          <w:spacing w:val="34"/>
          <w:sz w:val="18"/>
          <w:szCs w:val="18"/>
        </w:rPr>
        <w:t> </w:t>
      </w:r>
      <w:r>
        <w:rPr>
          <w:rFonts w:ascii="宋体" w:hAnsi="宋体" w:cs="宋体" w:eastAsia="宋体" w:hint="default"/>
          <w:sz w:val="18"/>
          <w:szCs w:val="18"/>
        </w:rPr>
        <w:t>第</w:t>
      </w:r>
      <w:r>
        <w:rPr>
          <w:rFonts w:ascii="宋体" w:hAnsi="宋体" w:cs="宋体" w:eastAsia="宋体" w:hint="default"/>
          <w:sz w:val="18"/>
          <w:szCs w:val="18"/>
        </w:rPr>
        <w:t>ZI10468</w:t>
      </w:r>
      <w:r>
        <w:rPr>
          <w:rFonts w:ascii="宋体" w:hAnsi="宋体" w:cs="宋体" w:eastAsia="宋体" w:hint="default"/>
          <w:sz w:val="18"/>
          <w:szCs w:val="18"/>
        </w:rPr>
        <w:t>号验资报告。</w:t>
      </w:r>
    </w:p>
    <w:p>
      <w:pPr>
        <w:spacing w:before="19"/>
        <w:ind w:left="473" w:right="176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z w:val="18"/>
          <w:szCs w:val="18"/>
        </w:rPr>
        <w:t>年度权益分派方案于</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5</w:t>
      </w:r>
      <w:r>
        <w:rPr>
          <w:rFonts w:ascii="宋体" w:hAnsi="宋体" w:cs="宋体" w:eastAsia="宋体" w:hint="default"/>
          <w:sz w:val="18"/>
          <w:szCs w:val="18"/>
        </w:rPr>
        <w:t>日实施完毕。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股份回购的实施进展情况</w:t>
      </w:r>
    </w:p>
    <w:p>
      <w:pPr>
        <w:spacing w:line="357" w:lineRule="auto" w:before="119"/>
        <w:ind w:left="113" w:right="576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采用集中竞价方式减持回购股份的实施进展情况</w:t>
      </w:r>
    </w:p>
    <w:p>
      <w:pPr>
        <w:spacing w:line="357" w:lineRule="auto" w:before="31"/>
        <w:ind w:left="113" w:right="1007"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股份变动对最近一年和最近一期基本每股收益和稀释每股收益、归属于公司普通股股东的每股净资产等财务指标的影响</w:t>
      </w:r>
    </w:p>
    <w:p>
      <w:pPr>
        <w:spacing w:line="362" w:lineRule="auto" w:before="26"/>
        <w:ind w:left="113" w:right="576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公司认为必要或证券监管机构要求披露的其他内容</w:t>
      </w:r>
    </w:p>
    <w:p>
      <w:pPr>
        <w:spacing w:before="23"/>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2、限售股份变动情况" w:id="107"/>
      <w:bookmarkEnd w:id="107"/>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2"/>
        <w:rPr>
          <w:rFonts w:ascii="宋体" w:hAnsi="宋体" w:cs="宋体" w:eastAsia="宋体" w:hint="default"/>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205"/>
        <w:gridCol w:w="1488"/>
        <w:gridCol w:w="1489"/>
        <w:gridCol w:w="1488"/>
        <w:gridCol w:w="1489"/>
        <w:gridCol w:w="1205"/>
        <w:gridCol w:w="1205"/>
      </w:tblGrid>
      <w:tr>
        <w:trPr>
          <w:trHeight w:val="715" w:hRule="exact"/>
        </w:trPr>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653" w:right="104" w:hanging="543"/>
              <w:jc w:val="left"/>
              <w:rPr>
                <w:rFonts w:ascii="宋体" w:hAnsi="宋体" w:cs="宋体" w:eastAsia="宋体" w:hint="default"/>
                <w:sz w:val="18"/>
                <w:szCs w:val="18"/>
              </w:rPr>
            </w:pPr>
            <w:r>
              <w:rPr>
                <w:rFonts w:ascii="宋体" w:hAnsi="宋体" w:cs="宋体" w:eastAsia="宋体" w:hint="default"/>
                <w:spacing w:val="-3"/>
                <w:sz w:val="18"/>
                <w:szCs w:val="18"/>
              </w:rPr>
              <w:t>本期增加限售股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653" w:right="103" w:hanging="543"/>
              <w:jc w:val="left"/>
              <w:rPr>
                <w:rFonts w:ascii="宋体" w:hAnsi="宋体" w:cs="宋体" w:eastAsia="宋体" w:hint="default"/>
                <w:sz w:val="18"/>
                <w:szCs w:val="18"/>
              </w:rPr>
            </w:pPr>
            <w:r>
              <w:rPr>
                <w:rFonts w:ascii="宋体" w:hAnsi="宋体" w:cs="宋体" w:eastAsia="宋体" w:hint="default"/>
                <w:spacing w:val="-3"/>
                <w:sz w:val="18"/>
                <w:szCs w:val="18"/>
              </w:rPr>
              <w:t>本期解除限售股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数</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17" w:right="141" w:hanging="269"/>
              <w:jc w:val="left"/>
              <w:rPr>
                <w:rFonts w:ascii="宋体" w:hAnsi="宋体" w:cs="宋体" w:eastAsia="宋体" w:hint="default"/>
                <w:sz w:val="18"/>
                <w:szCs w:val="18"/>
              </w:rPr>
            </w:pPr>
            <w:r>
              <w:rPr>
                <w:rFonts w:ascii="宋体" w:hAnsi="宋体" w:cs="宋体" w:eastAsia="宋体" w:hint="default"/>
                <w:spacing w:val="-2"/>
                <w:sz w:val="18"/>
                <w:szCs w:val="18"/>
              </w:rPr>
              <w:t>拟解除限售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日期</w:t>
            </w:r>
          </w:p>
        </w:tc>
      </w:tr>
      <w:tr>
        <w:trPr>
          <w:trHeight w:val="1340"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30,416,973</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18,286,356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48,703,329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185"/>
              <w:jc w:val="left"/>
              <w:rPr>
                <w:rFonts w:ascii="宋体" w:hAnsi="宋体" w:cs="宋体" w:eastAsia="宋体" w:hint="default"/>
                <w:sz w:val="18"/>
                <w:szCs w:val="18"/>
              </w:rPr>
            </w:pPr>
            <w:r>
              <w:rPr>
                <w:rFonts w:ascii="宋体" w:hAnsi="宋体" w:cs="宋体" w:eastAsia="宋体" w:hint="default"/>
                <w:sz w:val="18"/>
                <w:szCs w:val="18"/>
              </w:rPr>
              <w:t>现任董事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长，任职期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间所持股份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75%</w:t>
            </w:r>
            <w:r>
              <w:rPr>
                <w:rFonts w:ascii="宋体" w:hAnsi="宋体" w:cs="宋体" w:eastAsia="宋体" w:hint="default"/>
                <w:sz w:val="18"/>
                <w:szCs w:val="18"/>
              </w:rPr>
              <w:t>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9" w:lineRule="auto"/>
              <w:ind w:left="105" w:right="167"/>
              <w:jc w:val="both"/>
              <w:rPr>
                <w:rFonts w:ascii="宋体" w:hAnsi="宋体" w:cs="宋体" w:eastAsia="宋体" w:hint="default"/>
                <w:sz w:val="18"/>
                <w:szCs w:val="18"/>
              </w:rPr>
            </w:pPr>
            <w:r>
              <w:rPr>
                <w:rFonts w:ascii="宋体" w:hAnsi="宋体" w:cs="宋体" w:eastAsia="宋体" w:hint="default"/>
                <w:sz w:val="18"/>
                <w:szCs w:val="18"/>
              </w:rPr>
              <w:t>高管限售股</w:t>
            </w:r>
            <w:r>
              <w:rPr>
                <w:rFonts w:ascii="宋体" w:hAnsi="宋体" w:cs="宋体" w:eastAsia="宋体" w:hint="default"/>
                <w:w w:val="101"/>
                <w:sz w:val="18"/>
                <w:szCs w:val="18"/>
              </w:rPr>
              <w:t> </w:t>
            </w:r>
            <w:r>
              <w:rPr>
                <w:rFonts w:ascii="宋体" w:hAnsi="宋体" w:cs="宋体" w:eastAsia="宋体" w:hint="default"/>
                <w:sz w:val="18"/>
                <w:szCs w:val="18"/>
              </w:rPr>
              <w:t>每年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w:t>
            </w:r>
            <w:r>
              <w:rPr>
                <w:rFonts w:ascii="宋体" w:hAnsi="宋体" w:cs="宋体" w:eastAsia="宋体" w:hint="default"/>
                <w:w w:val="101"/>
                <w:sz w:val="18"/>
                <w:szCs w:val="18"/>
              </w:rPr>
              <w:t> </w:t>
            </w:r>
            <w:r>
              <w:rPr>
                <w:rFonts w:ascii="宋体" w:hAnsi="宋体" w:cs="宋体" w:eastAsia="宋体" w:hint="default"/>
                <w:sz w:val="18"/>
                <w:szCs w:val="18"/>
              </w:rPr>
              <w:t>定</w:t>
            </w:r>
          </w:p>
        </w:tc>
      </w:tr>
      <w:tr>
        <w:trPr>
          <w:trHeight w:val="1340"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陈兵</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16,181,218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9,727,973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25,909,191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05" w:right="168"/>
              <w:jc w:val="both"/>
              <w:rPr>
                <w:rFonts w:ascii="宋体" w:hAnsi="宋体" w:cs="宋体" w:eastAsia="宋体" w:hint="default"/>
                <w:sz w:val="18"/>
                <w:szCs w:val="18"/>
              </w:rPr>
            </w:pPr>
            <w:r>
              <w:rPr>
                <w:rFonts w:ascii="宋体" w:hAnsi="宋体" w:cs="宋体" w:eastAsia="宋体" w:hint="default"/>
                <w:sz w:val="18"/>
                <w:szCs w:val="18"/>
              </w:rPr>
              <w:t>现任董事，</w:t>
            </w:r>
            <w:r>
              <w:rPr>
                <w:rFonts w:ascii="宋体" w:hAnsi="宋体" w:cs="宋体" w:eastAsia="宋体" w:hint="default"/>
                <w:w w:val="101"/>
                <w:sz w:val="18"/>
                <w:szCs w:val="18"/>
              </w:rPr>
              <w:t> </w:t>
            </w:r>
            <w:r>
              <w:rPr>
                <w:rFonts w:ascii="宋体" w:hAnsi="宋体" w:cs="宋体" w:eastAsia="宋体" w:hint="default"/>
                <w:sz w:val="18"/>
                <w:szCs w:val="18"/>
              </w:rPr>
              <w:t>任职期间所</w:t>
            </w:r>
            <w:r>
              <w:rPr>
                <w:rFonts w:ascii="宋体" w:hAnsi="宋体" w:cs="宋体" w:eastAsia="宋体" w:hint="default"/>
                <w:w w:val="101"/>
                <w:sz w:val="18"/>
                <w:szCs w:val="18"/>
              </w:rPr>
              <w:t> </w:t>
            </w:r>
            <w:r>
              <w:rPr>
                <w:rFonts w:ascii="宋体" w:hAnsi="宋体" w:cs="宋体" w:eastAsia="宋体" w:hint="default"/>
                <w:sz w:val="18"/>
                <w:szCs w:val="18"/>
              </w:rPr>
              <w:t>持股份</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75%</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105" w:right="167"/>
              <w:jc w:val="both"/>
              <w:rPr>
                <w:rFonts w:ascii="宋体" w:hAnsi="宋体" w:cs="宋体" w:eastAsia="宋体" w:hint="default"/>
                <w:sz w:val="18"/>
                <w:szCs w:val="18"/>
              </w:rPr>
            </w:pPr>
            <w:r>
              <w:rPr>
                <w:rFonts w:ascii="宋体" w:hAnsi="宋体" w:cs="宋体" w:eastAsia="宋体" w:hint="default"/>
                <w:sz w:val="18"/>
                <w:szCs w:val="18"/>
              </w:rPr>
              <w:t>高管限售股</w:t>
            </w:r>
            <w:r>
              <w:rPr>
                <w:rFonts w:ascii="宋体" w:hAnsi="宋体" w:cs="宋体" w:eastAsia="宋体" w:hint="default"/>
                <w:w w:val="101"/>
                <w:sz w:val="18"/>
                <w:szCs w:val="18"/>
              </w:rPr>
              <w:t> </w:t>
            </w:r>
            <w:r>
              <w:rPr>
                <w:rFonts w:ascii="宋体" w:hAnsi="宋体" w:cs="宋体" w:eastAsia="宋体" w:hint="default"/>
                <w:sz w:val="18"/>
                <w:szCs w:val="18"/>
              </w:rPr>
              <w:t>每年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w:t>
            </w:r>
            <w:r>
              <w:rPr>
                <w:rFonts w:ascii="宋体" w:hAnsi="宋体" w:cs="宋体" w:eastAsia="宋体" w:hint="default"/>
                <w:w w:val="101"/>
                <w:sz w:val="18"/>
                <w:szCs w:val="18"/>
              </w:rPr>
              <w:t> </w:t>
            </w:r>
            <w:r>
              <w:rPr>
                <w:rFonts w:ascii="宋体" w:hAnsi="宋体" w:cs="宋体" w:eastAsia="宋体" w:hint="default"/>
                <w:sz w:val="18"/>
                <w:szCs w:val="18"/>
              </w:rPr>
              <w:t>定</w:t>
            </w:r>
          </w:p>
        </w:tc>
      </w:tr>
      <w:tr>
        <w:trPr>
          <w:trHeight w:val="1335"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陈鲁康</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13,150,500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3"/>
                <w:sz w:val="18"/>
              </w:rPr>
              <w:t>6,111,388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2,985,000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16,276,888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66"/>
              <w:jc w:val="both"/>
              <w:rPr>
                <w:rFonts w:ascii="宋体" w:hAnsi="宋体" w:cs="宋体" w:eastAsia="宋体" w:hint="default"/>
                <w:sz w:val="18"/>
                <w:szCs w:val="18"/>
              </w:rPr>
            </w:pPr>
            <w:r>
              <w:rPr>
                <w:rFonts w:ascii="宋体" w:hAnsi="宋体" w:cs="宋体" w:eastAsia="宋体" w:hint="default"/>
                <w:sz w:val="18"/>
                <w:szCs w:val="18"/>
              </w:rPr>
              <w:t>现任董事、</w:t>
            </w:r>
            <w:r>
              <w:rPr>
                <w:rFonts w:ascii="宋体" w:hAnsi="宋体" w:cs="宋体" w:eastAsia="宋体" w:hint="default"/>
                <w:w w:val="101"/>
                <w:sz w:val="18"/>
                <w:szCs w:val="18"/>
              </w:rPr>
              <w:t> </w:t>
            </w:r>
            <w:r>
              <w:rPr>
                <w:rFonts w:ascii="宋体" w:hAnsi="宋体" w:cs="宋体" w:eastAsia="宋体" w:hint="default"/>
                <w:sz w:val="18"/>
                <w:szCs w:val="18"/>
              </w:rPr>
              <w:t>高管，任职</w:t>
            </w:r>
            <w:r>
              <w:rPr>
                <w:rFonts w:ascii="宋体" w:hAnsi="宋体" w:cs="宋体" w:eastAsia="宋体" w:hint="default"/>
                <w:w w:val="101"/>
                <w:sz w:val="18"/>
                <w:szCs w:val="18"/>
              </w:rPr>
              <w:t> </w:t>
            </w:r>
            <w:r>
              <w:rPr>
                <w:rFonts w:ascii="宋体" w:hAnsi="宋体" w:cs="宋体" w:eastAsia="宋体" w:hint="default"/>
                <w:sz w:val="18"/>
                <w:szCs w:val="18"/>
              </w:rPr>
              <w:t>期间所持股</w:t>
            </w:r>
            <w:r>
              <w:rPr>
                <w:rFonts w:ascii="宋体" w:hAnsi="宋体" w:cs="宋体" w:eastAsia="宋体" w:hint="default"/>
                <w:w w:val="101"/>
                <w:sz w:val="18"/>
                <w:szCs w:val="18"/>
              </w:rPr>
              <w:t> </w:t>
            </w:r>
            <w:r>
              <w:rPr>
                <w:rFonts w:ascii="宋体" w:hAnsi="宋体" w:cs="宋体" w:eastAsia="宋体" w:hint="default"/>
                <w:sz w:val="18"/>
                <w:szCs w:val="18"/>
              </w:rPr>
              <w:t>份</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105" w:right="167"/>
              <w:jc w:val="both"/>
              <w:rPr>
                <w:rFonts w:ascii="宋体" w:hAnsi="宋体" w:cs="宋体" w:eastAsia="宋体" w:hint="default"/>
                <w:sz w:val="18"/>
                <w:szCs w:val="18"/>
              </w:rPr>
            </w:pPr>
            <w:r>
              <w:rPr>
                <w:rFonts w:ascii="宋体" w:hAnsi="宋体" w:cs="宋体" w:eastAsia="宋体" w:hint="default"/>
                <w:sz w:val="18"/>
                <w:szCs w:val="18"/>
              </w:rPr>
              <w:t>高管限售股</w:t>
            </w:r>
            <w:r>
              <w:rPr>
                <w:rFonts w:ascii="宋体" w:hAnsi="宋体" w:cs="宋体" w:eastAsia="宋体" w:hint="default"/>
                <w:w w:val="101"/>
                <w:sz w:val="18"/>
                <w:szCs w:val="18"/>
              </w:rPr>
              <w:t> </w:t>
            </w:r>
            <w:r>
              <w:rPr>
                <w:rFonts w:ascii="宋体" w:hAnsi="宋体" w:cs="宋体" w:eastAsia="宋体" w:hint="default"/>
                <w:sz w:val="18"/>
                <w:szCs w:val="18"/>
              </w:rPr>
              <w:t>每年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w:t>
            </w:r>
            <w:r>
              <w:rPr>
                <w:rFonts w:ascii="宋体" w:hAnsi="宋体" w:cs="宋体" w:eastAsia="宋体" w:hint="default"/>
                <w:w w:val="101"/>
                <w:sz w:val="18"/>
                <w:szCs w:val="18"/>
              </w:rPr>
              <w:t> </w:t>
            </w:r>
            <w:r>
              <w:rPr>
                <w:rFonts w:ascii="宋体" w:hAnsi="宋体" w:cs="宋体" w:eastAsia="宋体" w:hint="default"/>
                <w:sz w:val="18"/>
                <w:szCs w:val="18"/>
              </w:rPr>
              <w:t>定</w:t>
            </w:r>
          </w:p>
        </w:tc>
      </w:tr>
      <w:tr>
        <w:trPr>
          <w:trHeight w:val="1652"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李谦益</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6,779,372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7,694,038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14,473,410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因离任董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事，其持有</w:t>
            </w:r>
            <w:r>
              <w:rPr>
                <w:rFonts w:ascii="宋体" w:hAnsi="宋体" w:cs="宋体" w:eastAsia="宋体" w:hint="default"/>
                <w:w w:val="101"/>
                <w:sz w:val="18"/>
                <w:szCs w:val="18"/>
              </w:rPr>
              <w:t> </w:t>
            </w:r>
            <w:r>
              <w:rPr>
                <w:rFonts w:ascii="宋体" w:hAnsi="宋体" w:cs="宋体" w:eastAsia="宋体" w:hint="default"/>
                <w:sz w:val="18"/>
                <w:szCs w:val="18"/>
              </w:rPr>
              <w:t>股份于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2010</w:t>
            </w:r>
          </w:p>
          <w:p>
            <w:pPr>
              <w:pStyle w:val="TableParagraph"/>
              <w:spacing w:line="249" w:lineRule="exact"/>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日解除锁定</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2" w:lineRule="auto"/>
              <w:ind w:left="105"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全部股份已</w:t>
            </w:r>
            <w:r>
              <w:rPr>
                <w:rFonts w:ascii="宋体" w:hAnsi="宋体" w:cs="宋体" w:eastAsia="宋体" w:hint="default"/>
                <w:w w:val="101"/>
                <w:sz w:val="18"/>
                <w:szCs w:val="18"/>
              </w:rPr>
              <w:t> </w:t>
            </w:r>
            <w:r>
              <w:rPr>
                <w:rFonts w:ascii="宋体" w:hAnsi="宋体" w:cs="宋体" w:eastAsia="宋体" w:hint="default"/>
                <w:sz w:val="18"/>
                <w:szCs w:val="18"/>
              </w:rPr>
              <w:t>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p>
          <w:p>
            <w:pPr>
              <w:pStyle w:val="TableParagraph"/>
              <w:spacing w:line="304" w:lineRule="auto" w:before="3"/>
              <w:ind w:left="105" w:right="9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w:t>
            </w:r>
            <w:r>
              <w:rPr>
                <w:rFonts w:ascii="宋体" w:hAnsi="宋体" w:cs="宋体" w:eastAsia="宋体" w:hint="default"/>
                <w:w w:val="101"/>
                <w:sz w:val="18"/>
                <w:szCs w:val="18"/>
              </w:rPr>
              <w:t> </w:t>
            </w:r>
            <w:r>
              <w:rPr>
                <w:rFonts w:ascii="宋体" w:hAnsi="宋体" w:cs="宋体" w:eastAsia="宋体" w:hint="default"/>
                <w:sz w:val="18"/>
                <w:szCs w:val="18"/>
              </w:rPr>
              <w:t>限售</w:t>
            </w:r>
          </w:p>
        </w:tc>
      </w:tr>
      <w:tr>
        <w:trPr>
          <w:trHeight w:val="1340"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谢晓宾</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9,927,000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5,968,005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15,895,005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05" w:right="168"/>
              <w:jc w:val="both"/>
              <w:rPr>
                <w:rFonts w:ascii="宋体" w:hAnsi="宋体" w:cs="宋体" w:eastAsia="宋体" w:hint="default"/>
                <w:sz w:val="18"/>
                <w:szCs w:val="18"/>
              </w:rPr>
            </w:pPr>
            <w:r>
              <w:rPr>
                <w:rFonts w:ascii="宋体" w:hAnsi="宋体" w:cs="宋体" w:eastAsia="宋体" w:hint="default"/>
                <w:sz w:val="18"/>
                <w:szCs w:val="18"/>
              </w:rPr>
              <w:t>现任董事，</w:t>
            </w:r>
            <w:r>
              <w:rPr>
                <w:rFonts w:ascii="宋体" w:hAnsi="宋体" w:cs="宋体" w:eastAsia="宋体" w:hint="default"/>
                <w:w w:val="101"/>
                <w:sz w:val="18"/>
                <w:szCs w:val="18"/>
              </w:rPr>
              <w:t> </w:t>
            </w:r>
            <w:r>
              <w:rPr>
                <w:rFonts w:ascii="宋体" w:hAnsi="宋体" w:cs="宋体" w:eastAsia="宋体" w:hint="default"/>
                <w:sz w:val="18"/>
                <w:szCs w:val="18"/>
              </w:rPr>
              <w:t>任职期间所</w:t>
            </w:r>
            <w:r>
              <w:rPr>
                <w:rFonts w:ascii="宋体" w:hAnsi="宋体" w:cs="宋体" w:eastAsia="宋体" w:hint="default"/>
                <w:w w:val="101"/>
                <w:sz w:val="18"/>
                <w:szCs w:val="18"/>
              </w:rPr>
              <w:t> </w:t>
            </w:r>
            <w:r>
              <w:rPr>
                <w:rFonts w:ascii="宋体" w:hAnsi="宋体" w:cs="宋体" w:eastAsia="宋体" w:hint="default"/>
                <w:sz w:val="18"/>
                <w:szCs w:val="18"/>
              </w:rPr>
              <w:t>持股份</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75%</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9" w:lineRule="auto"/>
              <w:ind w:left="105" w:right="167"/>
              <w:jc w:val="both"/>
              <w:rPr>
                <w:rFonts w:ascii="宋体" w:hAnsi="宋体" w:cs="宋体" w:eastAsia="宋体" w:hint="default"/>
                <w:sz w:val="18"/>
                <w:szCs w:val="18"/>
              </w:rPr>
            </w:pPr>
            <w:r>
              <w:rPr>
                <w:rFonts w:ascii="宋体" w:hAnsi="宋体" w:cs="宋体" w:eastAsia="宋体" w:hint="default"/>
                <w:sz w:val="18"/>
                <w:szCs w:val="18"/>
              </w:rPr>
              <w:t>高管限售股</w:t>
            </w:r>
            <w:r>
              <w:rPr>
                <w:rFonts w:ascii="宋体" w:hAnsi="宋体" w:cs="宋体" w:eastAsia="宋体" w:hint="default"/>
                <w:w w:val="101"/>
                <w:sz w:val="18"/>
                <w:szCs w:val="18"/>
              </w:rPr>
              <w:t> </w:t>
            </w:r>
            <w:r>
              <w:rPr>
                <w:rFonts w:ascii="宋体" w:hAnsi="宋体" w:cs="宋体" w:eastAsia="宋体" w:hint="default"/>
                <w:sz w:val="18"/>
                <w:szCs w:val="18"/>
              </w:rPr>
              <w:t>每年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w:t>
            </w:r>
            <w:r>
              <w:rPr>
                <w:rFonts w:ascii="宋体" w:hAnsi="宋体" w:cs="宋体" w:eastAsia="宋体" w:hint="default"/>
                <w:w w:val="101"/>
                <w:sz w:val="18"/>
                <w:szCs w:val="18"/>
              </w:rPr>
              <w:t> </w:t>
            </w:r>
            <w:r>
              <w:rPr>
                <w:rFonts w:ascii="宋体" w:hAnsi="宋体" w:cs="宋体" w:eastAsia="宋体" w:hint="default"/>
                <w:sz w:val="18"/>
                <w:szCs w:val="18"/>
              </w:rPr>
              <w:t>定</w:t>
            </w:r>
          </w:p>
        </w:tc>
      </w:tr>
      <w:tr>
        <w:trPr>
          <w:trHeight w:val="1339"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汪东升</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1,215,253</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547,948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303,813</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1,459,388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66"/>
              <w:jc w:val="both"/>
              <w:rPr>
                <w:rFonts w:ascii="宋体" w:hAnsi="宋体" w:cs="宋体" w:eastAsia="宋体" w:hint="default"/>
                <w:sz w:val="18"/>
                <w:szCs w:val="18"/>
              </w:rPr>
            </w:pPr>
            <w:r>
              <w:rPr>
                <w:rFonts w:ascii="宋体" w:hAnsi="宋体" w:cs="宋体" w:eastAsia="宋体" w:hint="default"/>
                <w:sz w:val="18"/>
                <w:szCs w:val="18"/>
              </w:rPr>
              <w:t>现任董事、</w:t>
            </w:r>
            <w:r>
              <w:rPr>
                <w:rFonts w:ascii="宋体" w:hAnsi="宋体" w:cs="宋体" w:eastAsia="宋体" w:hint="default"/>
                <w:w w:val="101"/>
                <w:sz w:val="18"/>
                <w:szCs w:val="18"/>
              </w:rPr>
              <w:t> </w:t>
            </w:r>
            <w:r>
              <w:rPr>
                <w:rFonts w:ascii="宋体" w:hAnsi="宋体" w:cs="宋体" w:eastAsia="宋体" w:hint="default"/>
                <w:sz w:val="18"/>
                <w:szCs w:val="18"/>
              </w:rPr>
              <w:t>高管，任职</w:t>
            </w:r>
            <w:r>
              <w:rPr>
                <w:rFonts w:ascii="宋体" w:hAnsi="宋体" w:cs="宋体" w:eastAsia="宋体" w:hint="default"/>
                <w:w w:val="101"/>
                <w:sz w:val="18"/>
                <w:szCs w:val="18"/>
              </w:rPr>
              <w:t> </w:t>
            </w:r>
            <w:r>
              <w:rPr>
                <w:rFonts w:ascii="宋体" w:hAnsi="宋体" w:cs="宋体" w:eastAsia="宋体" w:hint="default"/>
                <w:sz w:val="18"/>
                <w:szCs w:val="18"/>
              </w:rPr>
              <w:t>期间所持股</w:t>
            </w:r>
            <w:r>
              <w:rPr>
                <w:rFonts w:ascii="宋体" w:hAnsi="宋体" w:cs="宋体" w:eastAsia="宋体" w:hint="default"/>
                <w:w w:val="101"/>
                <w:sz w:val="18"/>
                <w:szCs w:val="18"/>
              </w:rPr>
              <w:t> </w:t>
            </w:r>
            <w:r>
              <w:rPr>
                <w:rFonts w:ascii="宋体" w:hAnsi="宋体" w:cs="宋体" w:eastAsia="宋体" w:hint="default"/>
                <w:sz w:val="18"/>
                <w:szCs w:val="18"/>
              </w:rPr>
              <w:t>份</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105" w:right="167"/>
              <w:jc w:val="both"/>
              <w:rPr>
                <w:rFonts w:ascii="宋体" w:hAnsi="宋体" w:cs="宋体" w:eastAsia="宋体" w:hint="default"/>
                <w:sz w:val="18"/>
                <w:szCs w:val="18"/>
              </w:rPr>
            </w:pPr>
            <w:r>
              <w:rPr>
                <w:rFonts w:ascii="宋体" w:hAnsi="宋体" w:cs="宋体" w:eastAsia="宋体" w:hint="default"/>
                <w:sz w:val="18"/>
                <w:szCs w:val="18"/>
              </w:rPr>
              <w:t>高管限售股</w:t>
            </w:r>
            <w:r>
              <w:rPr>
                <w:rFonts w:ascii="宋体" w:hAnsi="宋体" w:cs="宋体" w:eastAsia="宋体" w:hint="default"/>
                <w:w w:val="101"/>
                <w:sz w:val="18"/>
                <w:szCs w:val="18"/>
              </w:rPr>
              <w:t> </w:t>
            </w:r>
            <w:r>
              <w:rPr>
                <w:rFonts w:ascii="宋体" w:hAnsi="宋体" w:cs="宋体" w:eastAsia="宋体" w:hint="default"/>
                <w:sz w:val="18"/>
                <w:szCs w:val="18"/>
              </w:rPr>
              <w:t>每年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w:t>
            </w:r>
            <w:r>
              <w:rPr>
                <w:rFonts w:ascii="宋体" w:hAnsi="宋体" w:cs="宋体" w:eastAsia="宋体" w:hint="default"/>
                <w:w w:val="101"/>
                <w:sz w:val="18"/>
                <w:szCs w:val="18"/>
              </w:rPr>
              <w:t> </w:t>
            </w:r>
            <w:r>
              <w:rPr>
                <w:rFonts w:ascii="宋体" w:hAnsi="宋体" w:cs="宋体" w:eastAsia="宋体" w:hint="default"/>
                <w:sz w:val="18"/>
                <w:szCs w:val="18"/>
              </w:rPr>
              <w:t>定</w:t>
            </w:r>
          </w:p>
        </w:tc>
      </w:tr>
      <w:tr>
        <w:trPr>
          <w:trHeight w:val="1335"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林容</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261,281</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153,923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101,321</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313,883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4"/>
              <w:ind w:left="105" w:right="168"/>
              <w:jc w:val="both"/>
              <w:rPr>
                <w:rFonts w:ascii="宋体" w:hAnsi="宋体" w:cs="宋体" w:eastAsia="宋体" w:hint="default"/>
                <w:sz w:val="18"/>
                <w:szCs w:val="18"/>
              </w:rPr>
            </w:pPr>
            <w:r>
              <w:rPr>
                <w:rFonts w:ascii="宋体" w:hAnsi="宋体" w:cs="宋体" w:eastAsia="宋体" w:hint="default"/>
                <w:sz w:val="18"/>
                <w:szCs w:val="18"/>
              </w:rPr>
              <w:t>现任高管，</w:t>
            </w:r>
            <w:r>
              <w:rPr>
                <w:rFonts w:ascii="宋体" w:hAnsi="宋体" w:cs="宋体" w:eastAsia="宋体" w:hint="default"/>
                <w:w w:val="101"/>
                <w:sz w:val="18"/>
                <w:szCs w:val="18"/>
              </w:rPr>
              <w:t> </w:t>
            </w:r>
            <w:r>
              <w:rPr>
                <w:rFonts w:ascii="宋体" w:hAnsi="宋体" w:cs="宋体" w:eastAsia="宋体" w:hint="default"/>
                <w:sz w:val="18"/>
                <w:szCs w:val="18"/>
              </w:rPr>
              <w:t>任职期间所</w:t>
            </w:r>
            <w:r>
              <w:rPr>
                <w:rFonts w:ascii="宋体" w:hAnsi="宋体" w:cs="宋体" w:eastAsia="宋体" w:hint="default"/>
                <w:w w:val="101"/>
                <w:sz w:val="18"/>
                <w:szCs w:val="18"/>
              </w:rPr>
              <w:t> </w:t>
            </w:r>
            <w:r>
              <w:rPr>
                <w:rFonts w:ascii="宋体" w:hAnsi="宋体" w:cs="宋体" w:eastAsia="宋体" w:hint="default"/>
                <w:sz w:val="18"/>
                <w:szCs w:val="18"/>
              </w:rPr>
              <w:t>持股份</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75%</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9" w:lineRule="auto"/>
              <w:ind w:left="105" w:right="167"/>
              <w:jc w:val="both"/>
              <w:rPr>
                <w:rFonts w:ascii="宋体" w:hAnsi="宋体" w:cs="宋体" w:eastAsia="宋体" w:hint="default"/>
                <w:sz w:val="18"/>
                <w:szCs w:val="18"/>
              </w:rPr>
            </w:pPr>
            <w:r>
              <w:rPr>
                <w:rFonts w:ascii="宋体" w:hAnsi="宋体" w:cs="宋体" w:eastAsia="宋体" w:hint="default"/>
                <w:sz w:val="18"/>
                <w:szCs w:val="18"/>
              </w:rPr>
              <w:t>高管限售股</w:t>
            </w:r>
            <w:r>
              <w:rPr>
                <w:rFonts w:ascii="宋体" w:hAnsi="宋体" w:cs="宋体" w:eastAsia="宋体" w:hint="default"/>
                <w:w w:val="101"/>
                <w:sz w:val="18"/>
                <w:szCs w:val="18"/>
              </w:rPr>
              <w:t> </w:t>
            </w:r>
            <w:r>
              <w:rPr>
                <w:rFonts w:ascii="宋体" w:hAnsi="宋体" w:cs="宋体" w:eastAsia="宋体" w:hint="default"/>
                <w:sz w:val="18"/>
                <w:szCs w:val="18"/>
              </w:rPr>
              <w:t>每年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w:t>
            </w:r>
            <w:r>
              <w:rPr>
                <w:rFonts w:ascii="宋体" w:hAnsi="宋体" w:cs="宋体" w:eastAsia="宋体" w:hint="default"/>
                <w:w w:val="101"/>
                <w:sz w:val="18"/>
                <w:szCs w:val="18"/>
              </w:rPr>
              <w:t> </w:t>
            </w:r>
            <w:r>
              <w:rPr>
                <w:rFonts w:ascii="宋体" w:hAnsi="宋体" w:cs="宋体" w:eastAsia="宋体" w:hint="default"/>
                <w:sz w:val="18"/>
                <w:szCs w:val="18"/>
              </w:rPr>
              <w:t>定</w:t>
            </w:r>
          </w:p>
        </w:tc>
      </w:tr>
      <w:tr>
        <w:trPr>
          <w:trHeight w:val="1340"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管四新</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84,375</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38,100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21,000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101,475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5" w:right="168"/>
              <w:jc w:val="both"/>
              <w:rPr>
                <w:rFonts w:ascii="宋体" w:hAnsi="宋体" w:cs="宋体" w:eastAsia="宋体" w:hint="default"/>
                <w:sz w:val="18"/>
                <w:szCs w:val="18"/>
              </w:rPr>
            </w:pPr>
            <w:r>
              <w:rPr>
                <w:rFonts w:ascii="宋体" w:hAnsi="宋体" w:cs="宋体" w:eastAsia="宋体" w:hint="default"/>
                <w:sz w:val="18"/>
                <w:szCs w:val="18"/>
              </w:rPr>
              <w:t>现任高管，</w:t>
            </w:r>
            <w:r>
              <w:rPr>
                <w:rFonts w:ascii="宋体" w:hAnsi="宋体" w:cs="宋体" w:eastAsia="宋体" w:hint="default"/>
                <w:w w:val="101"/>
                <w:sz w:val="18"/>
                <w:szCs w:val="18"/>
              </w:rPr>
              <w:t> </w:t>
            </w:r>
            <w:r>
              <w:rPr>
                <w:rFonts w:ascii="宋体" w:hAnsi="宋体" w:cs="宋体" w:eastAsia="宋体" w:hint="default"/>
                <w:sz w:val="18"/>
                <w:szCs w:val="18"/>
              </w:rPr>
              <w:t>任职期间所</w:t>
            </w:r>
            <w:r>
              <w:rPr>
                <w:rFonts w:ascii="宋体" w:hAnsi="宋体" w:cs="宋体" w:eastAsia="宋体" w:hint="default"/>
                <w:w w:val="101"/>
                <w:sz w:val="18"/>
                <w:szCs w:val="18"/>
              </w:rPr>
              <w:t> </w:t>
            </w:r>
            <w:r>
              <w:rPr>
                <w:rFonts w:ascii="宋体" w:hAnsi="宋体" w:cs="宋体" w:eastAsia="宋体" w:hint="default"/>
                <w:sz w:val="18"/>
                <w:szCs w:val="18"/>
              </w:rPr>
              <w:t>持股份</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75%</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9" w:lineRule="auto"/>
              <w:ind w:left="105" w:right="167"/>
              <w:jc w:val="both"/>
              <w:rPr>
                <w:rFonts w:ascii="宋体" w:hAnsi="宋体" w:cs="宋体" w:eastAsia="宋体" w:hint="default"/>
                <w:sz w:val="18"/>
                <w:szCs w:val="18"/>
              </w:rPr>
            </w:pPr>
            <w:r>
              <w:rPr>
                <w:rFonts w:ascii="宋体" w:hAnsi="宋体" w:cs="宋体" w:eastAsia="宋体" w:hint="default"/>
                <w:sz w:val="18"/>
                <w:szCs w:val="18"/>
              </w:rPr>
              <w:t>高管限售股</w:t>
            </w:r>
            <w:r>
              <w:rPr>
                <w:rFonts w:ascii="宋体" w:hAnsi="宋体" w:cs="宋体" w:eastAsia="宋体" w:hint="default"/>
                <w:w w:val="101"/>
                <w:sz w:val="18"/>
                <w:szCs w:val="18"/>
              </w:rPr>
              <w:t> </w:t>
            </w:r>
            <w:r>
              <w:rPr>
                <w:rFonts w:ascii="宋体" w:hAnsi="宋体" w:cs="宋体" w:eastAsia="宋体" w:hint="default"/>
                <w:sz w:val="18"/>
                <w:szCs w:val="18"/>
              </w:rPr>
              <w:t>每年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w:t>
            </w:r>
            <w:r>
              <w:rPr>
                <w:rFonts w:ascii="宋体" w:hAnsi="宋体" w:cs="宋体" w:eastAsia="宋体" w:hint="default"/>
                <w:w w:val="101"/>
                <w:sz w:val="18"/>
                <w:szCs w:val="18"/>
              </w:rPr>
              <w:t> </w:t>
            </w:r>
            <w:r>
              <w:rPr>
                <w:rFonts w:ascii="宋体" w:hAnsi="宋体" w:cs="宋体" w:eastAsia="宋体" w:hint="default"/>
                <w:sz w:val="18"/>
                <w:szCs w:val="18"/>
              </w:rPr>
              <w:t>定</w:t>
            </w:r>
          </w:p>
        </w:tc>
      </w:tr>
      <w:tr>
        <w:trPr>
          <w:trHeight w:val="1613"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代峰</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157,500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143,400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58,800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242,100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4" w:lineRule="auto"/>
              <w:ind w:left="105" w:right="185"/>
              <w:jc w:val="both"/>
              <w:rPr>
                <w:rFonts w:ascii="宋体" w:hAnsi="宋体" w:cs="宋体" w:eastAsia="宋体" w:hint="default"/>
                <w:sz w:val="18"/>
                <w:szCs w:val="18"/>
              </w:rPr>
            </w:pPr>
            <w:r>
              <w:rPr>
                <w:rFonts w:ascii="宋体" w:hAnsi="宋体" w:cs="宋体" w:eastAsia="宋体" w:hint="default"/>
                <w:spacing w:val="-2"/>
                <w:sz w:val="18"/>
                <w:szCs w:val="18"/>
              </w:rPr>
              <w:t>离任高管，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离任</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个月</w:t>
            </w:r>
            <w:r>
              <w:rPr>
                <w:rFonts w:ascii="宋体" w:hAnsi="宋体" w:cs="宋体" w:eastAsia="宋体" w:hint="default"/>
                <w:spacing w:val="-5"/>
                <w:w w:val="101"/>
                <w:sz w:val="18"/>
                <w:szCs w:val="18"/>
              </w:rPr>
              <w:t> </w:t>
            </w:r>
            <w:r>
              <w:rPr>
                <w:rFonts w:ascii="宋体" w:hAnsi="宋体" w:cs="宋体" w:eastAsia="宋体" w:hint="default"/>
                <w:spacing w:val="-2"/>
                <w:sz w:val="18"/>
                <w:szCs w:val="18"/>
              </w:rPr>
              <w:t>内所持股份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限售</w:t>
            </w:r>
            <w:r>
              <w:rPr>
                <w:rFonts w:ascii="宋体" w:hAnsi="宋体" w:cs="宋体" w:eastAsia="宋体" w:hint="default"/>
                <w:sz w:val="18"/>
                <w:szCs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p>
            <w:pPr>
              <w:pStyle w:val="TableParagraph"/>
              <w:spacing w:line="300" w:lineRule="auto" w:before="58"/>
              <w:ind w:left="105" w:right="1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宋体" w:hAnsi="宋体" w:cs="宋体" w:eastAsia="宋体" w:hint="default"/>
                <w:spacing w:val="-8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锁定，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任期内</w:t>
            </w:r>
          </w:p>
          <w:p>
            <w:pPr>
              <w:pStyle w:val="TableParagraph"/>
              <w:spacing w:line="240" w:lineRule="auto" w:before="31"/>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205"/>
        <w:gridCol w:w="1488"/>
        <w:gridCol w:w="1489"/>
        <w:gridCol w:w="1488"/>
        <w:gridCol w:w="1489"/>
        <w:gridCol w:w="1205"/>
        <w:gridCol w:w="1205"/>
      </w:tblGrid>
      <w:tr>
        <w:trPr>
          <w:trHeight w:val="1297" w:hRule="exact"/>
        </w:trPr>
        <w:tc>
          <w:tcPr>
            <w:tcW w:w="120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日）每年</w:t>
            </w:r>
          </w:p>
          <w:p>
            <w:pPr>
              <w:pStyle w:val="TableParagraph"/>
              <w:spacing w:line="240" w:lineRule="auto" w:before="6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1339"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罗赞</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78,750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35,531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19,650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94,631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5" w:right="168"/>
              <w:jc w:val="both"/>
              <w:rPr>
                <w:rFonts w:ascii="宋体" w:hAnsi="宋体" w:cs="宋体" w:eastAsia="宋体" w:hint="default"/>
                <w:sz w:val="18"/>
                <w:szCs w:val="18"/>
              </w:rPr>
            </w:pPr>
            <w:r>
              <w:rPr>
                <w:rFonts w:ascii="宋体" w:hAnsi="宋体" w:cs="宋体" w:eastAsia="宋体" w:hint="default"/>
                <w:sz w:val="18"/>
                <w:szCs w:val="18"/>
              </w:rPr>
              <w:t>现任高管，</w:t>
            </w:r>
            <w:r>
              <w:rPr>
                <w:rFonts w:ascii="宋体" w:hAnsi="宋体" w:cs="宋体" w:eastAsia="宋体" w:hint="default"/>
                <w:w w:val="101"/>
                <w:sz w:val="18"/>
                <w:szCs w:val="18"/>
              </w:rPr>
              <w:t> </w:t>
            </w:r>
            <w:r>
              <w:rPr>
                <w:rFonts w:ascii="宋体" w:hAnsi="宋体" w:cs="宋体" w:eastAsia="宋体" w:hint="default"/>
                <w:sz w:val="18"/>
                <w:szCs w:val="18"/>
              </w:rPr>
              <w:t>任职期间所</w:t>
            </w:r>
            <w:r>
              <w:rPr>
                <w:rFonts w:ascii="宋体" w:hAnsi="宋体" w:cs="宋体" w:eastAsia="宋体" w:hint="default"/>
                <w:w w:val="101"/>
                <w:sz w:val="18"/>
                <w:szCs w:val="18"/>
              </w:rPr>
              <w:t> </w:t>
            </w:r>
            <w:r>
              <w:rPr>
                <w:rFonts w:ascii="宋体" w:hAnsi="宋体" w:cs="宋体" w:eastAsia="宋体" w:hint="default"/>
                <w:sz w:val="18"/>
                <w:szCs w:val="18"/>
              </w:rPr>
              <w:t>持股份</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75%</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9" w:lineRule="auto"/>
              <w:ind w:left="105" w:right="167"/>
              <w:jc w:val="both"/>
              <w:rPr>
                <w:rFonts w:ascii="宋体" w:hAnsi="宋体" w:cs="宋体" w:eastAsia="宋体" w:hint="default"/>
                <w:sz w:val="18"/>
                <w:szCs w:val="18"/>
              </w:rPr>
            </w:pPr>
            <w:r>
              <w:rPr>
                <w:rFonts w:ascii="宋体" w:hAnsi="宋体" w:cs="宋体" w:eastAsia="宋体" w:hint="default"/>
                <w:sz w:val="18"/>
                <w:szCs w:val="18"/>
              </w:rPr>
              <w:t>高管限售股</w:t>
            </w:r>
            <w:r>
              <w:rPr>
                <w:rFonts w:ascii="宋体" w:hAnsi="宋体" w:cs="宋体" w:eastAsia="宋体" w:hint="default"/>
                <w:w w:val="101"/>
                <w:sz w:val="18"/>
                <w:szCs w:val="18"/>
              </w:rPr>
              <w:t> </w:t>
            </w:r>
            <w:r>
              <w:rPr>
                <w:rFonts w:ascii="宋体" w:hAnsi="宋体" w:cs="宋体" w:eastAsia="宋体" w:hint="default"/>
                <w:sz w:val="18"/>
                <w:szCs w:val="18"/>
              </w:rPr>
              <w:t>每年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w:t>
            </w:r>
            <w:r>
              <w:rPr>
                <w:rFonts w:ascii="宋体" w:hAnsi="宋体" w:cs="宋体" w:eastAsia="宋体" w:hint="default"/>
                <w:w w:val="101"/>
                <w:sz w:val="18"/>
                <w:szCs w:val="18"/>
              </w:rPr>
              <w:t> </w:t>
            </w:r>
            <w:r>
              <w:rPr>
                <w:rFonts w:ascii="宋体" w:hAnsi="宋体" w:cs="宋体" w:eastAsia="宋体" w:hint="default"/>
                <w:sz w:val="18"/>
                <w:szCs w:val="18"/>
              </w:rPr>
              <w:t>定</w:t>
            </w:r>
          </w:p>
        </w:tc>
      </w:tr>
      <w:tr>
        <w:trPr>
          <w:trHeight w:val="1340"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480,468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238,763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142,240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576,991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105" w:right="168"/>
              <w:jc w:val="both"/>
              <w:rPr>
                <w:rFonts w:ascii="宋体" w:hAnsi="宋体" w:cs="宋体" w:eastAsia="宋体" w:hint="default"/>
                <w:sz w:val="18"/>
                <w:szCs w:val="18"/>
              </w:rPr>
            </w:pPr>
            <w:r>
              <w:rPr>
                <w:rFonts w:ascii="宋体" w:hAnsi="宋体" w:cs="宋体" w:eastAsia="宋体" w:hint="default"/>
                <w:sz w:val="18"/>
                <w:szCs w:val="18"/>
              </w:rPr>
              <w:t>现任高管，</w:t>
            </w:r>
            <w:r>
              <w:rPr>
                <w:rFonts w:ascii="宋体" w:hAnsi="宋体" w:cs="宋体" w:eastAsia="宋体" w:hint="default"/>
                <w:w w:val="101"/>
                <w:sz w:val="18"/>
                <w:szCs w:val="18"/>
              </w:rPr>
              <w:t> </w:t>
            </w:r>
            <w:r>
              <w:rPr>
                <w:rFonts w:ascii="宋体" w:hAnsi="宋体" w:cs="宋体" w:eastAsia="宋体" w:hint="default"/>
                <w:sz w:val="18"/>
                <w:szCs w:val="18"/>
              </w:rPr>
              <w:t>任职期间所</w:t>
            </w:r>
            <w:r>
              <w:rPr>
                <w:rFonts w:ascii="宋体" w:hAnsi="宋体" w:cs="宋体" w:eastAsia="宋体" w:hint="default"/>
                <w:w w:val="101"/>
                <w:sz w:val="18"/>
                <w:szCs w:val="18"/>
              </w:rPr>
              <w:t> </w:t>
            </w:r>
            <w:r>
              <w:rPr>
                <w:rFonts w:ascii="宋体" w:hAnsi="宋体" w:cs="宋体" w:eastAsia="宋体" w:hint="default"/>
                <w:sz w:val="18"/>
                <w:szCs w:val="18"/>
              </w:rPr>
              <w:t>持股份</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75%</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9" w:lineRule="auto"/>
              <w:ind w:left="105" w:right="167"/>
              <w:jc w:val="both"/>
              <w:rPr>
                <w:rFonts w:ascii="宋体" w:hAnsi="宋体" w:cs="宋体" w:eastAsia="宋体" w:hint="default"/>
                <w:sz w:val="18"/>
                <w:szCs w:val="18"/>
              </w:rPr>
            </w:pPr>
            <w:r>
              <w:rPr>
                <w:rFonts w:ascii="宋体" w:hAnsi="宋体" w:cs="宋体" w:eastAsia="宋体" w:hint="default"/>
                <w:sz w:val="18"/>
                <w:szCs w:val="18"/>
              </w:rPr>
              <w:t>高管限售股</w:t>
            </w:r>
            <w:r>
              <w:rPr>
                <w:rFonts w:ascii="宋体" w:hAnsi="宋体" w:cs="宋体" w:eastAsia="宋体" w:hint="default"/>
                <w:w w:val="101"/>
                <w:sz w:val="18"/>
                <w:szCs w:val="18"/>
              </w:rPr>
              <w:t> </w:t>
            </w:r>
            <w:r>
              <w:rPr>
                <w:rFonts w:ascii="宋体" w:hAnsi="宋体" w:cs="宋体" w:eastAsia="宋体" w:hint="default"/>
                <w:sz w:val="18"/>
                <w:szCs w:val="18"/>
              </w:rPr>
              <w:t>每年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w:t>
            </w:r>
            <w:r>
              <w:rPr>
                <w:rFonts w:ascii="宋体" w:hAnsi="宋体" w:cs="宋体" w:eastAsia="宋体" w:hint="default"/>
                <w:w w:val="101"/>
                <w:sz w:val="18"/>
                <w:szCs w:val="18"/>
              </w:rPr>
              <w:t> </w:t>
            </w:r>
            <w:r>
              <w:rPr>
                <w:rFonts w:ascii="宋体" w:hAnsi="宋体" w:cs="宋体" w:eastAsia="宋体" w:hint="default"/>
                <w:sz w:val="18"/>
                <w:szCs w:val="18"/>
              </w:rPr>
              <w:t>定</w:t>
            </w:r>
          </w:p>
        </w:tc>
      </w:tr>
      <w:tr>
        <w:trPr>
          <w:trHeight w:val="1340"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钱文胜</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52,500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31,562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84,062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05" w:right="168"/>
              <w:jc w:val="both"/>
              <w:rPr>
                <w:rFonts w:ascii="宋体" w:hAnsi="宋体" w:cs="宋体" w:eastAsia="宋体" w:hint="default"/>
                <w:sz w:val="18"/>
                <w:szCs w:val="18"/>
              </w:rPr>
            </w:pPr>
            <w:r>
              <w:rPr>
                <w:rFonts w:ascii="宋体" w:hAnsi="宋体" w:cs="宋体" w:eastAsia="宋体" w:hint="default"/>
                <w:sz w:val="18"/>
                <w:szCs w:val="18"/>
              </w:rPr>
              <w:t>现任高管，</w:t>
            </w:r>
            <w:r>
              <w:rPr>
                <w:rFonts w:ascii="宋体" w:hAnsi="宋体" w:cs="宋体" w:eastAsia="宋体" w:hint="default"/>
                <w:w w:val="101"/>
                <w:sz w:val="18"/>
                <w:szCs w:val="18"/>
              </w:rPr>
              <w:t> </w:t>
            </w:r>
            <w:r>
              <w:rPr>
                <w:rFonts w:ascii="宋体" w:hAnsi="宋体" w:cs="宋体" w:eastAsia="宋体" w:hint="default"/>
                <w:sz w:val="18"/>
                <w:szCs w:val="18"/>
              </w:rPr>
              <w:t>任职期间所</w:t>
            </w:r>
            <w:r>
              <w:rPr>
                <w:rFonts w:ascii="宋体" w:hAnsi="宋体" w:cs="宋体" w:eastAsia="宋体" w:hint="default"/>
                <w:w w:val="101"/>
                <w:sz w:val="18"/>
                <w:szCs w:val="18"/>
              </w:rPr>
              <w:t> </w:t>
            </w:r>
            <w:r>
              <w:rPr>
                <w:rFonts w:ascii="宋体" w:hAnsi="宋体" w:cs="宋体" w:eastAsia="宋体" w:hint="default"/>
                <w:sz w:val="18"/>
                <w:szCs w:val="18"/>
              </w:rPr>
              <w:t>持股份</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75%</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105" w:right="167"/>
              <w:jc w:val="both"/>
              <w:rPr>
                <w:rFonts w:ascii="宋体" w:hAnsi="宋体" w:cs="宋体" w:eastAsia="宋体" w:hint="default"/>
                <w:sz w:val="18"/>
                <w:szCs w:val="18"/>
              </w:rPr>
            </w:pPr>
            <w:r>
              <w:rPr>
                <w:rFonts w:ascii="宋体" w:hAnsi="宋体" w:cs="宋体" w:eastAsia="宋体" w:hint="default"/>
                <w:sz w:val="18"/>
                <w:szCs w:val="18"/>
              </w:rPr>
              <w:t>高管限售股</w:t>
            </w:r>
            <w:r>
              <w:rPr>
                <w:rFonts w:ascii="宋体" w:hAnsi="宋体" w:cs="宋体" w:eastAsia="宋体" w:hint="default"/>
                <w:w w:val="101"/>
                <w:sz w:val="18"/>
                <w:szCs w:val="18"/>
              </w:rPr>
              <w:t> </w:t>
            </w:r>
            <w:r>
              <w:rPr>
                <w:rFonts w:ascii="宋体" w:hAnsi="宋体" w:cs="宋体" w:eastAsia="宋体" w:hint="default"/>
                <w:sz w:val="18"/>
                <w:szCs w:val="18"/>
              </w:rPr>
              <w:t>每年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w:t>
            </w:r>
            <w:r>
              <w:rPr>
                <w:rFonts w:ascii="宋体" w:hAnsi="宋体" w:cs="宋体" w:eastAsia="宋体" w:hint="default"/>
                <w:w w:val="101"/>
                <w:sz w:val="18"/>
                <w:szCs w:val="18"/>
              </w:rPr>
              <w:t> </w:t>
            </w:r>
            <w:r>
              <w:rPr>
                <w:rFonts w:ascii="宋体" w:hAnsi="宋体" w:cs="宋体" w:eastAsia="宋体" w:hint="default"/>
                <w:sz w:val="18"/>
                <w:szCs w:val="18"/>
              </w:rPr>
              <w:t>定</w:t>
            </w:r>
          </w:p>
        </w:tc>
      </w:tr>
      <w:tr>
        <w:trPr>
          <w:trHeight w:val="1335"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杨文庆</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6,705,000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4,030,974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10,735,974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05" w:right="168"/>
              <w:jc w:val="both"/>
              <w:rPr>
                <w:rFonts w:ascii="宋体" w:hAnsi="宋体" w:cs="宋体" w:eastAsia="宋体" w:hint="default"/>
                <w:sz w:val="18"/>
                <w:szCs w:val="18"/>
              </w:rPr>
            </w:pPr>
            <w:r>
              <w:rPr>
                <w:rFonts w:ascii="宋体" w:hAnsi="宋体" w:cs="宋体" w:eastAsia="宋体" w:hint="default"/>
                <w:sz w:val="18"/>
                <w:szCs w:val="18"/>
              </w:rPr>
              <w:t>现任监事，</w:t>
            </w:r>
            <w:r>
              <w:rPr>
                <w:rFonts w:ascii="宋体" w:hAnsi="宋体" w:cs="宋体" w:eastAsia="宋体" w:hint="default"/>
                <w:w w:val="101"/>
                <w:sz w:val="18"/>
                <w:szCs w:val="18"/>
              </w:rPr>
              <w:t> </w:t>
            </w:r>
            <w:r>
              <w:rPr>
                <w:rFonts w:ascii="宋体" w:hAnsi="宋体" w:cs="宋体" w:eastAsia="宋体" w:hint="default"/>
                <w:sz w:val="18"/>
                <w:szCs w:val="18"/>
              </w:rPr>
              <w:t>任职期间所</w:t>
            </w:r>
            <w:r>
              <w:rPr>
                <w:rFonts w:ascii="宋体" w:hAnsi="宋体" w:cs="宋体" w:eastAsia="宋体" w:hint="default"/>
                <w:w w:val="101"/>
                <w:sz w:val="18"/>
                <w:szCs w:val="18"/>
              </w:rPr>
              <w:t> </w:t>
            </w:r>
            <w:r>
              <w:rPr>
                <w:rFonts w:ascii="宋体" w:hAnsi="宋体" w:cs="宋体" w:eastAsia="宋体" w:hint="default"/>
                <w:sz w:val="18"/>
                <w:szCs w:val="18"/>
              </w:rPr>
              <w:t>持股份</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75%</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限售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105" w:right="167"/>
              <w:jc w:val="both"/>
              <w:rPr>
                <w:rFonts w:ascii="宋体" w:hAnsi="宋体" w:cs="宋体" w:eastAsia="宋体" w:hint="default"/>
                <w:sz w:val="18"/>
                <w:szCs w:val="18"/>
              </w:rPr>
            </w:pPr>
            <w:r>
              <w:rPr>
                <w:rFonts w:ascii="宋体" w:hAnsi="宋体" w:cs="宋体" w:eastAsia="宋体" w:hint="default"/>
                <w:sz w:val="18"/>
                <w:szCs w:val="18"/>
              </w:rPr>
              <w:t>高管限售股</w:t>
            </w:r>
            <w:r>
              <w:rPr>
                <w:rFonts w:ascii="宋体" w:hAnsi="宋体" w:cs="宋体" w:eastAsia="宋体" w:hint="default"/>
                <w:w w:val="101"/>
                <w:sz w:val="18"/>
                <w:szCs w:val="18"/>
              </w:rPr>
              <w:t> </w:t>
            </w:r>
            <w:r>
              <w:rPr>
                <w:rFonts w:ascii="宋体" w:hAnsi="宋体" w:cs="宋体" w:eastAsia="宋体" w:hint="default"/>
                <w:sz w:val="18"/>
                <w:szCs w:val="18"/>
              </w:rPr>
              <w:t>每年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w:t>
            </w:r>
            <w:r>
              <w:rPr>
                <w:rFonts w:ascii="宋体" w:hAnsi="宋体" w:cs="宋体" w:eastAsia="宋体" w:hint="default"/>
                <w:w w:val="101"/>
                <w:sz w:val="18"/>
                <w:szCs w:val="18"/>
              </w:rPr>
              <w:t> </w:t>
            </w:r>
            <w:r>
              <w:rPr>
                <w:rFonts w:ascii="宋体" w:hAnsi="宋体" w:cs="宋体" w:eastAsia="宋体" w:hint="default"/>
                <w:sz w:val="18"/>
                <w:szCs w:val="18"/>
              </w:rPr>
              <w:t>定</w:t>
            </w:r>
          </w:p>
        </w:tc>
      </w:tr>
      <w:tr>
        <w:trPr>
          <w:trHeight w:val="1652"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张媛</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155,593</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176,587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332,180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因离任监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事，其持有</w:t>
            </w:r>
            <w:r>
              <w:rPr>
                <w:rFonts w:ascii="宋体" w:hAnsi="宋体" w:cs="宋体" w:eastAsia="宋体" w:hint="default"/>
                <w:w w:val="101"/>
                <w:sz w:val="18"/>
                <w:szCs w:val="18"/>
              </w:rPr>
              <w:t> </w:t>
            </w:r>
            <w:r>
              <w:rPr>
                <w:rFonts w:ascii="宋体" w:hAnsi="宋体" w:cs="宋体" w:eastAsia="宋体" w:hint="default"/>
                <w:sz w:val="18"/>
                <w:szCs w:val="18"/>
              </w:rPr>
              <w:t>股份于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2010</w:t>
            </w:r>
          </w:p>
          <w:p>
            <w:pPr>
              <w:pStyle w:val="TableParagraph"/>
              <w:spacing w:line="249" w:lineRule="exact"/>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日解除锁定</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2" w:lineRule="auto"/>
              <w:ind w:left="105"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全部股份已</w:t>
            </w:r>
            <w:r>
              <w:rPr>
                <w:rFonts w:ascii="宋体" w:hAnsi="宋体" w:cs="宋体" w:eastAsia="宋体" w:hint="default"/>
                <w:w w:val="101"/>
                <w:sz w:val="18"/>
                <w:szCs w:val="18"/>
              </w:rPr>
              <w:t> </w:t>
            </w:r>
            <w:r>
              <w:rPr>
                <w:rFonts w:ascii="宋体" w:hAnsi="宋体" w:cs="宋体" w:eastAsia="宋体" w:hint="default"/>
                <w:sz w:val="18"/>
                <w:szCs w:val="18"/>
              </w:rPr>
              <w:t>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p>
          <w:p>
            <w:pPr>
              <w:pStyle w:val="TableParagraph"/>
              <w:spacing w:line="304" w:lineRule="auto" w:before="3"/>
              <w:ind w:left="105" w:right="9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w:t>
            </w:r>
            <w:r>
              <w:rPr>
                <w:rFonts w:ascii="宋体" w:hAnsi="宋体" w:cs="宋体" w:eastAsia="宋体" w:hint="default"/>
                <w:w w:val="101"/>
                <w:sz w:val="18"/>
                <w:szCs w:val="18"/>
              </w:rPr>
              <w:t> </w:t>
            </w:r>
            <w:r>
              <w:rPr>
                <w:rFonts w:ascii="宋体" w:hAnsi="宋体" w:cs="宋体" w:eastAsia="宋体" w:hint="default"/>
                <w:sz w:val="18"/>
                <w:szCs w:val="18"/>
              </w:rPr>
              <w:t>限售</w:t>
            </w:r>
          </w:p>
        </w:tc>
      </w:tr>
      <w:tr>
        <w:trPr>
          <w:trHeight w:val="715"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85"/>
              <w:jc w:val="left"/>
              <w:rPr>
                <w:rFonts w:ascii="宋体" w:hAnsi="宋体" w:cs="宋体" w:eastAsia="宋体" w:hint="default"/>
                <w:sz w:val="18"/>
                <w:szCs w:val="18"/>
              </w:rPr>
            </w:pPr>
            <w:r>
              <w:rPr>
                <w:rFonts w:ascii="宋体" w:hAnsi="宋体" w:cs="宋体" w:eastAsia="宋体" w:hint="default"/>
                <w:spacing w:val="-2"/>
                <w:sz w:val="18"/>
                <w:szCs w:val="18"/>
              </w:rPr>
              <w:t>限制性股票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激励份数</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3,614,408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2,172,943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5,787,351</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79"/>
              <w:jc w:val="center"/>
              <w:rPr>
                <w:rFonts w:ascii="宋体" w:hAnsi="宋体" w:cs="宋体" w:eastAsia="宋体" w:hint="default"/>
                <w:sz w:val="18"/>
                <w:szCs w:val="18"/>
              </w:rPr>
            </w:pPr>
            <w:r>
              <w:rPr>
                <w:rFonts w:ascii="宋体" w:hAnsi="宋体" w:cs="宋体" w:eastAsia="宋体" w:hint="default"/>
                <w:sz w:val="18"/>
                <w:szCs w:val="18"/>
              </w:rPr>
              <w:t>限制性股票</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1028"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85"/>
              <w:jc w:val="both"/>
              <w:rPr>
                <w:rFonts w:ascii="宋体" w:hAnsi="宋体" w:cs="宋体" w:eastAsia="宋体" w:hint="default"/>
                <w:sz w:val="18"/>
                <w:szCs w:val="18"/>
              </w:rPr>
            </w:pPr>
            <w:r>
              <w:rPr>
                <w:rFonts w:ascii="宋体" w:hAnsi="宋体" w:cs="宋体" w:eastAsia="宋体" w:hint="default"/>
                <w:spacing w:val="-2"/>
                <w:sz w:val="18"/>
                <w:szCs w:val="18"/>
              </w:rPr>
              <w:t>回购注销限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制性股票股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份</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730,672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730,672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79"/>
              <w:jc w:val="center"/>
              <w:rPr>
                <w:rFonts w:ascii="宋体" w:hAnsi="宋体" w:cs="宋体" w:eastAsia="宋体" w:hint="default"/>
                <w:sz w:val="18"/>
                <w:szCs w:val="18"/>
              </w:rPr>
            </w:pPr>
            <w:r>
              <w:rPr>
                <w:rFonts w:ascii="宋体" w:hAnsi="宋体" w:cs="宋体" w:eastAsia="宋体" w:hint="default"/>
                <w:sz w:val="18"/>
                <w:szCs w:val="18"/>
              </w:rPr>
              <w:t>已回购注销</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4" w:lineRule="auto" w:before="58"/>
              <w:ind w:left="105"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日回购注</w:t>
            </w:r>
            <w:r>
              <w:rPr>
                <w:rFonts w:ascii="宋体" w:hAnsi="宋体" w:cs="宋体" w:eastAsia="宋体" w:hint="default"/>
                <w:w w:val="101"/>
                <w:sz w:val="18"/>
                <w:szCs w:val="18"/>
              </w:rPr>
              <w:t> </w:t>
            </w:r>
            <w:r>
              <w:rPr>
                <w:rFonts w:ascii="宋体" w:hAnsi="宋体" w:cs="宋体" w:eastAsia="宋体" w:hint="default"/>
                <w:sz w:val="18"/>
                <w:szCs w:val="18"/>
              </w:rPr>
              <w:t>销完毕</w:t>
            </w:r>
          </w:p>
        </w:tc>
      </w:tr>
      <w:tr>
        <w:trPr>
          <w:trHeight w:val="710"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85"/>
              <w:jc w:val="left"/>
              <w:rPr>
                <w:rFonts w:ascii="宋体" w:hAnsi="宋体" w:cs="宋体" w:eastAsia="宋体" w:hint="default"/>
                <w:sz w:val="18"/>
                <w:szCs w:val="18"/>
              </w:rPr>
            </w:pPr>
            <w:r>
              <w:rPr>
                <w:rFonts w:ascii="宋体" w:hAnsi="宋体" w:cs="宋体" w:eastAsia="宋体" w:hint="default"/>
                <w:spacing w:val="-2"/>
                <w:sz w:val="18"/>
                <w:szCs w:val="18"/>
              </w:rPr>
              <w:t>其他非公开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发行股份</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9,854,841</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5,924,624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8,758,948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7,020,517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85"/>
              <w:jc w:val="left"/>
              <w:rPr>
                <w:rFonts w:ascii="宋体" w:hAnsi="宋体" w:cs="宋体" w:eastAsia="宋体" w:hint="default"/>
                <w:sz w:val="18"/>
                <w:szCs w:val="18"/>
              </w:rPr>
            </w:pPr>
            <w:r>
              <w:rPr>
                <w:rFonts w:ascii="宋体" w:hAnsi="宋体" w:cs="宋体" w:eastAsia="宋体" w:hint="default"/>
                <w:spacing w:val="-2"/>
                <w:sz w:val="18"/>
                <w:szCs w:val="18"/>
              </w:rPr>
              <w:t>首发后限售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85"/>
              <w:jc w:val="left"/>
              <w:rPr>
                <w:rFonts w:ascii="宋体" w:hAnsi="宋体" w:cs="宋体" w:eastAsia="宋体" w:hint="default"/>
                <w:sz w:val="18"/>
                <w:szCs w:val="18"/>
              </w:rPr>
            </w:pPr>
            <w:r>
              <w:rPr>
                <w:rFonts w:ascii="宋体" w:hAnsi="宋体" w:cs="宋体" w:eastAsia="宋体" w:hint="default"/>
                <w:spacing w:val="-2"/>
                <w:sz w:val="18"/>
                <w:szCs w:val="18"/>
              </w:rPr>
              <w:t>首发后限售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r>
      <w:tr>
        <w:trPr>
          <w:trHeight w:val="403" w:hRule="exact"/>
        </w:trPr>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99,845,704</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61,282,115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33,714,385</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127,413,434</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9"/>
        <w:rPr>
          <w:rFonts w:ascii="宋体" w:hAnsi="宋体" w:cs="宋体" w:eastAsia="宋体" w:hint="default"/>
          <w:sz w:val="17"/>
          <w:szCs w:val="17"/>
        </w:rPr>
      </w:pPr>
    </w:p>
    <w:p>
      <w:pPr>
        <w:pStyle w:val="Heading2"/>
        <w:spacing w:line="240" w:lineRule="auto" w:before="26"/>
        <w:ind w:right="1764"/>
        <w:jc w:val="left"/>
        <w:rPr>
          <w:b w:val="0"/>
          <w:bCs w:val="0"/>
        </w:rPr>
      </w:pPr>
      <w:bookmarkStart w:name="二、证券发行与上市情况" w:id="108"/>
      <w:bookmarkEnd w:id="108"/>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764"/>
        <w:jc w:val="left"/>
        <w:rPr>
          <w:b w:val="0"/>
          <w:bCs w:val="0"/>
        </w:rPr>
      </w:pPr>
      <w:bookmarkStart w:name="1、报告期内证券发行（不含优先股）情况" w:id="109"/>
      <w:bookmarkEnd w:id="109"/>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1"/>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3"/>
        <w:spacing w:line="240" w:lineRule="auto" w:before="36"/>
        <w:ind w:right="1764"/>
        <w:jc w:val="left"/>
        <w:rPr>
          <w:b w:val="0"/>
          <w:bCs w:val="0"/>
        </w:rPr>
      </w:pPr>
      <w:bookmarkStart w:name="2、公司股份总数及股东结构的变动、公司资产和负债结构的变动情况说明" w:id="110"/>
      <w:bookmarkEnd w:id="110"/>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316" w:lineRule="auto" w:before="110"/>
        <w:ind w:left="535" w:right="1007"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）限制性股票回购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报告期内，公司注销已获授但尚未解锁的限制性股票共</w:t>
      </w:r>
      <w:r>
        <w:rPr>
          <w:rFonts w:ascii="宋体" w:hAnsi="宋体" w:cs="宋体" w:eastAsia="宋体" w:hint="default"/>
          <w:spacing w:val="-2"/>
          <w:sz w:val="18"/>
          <w:szCs w:val="18"/>
        </w:rPr>
        <w:t>789,472</w:t>
      </w:r>
      <w:r>
        <w:rPr>
          <w:rFonts w:ascii="宋体" w:hAnsi="宋体" w:cs="宋体" w:eastAsia="宋体" w:hint="default"/>
          <w:spacing w:val="-2"/>
          <w:sz w:val="18"/>
          <w:szCs w:val="18"/>
        </w:rPr>
        <w:t>股，回购价格为每股</w:t>
      </w:r>
      <w:r>
        <w:rPr>
          <w:rFonts w:ascii="宋体" w:hAnsi="宋体" w:cs="宋体" w:eastAsia="宋体" w:hint="default"/>
          <w:spacing w:val="-2"/>
          <w:sz w:val="18"/>
          <w:szCs w:val="18"/>
        </w:rPr>
        <w:t>8.5849129</w:t>
      </w:r>
      <w:r>
        <w:rPr>
          <w:rFonts w:ascii="宋体" w:hAnsi="宋体" w:cs="宋体" w:eastAsia="宋体" w:hint="default"/>
          <w:spacing w:val="-2"/>
          <w:sz w:val="18"/>
          <w:szCs w:val="18"/>
        </w:rPr>
        <w:t>元。回购注销完成后，</w:t>
      </w:r>
    </w:p>
    <w:p>
      <w:pPr>
        <w:spacing w:before="19"/>
        <w:ind w:left="113" w:right="1764" w:firstLine="0"/>
        <w:jc w:val="left"/>
        <w:rPr>
          <w:rFonts w:ascii="宋体" w:hAnsi="宋体" w:cs="宋体" w:eastAsia="宋体" w:hint="default"/>
          <w:sz w:val="18"/>
          <w:szCs w:val="18"/>
        </w:rPr>
      </w:pPr>
      <w:r>
        <w:rPr>
          <w:rFonts w:ascii="宋体" w:hAnsi="宋体" w:cs="宋体" w:eastAsia="宋体" w:hint="default"/>
          <w:sz w:val="18"/>
          <w:szCs w:val="18"/>
        </w:rPr>
        <w:t>公司股份总数由</w:t>
      </w:r>
      <w:r>
        <w:rPr>
          <w:rFonts w:ascii="宋体" w:hAnsi="宋体" w:cs="宋体" w:eastAsia="宋体" w:hint="default"/>
          <w:sz w:val="18"/>
          <w:szCs w:val="18"/>
        </w:rPr>
        <w:t>399,083,860</w:t>
      </w:r>
      <w:r>
        <w:rPr>
          <w:rFonts w:ascii="宋体" w:hAnsi="宋体" w:cs="宋体" w:eastAsia="宋体" w:hint="default"/>
          <w:sz w:val="18"/>
          <w:szCs w:val="18"/>
        </w:rPr>
        <w:t>股变更为</w:t>
      </w:r>
      <w:r>
        <w:rPr>
          <w:rFonts w:ascii="宋体" w:hAnsi="宋体" w:cs="宋体" w:eastAsia="宋体" w:hint="default"/>
          <w:sz w:val="18"/>
          <w:szCs w:val="18"/>
        </w:rPr>
        <w:t>398,294,388</w:t>
      </w:r>
      <w:r>
        <w:rPr>
          <w:rFonts w:ascii="宋体" w:hAnsi="宋体" w:cs="宋体" w:eastAsia="宋体" w:hint="default"/>
          <w:sz w:val="18"/>
          <w:szCs w:val="18"/>
        </w:rPr>
        <w:t>股。</w:t>
      </w:r>
    </w:p>
    <w:p>
      <w:pPr>
        <w:spacing w:line="316" w:lineRule="auto" w:before="76"/>
        <w:ind w:left="535" w:right="1007"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）公积金转股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w w:val="101"/>
          <w:sz w:val="18"/>
          <w:szCs w:val="18"/>
        </w:rPr>
        <w:t>2018</w:t>
      </w:r>
      <w:r>
        <w:rPr>
          <w:rFonts w:ascii="宋体" w:hAnsi="宋体" w:cs="宋体" w:eastAsia="宋体" w:hint="default"/>
          <w:spacing w:val="-6"/>
          <w:w w:val="101"/>
          <w:sz w:val="18"/>
          <w:szCs w:val="18"/>
        </w:rPr>
        <w:t>年度权益分派方案为：以公司总股本</w:t>
      </w:r>
      <w:r>
        <w:rPr>
          <w:rFonts w:ascii="宋体" w:hAnsi="宋体" w:cs="宋体" w:eastAsia="宋体" w:hint="default"/>
          <w:spacing w:val="-6"/>
          <w:w w:val="101"/>
          <w:sz w:val="18"/>
          <w:szCs w:val="18"/>
        </w:rPr>
        <w:t>398,294,388</w:t>
      </w:r>
      <w:r>
        <w:rPr>
          <w:rFonts w:ascii="宋体" w:hAnsi="宋体" w:cs="宋体" w:eastAsia="宋体" w:hint="default"/>
          <w:spacing w:val="-6"/>
          <w:w w:val="101"/>
          <w:sz w:val="18"/>
          <w:szCs w:val="18"/>
        </w:rPr>
        <w:t>股为基数，向全体股东每</w:t>
      </w:r>
      <w:r>
        <w:rPr>
          <w:rFonts w:ascii="宋体" w:hAnsi="宋体" w:cs="宋体" w:eastAsia="宋体" w:hint="default"/>
          <w:spacing w:val="-6"/>
          <w:w w:val="101"/>
          <w:sz w:val="18"/>
          <w:szCs w:val="18"/>
        </w:rPr>
        <w:t>10</w:t>
      </w:r>
      <w:r>
        <w:rPr>
          <w:rFonts w:ascii="宋体" w:hAnsi="宋体" w:cs="宋体" w:eastAsia="宋体" w:hint="default"/>
          <w:spacing w:val="-6"/>
          <w:w w:val="101"/>
          <w:sz w:val="18"/>
          <w:szCs w:val="18"/>
        </w:rPr>
        <w:t>股派发现金股利</w:t>
      </w:r>
      <w:r>
        <w:rPr>
          <w:rFonts w:ascii="宋体" w:hAnsi="宋体" w:cs="宋体" w:eastAsia="宋体" w:hint="default"/>
          <w:spacing w:val="-6"/>
          <w:w w:val="101"/>
          <w:sz w:val="18"/>
          <w:szCs w:val="18"/>
        </w:rPr>
        <w:t>0.601189</w:t>
      </w:r>
      <w:r>
        <w:rPr>
          <w:rFonts w:ascii="宋体" w:hAnsi="宋体" w:cs="宋体" w:eastAsia="宋体" w:hint="default"/>
          <w:spacing w:val="-6"/>
          <w:w w:val="101"/>
          <w:sz w:val="18"/>
          <w:szCs w:val="18"/>
        </w:rPr>
        <w:t>元人民币（含</w:t>
      </w:r>
      <w:r>
        <w:rPr>
          <w:rFonts w:ascii="宋体" w:hAnsi="宋体" w:cs="宋体" w:eastAsia="宋体" w:hint="default"/>
          <w:spacing w:val="-6"/>
          <w:sz w:val="18"/>
          <w:szCs w:val="18"/>
        </w:rPr>
      </w:r>
    </w:p>
    <w:p>
      <w:pPr>
        <w:spacing w:line="319" w:lineRule="auto" w:before="19"/>
        <w:ind w:left="113" w:right="1007" w:firstLine="0"/>
        <w:jc w:val="left"/>
        <w:rPr>
          <w:rFonts w:ascii="宋体" w:hAnsi="宋体" w:cs="宋体" w:eastAsia="宋体" w:hint="default"/>
          <w:sz w:val="18"/>
          <w:szCs w:val="18"/>
        </w:rPr>
      </w:pPr>
      <w:r>
        <w:rPr>
          <w:rFonts w:ascii="宋体" w:hAnsi="宋体" w:cs="宋体" w:eastAsia="宋体" w:hint="default"/>
          <w:spacing w:val="-5"/>
          <w:w w:val="101"/>
          <w:sz w:val="18"/>
          <w:szCs w:val="18"/>
        </w:rPr>
        <w:t>税），以资本公积金向全体股东每</w:t>
      </w:r>
      <w:r>
        <w:rPr>
          <w:rFonts w:ascii="宋体" w:hAnsi="宋体" w:cs="宋体" w:eastAsia="宋体" w:hint="default"/>
          <w:spacing w:val="-5"/>
          <w:w w:val="101"/>
          <w:sz w:val="18"/>
          <w:szCs w:val="18"/>
        </w:rPr>
        <w:t>10</w:t>
      </w:r>
      <w:r>
        <w:rPr>
          <w:rFonts w:ascii="宋体" w:hAnsi="宋体" w:cs="宋体" w:eastAsia="宋体" w:hint="default"/>
          <w:spacing w:val="-5"/>
          <w:w w:val="101"/>
          <w:sz w:val="18"/>
          <w:szCs w:val="18"/>
        </w:rPr>
        <w:t>股转增</w:t>
      </w:r>
      <w:r>
        <w:rPr>
          <w:rFonts w:ascii="宋体" w:hAnsi="宋体" w:cs="宋体" w:eastAsia="宋体" w:hint="default"/>
          <w:spacing w:val="-5"/>
          <w:w w:val="101"/>
          <w:sz w:val="18"/>
          <w:szCs w:val="18"/>
        </w:rPr>
        <w:t>6.011892</w:t>
      </w:r>
      <w:r>
        <w:rPr>
          <w:rFonts w:ascii="宋体" w:hAnsi="宋体" w:cs="宋体" w:eastAsia="宋体" w:hint="default"/>
          <w:spacing w:val="-5"/>
          <w:w w:val="101"/>
          <w:sz w:val="18"/>
          <w:szCs w:val="18"/>
        </w:rPr>
        <w:t>股。</w:t>
      </w:r>
      <w:r>
        <w:rPr>
          <w:rFonts w:ascii="宋体" w:hAnsi="宋体" w:cs="宋体" w:eastAsia="宋体" w:hint="default"/>
          <w:spacing w:val="-5"/>
          <w:w w:val="101"/>
          <w:sz w:val="18"/>
          <w:szCs w:val="18"/>
        </w:rPr>
        <w:t>2019</w:t>
      </w:r>
      <w:r>
        <w:rPr>
          <w:rFonts w:ascii="宋体" w:hAnsi="宋体" w:cs="宋体" w:eastAsia="宋体" w:hint="default"/>
          <w:spacing w:val="-5"/>
          <w:w w:val="101"/>
          <w:sz w:val="18"/>
          <w:szCs w:val="18"/>
        </w:rPr>
        <w:t>年</w:t>
      </w:r>
      <w:r>
        <w:rPr>
          <w:rFonts w:ascii="宋体" w:hAnsi="宋体" w:cs="宋体" w:eastAsia="宋体" w:hint="default"/>
          <w:spacing w:val="-5"/>
          <w:w w:val="101"/>
          <w:sz w:val="18"/>
          <w:szCs w:val="18"/>
        </w:rPr>
        <w:t>6</w:t>
      </w:r>
      <w:r>
        <w:rPr>
          <w:rFonts w:ascii="宋体" w:hAnsi="宋体" w:cs="宋体" w:eastAsia="宋体" w:hint="default"/>
          <w:spacing w:val="-5"/>
          <w:w w:val="101"/>
          <w:sz w:val="18"/>
          <w:szCs w:val="18"/>
        </w:rPr>
        <w:t>月</w:t>
      </w:r>
      <w:r>
        <w:rPr>
          <w:rFonts w:ascii="宋体" w:hAnsi="宋体" w:cs="宋体" w:eastAsia="宋体" w:hint="default"/>
          <w:spacing w:val="-5"/>
          <w:w w:val="101"/>
          <w:sz w:val="18"/>
          <w:szCs w:val="18"/>
        </w:rPr>
        <w:t>5</w:t>
      </w:r>
      <w:r>
        <w:rPr>
          <w:rFonts w:ascii="宋体" w:hAnsi="宋体" w:cs="宋体" w:eastAsia="宋体" w:hint="default"/>
          <w:spacing w:val="-5"/>
          <w:w w:val="101"/>
          <w:sz w:val="18"/>
          <w:szCs w:val="18"/>
        </w:rPr>
        <w:t>日，权益分派实施完毕，公司总股本从</w:t>
      </w:r>
      <w:r>
        <w:rPr>
          <w:rFonts w:ascii="宋体" w:hAnsi="宋体" w:cs="宋体" w:eastAsia="宋体" w:hint="default"/>
          <w:spacing w:val="-5"/>
          <w:w w:val="101"/>
          <w:sz w:val="18"/>
          <w:szCs w:val="18"/>
        </w:rPr>
        <w:t>398,294,388</w:t>
      </w:r>
      <w:r>
        <w:rPr>
          <w:rFonts w:ascii="宋体" w:hAnsi="宋体" w:cs="宋体" w:eastAsia="宋体" w:hint="default"/>
          <w:spacing w:val="-5"/>
          <w:w w:val="101"/>
          <w:sz w:val="18"/>
          <w:szCs w:val="18"/>
        </w:rPr>
        <w:t>股增</w:t>
      </w:r>
      <w:r>
        <w:rPr>
          <w:rFonts w:ascii="宋体" w:hAnsi="宋体" w:cs="宋体" w:eastAsia="宋体" w:hint="default"/>
          <w:spacing w:val="-64"/>
          <w:w w:val="101"/>
          <w:sz w:val="18"/>
          <w:szCs w:val="18"/>
        </w:rPr>
        <w:t> </w:t>
      </w:r>
      <w:r>
        <w:rPr>
          <w:rFonts w:ascii="宋体" w:hAnsi="宋体" w:cs="宋体" w:eastAsia="宋体" w:hint="default"/>
          <w:sz w:val="18"/>
          <w:szCs w:val="18"/>
        </w:rPr>
        <w:t>至</w:t>
      </w:r>
      <w:r>
        <w:rPr>
          <w:rFonts w:ascii="宋体" w:hAnsi="宋体" w:cs="宋体" w:eastAsia="宋体" w:hint="default"/>
          <w:sz w:val="18"/>
          <w:szCs w:val="18"/>
        </w:rPr>
        <w:t>637,744,672</w:t>
      </w:r>
      <w:r>
        <w:rPr>
          <w:rFonts w:ascii="宋体" w:hAnsi="宋体" w:cs="宋体" w:eastAsia="宋体" w:hint="default"/>
          <w:sz w:val="18"/>
          <w:szCs w:val="18"/>
        </w:rPr>
        <w:t>股。</w:t>
      </w:r>
    </w:p>
    <w:p>
      <w:pPr>
        <w:spacing w:line="357" w:lineRule="auto" w:before="60"/>
        <w:ind w:left="386" w:right="1007" w:firstLine="86"/>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）非公开发行</w:t>
      </w:r>
      <w:r>
        <w:rPr>
          <w:rFonts w:ascii="宋体" w:hAnsi="宋体" w:cs="宋体" w:eastAsia="宋体" w:hint="default"/>
          <w:w w:val="101"/>
          <w:sz w:val="18"/>
          <w:szCs w:val="18"/>
        </w:rPr>
        <w:t> </w:t>
      </w:r>
      <w:r>
        <w:rPr>
          <w:rFonts w:ascii="宋体" w:hAnsi="宋体" w:cs="宋体" w:eastAsia="宋体" w:hint="default"/>
          <w:spacing w:val="-4"/>
          <w:sz w:val="18"/>
          <w:szCs w:val="18"/>
        </w:rPr>
        <w:t>陈友先生于</w:t>
      </w:r>
      <w:r>
        <w:rPr>
          <w:rFonts w:ascii="宋体" w:hAnsi="宋体" w:cs="宋体" w:eastAsia="宋体" w:hint="default"/>
          <w:spacing w:val="-4"/>
          <w:sz w:val="18"/>
          <w:szCs w:val="18"/>
        </w:rPr>
        <w:t>2016</w:t>
      </w:r>
      <w:r>
        <w:rPr>
          <w:rFonts w:ascii="宋体" w:hAnsi="宋体" w:cs="宋体" w:eastAsia="宋体" w:hint="default"/>
          <w:spacing w:val="-4"/>
          <w:sz w:val="18"/>
          <w:szCs w:val="18"/>
        </w:rPr>
        <w:t>年</w:t>
      </w:r>
      <w:r>
        <w:rPr>
          <w:rFonts w:ascii="宋体" w:hAnsi="宋体" w:cs="宋体" w:eastAsia="宋体" w:hint="default"/>
          <w:spacing w:val="-4"/>
          <w:sz w:val="18"/>
          <w:szCs w:val="18"/>
        </w:rPr>
        <w:t>8</w:t>
      </w:r>
      <w:r>
        <w:rPr>
          <w:rFonts w:ascii="宋体" w:hAnsi="宋体" w:cs="宋体" w:eastAsia="宋体" w:hint="default"/>
          <w:spacing w:val="-4"/>
          <w:sz w:val="18"/>
          <w:szCs w:val="18"/>
        </w:rPr>
        <w:t>月认购的公司非公开发行股份</w:t>
      </w:r>
      <w:r>
        <w:rPr>
          <w:rFonts w:ascii="宋体" w:hAnsi="宋体" w:cs="宋体" w:eastAsia="宋体" w:hint="default"/>
          <w:spacing w:val="-4"/>
          <w:sz w:val="18"/>
          <w:szCs w:val="18"/>
        </w:rPr>
        <w:t>3,873,219</w:t>
      </w:r>
      <w:r>
        <w:rPr>
          <w:rFonts w:ascii="宋体" w:hAnsi="宋体" w:cs="宋体" w:eastAsia="宋体" w:hint="default"/>
          <w:spacing w:val="-4"/>
          <w:sz w:val="18"/>
          <w:szCs w:val="18"/>
        </w:rPr>
        <w:t>股，于</w:t>
      </w:r>
      <w:r>
        <w:rPr>
          <w:rFonts w:ascii="宋体" w:hAnsi="宋体" w:cs="宋体" w:eastAsia="宋体" w:hint="default"/>
          <w:spacing w:val="-4"/>
          <w:sz w:val="18"/>
          <w:szCs w:val="18"/>
        </w:rPr>
        <w:t>2019</w:t>
      </w:r>
      <w:r>
        <w:rPr>
          <w:rFonts w:ascii="宋体" w:hAnsi="宋体" w:cs="宋体" w:eastAsia="宋体" w:hint="default"/>
          <w:spacing w:val="-4"/>
          <w:sz w:val="18"/>
          <w:szCs w:val="18"/>
        </w:rPr>
        <w:t>年</w:t>
      </w:r>
      <w:r>
        <w:rPr>
          <w:rFonts w:ascii="宋体" w:hAnsi="宋体" w:cs="宋体" w:eastAsia="宋体" w:hint="default"/>
          <w:spacing w:val="-4"/>
          <w:sz w:val="18"/>
          <w:szCs w:val="18"/>
        </w:rPr>
        <w:t>8</w:t>
      </w:r>
      <w:r>
        <w:rPr>
          <w:rFonts w:ascii="宋体" w:hAnsi="宋体" w:cs="宋体" w:eastAsia="宋体" w:hint="default"/>
          <w:spacing w:val="-4"/>
          <w:sz w:val="18"/>
          <w:szCs w:val="18"/>
        </w:rPr>
        <w:t>月</w:t>
      </w:r>
      <w:r>
        <w:rPr>
          <w:rFonts w:ascii="宋体" w:hAnsi="宋体" w:cs="宋体" w:eastAsia="宋体" w:hint="default"/>
          <w:spacing w:val="-4"/>
          <w:sz w:val="18"/>
          <w:szCs w:val="18"/>
        </w:rPr>
        <w:t>12</w:t>
      </w:r>
      <w:r>
        <w:rPr>
          <w:rFonts w:ascii="宋体" w:hAnsi="宋体" w:cs="宋体" w:eastAsia="宋体" w:hint="default"/>
          <w:spacing w:val="-4"/>
          <w:sz w:val="18"/>
          <w:szCs w:val="18"/>
        </w:rPr>
        <w:t>日上市流通。非公开发行限售股解除限售</w:t>
      </w:r>
    </w:p>
    <w:p>
      <w:pPr>
        <w:spacing w:line="229" w:lineRule="exact" w:before="0"/>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后，作为高管锁定股继续锁定。</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3、现存的内部职工股情况" w:id="111"/>
      <w:bookmarkEnd w:id="111"/>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1"/>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1764"/>
        <w:jc w:val="left"/>
        <w:rPr>
          <w:b w:val="0"/>
          <w:bCs w:val="0"/>
        </w:rPr>
      </w:pPr>
      <w:bookmarkStart w:name="三、股东和实际控制人情况" w:id="112"/>
      <w:bookmarkEnd w:id="112"/>
      <w:r>
        <w:rPr>
          <w:b w:val="0"/>
          <w:bCs w:val="0"/>
        </w:rPr>
      </w:r>
      <w:r>
        <w:rPr/>
        <w:t>三、股东和实际控制人情况</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1764"/>
        <w:jc w:val="left"/>
        <w:rPr>
          <w:b w:val="0"/>
          <w:bCs w:val="0"/>
        </w:rPr>
      </w:pPr>
      <w:bookmarkStart w:name="1、公司股东数量及持股情况" w:id="113"/>
      <w:bookmarkEnd w:id="113"/>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201"/>
        <w:gridCol w:w="1197"/>
        <w:gridCol w:w="931"/>
        <w:gridCol w:w="1066"/>
        <w:gridCol w:w="1061"/>
        <w:gridCol w:w="1066"/>
        <w:gridCol w:w="922"/>
        <w:gridCol w:w="1071"/>
        <w:gridCol w:w="1061"/>
      </w:tblGrid>
      <w:tr>
        <w:trPr>
          <w:trHeight w:val="2281"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5" w:right="180"/>
              <w:jc w:val="both"/>
              <w:rPr>
                <w:rFonts w:ascii="宋体" w:hAnsi="宋体" w:cs="宋体" w:eastAsia="宋体" w:hint="default"/>
                <w:sz w:val="18"/>
                <w:szCs w:val="18"/>
              </w:rPr>
            </w:pPr>
            <w:r>
              <w:rPr>
                <w:rFonts w:ascii="宋体" w:hAnsi="宋体" w:cs="宋体" w:eastAsia="宋体" w:hint="default"/>
                <w:spacing w:val="-2"/>
                <w:sz w:val="18"/>
                <w:szCs w:val="18"/>
              </w:rPr>
              <w:t>报告期末普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通股股东总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数</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90" w:right="0"/>
              <w:jc w:val="left"/>
              <w:rPr>
                <w:rFonts w:ascii="Times New Roman" w:hAnsi="Times New Roman" w:cs="Times New Roman" w:eastAsia="Times New Roman" w:hint="default"/>
                <w:sz w:val="18"/>
                <w:szCs w:val="18"/>
              </w:rPr>
            </w:pPr>
            <w:r>
              <w:rPr>
                <w:rFonts w:ascii="Times New Roman"/>
                <w:sz w:val="18"/>
              </w:rPr>
              <w:t>35,689</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4" w:right="272"/>
              <w:jc w:val="both"/>
              <w:rPr>
                <w:rFonts w:ascii="宋体" w:hAnsi="宋体" w:cs="宋体" w:eastAsia="宋体" w:hint="default"/>
                <w:sz w:val="18"/>
                <w:szCs w:val="18"/>
              </w:rPr>
            </w:pPr>
            <w:r>
              <w:rPr>
                <w:rFonts w:ascii="宋体" w:hAnsi="宋体" w:cs="宋体" w:eastAsia="宋体" w:hint="default"/>
                <w:sz w:val="18"/>
                <w:szCs w:val="18"/>
              </w:rPr>
              <w:t>年度报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告披露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日前上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一月末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普通股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37,328</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0" w:right="41"/>
              <w:jc w:val="left"/>
              <w:rPr>
                <w:rFonts w:ascii="宋体" w:hAnsi="宋体" w:cs="宋体" w:eastAsia="宋体" w:hint="default"/>
                <w:sz w:val="18"/>
                <w:szCs w:val="18"/>
              </w:rPr>
            </w:pPr>
            <w:r>
              <w:rPr>
                <w:rFonts w:ascii="宋体" w:hAnsi="宋体" w:cs="宋体" w:eastAsia="宋体" w:hint="default"/>
                <w:sz w:val="18"/>
                <w:szCs w:val="18"/>
              </w:rPr>
              <w:t>报告期末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表决权恢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复的优先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股股东总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数（如有）</w:t>
            </w:r>
          </w:p>
          <w:p>
            <w:pPr>
              <w:pStyle w:val="TableParagraph"/>
              <w:spacing w:line="240" w:lineRule="auto" w:before="17"/>
              <w:ind w:left="100" w:right="0"/>
              <w:jc w:val="left"/>
              <w:rPr>
                <w:rFonts w:ascii="宋体" w:hAnsi="宋体" w:cs="宋体" w:eastAsia="宋体" w:hint="default"/>
                <w:sz w:val="18"/>
                <w:szCs w:val="18"/>
              </w:rPr>
            </w:pPr>
            <w:r>
              <w:rPr>
                <w:rFonts w:ascii="宋体" w:hAnsi="宋体" w:cs="宋体" w:eastAsia="宋体" w:hint="default"/>
                <w:sz w:val="18"/>
                <w:szCs w:val="18"/>
              </w:rPr>
              <w:t>（参见注</w:t>
            </w:r>
          </w:p>
          <w:p>
            <w:pPr>
              <w:pStyle w:val="TableParagraph"/>
              <w:spacing w:line="240" w:lineRule="auto" w:before="8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100" w:right="257"/>
              <w:jc w:val="both"/>
              <w:rPr>
                <w:rFonts w:ascii="宋体" w:hAnsi="宋体" w:cs="宋体" w:eastAsia="宋体" w:hint="default"/>
                <w:sz w:val="18"/>
                <w:szCs w:val="18"/>
              </w:rPr>
            </w:pPr>
            <w:r>
              <w:rPr>
                <w:rFonts w:ascii="宋体" w:hAnsi="宋体" w:cs="宋体" w:eastAsia="宋体" w:hint="default"/>
                <w:spacing w:val="-3"/>
                <w:sz w:val="18"/>
                <w:szCs w:val="18"/>
              </w:rPr>
              <w:t>年度报告披露日前上</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一月末表决权恢复的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优先股股东总数（如</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6"/>
                <w:w w:val="101"/>
                <w:sz w:val="18"/>
                <w:szCs w:val="18"/>
              </w:rPr>
              <w:t>有）（参见注</w:t>
            </w:r>
            <w:r>
              <w:rPr>
                <w:rFonts w:ascii="宋体" w:hAnsi="宋体" w:cs="宋体" w:eastAsia="宋体" w:hint="default"/>
                <w:spacing w:val="-55"/>
                <w:w w:val="101"/>
                <w:sz w:val="18"/>
                <w:szCs w:val="18"/>
              </w:rPr>
              <w:t> </w:t>
            </w:r>
            <w:r>
              <w:rPr>
                <w:rFonts w:ascii="Times New Roman" w:hAnsi="Times New Roman" w:cs="Times New Roman" w:eastAsia="Times New Roman" w:hint="default"/>
                <w:w w:val="101"/>
                <w:sz w:val="18"/>
                <w:szCs w:val="18"/>
              </w:rPr>
              <w:t>9</w:t>
            </w:r>
            <w:r>
              <w:rPr>
                <w:rFonts w:ascii="宋体" w:hAnsi="宋体" w:cs="宋体" w:eastAsia="宋体" w:hint="default"/>
                <w:w w:val="101"/>
                <w:sz w:val="18"/>
                <w:szCs w:val="18"/>
              </w:rPr>
              <w:t>）</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以上的股东或前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名股东持股情况</w:t>
            </w:r>
          </w:p>
        </w:tc>
      </w:tr>
      <w:tr>
        <w:trPr>
          <w:trHeight w:val="403" w:hRule="exact"/>
        </w:trPr>
        <w:tc>
          <w:tcPr>
            <w:tcW w:w="12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373" w:right="185" w:hanging="183"/>
              <w:jc w:val="left"/>
              <w:rPr>
                <w:rFonts w:ascii="宋体" w:hAnsi="宋体" w:cs="宋体" w:eastAsia="宋体" w:hint="default"/>
                <w:sz w:val="18"/>
                <w:szCs w:val="18"/>
              </w:rPr>
            </w:pPr>
            <w:r>
              <w:rPr>
                <w:rFonts w:ascii="宋体" w:hAnsi="宋体" w:cs="宋体" w:eastAsia="宋体" w:hint="default"/>
                <w:sz w:val="18"/>
                <w:szCs w:val="18"/>
              </w:rPr>
              <w:t>持股比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68" w:right="161"/>
              <w:jc w:val="left"/>
              <w:rPr>
                <w:rFonts w:ascii="宋体" w:hAnsi="宋体" w:cs="宋体" w:eastAsia="宋体" w:hint="default"/>
                <w:sz w:val="18"/>
                <w:szCs w:val="18"/>
              </w:rPr>
            </w:pPr>
            <w:r>
              <w:rPr>
                <w:rFonts w:ascii="宋体" w:hAnsi="宋体" w:cs="宋体" w:eastAsia="宋体" w:hint="default"/>
                <w:sz w:val="18"/>
                <w:szCs w:val="18"/>
              </w:rPr>
              <w:t>报告期末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持股数量</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63" w:right="161"/>
              <w:jc w:val="center"/>
              <w:rPr>
                <w:rFonts w:ascii="宋体" w:hAnsi="宋体" w:cs="宋体" w:eastAsia="宋体" w:hint="default"/>
                <w:sz w:val="18"/>
                <w:szCs w:val="18"/>
              </w:rPr>
            </w:pPr>
            <w:r>
              <w:rPr>
                <w:rFonts w:ascii="宋体" w:hAnsi="宋体" w:cs="宋体" w:eastAsia="宋体" w:hint="default"/>
                <w:spacing w:val="-2"/>
                <w:sz w:val="18"/>
                <w:szCs w:val="18"/>
              </w:rPr>
              <w:t>报告期内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情况</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67" w:right="161"/>
              <w:jc w:val="both"/>
              <w:rPr>
                <w:rFonts w:ascii="宋体" w:hAnsi="宋体" w:cs="宋体" w:eastAsia="宋体" w:hint="default"/>
                <w:sz w:val="18"/>
                <w:szCs w:val="18"/>
              </w:rPr>
            </w:pPr>
            <w:r>
              <w:rPr>
                <w:rFonts w:ascii="宋体" w:hAnsi="宋体" w:cs="宋体" w:eastAsia="宋体" w:hint="default"/>
                <w:sz w:val="18"/>
                <w:szCs w:val="18"/>
              </w:rPr>
              <w:t>持有有限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售条件的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tc>
        <w:tc>
          <w:tcPr>
            <w:tcW w:w="9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87" w:right="180"/>
              <w:jc w:val="both"/>
              <w:rPr>
                <w:rFonts w:ascii="宋体" w:hAnsi="宋体" w:cs="宋体" w:eastAsia="宋体" w:hint="default"/>
                <w:sz w:val="18"/>
                <w:szCs w:val="18"/>
              </w:rPr>
            </w:pPr>
            <w:r>
              <w:rPr>
                <w:rFonts w:ascii="宋体" w:hAnsi="宋体" w:cs="宋体" w:eastAsia="宋体" w:hint="default"/>
                <w:sz w:val="18"/>
                <w:szCs w:val="18"/>
              </w:rPr>
              <w:t>持有无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限售条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件的股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份数量</w:t>
            </w:r>
          </w:p>
        </w:tc>
        <w:tc>
          <w:tcPr>
            <w:tcW w:w="21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pacing w:val="-3"/>
                <w:sz w:val="18"/>
                <w:szCs w:val="18"/>
              </w:rPr>
              <w:t>质押或冻结情况</w:t>
            </w:r>
          </w:p>
        </w:tc>
      </w:tr>
      <w:tr>
        <w:trPr>
          <w:trHeight w:val="936" w:hRule="exact"/>
        </w:trPr>
        <w:tc>
          <w:tcPr>
            <w:tcW w:w="1201"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9.24%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58,937,772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18,381,808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48,703,329</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10,234,4</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43</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28,317,705</w:t>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陈兵</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5.42%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34,545,588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12,970,631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25,909,191</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8,636,39</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24,017,838</w:t>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陈鲁康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3.40%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21,702,518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8,148,518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16,276,888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5,425,63</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谢晓宾</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3.01%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19,221,633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5,985,633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15,895,005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82" w:right="0"/>
              <w:jc w:val="left"/>
              <w:rPr>
                <w:rFonts w:ascii="Times New Roman" w:hAnsi="Times New Roman" w:cs="Times New Roman" w:eastAsia="Times New Roman" w:hint="default"/>
                <w:sz w:val="18"/>
                <w:szCs w:val="18"/>
              </w:rPr>
            </w:pPr>
            <w:r>
              <w:rPr>
                <w:rFonts w:ascii="Times New Roman"/>
                <w:sz w:val="18"/>
              </w:rPr>
              <w:t>3,326,62</w:t>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01"/>
        <w:gridCol w:w="1196"/>
        <w:gridCol w:w="932"/>
        <w:gridCol w:w="1066"/>
        <w:gridCol w:w="1061"/>
        <w:gridCol w:w="1066"/>
        <w:gridCol w:w="922"/>
        <w:gridCol w:w="1071"/>
        <w:gridCol w:w="1061"/>
      </w:tblGrid>
      <w:tr>
        <w:trPr>
          <w:trHeight w:val="360" w:hRule="exact"/>
        </w:trPr>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谢仁国</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2.60%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16,592,824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8,507,216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16,592,8</w:t>
            </w:r>
          </w:p>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z w:val="18"/>
              </w:rPr>
              <w:t>24</w:t>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杨文庆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2.24%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14,314,632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5,374,632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10,735,974</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3,578,65</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魏然</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1.53%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9,727,015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3,673,579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1,938,539</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7,788,47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李谦益</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1.49%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9,512,358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473,195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9,512,35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52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80"/>
              <w:jc w:val="both"/>
              <w:rPr>
                <w:rFonts w:ascii="宋体" w:hAnsi="宋体" w:cs="宋体" w:eastAsia="宋体" w:hint="default"/>
                <w:sz w:val="18"/>
                <w:szCs w:val="18"/>
              </w:rPr>
            </w:pPr>
            <w:r>
              <w:rPr>
                <w:rFonts w:ascii="宋体" w:hAnsi="宋体" w:cs="宋体" w:eastAsia="宋体" w:hint="default"/>
                <w:spacing w:val="-2"/>
                <w:sz w:val="18"/>
                <w:szCs w:val="18"/>
              </w:rPr>
              <w:t>平安基金－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中国平安人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寿保险股份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有限公司－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分红－个险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分红－平安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人寿－平安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基金权益委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托投资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宋体" w:hAnsi="宋体" w:cs="宋体" w:eastAsia="宋体" w:hint="default"/>
                <w:w w:val="101"/>
                <w:sz w:val="18"/>
                <w:szCs w:val="18"/>
              </w:rPr>
              <w:t> </w:t>
            </w:r>
            <w:r>
              <w:rPr>
                <w:rFonts w:ascii="宋体" w:hAnsi="宋体" w:cs="宋体" w:eastAsia="宋体" w:hint="default"/>
                <w:spacing w:val="-2"/>
                <w:sz w:val="18"/>
                <w:szCs w:val="18"/>
              </w:rPr>
              <w:t>单一资产管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理计划</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316" w:lineRule="auto"/>
              <w:ind w:left="105" w:right="175"/>
              <w:jc w:val="left"/>
              <w:rPr>
                <w:rFonts w:ascii="宋体" w:hAnsi="宋体" w:cs="宋体" w:eastAsia="宋体" w:hint="default"/>
                <w:sz w:val="18"/>
                <w:szCs w:val="18"/>
              </w:rPr>
            </w:pPr>
            <w:r>
              <w:rPr>
                <w:rFonts w:ascii="宋体" w:hAnsi="宋体" w:cs="宋体" w:eastAsia="宋体" w:hint="default"/>
                <w:spacing w:val="-2"/>
                <w:sz w:val="18"/>
                <w:szCs w:val="18"/>
              </w:rPr>
              <w:t>境内非国有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法人</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1.36%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8,675,336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8,675,336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8,675,33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谢明</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1.21%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7,747,969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2,064,656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1,820,013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5,927,95</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3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05" w:right="113"/>
              <w:jc w:val="left"/>
              <w:rPr>
                <w:rFonts w:ascii="宋体" w:hAnsi="宋体" w:cs="宋体" w:eastAsia="宋体" w:hint="default"/>
                <w:sz w:val="18"/>
                <w:szCs w:val="18"/>
              </w:rPr>
            </w:pPr>
            <w:r>
              <w:rPr>
                <w:rFonts w:ascii="宋体" w:hAnsi="宋体" w:cs="宋体" w:eastAsia="宋体" w:hint="default"/>
                <w:spacing w:val="-3"/>
                <w:sz w:val="18"/>
                <w:szCs w:val="18"/>
              </w:rPr>
              <w:t>战略投资者或一般法人因配</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售新股成为前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名股东的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1"/>
                <w:w w:val="101"/>
                <w:sz w:val="18"/>
                <w:szCs w:val="18"/>
              </w:rPr>
              <w:t>情况（如有）（参见注</w:t>
            </w:r>
            <w:r>
              <w:rPr>
                <w:rFonts w:ascii="宋体" w:hAnsi="宋体" w:cs="宋体" w:eastAsia="宋体" w:hint="default"/>
                <w:spacing w:val="-51"/>
                <w:w w:val="101"/>
                <w:sz w:val="18"/>
                <w:szCs w:val="18"/>
              </w:rPr>
              <w:t> </w:t>
            </w:r>
            <w:r>
              <w:rPr>
                <w:rFonts w:ascii="Times New Roman" w:hAnsi="Times New Roman" w:cs="Times New Roman" w:eastAsia="Times New Roman" w:hint="default"/>
                <w:w w:val="101"/>
                <w:sz w:val="18"/>
                <w:szCs w:val="18"/>
              </w:rPr>
              <w:t>4</w:t>
            </w:r>
            <w:r>
              <w:rPr>
                <w:rFonts w:ascii="宋体" w:hAnsi="宋体" w:cs="宋体" w:eastAsia="宋体" w:hint="default"/>
                <w:w w:val="101"/>
                <w:sz w:val="18"/>
                <w:szCs w:val="18"/>
              </w:rPr>
              <w:t>）</w:t>
            </w:r>
            <w:r>
              <w:rPr>
                <w:rFonts w:ascii="宋体" w:hAnsi="宋体" w:cs="宋体" w:eastAsia="宋体" w:hint="default"/>
                <w:sz w:val="18"/>
                <w:szCs w:val="18"/>
              </w:rPr>
            </w:r>
          </w:p>
        </w:tc>
        <w:tc>
          <w:tcPr>
            <w:tcW w:w="717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3" w:hRule="exact"/>
        </w:trPr>
        <w:tc>
          <w:tcPr>
            <w:tcW w:w="23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105" w:right="113"/>
              <w:jc w:val="left"/>
              <w:rPr>
                <w:rFonts w:ascii="宋体" w:hAnsi="宋体" w:cs="宋体" w:eastAsia="宋体" w:hint="default"/>
                <w:sz w:val="18"/>
                <w:szCs w:val="18"/>
              </w:rPr>
            </w:pPr>
            <w:r>
              <w:rPr>
                <w:rFonts w:ascii="宋体" w:hAnsi="宋体" w:cs="宋体" w:eastAsia="宋体" w:hint="default"/>
                <w:spacing w:val="-3"/>
                <w:sz w:val="18"/>
                <w:szCs w:val="18"/>
              </w:rPr>
              <w:t>上述股东关联关系或一致行</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动的说明</w:t>
            </w:r>
          </w:p>
        </w:tc>
        <w:tc>
          <w:tcPr>
            <w:tcW w:w="7179"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00"/>
              <w:jc w:val="both"/>
              <w:rPr>
                <w:rFonts w:ascii="宋体" w:hAnsi="宋体" w:cs="宋体" w:eastAsia="宋体" w:hint="default"/>
                <w:sz w:val="18"/>
                <w:szCs w:val="18"/>
              </w:rPr>
            </w:pPr>
            <w:r>
              <w:rPr>
                <w:rFonts w:ascii="宋体" w:hAnsi="宋体" w:cs="宋体" w:eastAsia="宋体" w:hint="default"/>
                <w:spacing w:val="-5"/>
                <w:sz w:val="18"/>
                <w:szCs w:val="18"/>
              </w:rPr>
              <w:t>公司主要自然人股东陈友、陈兵、陈鲁康、谢晓宾、谢仁国、杨文庆、魏然、李谦益、谢</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5"/>
                <w:sz w:val="18"/>
                <w:szCs w:val="18"/>
              </w:rPr>
              <w:t>明之间不存在关联关系，也不存在一致行动。未知上述其他股东之间是否存在关联关系及</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一致行动。</w:t>
            </w:r>
          </w:p>
        </w:tc>
      </w:tr>
      <w:tr>
        <w:trPr>
          <w:trHeight w:val="40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名无限售条件股东持股情况</w:t>
            </w:r>
          </w:p>
        </w:tc>
      </w:tr>
      <w:tr>
        <w:trPr>
          <w:trHeight w:val="403" w:hRule="exact"/>
        </w:trPr>
        <w:tc>
          <w:tcPr>
            <w:tcW w:w="23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4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171" w:right="0"/>
              <w:jc w:val="left"/>
              <w:rPr>
                <w:rFonts w:ascii="宋体" w:hAnsi="宋体" w:cs="宋体" w:eastAsia="宋体" w:hint="default"/>
                <w:sz w:val="18"/>
                <w:szCs w:val="18"/>
              </w:rPr>
            </w:pPr>
            <w:r>
              <w:rPr>
                <w:rFonts w:ascii="宋体" w:hAnsi="宋体" w:cs="宋体" w:eastAsia="宋体" w:hint="default"/>
                <w:spacing w:val="-3"/>
                <w:sz w:val="18"/>
                <w:szCs w:val="18"/>
              </w:rPr>
              <w:t>报告期末持有无限售条件股份数量</w:t>
            </w:r>
          </w:p>
        </w:tc>
        <w:tc>
          <w:tcPr>
            <w:tcW w:w="21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00"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3" w:hRule="exact"/>
        </w:trPr>
        <w:tc>
          <w:tcPr>
            <w:tcW w:w="2396" w:type="dxa"/>
            <w:gridSpan w:val="2"/>
            <w:vMerge/>
            <w:tcBorders>
              <w:left w:val="single" w:sz="4" w:space="0" w:color="000000"/>
              <w:bottom w:val="single" w:sz="4" w:space="0" w:color="000000"/>
              <w:right w:val="single" w:sz="4" w:space="0" w:color="000000"/>
            </w:tcBorders>
            <w:shd w:val="clear" w:color="auto" w:fill="D2D2D2"/>
          </w:tcPr>
          <w:p>
            <w:pPr/>
          </w:p>
        </w:tc>
        <w:tc>
          <w:tcPr>
            <w:tcW w:w="5047" w:type="dxa"/>
            <w:gridSpan w:val="5"/>
            <w:vMerge/>
            <w:tcBorders>
              <w:left w:val="single" w:sz="4" w:space="0" w:color="000000"/>
              <w:bottom w:val="single" w:sz="4" w:space="0" w:color="000000"/>
              <w:right w:val="single" w:sz="4" w:space="0" w:color="000000"/>
            </w:tcBorders>
            <w:shd w:val="clear" w:color="auto" w:fill="D2D2D2"/>
          </w:tcPr>
          <w:p>
            <w:pP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72"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1"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谢仁国</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16,592,824</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28"/>
              <w:jc w:val="left"/>
              <w:rPr>
                <w:rFonts w:ascii="宋体" w:hAnsi="宋体" w:cs="宋体" w:eastAsia="宋体" w:hint="default"/>
                <w:sz w:val="18"/>
                <w:szCs w:val="18"/>
              </w:rPr>
            </w:pPr>
            <w:r>
              <w:rPr>
                <w:rFonts w:ascii="宋体" w:hAnsi="宋体" w:cs="宋体" w:eastAsia="宋体" w:hint="default"/>
                <w:sz w:val="18"/>
                <w:szCs w:val="18"/>
              </w:rPr>
              <w:t>人民币普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16,592,824</w:t>
            </w:r>
          </w:p>
        </w:tc>
      </w:tr>
      <w:tr>
        <w:trPr>
          <w:trHeight w:val="715"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10,234,443</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228"/>
              <w:jc w:val="left"/>
              <w:rPr>
                <w:rFonts w:ascii="宋体" w:hAnsi="宋体" w:cs="宋体" w:eastAsia="宋体" w:hint="default"/>
                <w:sz w:val="18"/>
                <w:szCs w:val="18"/>
              </w:rPr>
            </w:pPr>
            <w:r>
              <w:rPr>
                <w:rFonts w:ascii="宋体" w:hAnsi="宋体" w:cs="宋体" w:eastAsia="宋体" w:hint="default"/>
                <w:sz w:val="18"/>
                <w:szCs w:val="18"/>
              </w:rPr>
              <w:t>人民币普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10,234,443</w:t>
            </w:r>
          </w:p>
        </w:tc>
      </w:tr>
      <w:tr>
        <w:trPr>
          <w:trHeight w:val="715"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李谦益</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9,512,358</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228"/>
              <w:jc w:val="left"/>
              <w:rPr>
                <w:rFonts w:ascii="宋体" w:hAnsi="宋体" w:cs="宋体" w:eastAsia="宋体" w:hint="default"/>
                <w:sz w:val="18"/>
                <w:szCs w:val="18"/>
              </w:rPr>
            </w:pPr>
            <w:r>
              <w:rPr>
                <w:rFonts w:ascii="宋体" w:hAnsi="宋体" w:cs="宋体" w:eastAsia="宋体" w:hint="default"/>
                <w:sz w:val="18"/>
                <w:szCs w:val="18"/>
              </w:rPr>
              <w:t>人民币普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9,512,358</w:t>
            </w:r>
          </w:p>
        </w:tc>
      </w:tr>
      <w:tr>
        <w:trPr>
          <w:trHeight w:val="985"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105" w:right="113"/>
              <w:jc w:val="both"/>
              <w:rPr>
                <w:rFonts w:ascii="宋体" w:hAnsi="宋体" w:cs="宋体" w:eastAsia="宋体" w:hint="default"/>
                <w:sz w:val="18"/>
                <w:szCs w:val="18"/>
              </w:rPr>
            </w:pPr>
            <w:r>
              <w:rPr>
                <w:rFonts w:ascii="宋体" w:hAnsi="宋体" w:cs="宋体" w:eastAsia="宋体" w:hint="default"/>
                <w:spacing w:val="-3"/>
                <w:sz w:val="18"/>
                <w:szCs w:val="18"/>
              </w:rPr>
              <w:t>平安基金－中国平安人寿保</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险股份有限公司－分红－个</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险分红－平安人寿－平安基</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8,675,336</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21" w:lineRule="auto"/>
              <w:ind w:left="105" w:right="228"/>
              <w:jc w:val="left"/>
              <w:rPr>
                <w:rFonts w:ascii="宋体" w:hAnsi="宋体" w:cs="宋体" w:eastAsia="宋体" w:hint="default"/>
                <w:sz w:val="18"/>
                <w:szCs w:val="18"/>
              </w:rPr>
            </w:pPr>
            <w:r>
              <w:rPr>
                <w:rFonts w:ascii="宋体" w:hAnsi="宋体" w:cs="宋体" w:eastAsia="宋体" w:hint="default"/>
                <w:sz w:val="18"/>
                <w:szCs w:val="18"/>
              </w:rPr>
              <w:t>人民币普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8,675,336</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396"/>
        <w:gridCol w:w="5047"/>
        <w:gridCol w:w="1071"/>
        <w:gridCol w:w="1061"/>
      </w:tblGrid>
      <w:tr>
        <w:trPr>
          <w:trHeight w:val="672"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0"/>
              <w:ind w:left="105" w:right="113"/>
              <w:jc w:val="left"/>
              <w:rPr>
                <w:rFonts w:ascii="宋体" w:hAnsi="宋体" w:cs="宋体" w:eastAsia="宋体" w:hint="default"/>
                <w:sz w:val="18"/>
                <w:szCs w:val="18"/>
              </w:rPr>
            </w:pPr>
            <w:r>
              <w:rPr>
                <w:rFonts w:ascii="宋体" w:hAnsi="宋体" w:cs="宋体" w:eastAsia="宋体" w:hint="default"/>
                <w:sz w:val="18"/>
                <w:szCs w:val="18"/>
              </w:rPr>
              <w:t>金权益委托投资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号单一资</w:t>
            </w:r>
            <w:r>
              <w:rPr>
                <w:rFonts w:ascii="宋体" w:hAnsi="宋体" w:cs="宋体" w:eastAsia="宋体" w:hint="default"/>
                <w:w w:val="101"/>
                <w:sz w:val="18"/>
                <w:szCs w:val="18"/>
              </w:rPr>
              <w:t> </w:t>
            </w:r>
            <w:r>
              <w:rPr>
                <w:rFonts w:ascii="宋体" w:hAnsi="宋体" w:cs="宋体" w:eastAsia="宋体" w:hint="default"/>
                <w:sz w:val="18"/>
                <w:szCs w:val="18"/>
              </w:rPr>
              <w:t>产管理计划</w:t>
            </w:r>
          </w:p>
        </w:tc>
        <w:tc>
          <w:tcPr>
            <w:tcW w:w="5047"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陈兵</w:t>
            </w:r>
          </w:p>
        </w:tc>
        <w:tc>
          <w:tcPr>
            <w:tcW w:w="5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8,636,397</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105" w:right="228"/>
              <w:jc w:val="left"/>
              <w:rPr>
                <w:rFonts w:ascii="宋体" w:hAnsi="宋体" w:cs="宋体" w:eastAsia="宋体" w:hint="default"/>
                <w:sz w:val="18"/>
                <w:szCs w:val="18"/>
              </w:rPr>
            </w:pPr>
            <w:r>
              <w:rPr>
                <w:rFonts w:ascii="宋体" w:hAnsi="宋体" w:cs="宋体" w:eastAsia="宋体" w:hint="default"/>
                <w:sz w:val="18"/>
                <w:szCs w:val="18"/>
              </w:rPr>
              <w:t>人民币普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8,636,397</w:t>
            </w:r>
          </w:p>
        </w:tc>
      </w:tr>
      <w:tr>
        <w:trPr>
          <w:trHeight w:val="71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魏然</w:t>
            </w:r>
          </w:p>
        </w:tc>
        <w:tc>
          <w:tcPr>
            <w:tcW w:w="5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7,788,476</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228"/>
              <w:jc w:val="left"/>
              <w:rPr>
                <w:rFonts w:ascii="宋体" w:hAnsi="宋体" w:cs="宋体" w:eastAsia="宋体" w:hint="default"/>
                <w:sz w:val="18"/>
                <w:szCs w:val="18"/>
              </w:rPr>
            </w:pPr>
            <w:r>
              <w:rPr>
                <w:rFonts w:ascii="宋体" w:hAnsi="宋体" w:cs="宋体" w:eastAsia="宋体" w:hint="default"/>
                <w:sz w:val="18"/>
                <w:szCs w:val="18"/>
              </w:rPr>
              <w:t>人民币普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7,788,476</w:t>
            </w:r>
          </w:p>
        </w:tc>
      </w:tr>
      <w:tr>
        <w:trPr>
          <w:trHeight w:val="1028"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中国建设银行股份有限公司</w:t>
            </w:r>
          </w:p>
          <w:p>
            <w:pPr>
              <w:pStyle w:val="TableParagraph"/>
              <w:spacing w:line="324" w:lineRule="auto" w:before="71"/>
              <w:ind w:left="105" w:right="113"/>
              <w:jc w:val="left"/>
              <w:rPr>
                <w:rFonts w:ascii="宋体" w:hAnsi="宋体" w:cs="宋体" w:eastAsia="宋体" w:hint="default"/>
                <w:sz w:val="18"/>
                <w:szCs w:val="18"/>
              </w:rPr>
            </w:pPr>
            <w:r>
              <w:rPr>
                <w:rFonts w:ascii="宋体" w:hAnsi="宋体" w:cs="宋体" w:eastAsia="宋体" w:hint="default"/>
                <w:spacing w:val="-3"/>
                <w:sz w:val="18"/>
                <w:szCs w:val="18"/>
              </w:rPr>
              <w:t>－博时裕益灵活配置混合型</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证券投资基金</w:t>
            </w:r>
          </w:p>
        </w:tc>
        <w:tc>
          <w:tcPr>
            <w:tcW w:w="5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6,806,242</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4" w:lineRule="auto"/>
              <w:ind w:left="105" w:right="228"/>
              <w:jc w:val="left"/>
              <w:rPr>
                <w:rFonts w:ascii="宋体" w:hAnsi="宋体" w:cs="宋体" w:eastAsia="宋体" w:hint="default"/>
                <w:sz w:val="18"/>
                <w:szCs w:val="18"/>
              </w:rPr>
            </w:pPr>
            <w:r>
              <w:rPr>
                <w:rFonts w:ascii="宋体" w:hAnsi="宋体" w:cs="宋体" w:eastAsia="宋体" w:hint="default"/>
                <w:sz w:val="18"/>
                <w:szCs w:val="18"/>
              </w:rPr>
              <w:t>人民币普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6,806,242</w:t>
            </w:r>
          </w:p>
        </w:tc>
      </w:tr>
      <w:tr>
        <w:trPr>
          <w:trHeight w:val="710"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谢雄友</w:t>
            </w:r>
          </w:p>
        </w:tc>
        <w:tc>
          <w:tcPr>
            <w:tcW w:w="5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6,213,650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28"/>
              <w:jc w:val="left"/>
              <w:rPr>
                <w:rFonts w:ascii="宋体" w:hAnsi="宋体" w:cs="宋体" w:eastAsia="宋体" w:hint="default"/>
                <w:sz w:val="18"/>
                <w:szCs w:val="18"/>
              </w:rPr>
            </w:pPr>
            <w:r>
              <w:rPr>
                <w:rFonts w:ascii="宋体" w:hAnsi="宋体" w:cs="宋体" w:eastAsia="宋体" w:hint="default"/>
                <w:sz w:val="18"/>
                <w:szCs w:val="18"/>
              </w:rPr>
              <w:t>人民币普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6,213,650</w:t>
            </w:r>
          </w:p>
        </w:tc>
      </w:tr>
      <w:tr>
        <w:trPr>
          <w:trHeight w:val="716"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谢明</w:t>
            </w:r>
          </w:p>
        </w:tc>
        <w:tc>
          <w:tcPr>
            <w:tcW w:w="5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5,927,956</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228"/>
              <w:jc w:val="left"/>
              <w:rPr>
                <w:rFonts w:ascii="宋体" w:hAnsi="宋体" w:cs="宋体" w:eastAsia="宋体" w:hint="default"/>
                <w:sz w:val="18"/>
                <w:szCs w:val="18"/>
              </w:rPr>
            </w:pPr>
            <w:r>
              <w:rPr>
                <w:rFonts w:ascii="宋体" w:hAnsi="宋体" w:cs="宋体" w:eastAsia="宋体" w:hint="default"/>
                <w:sz w:val="18"/>
                <w:szCs w:val="18"/>
              </w:rPr>
              <w:t>人民币普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5,927,956</w:t>
            </w:r>
          </w:p>
        </w:tc>
      </w:tr>
      <w:tr>
        <w:trPr>
          <w:trHeight w:val="1339"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中国工商银行股份有限公司</w:t>
            </w:r>
          </w:p>
          <w:p>
            <w:pPr>
              <w:pStyle w:val="TableParagraph"/>
              <w:spacing w:line="312" w:lineRule="auto" w:before="76"/>
              <w:ind w:left="105" w:right="248"/>
              <w:jc w:val="left"/>
              <w:rPr>
                <w:rFonts w:ascii="宋体" w:hAnsi="宋体" w:cs="宋体" w:eastAsia="宋体" w:hint="default"/>
                <w:sz w:val="18"/>
                <w:szCs w:val="18"/>
              </w:rPr>
            </w:pPr>
            <w:r>
              <w:rPr>
                <w:rFonts w:ascii="宋体" w:hAnsi="宋体" w:cs="宋体" w:eastAsia="宋体" w:hint="default"/>
                <w:sz w:val="18"/>
                <w:szCs w:val="18"/>
              </w:rPr>
              <w:t>－光大保德信中国制造</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灵活配置混合型证券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投资基金</w:t>
            </w:r>
          </w:p>
        </w:tc>
        <w:tc>
          <w:tcPr>
            <w:tcW w:w="5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94"/>
              <w:jc w:val="right"/>
              <w:rPr>
                <w:rFonts w:ascii="Times New Roman" w:hAnsi="Times New Roman" w:cs="Times New Roman" w:eastAsia="Times New Roman" w:hint="default"/>
                <w:sz w:val="18"/>
                <w:szCs w:val="18"/>
              </w:rPr>
            </w:pPr>
            <w:r>
              <w:rPr>
                <w:rFonts w:ascii="Times New Roman"/>
                <w:spacing w:val="-1"/>
                <w:sz w:val="18"/>
              </w:rPr>
              <w:t>5,904,903</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105" w:right="228"/>
              <w:jc w:val="left"/>
              <w:rPr>
                <w:rFonts w:ascii="宋体" w:hAnsi="宋体" w:cs="宋体" w:eastAsia="宋体" w:hint="default"/>
                <w:sz w:val="18"/>
                <w:szCs w:val="18"/>
              </w:rPr>
            </w:pPr>
            <w:r>
              <w:rPr>
                <w:rFonts w:ascii="宋体" w:hAnsi="宋体" w:cs="宋体" w:eastAsia="宋体" w:hint="default"/>
                <w:sz w:val="18"/>
                <w:szCs w:val="18"/>
              </w:rPr>
              <w:t>人民币普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94"/>
              <w:jc w:val="right"/>
              <w:rPr>
                <w:rFonts w:ascii="Times New Roman" w:hAnsi="Times New Roman" w:cs="Times New Roman" w:eastAsia="Times New Roman" w:hint="default"/>
                <w:sz w:val="18"/>
                <w:szCs w:val="18"/>
              </w:rPr>
            </w:pPr>
            <w:r>
              <w:rPr>
                <w:rFonts w:ascii="Times New Roman"/>
                <w:spacing w:val="-1"/>
                <w:sz w:val="18"/>
              </w:rPr>
              <w:t>5,904,903</w:t>
            </w:r>
          </w:p>
        </w:tc>
      </w:tr>
      <w:tr>
        <w:trPr>
          <w:trHeight w:val="1652"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名无限售流通股股东</w:t>
            </w:r>
          </w:p>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13"/>
                <w:sz w:val="18"/>
                <w:szCs w:val="18"/>
              </w:rPr>
              <w:t>之间，以及前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名无限售流</w:t>
            </w:r>
          </w:p>
          <w:p>
            <w:pPr>
              <w:pStyle w:val="TableParagraph"/>
              <w:spacing w:line="312" w:lineRule="auto" w:before="63"/>
              <w:ind w:left="105" w:right="113"/>
              <w:jc w:val="left"/>
              <w:rPr>
                <w:rFonts w:ascii="宋体" w:hAnsi="宋体" w:cs="宋体" w:eastAsia="宋体" w:hint="default"/>
                <w:sz w:val="18"/>
                <w:szCs w:val="18"/>
              </w:rPr>
            </w:pPr>
            <w:r>
              <w:rPr>
                <w:rFonts w:ascii="宋体" w:hAnsi="宋体" w:cs="宋体" w:eastAsia="宋体" w:hint="default"/>
                <w:sz w:val="18"/>
                <w:szCs w:val="18"/>
              </w:rPr>
              <w:t>通股股东和前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名股东之</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间关联关系或一致行动的说</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明</w:t>
            </w:r>
          </w:p>
        </w:tc>
        <w:tc>
          <w:tcPr>
            <w:tcW w:w="71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9"/>
              <w:ind w:left="105" w:right="8"/>
              <w:jc w:val="left"/>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 </w:t>
            </w:r>
            <w:r>
              <w:rPr>
                <w:rFonts w:ascii="宋体" w:hAnsi="宋体" w:cs="宋体" w:eastAsia="宋体" w:hint="default"/>
                <w:spacing w:val="-5"/>
                <w:sz w:val="18"/>
                <w:szCs w:val="18"/>
              </w:rPr>
              <w:t>名无限售流通股股东中，公司主要自然人股东陈友、谢仁国、李谦益、陈兵、魏然、</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5"/>
                <w:sz w:val="18"/>
                <w:szCs w:val="18"/>
              </w:rPr>
              <w:t>谢雄友、谢明之间不存在关联关系，也不存在一致行动关系，未知上述其他股东之间是否</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存在关联关系及一致行动</w:t>
            </w:r>
          </w:p>
        </w:tc>
      </w:tr>
      <w:tr>
        <w:trPr>
          <w:trHeight w:val="102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105" w:right="113"/>
              <w:jc w:val="left"/>
              <w:rPr>
                <w:rFonts w:ascii="宋体" w:hAnsi="宋体" w:cs="宋体" w:eastAsia="宋体" w:hint="default"/>
                <w:sz w:val="18"/>
                <w:szCs w:val="18"/>
              </w:rPr>
            </w:pPr>
            <w:r>
              <w:rPr>
                <w:rFonts w:ascii="宋体" w:hAnsi="宋体" w:cs="宋体" w:eastAsia="宋体" w:hint="default"/>
                <w:spacing w:val="-3"/>
                <w:sz w:val="18"/>
                <w:szCs w:val="18"/>
              </w:rPr>
              <w:t>参与融资融券业务股东情况</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11"/>
                <w:w w:val="101"/>
                <w:sz w:val="18"/>
                <w:szCs w:val="18"/>
              </w:rPr>
              <w:t>说明（如有）（参见注</w:t>
            </w:r>
            <w:r>
              <w:rPr>
                <w:rFonts w:ascii="宋体" w:hAnsi="宋体" w:cs="宋体" w:eastAsia="宋体" w:hint="default"/>
                <w:spacing w:val="-51"/>
                <w:w w:val="101"/>
                <w:sz w:val="18"/>
                <w:szCs w:val="18"/>
              </w:rPr>
              <w:t> </w:t>
            </w:r>
            <w:r>
              <w:rPr>
                <w:rFonts w:ascii="Times New Roman" w:hAnsi="Times New Roman" w:cs="Times New Roman" w:eastAsia="Times New Roman" w:hint="default"/>
                <w:w w:val="101"/>
                <w:sz w:val="18"/>
                <w:szCs w:val="18"/>
              </w:rPr>
              <w:t>5</w:t>
            </w:r>
            <w:r>
              <w:rPr>
                <w:rFonts w:ascii="宋体" w:hAnsi="宋体" w:cs="宋体" w:eastAsia="宋体" w:hint="default"/>
                <w:w w:val="101"/>
                <w:sz w:val="18"/>
                <w:szCs w:val="18"/>
              </w:rPr>
              <w:t>）</w:t>
            </w:r>
            <w:r>
              <w:rPr>
                <w:rFonts w:ascii="宋体" w:hAnsi="宋体" w:cs="宋体" w:eastAsia="宋体" w:hint="default"/>
                <w:sz w:val="18"/>
                <w:szCs w:val="18"/>
              </w:rPr>
            </w:r>
          </w:p>
        </w:tc>
        <w:tc>
          <w:tcPr>
            <w:tcW w:w="71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谢仁国除通过普通证券账户持有 </w:t>
            </w:r>
            <w:r>
              <w:rPr>
                <w:rFonts w:ascii="Times New Roman" w:hAnsi="Times New Roman" w:cs="Times New Roman" w:eastAsia="Times New Roman" w:hint="default"/>
                <w:sz w:val="18"/>
                <w:szCs w:val="18"/>
              </w:rPr>
              <w:t>6,718,115 </w:t>
            </w:r>
            <w:r>
              <w:rPr>
                <w:rFonts w:ascii="Times New Roman" w:hAnsi="Times New Roman" w:cs="Times New Roman" w:eastAsia="Times New Roman" w:hint="default"/>
                <w:spacing w:val="39"/>
                <w:sz w:val="18"/>
                <w:szCs w:val="18"/>
              </w:rPr>
              <w:t> </w:t>
            </w:r>
            <w:r>
              <w:rPr>
                <w:rFonts w:ascii="宋体" w:hAnsi="宋体" w:cs="宋体" w:eastAsia="宋体" w:hint="default"/>
                <w:spacing w:val="-3"/>
                <w:sz w:val="18"/>
                <w:szCs w:val="18"/>
              </w:rPr>
              <w:t>股外，还通过招商证券公司客户信用交易担保</w:t>
            </w:r>
          </w:p>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证券账户持有</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9,874,709 </w:t>
            </w:r>
            <w:r>
              <w:rPr>
                <w:rFonts w:ascii="Times New Roman" w:hAnsi="Times New Roman" w:cs="Times New Roman" w:eastAsia="Times New Roman" w:hint="default"/>
                <w:spacing w:val="25"/>
                <w:sz w:val="18"/>
                <w:szCs w:val="18"/>
              </w:rPr>
              <w:t> </w:t>
            </w:r>
            <w:r>
              <w:rPr>
                <w:rFonts w:ascii="宋体" w:hAnsi="宋体" w:cs="宋体" w:eastAsia="宋体" w:hint="default"/>
                <w:spacing w:val="-4"/>
                <w:sz w:val="18"/>
                <w:szCs w:val="18"/>
              </w:rPr>
              <w:t>股，实际合计持有</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16,592,824</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股。谢雄友通过国信证券股份有限</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公司客户信用交易担保证券账户持有 </w:t>
            </w:r>
            <w:r>
              <w:rPr>
                <w:rFonts w:ascii="Times New Roman" w:hAnsi="Times New Roman" w:cs="Times New Roman" w:eastAsia="Times New Roman" w:hint="default"/>
                <w:sz w:val="18"/>
                <w:szCs w:val="18"/>
              </w:rPr>
              <w:t>6,213,650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公司前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名无限售条件普通股股东在报告期内是否进行约定购回交易</w:t>
      </w:r>
    </w:p>
    <w:p>
      <w:pPr>
        <w:spacing w:before="106"/>
        <w:ind w:left="113" w:right="176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before="115"/>
        <w:ind w:left="113" w:right="1764" w:firstLine="0"/>
        <w:jc w:val="left"/>
        <w:rPr>
          <w:rFonts w:ascii="宋体" w:hAnsi="宋体" w:cs="宋体" w:eastAsia="宋体" w:hint="default"/>
          <w:sz w:val="18"/>
          <w:szCs w:val="18"/>
        </w:rPr>
      </w:pPr>
      <w:r>
        <w:rPr>
          <w:rFonts w:ascii="宋体" w:hAnsi="宋体" w:cs="宋体" w:eastAsia="宋体" w:hint="default"/>
          <w:sz w:val="18"/>
          <w:szCs w:val="18"/>
        </w:rPr>
        <w:t>公司前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名无限售条件普通股股东在报告期内未进行约定购回交易。</w:t>
      </w:r>
    </w:p>
    <w:p>
      <w:pPr>
        <w:spacing w:line="240" w:lineRule="auto" w:before="8"/>
        <w:rPr>
          <w:rFonts w:ascii="宋体" w:hAnsi="宋体" w:cs="宋体" w:eastAsia="宋体" w:hint="default"/>
          <w:sz w:val="25"/>
          <w:szCs w:val="25"/>
        </w:rPr>
      </w:pPr>
    </w:p>
    <w:p>
      <w:pPr>
        <w:pStyle w:val="Heading3"/>
        <w:spacing w:line="240" w:lineRule="auto"/>
        <w:ind w:right="1764"/>
        <w:jc w:val="left"/>
        <w:rPr>
          <w:b w:val="0"/>
          <w:bCs w:val="0"/>
        </w:rPr>
      </w:pPr>
      <w:bookmarkStart w:name="2、公司控股股东情况" w:id="114"/>
      <w:bookmarkEnd w:id="114"/>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1"/>
        <w:rPr>
          <w:rFonts w:ascii="宋体" w:hAnsi="宋体" w:cs="宋体" w:eastAsia="宋体" w:hint="default"/>
          <w:b/>
          <w:bCs/>
          <w:sz w:val="27"/>
          <w:szCs w:val="27"/>
        </w:rPr>
      </w:pPr>
    </w:p>
    <w:p>
      <w:pPr>
        <w:spacing w:line="357" w:lineRule="auto" w:before="0"/>
        <w:ind w:left="113" w:right="7695" w:firstLine="0"/>
        <w:jc w:val="left"/>
        <w:rPr>
          <w:rFonts w:ascii="宋体" w:hAnsi="宋体" w:cs="宋体" w:eastAsia="宋体" w:hint="default"/>
          <w:sz w:val="18"/>
          <w:szCs w:val="18"/>
        </w:rPr>
      </w:pPr>
      <w:r>
        <w:rPr>
          <w:rFonts w:ascii="宋体" w:hAnsi="宋体" w:cs="宋体" w:eastAsia="宋体" w:hint="default"/>
          <w:spacing w:val="-3"/>
          <w:sz w:val="18"/>
          <w:szCs w:val="18"/>
        </w:rPr>
        <w:t>控股股东性质：无控股主体</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控股股东类型：不存在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公司不存在控股股东情况的说明</w:t>
      </w:r>
    </w:p>
    <w:p>
      <w:pPr>
        <w:spacing w:line="316" w:lineRule="auto" w:before="26"/>
        <w:ind w:left="113" w:right="1122" w:firstLine="360"/>
        <w:jc w:val="both"/>
        <w:rPr>
          <w:rFonts w:ascii="宋体" w:hAnsi="宋体" w:cs="宋体" w:eastAsia="宋体" w:hint="default"/>
          <w:sz w:val="18"/>
          <w:szCs w:val="18"/>
        </w:rPr>
      </w:pPr>
      <w:r>
        <w:rPr>
          <w:rFonts w:ascii="宋体" w:hAnsi="宋体" w:cs="宋体" w:eastAsia="宋体" w:hint="default"/>
          <w:spacing w:val="-8"/>
          <w:w w:val="101"/>
          <w:sz w:val="18"/>
          <w:szCs w:val="18"/>
        </w:rPr>
        <w:t>公司主要股东陈友（持股比例为</w:t>
      </w:r>
      <w:r>
        <w:rPr>
          <w:rFonts w:ascii="宋体" w:hAnsi="宋体" w:cs="宋体" w:eastAsia="宋体" w:hint="default"/>
          <w:spacing w:val="-8"/>
          <w:w w:val="101"/>
          <w:sz w:val="18"/>
          <w:szCs w:val="18"/>
        </w:rPr>
        <w:t>9.24%</w:t>
      </w:r>
      <w:r>
        <w:rPr>
          <w:rFonts w:ascii="宋体" w:hAnsi="宋体" w:cs="宋体" w:eastAsia="宋体" w:hint="default"/>
          <w:spacing w:val="-8"/>
          <w:w w:val="101"/>
          <w:sz w:val="18"/>
          <w:szCs w:val="18"/>
        </w:rPr>
        <w:t>）、陈兵（持股比例为</w:t>
      </w:r>
      <w:r>
        <w:rPr>
          <w:rFonts w:ascii="宋体" w:hAnsi="宋体" w:cs="宋体" w:eastAsia="宋体" w:hint="default"/>
          <w:spacing w:val="-8"/>
          <w:w w:val="101"/>
          <w:sz w:val="18"/>
          <w:szCs w:val="18"/>
        </w:rPr>
        <w:t>5.42%</w:t>
      </w:r>
      <w:r>
        <w:rPr>
          <w:rFonts w:ascii="宋体" w:hAnsi="宋体" w:cs="宋体" w:eastAsia="宋体" w:hint="default"/>
          <w:spacing w:val="-8"/>
          <w:w w:val="101"/>
          <w:sz w:val="18"/>
          <w:szCs w:val="18"/>
        </w:rPr>
        <w:t>）、陈鲁康（持股比例为</w:t>
      </w:r>
      <w:r>
        <w:rPr>
          <w:rFonts w:ascii="宋体" w:hAnsi="宋体" w:cs="宋体" w:eastAsia="宋体" w:hint="default"/>
          <w:spacing w:val="-8"/>
          <w:w w:val="101"/>
          <w:sz w:val="18"/>
          <w:szCs w:val="18"/>
        </w:rPr>
        <w:t>3.40%</w:t>
      </w:r>
      <w:r>
        <w:rPr>
          <w:rFonts w:ascii="宋体" w:hAnsi="宋体" w:cs="宋体" w:eastAsia="宋体" w:hint="default"/>
          <w:spacing w:val="-8"/>
          <w:w w:val="101"/>
          <w:sz w:val="18"/>
          <w:szCs w:val="18"/>
        </w:rPr>
        <w:t>）、谢晓宾（持股比例为</w:t>
      </w:r>
      <w:r>
        <w:rPr>
          <w:rFonts w:ascii="宋体" w:hAnsi="宋体" w:cs="宋体" w:eastAsia="宋体" w:hint="default"/>
          <w:w w:val="101"/>
          <w:sz w:val="18"/>
          <w:szCs w:val="18"/>
        </w:rPr>
        <w:t> </w:t>
      </w:r>
      <w:r>
        <w:rPr>
          <w:rFonts w:ascii="宋体" w:hAnsi="宋体" w:cs="宋体" w:eastAsia="宋体" w:hint="default"/>
          <w:spacing w:val="-13"/>
          <w:w w:val="101"/>
          <w:sz w:val="18"/>
          <w:szCs w:val="18"/>
        </w:rPr>
        <w:t>3.01%</w:t>
      </w:r>
      <w:r>
        <w:rPr>
          <w:rFonts w:ascii="宋体" w:hAnsi="宋体" w:cs="宋体" w:eastAsia="宋体" w:hint="default"/>
          <w:spacing w:val="-13"/>
          <w:w w:val="101"/>
          <w:sz w:val="18"/>
          <w:szCs w:val="18"/>
        </w:rPr>
        <w:t>）、谢仁国（持股比例为</w:t>
      </w:r>
      <w:r>
        <w:rPr>
          <w:rFonts w:ascii="宋体" w:hAnsi="宋体" w:cs="宋体" w:eastAsia="宋体" w:hint="default"/>
          <w:spacing w:val="-13"/>
          <w:w w:val="101"/>
          <w:sz w:val="18"/>
          <w:szCs w:val="18"/>
        </w:rPr>
        <w:t>2.60%</w:t>
      </w:r>
      <w:r>
        <w:rPr>
          <w:rFonts w:ascii="宋体" w:hAnsi="宋体" w:cs="宋体" w:eastAsia="宋体" w:hint="default"/>
          <w:spacing w:val="-13"/>
          <w:w w:val="101"/>
          <w:sz w:val="18"/>
          <w:szCs w:val="18"/>
        </w:rPr>
        <w:t>）、杨文庆（持股比例为</w:t>
      </w:r>
      <w:r>
        <w:rPr>
          <w:rFonts w:ascii="宋体" w:hAnsi="宋体" w:cs="宋体" w:eastAsia="宋体" w:hint="default"/>
          <w:spacing w:val="-13"/>
          <w:w w:val="101"/>
          <w:sz w:val="18"/>
          <w:szCs w:val="18"/>
        </w:rPr>
        <w:t>2.24%</w:t>
      </w:r>
      <w:r>
        <w:rPr>
          <w:rFonts w:ascii="宋体" w:hAnsi="宋体" w:cs="宋体" w:eastAsia="宋体" w:hint="default"/>
          <w:spacing w:val="-13"/>
          <w:w w:val="101"/>
          <w:sz w:val="18"/>
          <w:szCs w:val="18"/>
        </w:rPr>
        <w:t>）、魏然（持股比例为</w:t>
      </w:r>
      <w:r>
        <w:rPr>
          <w:rFonts w:ascii="宋体" w:hAnsi="宋体" w:cs="宋体" w:eastAsia="宋体" w:hint="default"/>
          <w:spacing w:val="-13"/>
          <w:w w:val="101"/>
          <w:sz w:val="18"/>
          <w:szCs w:val="18"/>
        </w:rPr>
        <w:t>1.53%</w:t>
      </w:r>
      <w:r>
        <w:rPr>
          <w:rFonts w:ascii="宋体" w:hAnsi="宋体" w:cs="宋体" w:eastAsia="宋体" w:hint="default"/>
          <w:spacing w:val="-13"/>
          <w:w w:val="101"/>
          <w:sz w:val="18"/>
          <w:szCs w:val="18"/>
        </w:rPr>
        <w:t>）、李谦益（持股比例为</w:t>
      </w:r>
      <w:r>
        <w:rPr>
          <w:rFonts w:ascii="宋体" w:hAnsi="宋体" w:cs="宋体" w:eastAsia="宋体" w:hint="default"/>
          <w:spacing w:val="-13"/>
          <w:w w:val="101"/>
          <w:sz w:val="18"/>
          <w:szCs w:val="18"/>
        </w:rPr>
        <w:t>1.49%</w:t>
      </w:r>
      <w:r>
        <w:rPr>
          <w:rFonts w:ascii="宋体" w:hAnsi="宋体" w:cs="宋体" w:eastAsia="宋体" w:hint="default"/>
          <w:spacing w:val="-13"/>
          <w:w w:val="101"/>
          <w:sz w:val="18"/>
          <w:szCs w:val="18"/>
        </w:rPr>
        <w:t>），</w:t>
      </w:r>
      <w:r>
        <w:rPr>
          <w:rFonts w:ascii="宋体" w:hAnsi="宋体" w:cs="宋体" w:eastAsia="宋体" w:hint="default"/>
          <w:spacing w:val="-51"/>
          <w:w w:val="101"/>
          <w:sz w:val="18"/>
          <w:szCs w:val="18"/>
        </w:rPr>
        <w:t> </w:t>
      </w:r>
      <w:r>
        <w:rPr>
          <w:rFonts w:ascii="宋体" w:hAnsi="宋体" w:cs="宋体" w:eastAsia="宋体" w:hint="default"/>
          <w:spacing w:val="-3"/>
          <w:sz w:val="18"/>
          <w:szCs w:val="18"/>
        </w:rPr>
        <w:t>持股比例分散，且不存在一致行动，公司不存在控股股东。</w:t>
      </w:r>
    </w:p>
    <w:p>
      <w:pPr>
        <w:spacing w:before="62"/>
        <w:ind w:left="113" w:right="1764"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62" w:lineRule="auto" w:before="115"/>
        <w:ind w:left="113" w:right="7695"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公司报告期控股股东未发生变更。</w:t>
      </w:r>
    </w:p>
    <w:p>
      <w:pPr>
        <w:spacing w:after="0" w:line="362"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3"/>
        <w:spacing w:line="240" w:lineRule="auto" w:before="36"/>
        <w:ind w:right="1764"/>
        <w:jc w:val="left"/>
        <w:rPr>
          <w:b w:val="0"/>
          <w:bCs w:val="0"/>
        </w:rPr>
      </w:pPr>
      <w:bookmarkStart w:name="3、公司实际控制人及其一致行动人" w:id="115"/>
      <w:bookmarkEnd w:id="115"/>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1"/>
        <w:rPr>
          <w:rFonts w:ascii="宋体" w:hAnsi="宋体" w:cs="宋体" w:eastAsia="宋体" w:hint="default"/>
          <w:b/>
          <w:bCs/>
          <w:sz w:val="27"/>
          <w:szCs w:val="27"/>
        </w:rPr>
      </w:pPr>
    </w:p>
    <w:p>
      <w:pPr>
        <w:spacing w:line="357" w:lineRule="auto" w:before="0"/>
        <w:ind w:left="113" w:right="7695" w:firstLine="0"/>
        <w:jc w:val="left"/>
        <w:rPr>
          <w:rFonts w:ascii="宋体" w:hAnsi="宋体" w:cs="宋体" w:eastAsia="宋体" w:hint="default"/>
          <w:sz w:val="18"/>
          <w:szCs w:val="18"/>
        </w:rPr>
      </w:pPr>
      <w:r>
        <w:rPr>
          <w:rFonts w:ascii="宋体" w:hAnsi="宋体" w:cs="宋体" w:eastAsia="宋体" w:hint="default"/>
          <w:spacing w:val="-3"/>
          <w:sz w:val="18"/>
          <w:szCs w:val="18"/>
        </w:rPr>
        <w:t>实际控制人性质：无实际控制人</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实际控制人类型：不存在</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公司不存在实际控制人情况的说明</w:t>
      </w:r>
    </w:p>
    <w:p>
      <w:pPr>
        <w:spacing w:line="316" w:lineRule="auto" w:before="26"/>
        <w:ind w:left="113" w:right="1007" w:firstLine="360"/>
        <w:jc w:val="left"/>
        <w:rPr>
          <w:rFonts w:ascii="宋体" w:hAnsi="宋体" w:cs="宋体" w:eastAsia="宋体" w:hint="default"/>
          <w:sz w:val="18"/>
          <w:szCs w:val="18"/>
        </w:rPr>
      </w:pPr>
      <w:r>
        <w:rPr>
          <w:rFonts w:ascii="宋体" w:hAnsi="宋体" w:cs="宋体" w:eastAsia="宋体" w:hint="default"/>
          <w:spacing w:val="-5"/>
          <w:sz w:val="18"/>
          <w:szCs w:val="18"/>
        </w:rPr>
        <w:t>公司主要股东陈友、陈兵、陈鲁康、谢晓宾、谢仁国、杨文庆、魏然、李谦益、持股比例分散，且不存在一致行动，公</w:t>
      </w:r>
      <w:r>
        <w:rPr>
          <w:rFonts w:ascii="宋体" w:hAnsi="宋体" w:cs="宋体" w:eastAsia="宋体" w:hint="default"/>
          <w:w w:val="101"/>
          <w:sz w:val="18"/>
          <w:szCs w:val="18"/>
        </w:rPr>
        <w:t> </w:t>
      </w:r>
      <w:r>
        <w:rPr>
          <w:rFonts w:ascii="宋体" w:hAnsi="宋体" w:cs="宋体" w:eastAsia="宋体" w:hint="default"/>
          <w:sz w:val="18"/>
          <w:szCs w:val="18"/>
        </w:rPr>
        <w:t>司不存在实际控制人。</w:t>
      </w:r>
    </w:p>
    <w:p>
      <w:pPr>
        <w:spacing w:line="240" w:lineRule="auto" w:before="0"/>
        <w:rPr>
          <w:rFonts w:ascii="宋体" w:hAnsi="宋体" w:cs="宋体" w:eastAsia="宋体" w:hint="default"/>
          <w:sz w:val="18"/>
          <w:szCs w:val="18"/>
        </w:rPr>
      </w:pPr>
    </w:p>
    <w:p>
      <w:pPr>
        <w:spacing w:before="139"/>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公司最终控制层面是否存在持股比例在</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以上的股东情况</w:t>
      </w:r>
    </w:p>
    <w:p>
      <w:pPr>
        <w:spacing w:before="101"/>
        <w:ind w:left="113" w:right="176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338" w:lineRule="auto" w:before="119"/>
        <w:ind w:left="113" w:right="6955" w:firstLine="0"/>
        <w:jc w:val="left"/>
        <w:rPr>
          <w:rFonts w:ascii="宋体" w:hAnsi="宋体" w:cs="宋体" w:eastAsia="宋体" w:hint="default"/>
          <w:sz w:val="18"/>
          <w:szCs w:val="18"/>
        </w:rPr>
      </w:pPr>
      <w:r>
        <w:rPr>
          <w:rFonts w:ascii="宋体" w:hAnsi="宋体" w:cs="宋体" w:eastAsia="宋体" w:hint="default"/>
          <w:spacing w:val="-3"/>
          <w:sz w:val="18"/>
          <w:szCs w:val="18"/>
        </w:rPr>
        <w:t>公司最终控制层面持股比例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以上的股东情况</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自然人</w:t>
      </w:r>
    </w:p>
    <w:p>
      <w:pPr>
        <w:spacing w:before="41"/>
        <w:ind w:left="113" w:right="1764" w:firstLine="0"/>
        <w:jc w:val="left"/>
        <w:rPr>
          <w:rFonts w:ascii="宋体" w:hAnsi="宋体" w:cs="宋体" w:eastAsia="宋体" w:hint="default"/>
          <w:sz w:val="18"/>
          <w:szCs w:val="18"/>
        </w:rPr>
      </w:pPr>
      <w:r>
        <w:rPr>
          <w:rFonts w:ascii="宋体" w:hAnsi="宋体" w:cs="宋体" w:eastAsia="宋体" w:hint="default"/>
          <w:sz w:val="18"/>
          <w:szCs w:val="18"/>
        </w:rPr>
        <w:t>最终控制层面持股情况</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338"/>
        <w:gridCol w:w="2055"/>
        <w:gridCol w:w="4177"/>
      </w:tblGrid>
      <w:tr>
        <w:trPr>
          <w:trHeight w:val="404" w:hRule="exact"/>
        </w:trPr>
        <w:tc>
          <w:tcPr>
            <w:tcW w:w="3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63" w:right="0"/>
              <w:jc w:val="left"/>
              <w:rPr>
                <w:rFonts w:ascii="宋体" w:hAnsi="宋体" w:cs="宋体" w:eastAsia="宋体" w:hint="default"/>
                <w:sz w:val="18"/>
                <w:szCs w:val="18"/>
              </w:rPr>
            </w:pPr>
            <w:r>
              <w:rPr>
                <w:rFonts w:ascii="宋体" w:hAnsi="宋体" w:cs="宋体" w:eastAsia="宋体" w:hint="default"/>
                <w:sz w:val="18"/>
                <w:szCs w:val="18"/>
              </w:rPr>
              <w:t>最终控制层面股东姓名</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26" w:right="0"/>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是否取得其他国家或地区居留权</w:t>
            </w:r>
          </w:p>
        </w:tc>
      </w:tr>
      <w:tr>
        <w:trPr>
          <w:trHeight w:val="398"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3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主要职业及职务</w:t>
            </w:r>
          </w:p>
        </w:tc>
        <w:tc>
          <w:tcPr>
            <w:tcW w:w="6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105" w:right="171"/>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月至今担任公司董事长，</w:t>
            </w: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月至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月担任公司总经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r>
      <w:tr>
        <w:trPr>
          <w:trHeight w:val="404" w:hRule="exact"/>
        </w:trPr>
        <w:tc>
          <w:tcPr>
            <w:tcW w:w="3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年曾控股的境内外上市公司情况</w:t>
            </w:r>
          </w:p>
        </w:tc>
        <w:tc>
          <w:tcPr>
            <w:tcW w:w="6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实际控制人报告期内变更</w:t>
      </w:r>
    </w:p>
    <w:p>
      <w:pPr>
        <w:spacing w:line="357" w:lineRule="auto" w:before="119"/>
        <w:ind w:left="113" w:right="6438"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公司报告期实际控制人未发生变更。</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公司与实际控制人之间的产权及控制关系的方框图</w:t>
      </w:r>
    </w:p>
    <w:p>
      <w:pPr>
        <w:spacing w:line="240" w:lineRule="auto" w:before="6"/>
        <w:rPr>
          <w:rFonts w:ascii="宋体" w:hAnsi="宋体" w:cs="宋体" w:eastAsia="宋体" w:hint="default"/>
          <w:sz w:val="16"/>
          <w:szCs w:val="16"/>
        </w:rPr>
      </w:pPr>
    </w:p>
    <w:p>
      <w:pPr>
        <w:spacing w:line="3660" w:lineRule="exact"/>
        <w:ind w:left="1313"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4598642" cy="23241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20" cstate="print"/>
                    <a:stretch>
                      <a:fillRect/>
                    </a:stretch>
                  </pic:blipFill>
                  <pic:spPr>
                    <a:xfrm>
                      <a:off x="0" y="0"/>
                      <a:ext cx="4598642" cy="2324100"/>
                    </a:xfrm>
                    <a:prstGeom prst="rect">
                      <a:avLst/>
                    </a:prstGeom>
                  </pic:spPr>
                </pic:pic>
              </a:graphicData>
            </a:graphic>
          </wp:inline>
        </w:drawing>
      </w:r>
      <w:r>
        <w:rPr>
          <w:rFonts w:ascii="宋体" w:hAnsi="宋体" w:cs="宋体" w:eastAsia="宋体" w:hint="default"/>
          <w:position w:val="-72"/>
          <w:sz w:val="20"/>
          <w:szCs w:val="20"/>
        </w:rPr>
      </w:r>
    </w:p>
    <w:p>
      <w:pPr>
        <w:spacing w:line="240" w:lineRule="auto" w:before="8"/>
        <w:rPr>
          <w:rFonts w:ascii="宋体" w:hAnsi="宋体" w:cs="宋体" w:eastAsia="宋体" w:hint="default"/>
          <w:sz w:val="19"/>
          <w:szCs w:val="19"/>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实际控制人通过信托或其他资产管理方式控制公司</w:t>
      </w:r>
    </w:p>
    <w:p>
      <w:pPr>
        <w:spacing w:line="240" w:lineRule="auto" w:before="3"/>
        <w:rPr>
          <w:rFonts w:ascii="宋体" w:hAnsi="宋体" w:cs="宋体" w:eastAsia="宋体" w:hint="default"/>
          <w:sz w:val="21"/>
          <w:szCs w:val="21"/>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4、其他持股在10%以上的法人股东" w:id="116"/>
      <w:bookmarkEnd w:id="116"/>
      <w:r>
        <w:rPr>
          <w:b w:val="0"/>
          <w:bCs w:val="0"/>
        </w:rPr>
      </w:r>
      <w:r>
        <w:rPr>
          <w:rFonts w:ascii="Times New Roman" w:hAnsi="Times New Roman" w:cs="Times New Roman" w:eastAsia="Times New Roman" w:hint="default"/>
        </w:rPr>
        <w:t>4</w:t>
      </w:r>
      <w:r>
        <w:rPr/>
        <w:t>、其他持股在</w:t>
      </w:r>
      <w:r>
        <w:rPr>
          <w:spacing w:val="-51"/>
        </w:rPr>
        <w:t> </w:t>
      </w:r>
      <w:r>
        <w:rPr>
          <w:rFonts w:ascii="Times New Roman" w:hAnsi="Times New Roman" w:cs="Times New Roman" w:eastAsia="Times New Roman" w:hint="default"/>
        </w:rPr>
        <w:t>10%</w:t>
      </w:r>
      <w:r>
        <w:rPr/>
        <w:t>以上的法人股东</w:t>
      </w:r>
      <w:r>
        <w:rPr>
          <w:b w:val="0"/>
          <w:bCs w:val="0"/>
        </w:rPr>
      </w:r>
    </w:p>
    <w:p>
      <w:pPr>
        <w:spacing w:line="240" w:lineRule="auto" w:before="1"/>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3"/>
        <w:spacing w:line="240" w:lineRule="auto" w:before="36"/>
        <w:ind w:right="1764"/>
        <w:jc w:val="left"/>
        <w:rPr>
          <w:b w:val="0"/>
          <w:bCs w:val="0"/>
        </w:rPr>
      </w:pPr>
      <w:bookmarkStart w:name="5、控股股东、实际控制人、重组方及其他承诺主体股份限制减持情况" w:id="117"/>
      <w:bookmarkEnd w:id="117"/>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headerReference w:type="default" r:id="rId21"/>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325" w:right="1764"/>
        <w:jc w:val="left"/>
        <w:rPr>
          <w:b w:val="0"/>
          <w:bCs w:val="0"/>
        </w:rPr>
      </w:pPr>
      <w:bookmarkStart w:name="第七节优先股相关情况" w:id="118"/>
      <w:bookmarkEnd w:id="118"/>
      <w:r>
        <w:rPr>
          <w:b w:val="0"/>
          <w:bCs w:val="0"/>
        </w:rPr>
      </w:r>
      <w:bookmarkStart w:name="_bookmark5" w:id="119"/>
      <w:bookmarkEnd w:id="119"/>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57" w:lineRule="auto" w:before="46"/>
        <w:ind w:left="113" w:right="7695"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报告期公司不存在优先股。</w:t>
      </w:r>
    </w:p>
    <w:p>
      <w:pPr>
        <w:spacing w:after="0" w:line="357"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2682" w:right="1764"/>
        <w:jc w:val="left"/>
        <w:rPr>
          <w:b w:val="0"/>
          <w:bCs w:val="0"/>
        </w:rPr>
      </w:pPr>
      <w:bookmarkStart w:name="第八节可转换公司债券相关情况" w:id="120"/>
      <w:bookmarkEnd w:id="120"/>
      <w:r>
        <w:rPr>
          <w:b w:val="0"/>
          <w:bCs w:val="0"/>
        </w:rPr>
      </w:r>
      <w:bookmarkStart w:name="_bookmark6" w:id="121"/>
      <w:bookmarkEnd w:id="121"/>
      <w:r>
        <w:rPr>
          <w:b w:val="0"/>
          <w:bCs w:val="0"/>
        </w:rPr>
      </w:r>
      <w:r>
        <w:rPr/>
        <w:t>第八节可转换公司债券相关情况</w:t>
      </w:r>
      <w:r>
        <w:rPr>
          <w:b w:val="0"/>
          <w:bCs w:val="0"/>
        </w:rPr>
      </w:r>
    </w:p>
    <w:p>
      <w:pPr>
        <w:spacing w:line="240" w:lineRule="auto" w:before="12"/>
        <w:rPr>
          <w:rFonts w:ascii="宋体" w:hAnsi="宋体" w:cs="宋体" w:eastAsia="宋体" w:hint="default"/>
          <w:b/>
          <w:bCs/>
          <w:sz w:val="42"/>
          <w:szCs w:val="42"/>
        </w:rPr>
      </w:pPr>
    </w:p>
    <w:p>
      <w:pPr>
        <w:spacing w:line="357" w:lineRule="auto" w:before="0"/>
        <w:ind w:left="113" w:right="7695"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报告期公司不存在可转换公司债券。</w:t>
      </w:r>
    </w:p>
    <w:p>
      <w:pPr>
        <w:spacing w:after="0" w:line="357"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1717" w:right="1764"/>
        <w:jc w:val="left"/>
        <w:rPr>
          <w:b w:val="0"/>
          <w:bCs w:val="0"/>
        </w:rPr>
      </w:pPr>
      <w:bookmarkStart w:name="第九节董事、监事、高级管理人员和员工情况" w:id="122"/>
      <w:bookmarkEnd w:id="122"/>
      <w:r>
        <w:rPr>
          <w:b w:val="0"/>
          <w:bCs w:val="0"/>
        </w:rPr>
      </w:r>
      <w:bookmarkStart w:name="_bookmark7" w:id="123"/>
      <w:bookmarkEnd w:id="123"/>
      <w:r>
        <w:rPr>
          <w:b w:val="0"/>
          <w:bCs w:val="0"/>
        </w:rPr>
      </w:r>
      <w:r>
        <w:rPr/>
        <w:t>第九节董事、监事、高级管理人员和员工情况</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1764"/>
        <w:jc w:val="left"/>
        <w:rPr>
          <w:b w:val="0"/>
          <w:bCs w:val="0"/>
        </w:rPr>
      </w:pPr>
      <w:bookmarkStart w:name="一、董事、监事和高级管理人员持股变动" w:id="124"/>
      <w:bookmarkEnd w:id="124"/>
      <w:r>
        <w:rPr>
          <w:b w:val="0"/>
          <w:bCs w:val="0"/>
        </w:rPr>
      </w:r>
      <w:r>
        <w:rPr/>
        <w:t>一、董事、监事和高级管理人员持股变动</w:t>
      </w:r>
      <w:r>
        <w:rPr>
          <w:b w:val="0"/>
          <w:bCs w:val="0"/>
        </w:rPr>
      </w:r>
    </w:p>
    <w:p>
      <w:pPr>
        <w:spacing w:line="240" w:lineRule="auto" w:before="5"/>
        <w:rPr>
          <w:rFonts w:ascii="宋体" w:hAnsi="宋体" w:cs="宋体" w:eastAsia="宋体" w:hint="default"/>
          <w:b/>
          <w:bCs/>
          <w:sz w:val="26"/>
          <w:szCs w:val="26"/>
        </w:rPr>
      </w:pPr>
    </w:p>
    <w:tbl>
      <w:tblPr>
        <w:tblW w:w="0" w:type="auto"/>
        <w:jc w:val="left"/>
        <w:tblInd w:w="108" w:type="dxa"/>
        <w:tblLayout w:type="fixed"/>
        <w:tblCellMar>
          <w:top w:w="0" w:type="dxa"/>
          <w:left w:w="0" w:type="dxa"/>
          <w:bottom w:w="0" w:type="dxa"/>
          <w:right w:w="0" w:type="dxa"/>
        </w:tblCellMar>
        <w:tblLook w:val="01E0"/>
      </w:tblPr>
      <w:tblGrid>
        <w:gridCol w:w="797"/>
        <w:gridCol w:w="797"/>
        <w:gridCol w:w="797"/>
        <w:gridCol w:w="797"/>
        <w:gridCol w:w="802"/>
        <w:gridCol w:w="797"/>
        <w:gridCol w:w="797"/>
        <w:gridCol w:w="797"/>
        <w:gridCol w:w="797"/>
        <w:gridCol w:w="802"/>
        <w:gridCol w:w="797"/>
        <w:gridCol w:w="797"/>
      </w:tblGrid>
      <w:tr>
        <w:trPr>
          <w:trHeight w:val="133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30"/>
              <w:ind w:left="307" w:right="118" w:hanging="183"/>
              <w:jc w:val="left"/>
              <w:rPr>
                <w:rFonts w:ascii="宋体" w:hAnsi="宋体" w:cs="宋体" w:eastAsia="宋体" w:hint="default"/>
                <w:sz w:val="18"/>
                <w:szCs w:val="18"/>
              </w:rPr>
            </w:pPr>
            <w:r>
              <w:rPr>
                <w:rFonts w:ascii="宋体" w:hAnsi="宋体" w:cs="宋体" w:eastAsia="宋体" w:hint="default"/>
                <w:sz w:val="18"/>
                <w:szCs w:val="18"/>
              </w:rPr>
              <w:t>任职状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30"/>
              <w:ind w:left="119" w:right="123"/>
              <w:jc w:val="left"/>
              <w:rPr>
                <w:rFonts w:ascii="宋体" w:hAnsi="宋体" w:cs="宋体" w:eastAsia="宋体" w:hint="default"/>
                <w:sz w:val="18"/>
                <w:szCs w:val="18"/>
              </w:rPr>
            </w:pPr>
            <w:r>
              <w:rPr>
                <w:rFonts w:ascii="宋体" w:hAnsi="宋体" w:cs="宋体" w:eastAsia="宋体" w:hint="default"/>
                <w:sz w:val="18"/>
                <w:szCs w:val="18"/>
              </w:rPr>
              <w:t>任期起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始日期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30"/>
              <w:ind w:left="119" w:right="122"/>
              <w:jc w:val="left"/>
              <w:rPr>
                <w:rFonts w:ascii="宋体" w:hAnsi="宋体" w:cs="宋体" w:eastAsia="宋体" w:hint="default"/>
                <w:sz w:val="18"/>
                <w:szCs w:val="18"/>
              </w:rPr>
            </w:pPr>
            <w:r>
              <w:rPr>
                <w:rFonts w:ascii="宋体" w:hAnsi="宋体" w:cs="宋体" w:eastAsia="宋体" w:hint="default"/>
                <w:sz w:val="18"/>
                <w:szCs w:val="18"/>
              </w:rPr>
              <w:t>任期终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止日期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2" w:lineRule="auto"/>
              <w:ind w:left="216" w:right="118" w:hanging="92"/>
              <w:jc w:val="left"/>
              <w:rPr>
                <w:rFonts w:ascii="宋体" w:hAnsi="宋体" w:cs="宋体" w:eastAsia="宋体" w:hint="default"/>
                <w:sz w:val="18"/>
                <w:szCs w:val="18"/>
              </w:rPr>
            </w:pPr>
            <w:r>
              <w:rPr>
                <w:rFonts w:ascii="宋体" w:hAnsi="宋体" w:cs="宋体" w:eastAsia="宋体" w:hint="default"/>
                <w:sz w:val="18"/>
                <w:szCs w:val="18"/>
              </w:rPr>
              <w:t>期初持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股数</w:t>
            </w:r>
          </w:p>
          <w:p>
            <w:pPr>
              <w:pStyle w:val="TableParagraph"/>
              <w:spacing w:line="240" w:lineRule="auto" w:before="27"/>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4" w:right="118"/>
              <w:jc w:val="both"/>
              <w:rPr>
                <w:rFonts w:ascii="宋体" w:hAnsi="宋体" w:cs="宋体" w:eastAsia="宋体" w:hint="default"/>
                <w:sz w:val="18"/>
                <w:szCs w:val="18"/>
              </w:rPr>
            </w:pPr>
            <w:r>
              <w:rPr>
                <w:rFonts w:ascii="宋体" w:hAnsi="宋体" w:cs="宋体" w:eastAsia="宋体" w:hint="default"/>
                <w:sz w:val="18"/>
                <w:szCs w:val="18"/>
              </w:rPr>
              <w:t>本期增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数量</w:t>
            </w:r>
          </w:p>
          <w:p>
            <w:pPr>
              <w:pStyle w:val="TableParagraph"/>
              <w:spacing w:line="240" w:lineRule="auto" w:before="23"/>
              <w:ind w:left="124" w:right="0"/>
              <w:jc w:val="both"/>
              <w:rPr>
                <w:rFonts w:ascii="宋体" w:hAnsi="宋体" w:cs="宋体" w:eastAsia="宋体" w:hint="default"/>
                <w:sz w:val="18"/>
                <w:szCs w:val="18"/>
              </w:rPr>
            </w:pPr>
            <w:r>
              <w:rPr>
                <w:rFonts w:ascii="宋体" w:hAnsi="宋体" w:cs="宋体" w:eastAsia="宋体" w:hint="default"/>
                <w:sz w:val="18"/>
                <w:szCs w:val="18"/>
              </w:rPr>
              <w:t>（股）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4" w:right="122"/>
              <w:jc w:val="both"/>
              <w:rPr>
                <w:rFonts w:ascii="宋体" w:hAnsi="宋体" w:cs="宋体" w:eastAsia="宋体" w:hint="default"/>
                <w:sz w:val="18"/>
                <w:szCs w:val="18"/>
              </w:rPr>
            </w:pPr>
            <w:r>
              <w:rPr>
                <w:rFonts w:ascii="宋体" w:hAnsi="宋体" w:cs="宋体" w:eastAsia="宋体" w:hint="default"/>
                <w:sz w:val="18"/>
                <w:szCs w:val="18"/>
              </w:rPr>
              <w:t>本期减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数量</w:t>
            </w:r>
          </w:p>
          <w:p>
            <w:pPr>
              <w:pStyle w:val="TableParagraph"/>
              <w:spacing w:line="240" w:lineRule="auto" w:before="23"/>
              <w:ind w:left="124"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2" w:lineRule="auto"/>
              <w:ind w:left="119" w:right="123"/>
              <w:jc w:val="left"/>
              <w:rPr>
                <w:rFonts w:ascii="宋体" w:hAnsi="宋体" w:cs="宋体" w:eastAsia="宋体" w:hint="default"/>
                <w:sz w:val="18"/>
                <w:szCs w:val="18"/>
              </w:rPr>
            </w:pPr>
            <w:r>
              <w:rPr>
                <w:rFonts w:ascii="宋体" w:hAnsi="宋体" w:cs="宋体" w:eastAsia="宋体" w:hint="default"/>
                <w:sz w:val="18"/>
                <w:szCs w:val="18"/>
              </w:rPr>
              <w:t>其他增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减变动</w:t>
            </w:r>
          </w:p>
          <w:p>
            <w:pPr>
              <w:pStyle w:val="TableParagraph"/>
              <w:spacing w:line="240" w:lineRule="auto" w:before="27"/>
              <w:ind w:left="11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2" w:lineRule="auto"/>
              <w:ind w:left="216" w:right="117" w:hanging="92"/>
              <w:jc w:val="left"/>
              <w:rPr>
                <w:rFonts w:ascii="宋体" w:hAnsi="宋体" w:cs="宋体" w:eastAsia="宋体" w:hint="default"/>
                <w:sz w:val="18"/>
                <w:szCs w:val="18"/>
              </w:rPr>
            </w:pPr>
            <w:r>
              <w:rPr>
                <w:rFonts w:ascii="宋体" w:hAnsi="宋体" w:cs="宋体" w:eastAsia="宋体" w:hint="default"/>
                <w:sz w:val="18"/>
                <w:szCs w:val="18"/>
              </w:rPr>
              <w:t>期末持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股数</w:t>
            </w:r>
          </w:p>
          <w:p>
            <w:pPr>
              <w:pStyle w:val="TableParagraph"/>
              <w:spacing w:line="240" w:lineRule="auto" w:before="27"/>
              <w:ind w:left="124"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 </w:t>
            </w:r>
            <w:r>
              <w:rPr>
                <w:rFonts w:ascii="宋体" w:hAnsi="宋体" w:cs="宋体" w:eastAsia="宋体" w:hint="default"/>
                <w:sz w:val="18"/>
                <w:szCs w:val="18"/>
              </w:rPr>
              <w:t>年</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40,555,</w:t>
            </w:r>
          </w:p>
          <w:p>
            <w:pPr>
              <w:pStyle w:val="TableParagraph"/>
              <w:spacing w:line="240" w:lineRule="auto" w:before="105"/>
              <w:ind w:left="418" w:right="0"/>
              <w:jc w:val="left"/>
              <w:rPr>
                <w:rFonts w:ascii="Times New Roman" w:hAnsi="Times New Roman" w:cs="Times New Roman" w:eastAsia="Times New Roman" w:hint="default"/>
                <w:sz w:val="18"/>
                <w:szCs w:val="18"/>
              </w:rPr>
            </w:pPr>
            <w:r>
              <w:rPr>
                <w:rFonts w:ascii="Times New Roman"/>
                <w:sz w:val="18"/>
              </w:rPr>
              <w:t>964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508" w:right="0"/>
              <w:jc w:val="lef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24,381,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808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58,937,</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772</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sz w:val="18"/>
                <w:szCs w:val="18"/>
              </w:rPr>
              <w:t>苗逢源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苗逢源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105" w:right="137"/>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陈鲁康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37"/>
              <w:jc w:val="both"/>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副总经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13,554,</w:t>
            </w:r>
          </w:p>
          <w:p>
            <w:pPr>
              <w:pStyle w:val="TableParagraph"/>
              <w:spacing w:line="240" w:lineRule="auto" w:before="105"/>
              <w:ind w:left="418"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8,148,5</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21,702,</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518</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陈兵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240" w:lineRule="auto" w:before="6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21,574,</w:t>
            </w:r>
          </w:p>
          <w:p>
            <w:pPr>
              <w:pStyle w:val="TableParagraph"/>
              <w:spacing w:line="240" w:lineRule="auto" w:before="105"/>
              <w:ind w:left="418" w:right="0"/>
              <w:jc w:val="left"/>
              <w:rPr>
                <w:rFonts w:ascii="Times New Roman" w:hAnsi="Times New Roman" w:cs="Times New Roman" w:eastAsia="Times New Roman" w:hint="default"/>
                <w:sz w:val="18"/>
                <w:szCs w:val="18"/>
              </w:rPr>
            </w:pPr>
            <w:r>
              <w:rPr>
                <w:rFonts w:ascii="Times New Roman"/>
                <w:sz w:val="18"/>
              </w:rPr>
              <w:t>957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12,970,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34,545,</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588</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李谦益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37"/>
              <w:jc w:val="both"/>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副总经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9,039,1</w:t>
            </w:r>
          </w:p>
          <w:p>
            <w:pPr>
              <w:pStyle w:val="TableParagraph"/>
              <w:spacing w:line="240" w:lineRule="auto" w:before="105"/>
              <w:ind w:left="509" w:right="0"/>
              <w:jc w:val="lef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4,961,0</w:t>
            </w:r>
          </w:p>
          <w:p>
            <w:pPr>
              <w:pStyle w:val="TableParagraph"/>
              <w:spacing w:line="240" w:lineRule="auto" w:before="105"/>
              <w:ind w:left="508" w:right="0"/>
              <w:jc w:val="lef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5,434,2</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9,512,3</w:t>
            </w:r>
          </w:p>
          <w:p>
            <w:pPr>
              <w:pStyle w:val="TableParagraph"/>
              <w:spacing w:line="240" w:lineRule="auto" w:before="105"/>
              <w:ind w:left="508" w:right="0"/>
              <w:jc w:val="left"/>
              <w:rPr>
                <w:rFonts w:ascii="Times New Roman" w:hAnsi="Times New Roman" w:cs="Times New Roman" w:eastAsia="Times New Roman" w:hint="default"/>
                <w:sz w:val="18"/>
                <w:szCs w:val="18"/>
              </w:rPr>
            </w:pPr>
            <w:r>
              <w:rPr>
                <w:rFonts w:ascii="Times New Roman"/>
                <w:sz w:val="18"/>
              </w:rPr>
              <w:t>58</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sz w:val="18"/>
                <w:szCs w:val="18"/>
              </w:rPr>
              <w:t>谢晓宾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13,236,</w:t>
            </w:r>
          </w:p>
          <w:p>
            <w:pPr>
              <w:pStyle w:val="TableParagraph"/>
              <w:spacing w:line="240" w:lineRule="auto" w:before="110"/>
              <w:ind w:left="418"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1,971,7</w:t>
            </w:r>
          </w:p>
          <w:p>
            <w:pPr>
              <w:pStyle w:val="TableParagraph"/>
              <w:spacing w:line="240" w:lineRule="auto" w:before="110"/>
              <w:ind w:left="508" w:right="0"/>
              <w:jc w:val="left"/>
              <w:rPr>
                <w:rFonts w:ascii="Times New Roman" w:hAnsi="Times New Roman" w:cs="Times New Roman" w:eastAsia="Times New Roman" w:hint="default"/>
                <w:sz w:val="18"/>
                <w:szCs w:val="18"/>
              </w:rPr>
            </w:pPr>
            <w:r>
              <w:rPr>
                <w:rFonts w:ascii="Times New Roman"/>
                <w:sz w:val="18"/>
              </w:rPr>
              <w:t>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7,957,3</w:t>
            </w:r>
          </w:p>
          <w:p>
            <w:pPr>
              <w:pStyle w:val="TableParagraph"/>
              <w:spacing w:line="240" w:lineRule="auto" w:before="110"/>
              <w:ind w:left="504" w:right="0"/>
              <w:jc w:val="lef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19,221,</w:t>
            </w:r>
          </w:p>
          <w:p>
            <w:pPr>
              <w:pStyle w:val="TableParagraph"/>
              <w:spacing w:line="240" w:lineRule="auto" w:before="110"/>
              <w:ind w:left="417" w:right="0"/>
              <w:jc w:val="left"/>
              <w:rPr>
                <w:rFonts w:ascii="Times New Roman" w:hAnsi="Times New Roman" w:cs="Times New Roman" w:eastAsia="Times New Roman" w:hint="default"/>
                <w:sz w:val="18"/>
                <w:szCs w:val="18"/>
              </w:rPr>
            </w:pPr>
            <w:r>
              <w:rPr>
                <w:rFonts w:ascii="Times New Roman"/>
                <w:sz w:val="18"/>
              </w:rPr>
              <w:t>633</w:t>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汪东升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37"/>
              <w:jc w:val="both"/>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常务副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1,215,2</w:t>
            </w:r>
          </w:p>
          <w:p>
            <w:pPr>
              <w:pStyle w:val="TableParagraph"/>
              <w:spacing w:line="240" w:lineRule="auto" w:before="105"/>
              <w:ind w:left="509" w:right="0"/>
              <w:jc w:val="lef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486,46</w:t>
            </w:r>
          </w:p>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730,59</w:t>
            </w:r>
          </w:p>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1,459,3</w:t>
            </w:r>
          </w:p>
          <w:p>
            <w:pPr>
              <w:pStyle w:val="TableParagraph"/>
              <w:spacing w:line="240" w:lineRule="auto" w:before="105"/>
              <w:ind w:left="508" w:right="0"/>
              <w:jc w:val="left"/>
              <w:rPr>
                <w:rFonts w:ascii="Times New Roman" w:hAnsi="Times New Roman" w:cs="Times New Roman" w:eastAsia="Times New Roman" w:hint="default"/>
                <w:sz w:val="18"/>
                <w:szCs w:val="18"/>
              </w:rPr>
            </w:pPr>
            <w:r>
              <w:rPr>
                <w:rFonts w:ascii="Times New Roman"/>
                <w:sz w:val="18"/>
              </w:rPr>
              <w:t>88</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盛宝军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105" w:right="137"/>
              <w:jc w:val="left"/>
              <w:rPr>
                <w:rFonts w:ascii="宋体" w:hAnsi="宋体" w:cs="宋体" w:eastAsia="宋体" w:hint="default"/>
                <w:sz w:val="18"/>
                <w:szCs w:val="18"/>
              </w:rPr>
            </w:pPr>
            <w:r>
              <w:rPr>
                <w:rFonts w:ascii="宋体" w:hAnsi="宋体" w:cs="宋体" w:eastAsia="宋体" w:hint="default"/>
                <w:sz w:val="18"/>
                <w:szCs w:val="18"/>
              </w:rPr>
              <w:t>独立董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sz w:val="18"/>
                <w:szCs w:val="18"/>
              </w:rPr>
              <w:t>梁金华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105" w:right="137"/>
              <w:jc w:val="left"/>
              <w:rPr>
                <w:rFonts w:ascii="宋体" w:hAnsi="宋体" w:cs="宋体" w:eastAsia="宋体" w:hint="default"/>
                <w:sz w:val="18"/>
                <w:szCs w:val="18"/>
              </w:rPr>
            </w:pPr>
            <w:r>
              <w:rPr>
                <w:rFonts w:ascii="宋体" w:hAnsi="宋体" w:cs="宋体" w:eastAsia="宋体" w:hint="default"/>
                <w:sz w:val="18"/>
                <w:szCs w:val="18"/>
              </w:rPr>
              <w:t>独立董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797"/>
        <w:gridCol w:w="797"/>
        <w:gridCol w:w="797"/>
        <w:gridCol w:w="797"/>
        <w:gridCol w:w="802"/>
        <w:gridCol w:w="797"/>
        <w:gridCol w:w="797"/>
        <w:gridCol w:w="797"/>
        <w:gridCol w:w="797"/>
        <w:gridCol w:w="802"/>
        <w:gridCol w:w="797"/>
        <w:gridCol w:w="797"/>
      </w:tblGrid>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郑飞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5" w:right="137"/>
              <w:jc w:val="left"/>
              <w:rPr>
                <w:rFonts w:ascii="宋体" w:hAnsi="宋体" w:cs="宋体" w:eastAsia="宋体" w:hint="default"/>
                <w:sz w:val="18"/>
                <w:szCs w:val="18"/>
              </w:rPr>
            </w:pPr>
            <w:r>
              <w:rPr>
                <w:rFonts w:ascii="宋体" w:hAnsi="宋体" w:cs="宋体" w:eastAsia="宋体" w:hint="default"/>
                <w:sz w:val="18"/>
                <w:szCs w:val="18"/>
              </w:rPr>
              <w:t>独立董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张卫华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105" w:right="137"/>
              <w:jc w:val="left"/>
              <w:rPr>
                <w:rFonts w:ascii="宋体" w:hAnsi="宋体" w:cs="宋体" w:eastAsia="宋体" w:hint="default"/>
                <w:sz w:val="18"/>
                <w:szCs w:val="18"/>
              </w:rPr>
            </w:pPr>
            <w:r>
              <w:rPr>
                <w:rFonts w:ascii="宋体" w:hAnsi="宋体" w:cs="宋体" w:eastAsia="宋体" w:hint="default"/>
                <w:sz w:val="18"/>
                <w:szCs w:val="18"/>
              </w:rPr>
              <w:t>独立董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戴昌久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105" w:right="137"/>
              <w:jc w:val="left"/>
              <w:rPr>
                <w:rFonts w:ascii="宋体" w:hAnsi="宋体" w:cs="宋体" w:eastAsia="宋体" w:hint="default"/>
                <w:sz w:val="18"/>
                <w:szCs w:val="18"/>
              </w:rPr>
            </w:pPr>
            <w:r>
              <w:rPr>
                <w:rFonts w:ascii="宋体" w:hAnsi="宋体" w:cs="宋体" w:eastAsia="宋体" w:hint="default"/>
                <w:sz w:val="18"/>
                <w:szCs w:val="18"/>
              </w:rPr>
              <w:t>独立董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谢波峰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5" w:right="137"/>
              <w:jc w:val="left"/>
              <w:rPr>
                <w:rFonts w:ascii="宋体" w:hAnsi="宋体" w:cs="宋体" w:eastAsia="宋体" w:hint="default"/>
                <w:sz w:val="18"/>
                <w:szCs w:val="18"/>
              </w:rPr>
            </w:pPr>
            <w:r>
              <w:rPr>
                <w:rFonts w:ascii="宋体" w:hAnsi="宋体" w:cs="宋体" w:eastAsia="宋体" w:hint="default"/>
                <w:sz w:val="18"/>
                <w:szCs w:val="18"/>
              </w:rPr>
              <w:t>独立董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杨文庆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105" w:right="137"/>
              <w:jc w:val="left"/>
              <w:rPr>
                <w:rFonts w:ascii="宋体" w:hAnsi="宋体" w:cs="宋体" w:eastAsia="宋体" w:hint="default"/>
                <w:sz w:val="18"/>
                <w:szCs w:val="18"/>
              </w:rPr>
            </w:pPr>
            <w:r>
              <w:rPr>
                <w:rFonts w:ascii="宋体" w:hAnsi="宋体" w:cs="宋体" w:eastAsia="宋体" w:hint="default"/>
                <w:sz w:val="18"/>
                <w:szCs w:val="18"/>
              </w:rPr>
              <w:t>监事会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8,940,0</w:t>
            </w:r>
          </w:p>
          <w:p>
            <w:pPr>
              <w:pStyle w:val="TableParagraph"/>
              <w:spacing w:line="240" w:lineRule="auto" w:before="105"/>
              <w:ind w:left="509" w:right="0"/>
              <w:jc w:val="lef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5,374,6</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14,314,</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632</w:t>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张媛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105" w:right="137"/>
              <w:jc w:val="left"/>
              <w:rPr>
                <w:rFonts w:ascii="宋体" w:hAnsi="宋体" w:cs="宋体" w:eastAsia="宋体" w:hint="default"/>
                <w:sz w:val="18"/>
                <w:szCs w:val="18"/>
              </w:rPr>
            </w:pPr>
            <w:r>
              <w:rPr>
                <w:rFonts w:ascii="宋体" w:hAnsi="宋体" w:cs="宋体" w:eastAsia="宋体" w:hint="default"/>
                <w:sz w:val="18"/>
                <w:szCs w:val="18"/>
              </w:rPr>
              <w:t>监事会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207,45</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124,72</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332,18</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代静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梁凌琳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肖征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林容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105" w:right="137"/>
              <w:jc w:val="left"/>
              <w:rPr>
                <w:rFonts w:ascii="宋体" w:hAnsi="宋体" w:cs="宋体" w:eastAsia="宋体" w:hint="default"/>
                <w:sz w:val="18"/>
                <w:szCs w:val="18"/>
              </w:rPr>
            </w:pPr>
            <w:r>
              <w:rPr>
                <w:rFonts w:ascii="宋体" w:hAnsi="宋体" w:cs="宋体" w:eastAsia="宋体" w:hint="default"/>
                <w:sz w:val="18"/>
                <w:szCs w:val="18"/>
              </w:rPr>
              <w:t>副总经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261,37</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100,87</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157,13</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317,63</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管四新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5" w:right="137"/>
              <w:jc w:val="left"/>
              <w:rPr>
                <w:rFonts w:ascii="宋体" w:hAnsi="宋体" w:cs="宋体" w:eastAsia="宋体" w:hint="default"/>
                <w:sz w:val="18"/>
                <w:szCs w:val="18"/>
              </w:rPr>
            </w:pPr>
            <w:r>
              <w:rPr>
                <w:rFonts w:ascii="宋体" w:hAnsi="宋体" w:cs="宋体" w:eastAsia="宋体" w:hint="default"/>
                <w:sz w:val="18"/>
                <w:szCs w:val="18"/>
              </w:rPr>
              <w:t>副总经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84,500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33,800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101,50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代峰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5" w:right="137"/>
              <w:jc w:val="left"/>
              <w:rPr>
                <w:rFonts w:ascii="宋体" w:hAnsi="宋体" w:cs="宋体" w:eastAsia="宋体" w:hint="default"/>
                <w:sz w:val="18"/>
                <w:szCs w:val="18"/>
              </w:rPr>
            </w:pPr>
            <w:r>
              <w:rPr>
                <w:rFonts w:ascii="宋体" w:hAnsi="宋体" w:cs="宋体" w:eastAsia="宋体" w:hint="default"/>
                <w:sz w:val="18"/>
                <w:szCs w:val="18"/>
              </w:rPr>
              <w:t>副总经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210,00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242,10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罗赞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105" w:right="137"/>
              <w:jc w:val="left"/>
              <w:rPr>
                <w:rFonts w:ascii="宋体" w:hAnsi="宋体" w:cs="宋体" w:eastAsia="宋体" w:hint="default"/>
                <w:sz w:val="18"/>
                <w:szCs w:val="18"/>
              </w:rPr>
            </w:pPr>
            <w:r>
              <w:rPr>
                <w:rFonts w:ascii="宋体" w:hAnsi="宋体" w:cs="宋体" w:eastAsia="宋体" w:hint="default"/>
                <w:sz w:val="18"/>
                <w:szCs w:val="18"/>
              </w:rPr>
              <w:t>副总经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78,800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47,374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94,674</w:t>
            </w: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副总经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4"/>
              <w:jc w:val="right"/>
              <w:rPr>
                <w:rFonts w:ascii="Times New Roman" w:hAnsi="Times New Roman" w:cs="Times New Roman" w:eastAsia="Times New Roman" w:hint="default"/>
                <w:sz w:val="18"/>
                <w:szCs w:val="18"/>
              </w:rPr>
            </w:pPr>
            <w:r>
              <w:rPr>
                <w:rFonts w:ascii="Times New Roman"/>
                <w:spacing w:val="-1"/>
                <w:sz w:val="18"/>
              </w:rPr>
              <w:t>480,46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pacing w:val="-1"/>
                <w:sz w:val="18"/>
              </w:rPr>
              <w:t>192,30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9"/>
              <w:jc w:val="right"/>
              <w:rPr>
                <w:rFonts w:ascii="Times New Roman" w:hAnsi="Times New Roman" w:cs="Times New Roman" w:eastAsia="Times New Roman" w:hint="default"/>
                <w:sz w:val="18"/>
                <w:szCs w:val="18"/>
              </w:rPr>
            </w:pPr>
            <w:r>
              <w:rPr>
                <w:rFonts w:ascii="Times New Roman"/>
                <w:spacing w:val="-1"/>
                <w:sz w:val="18"/>
              </w:rPr>
              <w:t>288,85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3"/>
              <w:jc w:val="right"/>
              <w:rPr>
                <w:rFonts w:ascii="Times New Roman" w:hAnsi="Times New Roman" w:cs="Times New Roman" w:eastAsia="Times New Roman" w:hint="default"/>
                <w:sz w:val="18"/>
                <w:szCs w:val="18"/>
              </w:rPr>
            </w:pPr>
            <w:r>
              <w:rPr>
                <w:rFonts w:ascii="Times New Roman"/>
                <w:spacing w:val="-1"/>
                <w:sz w:val="18"/>
              </w:rPr>
              <w:t>577,01</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797"/>
        <w:gridCol w:w="797"/>
        <w:gridCol w:w="797"/>
        <w:gridCol w:w="797"/>
        <w:gridCol w:w="802"/>
        <w:gridCol w:w="797"/>
        <w:gridCol w:w="797"/>
        <w:gridCol w:w="797"/>
        <w:gridCol w:w="797"/>
        <w:gridCol w:w="802"/>
        <w:gridCol w:w="797"/>
        <w:gridCol w:w="797"/>
      </w:tblGrid>
      <w:tr>
        <w:trPr>
          <w:trHeight w:val="984" w:hRule="exact"/>
        </w:trPr>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5" w:right="137"/>
              <w:jc w:val="both"/>
              <w:rPr>
                <w:rFonts w:ascii="宋体" w:hAnsi="宋体" w:cs="宋体" w:eastAsia="宋体" w:hint="default"/>
                <w:sz w:val="18"/>
                <w:szCs w:val="18"/>
              </w:rPr>
            </w:pPr>
            <w:r>
              <w:rPr>
                <w:rFonts w:ascii="宋体" w:hAnsi="宋体" w:cs="宋体" w:eastAsia="宋体" w:hint="default"/>
                <w:sz w:val="18"/>
                <w:szCs w:val="18"/>
              </w:rPr>
              <w:t>理、董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事会秘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书</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钱文胜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105" w:right="137"/>
              <w:jc w:val="left"/>
              <w:rPr>
                <w:rFonts w:ascii="宋体" w:hAnsi="宋体" w:cs="宋体" w:eastAsia="宋体" w:hint="default"/>
                <w:sz w:val="18"/>
                <w:szCs w:val="18"/>
              </w:rPr>
            </w:pPr>
            <w:r>
              <w:rPr>
                <w:rFonts w:ascii="宋体" w:hAnsi="宋体" w:cs="宋体" w:eastAsia="宋体" w:hint="default"/>
                <w:sz w:val="18"/>
                <w:szCs w:val="18"/>
              </w:rPr>
              <w:t>财务总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315"/>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42,083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112,083</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赵影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5" w:right="137"/>
              <w:jc w:val="left"/>
              <w:rPr>
                <w:rFonts w:ascii="宋体" w:hAnsi="宋体" w:cs="宋体" w:eastAsia="宋体" w:hint="default"/>
                <w:sz w:val="18"/>
                <w:szCs w:val="18"/>
              </w:rPr>
            </w:pPr>
            <w:r>
              <w:rPr>
                <w:rFonts w:ascii="宋体" w:hAnsi="宋体" w:cs="宋体" w:eastAsia="宋体" w:hint="default"/>
                <w:sz w:val="18"/>
                <w:szCs w:val="18"/>
              </w:rPr>
              <w:t>副总经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315"/>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34"/>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2" w:right="0"/>
              <w:jc w:val="left"/>
              <w:rPr>
                <w:rFonts w:ascii="Times New Roman" w:hAnsi="Times New Roman" w:cs="Times New Roman" w:eastAsia="Times New Roman" w:hint="default"/>
                <w:sz w:val="18"/>
                <w:szCs w:val="18"/>
              </w:rPr>
            </w:pPr>
            <w:r>
              <w:rPr>
                <w:rFonts w:ascii="Times New Roman"/>
                <w:sz w:val="18"/>
              </w:rPr>
              <w:t>109,50</w:t>
            </w:r>
          </w:p>
          <w:p>
            <w:pPr>
              <w:pStyle w:val="TableParagraph"/>
              <w:spacing w:line="240" w:lineRule="auto" w:before="105"/>
              <w:ind w:left="283" w:right="0"/>
              <w:jc w:val="left"/>
              <w:rPr>
                <w:rFonts w:ascii="Times New Roman" w:hAnsi="Times New Roman" w:cs="Times New Roman" w:eastAsia="Times New Roman" w:hint="default"/>
                <w:sz w:val="18"/>
                <w:szCs w:val="18"/>
              </w:rPr>
            </w:pPr>
            <w:r>
              <w:rPr>
                <w:rFonts w:ascii="Times New Roman"/>
                <w:sz w:val="18"/>
              </w:rPr>
              <w:t>7,938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13,777,</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701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3" w:right="0"/>
              <w:jc w:val="left"/>
              <w:rPr>
                <w:rFonts w:ascii="Times New Roman" w:hAnsi="Times New Roman" w:cs="Times New Roman" w:eastAsia="Times New Roman" w:hint="default"/>
                <w:sz w:val="18"/>
                <w:szCs w:val="18"/>
              </w:rPr>
            </w:pPr>
            <w:r>
              <w:rPr>
                <w:rFonts w:ascii="Times New Roman"/>
                <w:sz w:val="18"/>
              </w:rPr>
              <w:t>65,740,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2" w:right="0"/>
              <w:jc w:val="left"/>
              <w:rPr>
                <w:rFonts w:ascii="Times New Roman" w:hAnsi="Times New Roman" w:cs="Times New Roman" w:eastAsia="Times New Roman" w:hint="default"/>
                <w:sz w:val="18"/>
                <w:szCs w:val="18"/>
              </w:rPr>
            </w:pPr>
            <w:r>
              <w:rPr>
                <w:rFonts w:ascii="Times New Roman"/>
                <w:sz w:val="18"/>
              </w:rPr>
              <w:t>161,47</w:t>
            </w:r>
          </w:p>
          <w:p>
            <w:pPr>
              <w:pStyle w:val="TableParagraph"/>
              <w:spacing w:line="240" w:lineRule="auto" w:before="105"/>
              <w:ind w:left="283" w:right="0"/>
              <w:jc w:val="left"/>
              <w:rPr>
                <w:rFonts w:ascii="Times New Roman" w:hAnsi="Times New Roman" w:cs="Times New Roman" w:eastAsia="Times New Roman" w:hint="default"/>
                <w:sz w:val="18"/>
                <w:szCs w:val="18"/>
              </w:rPr>
            </w:pPr>
            <w:r>
              <w:rPr>
                <w:rFonts w:ascii="Times New Roman"/>
                <w:sz w:val="18"/>
              </w:rPr>
              <w:t>1,078</w:t>
            </w:r>
          </w:p>
        </w:tc>
      </w:tr>
    </w:tbl>
    <w:p>
      <w:pPr>
        <w:spacing w:line="240" w:lineRule="auto" w:before="1"/>
        <w:rPr>
          <w:rFonts w:ascii="Times New Roman" w:hAnsi="Times New Roman" w:cs="Times New Roman" w:eastAsia="Times New Roman" w:hint="default"/>
          <w:sz w:val="20"/>
          <w:szCs w:val="20"/>
        </w:rPr>
      </w:pPr>
    </w:p>
    <w:p>
      <w:pPr>
        <w:pStyle w:val="Heading2"/>
        <w:spacing w:line="240" w:lineRule="auto" w:before="26"/>
        <w:ind w:right="1764"/>
        <w:jc w:val="left"/>
        <w:rPr>
          <w:b w:val="0"/>
          <w:bCs w:val="0"/>
        </w:rPr>
      </w:pPr>
      <w:bookmarkStart w:name="二、公司董事、监事、高级管理人员变动情况" w:id="125"/>
      <w:bookmarkEnd w:id="125"/>
      <w:r>
        <w:rPr>
          <w:b w:val="0"/>
          <w:bCs w:val="0"/>
        </w:rPr>
      </w:r>
      <w:r>
        <w:rPr/>
        <w:t>二、公司董事、监事、高级管理人员变动情况</w:t>
      </w:r>
      <w:r>
        <w:rPr>
          <w:b w:val="0"/>
          <w:bCs w:val="0"/>
        </w:rPr>
      </w:r>
    </w:p>
    <w:p>
      <w:pPr>
        <w:spacing w:line="240" w:lineRule="auto" w:before="3"/>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代峰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离开公司</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梁凌琳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离开公司</w:t>
            </w:r>
          </w:p>
        </w:tc>
      </w:tr>
    </w:tbl>
    <w:p>
      <w:pPr>
        <w:spacing w:line="240" w:lineRule="auto" w:before="9"/>
        <w:rPr>
          <w:rFonts w:ascii="宋体" w:hAnsi="宋体" w:cs="宋体" w:eastAsia="宋体" w:hint="default"/>
          <w:sz w:val="17"/>
          <w:szCs w:val="17"/>
        </w:rPr>
      </w:pPr>
    </w:p>
    <w:p>
      <w:pPr>
        <w:pStyle w:val="Heading2"/>
        <w:spacing w:line="240" w:lineRule="auto" w:before="26"/>
        <w:ind w:right="1764"/>
        <w:jc w:val="left"/>
        <w:rPr>
          <w:b w:val="0"/>
          <w:bCs w:val="0"/>
        </w:rPr>
      </w:pPr>
      <w:bookmarkStart w:name="三、任职情况" w:id="126"/>
      <w:bookmarkEnd w:id="126"/>
      <w:r>
        <w:rPr>
          <w:b w:val="0"/>
          <w:bCs w:val="0"/>
        </w:rPr>
      </w:r>
      <w:r>
        <w:rPr/>
        <w:t>三、任职情况</w:t>
      </w:r>
      <w:r>
        <w:rPr>
          <w:b w:val="0"/>
          <w:bCs w:val="0"/>
        </w:rPr>
      </w:r>
    </w:p>
    <w:p>
      <w:pPr>
        <w:spacing w:line="240" w:lineRule="auto" w:before="3"/>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公司现任董事、监事、高级管理人员专业背景、主要工作经历以及目前在公司的主要职责</w:t>
      </w:r>
    </w:p>
    <w:p>
      <w:pPr>
        <w:pStyle w:val="BodyText"/>
        <w:spacing w:line="256" w:lineRule="auto" w:before="84"/>
        <w:ind w:left="473" w:right="1007" w:hanging="360"/>
        <w:jc w:val="left"/>
      </w:pPr>
      <w:r>
        <w:rPr>
          <w:rFonts w:ascii="Times New Roman" w:hAnsi="Times New Roman" w:cs="Times New Roman" w:eastAsia="Times New Roman" w:hint="default"/>
          <w:b/>
          <w:bCs/>
        </w:rPr>
        <w:t>1</w:t>
      </w:r>
      <w:r>
        <w:rPr>
          <w:rFonts w:ascii="宋体" w:hAnsi="宋体" w:cs="宋体" w:eastAsia="宋体" w:hint="default"/>
          <w:b/>
          <w:bCs/>
        </w:rPr>
        <w:t>、董事会成员</w:t>
      </w:r>
      <w:r>
        <w:rPr>
          <w:rFonts w:ascii="宋体" w:hAnsi="宋体" w:cs="宋体" w:eastAsia="宋体" w:hint="default"/>
          <w:b/>
          <w:bCs/>
          <w:spacing w:val="-103"/>
        </w:rPr>
        <w:t> </w:t>
      </w:r>
      <w:r>
        <w:rPr>
          <w:rFonts w:ascii="宋体" w:hAnsi="宋体" w:cs="宋体" w:eastAsia="宋体" w:hint="default"/>
          <w:b/>
          <w:bCs/>
          <w:spacing w:val="-1"/>
        </w:rPr>
        <w:t>陈友</w:t>
      </w:r>
      <w:r>
        <w:rPr>
          <w:spacing w:val="-1"/>
        </w:rPr>
        <w:t>，中国国籍，无境外居留权，男，生于</w:t>
      </w:r>
      <w:r>
        <w:rPr>
          <w:rFonts w:ascii="Times New Roman" w:hAnsi="Times New Roman" w:cs="Times New Roman" w:eastAsia="Times New Roman" w:hint="default"/>
          <w:spacing w:val="-1"/>
        </w:rPr>
        <w:t>1964</w:t>
      </w:r>
      <w:r>
        <w:rPr>
          <w:spacing w:val="-1"/>
        </w:rPr>
        <w:t>年</w:t>
      </w:r>
      <w:r>
        <w:rPr>
          <w:rFonts w:ascii="Times New Roman" w:hAnsi="Times New Roman" w:cs="Times New Roman" w:eastAsia="Times New Roman" w:hint="default"/>
          <w:spacing w:val="-1"/>
        </w:rPr>
        <w:t>1</w:t>
      </w:r>
      <w:r>
        <w:rPr>
          <w:spacing w:val="-1"/>
        </w:rPr>
        <w:t>月，工学硕士、</w:t>
      </w:r>
      <w:r>
        <w:rPr>
          <w:rFonts w:ascii="Times New Roman" w:hAnsi="Times New Roman" w:cs="Times New Roman" w:eastAsia="Times New Roman" w:hint="default"/>
          <w:spacing w:val="-1"/>
        </w:rPr>
        <w:t>MBA</w:t>
      </w:r>
      <w:r>
        <w:rPr>
          <w:spacing w:val="-1"/>
        </w:rPr>
        <w:t>。现任本公司董事长，任期</w:t>
      </w:r>
    </w:p>
    <w:p>
      <w:pPr>
        <w:pStyle w:val="BodyText"/>
        <w:spacing w:line="240" w:lineRule="auto" w:before="5"/>
        <w:ind w:right="1764"/>
        <w:jc w:val="left"/>
      </w:pPr>
      <w:r>
        <w:rPr/>
        <w:t>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4</w:t>
      </w:r>
      <w:r>
        <w:rPr/>
        <w:t>月。</w:t>
      </w:r>
    </w:p>
    <w:p>
      <w:pPr>
        <w:pStyle w:val="BodyText"/>
        <w:spacing w:line="259" w:lineRule="auto" w:before="21"/>
        <w:ind w:right="1127" w:firstLine="360"/>
        <w:jc w:val="both"/>
      </w:pPr>
      <w:r>
        <w:rPr>
          <w:rFonts w:ascii="Times New Roman" w:hAnsi="Times New Roman" w:cs="Times New Roman" w:eastAsia="Times New Roman" w:hint="default"/>
          <w:spacing w:val="-1"/>
        </w:rPr>
        <w:t>1993</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-1997</w:t>
      </w:r>
      <w:r>
        <w:rPr>
          <w:spacing w:val="-1"/>
        </w:rPr>
        <w:t>年</w:t>
      </w:r>
      <w:r>
        <w:rPr>
          <w:rFonts w:ascii="Times New Roman" w:hAnsi="Times New Roman" w:cs="Times New Roman" w:eastAsia="Times New Roman" w:hint="default"/>
          <w:spacing w:val="-1"/>
        </w:rPr>
        <w:t>12</w:t>
      </w:r>
      <w:r>
        <w:rPr>
          <w:spacing w:val="-1"/>
        </w:rPr>
        <w:t>月担任天源迪科有限公司副总经理；</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3</w:t>
      </w:r>
      <w:r>
        <w:rPr>
          <w:spacing w:val="-1"/>
        </w:rPr>
        <w:t>月担任天源迪科有限公司</w:t>
      </w:r>
      <w:r>
        <w:rPr>
          <w:w w:val="100"/>
        </w:rPr>
        <w:t> </w:t>
      </w:r>
      <w:r>
        <w:rPr/>
        <w:t>董事、总经理；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4</w:t>
      </w:r>
      <w:r>
        <w:rPr/>
        <w:t>月至今担任公司董事长；</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月担任公司总经理。</w:t>
      </w:r>
    </w:p>
    <w:p>
      <w:pPr>
        <w:pStyle w:val="BodyText"/>
        <w:spacing w:line="256" w:lineRule="auto" w:before="2"/>
        <w:ind w:right="1157" w:firstLine="360"/>
        <w:jc w:val="both"/>
      </w:pPr>
      <w:r>
        <w:rPr>
          <w:rFonts w:ascii="宋体" w:hAnsi="宋体" w:cs="宋体" w:eastAsia="宋体" w:hint="default"/>
          <w:b/>
          <w:bCs/>
          <w:spacing w:val="-1"/>
        </w:rPr>
        <w:t>苗逢源，</w:t>
      </w:r>
      <w:r>
        <w:rPr>
          <w:spacing w:val="-1"/>
        </w:rPr>
        <w:t>中国国籍，无境外居留权，男，汉族，生于</w:t>
      </w:r>
      <w:r>
        <w:rPr>
          <w:rFonts w:ascii="Times New Roman" w:hAnsi="Times New Roman" w:cs="Times New Roman" w:eastAsia="Times New Roman" w:hint="default"/>
          <w:spacing w:val="-1"/>
        </w:rPr>
        <w:t>1963</w:t>
      </w:r>
      <w:r>
        <w:rPr>
          <w:spacing w:val="-1"/>
        </w:rPr>
        <w:t>年</w:t>
      </w:r>
      <w:r>
        <w:rPr>
          <w:rFonts w:ascii="Times New Roman" w:hAnsi="Times New Roman" w:cs="Times New Roman" w:eastAsia="Times New Roman" w:hint="default"/>
          <w:spacing w:val="-1"/>
        </w:rPr>
        <w:t>12</w:t>
      </w:r>
      <w:r>
        <w:rPr>
          <w:spacing w:val="-1"/>
        </w:rPr>
        <w:t>月，工商管理硕士。现任本公司董事、</w:t>
      </w:r>
      <w:r>
        <w:rPr>
          <w:w w:val="100"/>
        </w:rPr>
        <w:t> </w:t>
      </w:r>
      <w:r>
        <w:rPr/>
        <w:t>总经理，任期为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4</w:t>
      </w:r>
      <w:r>
        <w:rPr/>
        <w:t>月。</w:t>
      </w:r>
    </w:p>
    <w:p>
      <w:pPr>
        <w:pStyle w:val="BodyText"/>
        <w:spacing w:line="256" w:lineRule="auto" w:before="5"/>
        <w:ind w:right="1124" w:firstLine="422"/>
        <w:jc w:val="both"/>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11</w:t>
      </w:r>
      <w:r>
        <w:rPr>
          <w:spacing w:val="-1"/>
        </w:rPr>
        <w:t>月曾任中国电信集团云南省电信公司总经理、党组书记，负责相应省份的市场经</w:t>
      </w:r>
      <w:r>
        <w:rPr>
          <w:w w:val="100"/>
        </w:rPr>
        <w:t> </w:t>
      </w:r>
      <w:r>
        <w:rPr/>
        <w:t>营及管理工作。曾任深圳市国微电子有限公司副董事长，负责企业经营管理工作。自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月开始担任</w:t>
      </w:r>
      <w:r>
        <w:rPr>
          <w:spacing w:val="-28"/>
        </w:rPr>
        <w:t> </w:t>
      </w:r>
      <w:r>
        <w:rPr>
          <w:spacing w:val="-28"/>
        </w:rPr>
      </w:r>
      <w:r>
        <w:rPr/>
        <w:t>公司总经理。</w:t>
      </w:r>
    </w:p>
    <w:p>
      <w:pPr>
        <w:pStyle w:val="BodyText"/>
        <w:spacing w:line="240" w:lineRule="auto" w:before="23"/>
        <w:ind w:left="449" w:right="1007"/>
        <w:jc w:val="left"/>
      </w:pPr>
      <w:r>
        <w:rPr>
          <w:rFonts w:ascii="宋体" w:hAnsi="宋体" w:cs="宋体" w:eastAsia="宋体" w:hint="default"/>
          <w:b/>
          <w:bCs/>
          <w:spacing w:val="-3"/>
        </w:rPr>
        <w:t>陈鲁康</w:t>
      </w:r>
      <w:r>
        <w:rPr>
          <w:spacing w:val="-3"/>
        </w:rPr>
        <w:t>，中国国籍，无境外居留权，男，生于</w:t>
      </w:r>
      <w:r>
        <w:rPr>
          <w:rFonts w:ascii="Times New Roman" w:hAnsi="Times New Roman" w:cs="Times New Roman" w:eastAsia="Times New Roman" w:hint="default"/>
          <w:spacing w:val="-3"/>
        </w:rPr>
        <w:t>1959</w:t>
      </w:r>
      <w:r>
        <w:rPr>
          <w:spacing w:val="-3"/>
        </w:rPr>
        <w:t>年</w:t>
      </w:r>
      <w:r>
        <w:rPr>
          <w:rFonts w:ascii="Times New Roman" w:hAnsi="Times New Roman" w:cs="Times New Roman" w:eastAsia="Times New Roman" w:hint="default"/>
          <w:spacing w:val="-3"/>
        </w:rPr>
        <w:t>8</w:t>
      </w:r>
      <w:r>
        <w:rPr>
          <w:spacing w:val="-3"/>
        </w:rPr>
        <w:t>月，本科。现任本公司董事、副总经理，任期为</w:t>
      </w:r>
    </w:p>
    <w:p>
      <w:pPr>
        <w:pStyle w:val="BodyText"/>
        <w:spacing w:line="240" w:lineRule="auto" w:before="21"/>
        <w:ind w:right="1764"/>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4</w:t>
      </w:r>
      <w:r>
        <w:rPr/>
        <w:t>月。</w:t>
      </w:r>
    </w:p>
    <w:p>
      <w:pPr>
        <w:pStyle w:val="BodyText"/>
        <w:spacing w:line="256" w:lineRule="auto" w:before="21"/>
        <w:ind w:right="1063" w:firstLine="360"/>
        <w:jc w:val="both"/>
      </w:pP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2</w:t>
      </w:r>
      <w:r>
        <w:rPr>
          <w:spacing w:val="-2"/>
        </w:rPr>
        <w:t>月加入天源迪科，先后担任公司工程师、上海办事处副经理、上海办事处经理、公司总经理、</w:t>
      </w:r>
      <w:r>
        <w:rPr>
          <w:w w:val="100"/>
        </w:rPr>
        <w:t> </w:t>
      </w:r>
      <w:r>
        <w:rPr/>
        <w:t>副总经理兼上海子公司总经理；</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w:t>
      </w:r>
      <w:r>
        <w:rPr/>
        <w:t>月至今担任公司董事。</w:t>
      </w:r>
    </w:p>
    <w:p>
      <w:pPr>
        <w:pStyle w:val="BodyText"/>
        <w:spacing w:line="259" w:lineRule="auto" w:before="5"/>
        <w:ind w:right="1061" w:firstLine="360"/>
        <w:jc w:val="both"/>
      </w:pPr>
      <w:r>
        <w:rPr>
          <w:rFonts w:ascii="宋体" w:hAnsi="宋体" w:cs="宋体" w:eastAsia="宋体" w:hint="default"/>
          <w:b/>
          <w:bCs/>
          <w:spacing w:val="-2"/>
        </w:rPr>
        <w:t>陈兵</w:t>
      </w:r>
      <w:r>
        <w:rPr>
          <w:spacing w:val="-2"/>
        </w:rPr>
        <w:t>，中国国籍，澳门永久居留权，男，生于</w:t>
      </w:r>
      <w:r>
        <w:rPr>
          <w:rFonts w:ascii="Times New Roman" w:hAnsi="Times New Roman" w:cs="Times New Roman" w:eastAsia="Times New Roman" w:hint="default"/>
          <w:spacing w:val="-2"/>
        </w:rPr>
        <w:t>1963</w:t>
      </w:r>
      <w:r>
        <w:rPr>
          <w:spacing w:val="-2"/>
        </w:rPr>
        <w:t>年</w:t>
      </w:r>
      <w:r>
        <w:rPr>
          <w:rFonts w:ascii="Times New Roman" w:hAnsi="Times New Roman" w:cs="Times New Roman" w:eastAsia="Times New Roman" w:hint="default"/>
          <w:spacing w:val="-2"/>
        </w:rPr>
        <w:t>8</w:t>
      </w:r>
      <w:r>
        <w:rPr>
          <w:spacing w:val="-2"/>
        </w:rPr>
        <w:t>月，本科，高级工程师职称。现任本公司董事，</w:t>
      </w:r>
      <w:r>
        <w:rPr>
          <w:w w:val="100"/>
        </w:rPr>
        <w:t> </w:t>
      </w:r>
      <w:r>
        <w:rPr/>
        <w:t>任期为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4</w:t>
      </w:r>
      <w:r>
        <w:rPr/>
        <w:t>月。</w:t>
      </w:r>
    </w:p>
    <w:p>
      <w:pPr>
        <w:pStyle w:val="BodyText"/>
        <w:spacing w:line="256" w:lineRule="auto" w:before="2"/>
        <w:ind w:right="1120" w:firstLine="340"/>
        <w:jc w:val="both"/>
      </w:pP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-2009</w:t>
      </w:r>
      <w:r>
        <w:rPr>
          <w:spacing w:val="-2"/>
        </w:rPr>
        <w:t>年，在北京高阳金信信息技术有限公司历任核心系统架构师、项目总监、分公司总经理、</w:t>
      </w:r>
      <w:r>
        <w:rPr>
          <w:w w:val="100"/>
        </w:rPr>
        <w:t> </w:t>
      </w:r>
      <w:r>
        <w:rPr>
          <w:spacing w:val="-2"/>
        </w:rPr>
        <w:t>公司副总裁；</w:t>
      </w:r>
      <w:r>
        <w:rPr>
          <w:rFonts w:ascii="Times New Roman" w:hAnsi="Times New Roman" w:cs="Times New Roman" w:eastAsia="Times New Roman" w:hint="default"/>
          <w:spacing w:val="-2"/>
        </w:rPr>
        <w:t>2009</w:t>
      </w:r>
      <w:r>
        <w:rPr>
          <w:spacing w:val="-2"/>
        </w:rPr>
        <w:t>年进入深圳维恩贝特科技股份有限公司，曾任公司董事、总经理、董事长。现任维恩贝</w:t>
      </w:r>
    </w:p>
    <w:p>
      <w:pPr>
        <w:spacing w:after="0" w:line="256" w:lineRule="auto"/>
        <w:jc w:val="both"/>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73" w:lineRule="auto" w:before="36"/>
        <w:ind w:left="473" w:right="1007" w:hanging="360"/>
        <w:jc w:val="left"/>
      </w:pPr>
      <w:r>
        <w:rPr/>
        <w:t>特科技有限公司董事长兼总经理。</w:t>
      </w:r>
      <w:r>
        <w:rPr>
          <w:spacing w:val="-102"/>
        </w:rPr>
        <w:t> </w:t>
      </w:r>
      <w:r>
        <w:rPr>
          <w:spacing w:val="-102"/>
        </w:rPr>
      </w:r>
      <w:r>
        <w:rPr>
          <w:rFonts w:ascii="宋体" w:hAnsi="宋体" w:cs="宋体" w:eastAsia="宋体" w:hint="default"/>
          <w:b/>
          <w:bCs/>
          <w:spacing w:val="-1"/>
        </w:rPr>
        <w:t>谢晓宾</w:t>
      </w:r>
      <w:r>
        <w:rPr>
          <w:spacing w:val="-1"/>
        </w:rPr>
        <w:t>，中国国籍，加拿大居留权，男，生于</w:t>
      </w:r>
      <w:r>
        <w:rPr>
          <w:rFonts w:ascii="Times New Roman" w:hAnsi="Times New Roman" w:cs="Times New Roman" w:eastAsia="Times New Roman" w:hint="default"/>
          <w:spacing w:val="-1"/>
        </w:rPr>
        <w:t>1967</w:t>
      </w:r>
      <w:r>
        <w:rPr>
          <w:spacing w:val="-1"/>
        </w:rPr>
        <w:t>年</w:t>
      </w:r>
      <w:r>
        <w:rPr>
          <w:rFonts w:ascii="Times New Roman" w:hAnsi="Times New Roman" w:cs="Times New Roman" w:eastAsia="Times New Roman" w:hint="default"/>
          <w:spacing w:val="-1"/>
        </w:rPr>
        <w:t>7</w:t>
      </w:r>
      <w:r>
        <w:rPr>
          <w:spacing w:val="-1"/>
        </w:rPr>
        <w:t>月，工学硕士、</w:t>
      </w:r>
      <w:r>
        <w:rPr>
          <w:rFonts w:ascii="Times New Roman" w:hAnsi="Times New Roman" w:cs="Times New Roman" w:eastAsia="Times New Roman" w:hint="default"/>
          <w:spacing w:val="-1"/>
        </w:rPr>
        <w:t>MBA</w:t>
      </w:r>
      <w:r>
        <w:rPr>
          <w:spacing w:val="-1"/>
        </w:rPr>
        <w:t>。现任本公司董事，任期</w:t>
      </w:r>
    </w:p>
    <w:p>
      <w:pPr>
        <w:pStyle w:val="BodyText"/>
        <w:spacing w:line="279" w:lineRule="exact" w:before="0"/>
        <w:ind w:right="1764"/>
        <w:jc w:val="left"/>
      </w:pPr>
      <w:r>
        <w:rPr/>
        <w:t>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4</w:t>
      </w:r>
      <w:r>
        <w:rPr/>
        <w:t>月。</w:t>
      </w:r>
    </w:p>
    <w:p>
      <w:pPr>
        <w:pStyle w:val="BodyText"/>
        <w:spacing w:line="256" w:lineRule="auto" w:before="22"/>
        <w:ind w:right="1130" w:firstLine="360"/>
        <w:jc w:val="both"/>
      </w:pPr>
      <w:r>
        <w:rPr>
          <w:rFonts w:ascii="Times New Roman" w:hAnsi="Times New Roman" w:cs="Times New Roman" w:eastAsia="Times New Roman" w:hint="default"/>
          <w:spacing w:val="-3"/>
        </w:rPr>
        <w:t>1993</w:t>
      </w:r>
      <w:r>
        <w:rPr>
          <w:spacing w:val="-3"/>
        </w:rPr>
        <w:t>年</w:t>
      </w:r>
      <w:r>
        <w:rPr>
          <w:rFonts w:ascii="Times New Roman" w:hAnsi="Times New Roman" w:cs="Times New Roman" w:eastAsia="Times New Roman" w:hint="default"/>
          <w:spacing w:val="-3"/>
        </w:rPr>
        <w:t>1</w:t>
      </w:r>
      <w:r>
        <w:rPr>
          <w:spacing w:val="-3"/>
        </w:rPr>
        <w:t>月加入天源迪科，先后担任公司工程师、销售代表、销售部副经理、销售部经理、公司副总经</w:t>
      </w:r>
      <w:r>
        <w:rPr>
          <w:w w:val="100"/>
        </w:rPr>
        <w:t> </w:t>
      </w:r>
      <w:r>
        <w:rPr/>
        <w:t>理；</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7</w:t>
      </w:r>
      <w:r>
        <w:rPr/>
        <w:t>月至今担任公司董事。</w:t>
      </w:r>
    </w:p>
    <w:p>
      <w:pPr>
        <w:pStyle w:val="BodyText"/>
        <w:spacing w:line="256" w:lineRule="auto" w:before="5"/>
        <w:ind w:right="1167" w:firstLine="360"/>
        <w:jc w:val="both"/>
      </w:pPr>
      <w:r>
        <w:rPr>
          <w:rFonts w:ascii="宋体" w:hAnsi="宋体" w:cs="宋体" w:eastAsia="宋体" w:hint="default"/>
          <w:b/>
          <w:bCs/>
          <w:spacing w:val="-2"/>
        </w:rPr>
        <w:t>汪东升</w:t>
      </w:r>
      <w:r>
        <w:rPr>
          <w:spacing w:val="-2"/>
        </w:rPr>
        <w:t>，中国国籍，无境外居留权，男，生于</w:t>
      </w:r>
      <w:r>
        <w:rPr>
          <w:rFonts w:ascii="Times New Roman" w:hAnsi="Times New Roman" w:cs="Times New Roman" w:eastAsia="Times New Roman" w:hint="default"/>
          <w:spacing w:val="-2"/>
        </w:rPr>
        <w:t>1973</w:t>
      </w:r>
      <w:r>
        <w:rPr>
          <w:spacing w:val="-2"/>
        </w:rPr>
        <w:t>年</w:t>
      </w:r>
      <w:r>
        <w:rPr>
          <w:rFonts w:ascii="Times New Roman" w:hAnsi="Times New Roman" w:cs="Times New Roman" w:eastAsia="Times New Roman" w:hint="default"/>
          <w:spacing w:val="-2"/>
        </w:rPr>
        <w:t>11</w:t>
      </w:r>
      <w:r>
        <w:rPr>
          <w:spacing w:val="-2"/>
        </w:rPr>
        <w:t>月，工学硕士。现任本公司董事、常务副总经</w:t>
      </w:r>
      <w:r>
        <w:rPr>
          <w:w w:val="100"/>
        </w:rPr>
        <w:t> </w:t>
      </w:r>
      <w:r>
        <w:rPr/>
        <w:t>理，任期为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4</w:t>
      </w:r>
      <w:r>
        <w:rPr/>
        <w:t>月。</w:t>
      </w:r>
    </w:p>
    <w:p>
      <w:pPr>
        <w:pStyle w:val="BodyText"/>
        <w:spacing w:line="256" w:lineRule="auto" w:before="5"/>
        <w:ind w:right="1125" w:firstLine="360"/>
        <w:jc w:val="both"/>
      </w:pPr>
      <w:r>
        <w:rPr>
          <w:rFonts w:ascii="Times New Roman" w:hAnsi="Times New Roman" w:cs="Times New Roman" w:eastAsia="Times New Roman" w:hint="default"/>
          <w:spacing w:val="-3"/>
        </w:rPr>
        <w:t>1998</w:t>
      </w:r>
      <w:r>
        <w:rPr>
          <w:spacing w:val="-3"/>
        </w:rPr>
        <w:t>年</w:t>
      </w:r>
      <w:r>
        <w:rPr>
          <w:rFonts w:ascii="Times New Roman" w:hAnsi="Times New Roman" w:cs="Times New Roman" w:eastAsia="Times New Roman" w:hint="default"/>
          <w:spacing w:val="-3"/>
        </w:rPr>
        <w:t>8</w:t>
      </w:r>
      <w:r>
        <w:rPr>
          <w:spacing w:val="-3"/>
        </w:rPr>
        <w:t>月加入天源迪科，先后担任公司工程师、软件二部副经理、电信软件部经理、电信行业技术总</w:t>
      </w:r>
      <w:r>
        <w:rPr>
          <w:w w:val="100"/>
        </w:rPr>
        <w:t> </w:t>
      </w:r>
      <w:r>
        <w:rPr/>
        <w:t>监、软件设计部经理、公司副总经理；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月至今担任公司董事。</w:t>
      </w:r>
    </w:p>
    <w:p>
      <w:pPr>
        <w:pStyle w:val="BodyText"/>
        <w:spacing w:line="256" w:lineRule="auto" w:before="5"/>
        <w:ind w:right="1128" w:firstLine="360"/>
        <w:jc w:val="both"/>
      </w:pPr>
      <w:r>
        <w:rPr>
          <w:rFonts w:ascii="宋体" w:hAnsi="宋体" w:cs="宋体" w:eastAsia="宋体" w:hint="default"/>
          <w:b/>
          <w:bCs/>
          <w:spacing w:val="-1"/>
        </w:rPr>
        <w:t>张卫华，</w:t>
      </w:r>
      <w:r>
        <w:rPr>
          <w:spacing w:val="-1"/>
        </w:rPr>
        <w:t>中国国籍，无境外居留权，男，生于</w:t>
      </w:r>
      <w:r>
        <w:rPr>
          <w:rFonts w:ascii="Times New Roman" w:hAnsi="Times New Roman" w:cs="Times New Roman" w:eastAsia="Times New Roman" w:hint="default"/>
          <w:spacing w:val="-1"/>
        </w:rPr>
        <w:t>1973</w:t>
      </w:r>
      <w:r>
        <w:rPr>
          <w:spacing w:val="-1"/>
        </w:rPr>
        <w:t>年</w:t>
      </w:r>
      <w:r>
        <w:rPr>
          <w:rFonts w:ascii="Times New Roman" w:hAnsi="Times New Roman" w:cs="Times New Roman" w:eastAsia="Times New Roman" w:hint="default"/>
          <w:spacing w:val="-1"/>
        </w:rPr>
        <w:t>10</w:t>
      </w:r>
      <w:r>
        <w:rPr>
          <w:spacing w:val="-1"/>
        </w:rPr>
        <w:t>月，四川大学硕士，北京大学博士，现任本公</w:t>
      </w:r>
      <w:r>
        <w:rPr>
          <w:w w:val="100"/>
        </w:rPr>
        <w:t> </w:t>
      </w:r>
      <w:r>
        <w:rPr/>
        <w:t>司独立董事，任期为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4</w:t>
      </w:r>
      <w:r>
        <w:rPr/>
        <w:t>月。</w:t>
      </w:r>
    </w:p>
    <w:p>
      <w:pPr>
        <w:pStyle w:val="BodyText"/>
        <w:spacing w:line="256" w:lineRule="auto" w:before="5"/>
        <w:ind w:right="1122" w:firstLine="340"/>
        <w:jc w:val="both"/>
      </w:pPr>
      <w:r>
        <w:rPr>
          <w:rFonts w:ascii="Times New Roman" w:hAnsi="Times New Roman" w:cs="Times New Roman" w:eastAsia="Times New Roman" w:hint="default"/>
          <w:spacing w:val="-3"/>
        </w:rPr>
        <w:t>2005</w:t>
      </w:r>
      <w:r>
        <w:rPr>
          <w:spacing w:val="-3"/>
        </w:rPr>
        <w:t>年</w:t>
      </w:r>
      <w:r>
        <w:rPr>
          <w:rFonts w:ascii="Times New Roman" w:hAnsi="Times New Roman" w:cs="Times New Roman" w:eastAsia="Times New Roman" w:hint="default"/>
          <w:spacing w:val="-3"/>
        </w:rPr>
        <w:t>-2010</w:t>
      </w:r>
      <w:r>
        <w:rPr>
          <w:spacing w:val="-3"/>
        </w:rPr>
        <w:t>年，担任深圳市高正软件有限公司副董事长；</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-2013</w:t>
      </w:r>
      <w:r>
        <w:rPr>
          <w:spacing w:val="-3"/>
        </w:rPr>
        <w:t>年担任深圳市海普瑞药业股份有</w:t>
      </w:r>
      <w:r>
        <w:rPr>
          <w:w w:val="100"/>
        </w:rPr>
        <w:t> </w:t>
      </w:r>
      <w:r>
        <w:rPr>
          <w:spacing w:val="-3"/>
        </w:rPr>
        <w:t>限公司副总经理；</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-2015</w:t>
      </w:r>
      <w:r>
        <w:rPr>
          <w:spacing w:val="-3"/>
        </w:rPr>
        <w:t>年担任深圳市铁汉生态环境股份有限公司副总裁；</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11</w:t>
      </w:r>
      <w:r>
        <w:rPr>
          <w:spacing w:val="-3"/>
        </w:rPr>
        <w:t>月至今，担任深</w:t>
      </w:r>
      <w:r>
        <w:rPr>
          <w:spacing w:val="-32"/>
        </w:rPr>
        <w:t> </w:t>
      </w:r>
      <w:r>
        <w:rPr>
          <w:spacing w:val="-32"/>
        </w:rPr>
      </w:r>
      <w:r>
        <w:rPr/>
        <w:t>圳爱淘苗电子商务科技有限公司董事长。</w:t>
      </w:r>
    </w:p>
    <w:p>
      <w:pPr>
        <w:pStyle w:val="BodyText"/>
        <w:spacing w:line="256" w:lineRule="auto" w:before="23"/>
        <w:ind w:left="535" w:right="1007" w:hanging="82"/>
        <w:jc w:val="left"/>
      </w:pPr>
      <w:r>
        <w:rPr/>
        <w:t>包括本公司在内，张卫华兼任独立董事的上市公司不超过</w:t>
      </w:r>
      <w:r>
        <w:rPr>
          <w:rFonts w:ascii="Times New Roman" w:hAnsi="Times New Roman" w:cs="Times New Roman" w:eastAsia="Times New Roman" w:hint="default"/>
        </w:rPr>
        <w:t>5</w:t>
      </w:r>
      <w:r>
        <w:rPr/>
        <w:t>家。</w:t>
      </w:r>
      <w:r>
        <w:rPr>
          <w:spacing w:val="-5"/>
          <w:w w:val="100"/>
        </w:rPr>
        <w:t> </w:t>
      </w:r>
      <w:r>
        <w:rPr>
          <w:rFonts w:ascii="宋体" w:hAnsi="宋体" w:cs="宋体" w:eastAsia="宋体" w:hint="default"/>
          <w:b/>
          <w:bCs/>
        </w:rPr>
        <w:t>谢波峰，</w:t>
      </w:r>
      <w:r>
        <w:rPr/>
        <w:t>中国国籍，无境外居留权，男，生于</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8</w:t>
      </w:r>
      <w:r>
        <w:rPr/>
        <w:t>月，财政学博士，现任本公司独立董事，任期</w:t>
      </w:r>
    </w:p>
    <w:p>
      <w:pPr>
        <w:pStyle w:val="BodyText"/>
        <w:spacing w:line="240" w:lineRule="auto" w:before="5"/>
        <w:ind w:right="1764"/>
        <w:jc w:val="left"/>
      </w:pPr>
      <w:r>
        <w:rPr/>
        <w:t>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4</w:t>
      </w:r>
      <w:r>
        <w:rPr/>
        <w:t>月。</w:t>
      </w:r>
    </w:p>
    <w:p>
      <w:pPr>
        <w:pStyle w:val="BodyText"/>
        <w:spacing w:line="256" w:lineRule="auto" w:before="21"/>
        <w:ind w:right="1123" w:firstLine="422"/>
        <w:jc w:val="both"/>
      </w:pPr>
      <w:r>
        <w:rPr>
          <w:rFonts w:ascii="Times New Roman" w:hAnsi="Times New Roman" w:cs="Times New Roman" w:eastAsia="Times New Roman" w:hint="default"/>
          <w:spacing w:val="-1"/>
        </w:rPr>
        <w:t>2004</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7</w:t>
      </w:r>
      <w:r>
        <w:rPr>
          <w:spacing w:val="-1"/>
        </w:rPr>
        <w:t>月在中国人民大学担任讲师；</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7</w:t>
      </w:r>
      <w:r>
        <w:rPr>
          <w:spacing w:val="-1"/>
        </w:rPr>
        <w:t>月至今担任中国人民大学财政金融学院副教</w:t>
      </w:r>
      <w:r>
        <w:rPr>
          <w:w w:val="100"/>
        </w:rPr>
        <w:t> </w:t>
      </w:r>
      <w:r>
        <w:rPr>
          <w:spacing w:val="-5"/>
          <w:w w:val="100"/>
        </w:rPr>
        <w:t>授（</w:t>
      </w:r>
      <w:r>
        <w:rPr>
          <w:rFonts w:ascii="Times New Roman" w:hAnsi="Times New Roman" w:cs="Times New Roman" w:eastAsia="Times New Roman" w:hint="default"/>
          <w:spacing w:val="-5"/>
          <w:w w:val="100"/>
        </w:rPr>
        <w:t>2009</w:t>
      </w:r>
      <w:r>
        <w:rPr>
          <w:spacing w:val="-5"/>
          <w:w w:val="100"/>
        </w:rPr>
        <w:t>年哥伦比亚大学商学院访问学者）；</w:t>
      </w:r>
      <w:r>
        <w:rPr>
          <w:rFonts w:ascii="Times New Roman" w:hAnsi="Times New Roman" w:cs="Times New Roman" w:eastAsia="Times New Roman" w:hint="default"/>
          <w:spacing w:val="-5"/>
          <w:w w:val="100"/>
        </w:rPr>
        <w:t>2010</w:t>
      </w:r>
      <w:r>
        <w:rPr>
          <w:spacing w:val="-5"/>
          <w:w w:val="100"/>
        </w:rPr>
        <w:t>年</w:t>
      </w:r>
      <w:r>
        <w:rPr>
          <w:rFonts w:ascii="Times New Roman" w:hAnsi="Times New Roman" w:cs="Times New Roman" w:eastAsia="Times New Roman" w:hint="default"/>
          <w:spacing w:val="-5"/>
          <w:w w:val="100"/>
        </w:rPr>
        <w:t>1</w:t>
      </w:r>
      <w:r>
        <w:rPr>
          <w:spacing w:val="-5"/>
          <w:w w:val="100"/>
        </w:rPr>
        <w:t>月</w:t>
      </w:r>
      <w:r>
        <w:rPr>
          <w:rFonts w:ascii="Times New Roman" w:hAnsi="Times New Roman" w:cs="Times New Roman" w:eastAsia="Times New Roman" w:hint="default"/>
          <w:spacing w:val="-5"/>
          <w:w w:val="100"/>
        </w:rPr>
        <w:t>-2015</w:t>
      </w:r>
      <w:r>
        <w:rPr>
          <w:spacing w:val="-5"/>
          <w:w w:val="100"/>
        </w:rPr>
        <w:t>年</w:t>
      </w:r>
      <w:r>
        <w:rPr>
          <w:rFonts w:ascii="Times New Roman" w:hAnsi="Times New Roman" w:cs="Times New Roman" w:eastAsia="Times New Roman" w:hint="default"/>
          <w:spacing w:val="-5"/>
          <w:w w:val="100"/>
        </w:rPr>
        <w:t>12</w:t>
      </w:r>
      <w:r>
        <w:rPr>
          <w:spacing w:val="-5"/>
          <w:w w:val="100"/>
        </w:rPr>
        <w:t>月担任中国人民大学金融与财税电子化研</w:t>
      </w:r>
      <w:r>
        <w:rPr>
          <w:spacing w:val="-81"/>
          <w:w w:val="100"/>
        </w:rPr>
        <w:t> </w:t>
      </w:r>
      <w:r>
        <w:rPr>
          <w:spacing w:val="-81"/>
          <w:w w:val="100"/>
        </w:rPr>
      </w:r>
      <w:r>
        <w:rPr/>
        <w:t>究所副所长；</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月至今担任中国人民大学金融与财税电子化研究所所长。</w:t>
      </w:r>
    </w:p>
    <w:p>
      <w:pPr>
        <w:pStyle w:val="BodyText"/>
        <w:spacing w:line="256" w:lineRule="auto" w:before="5"/>
        <w:ind w:left="535" w:right="1007"/>
        <w:jc w:val="left"/>
      </w:pPr>
      <w:r>
        <w:rPr/>
        <w:t>包括本公司在内，谢波峰兼任独立董事的上市公司不超过</w:t>
      </w:r>
      <w:r>
        <w:rPr>
          <w:rFonts w:ascii="Times New Roman" w:hAnsi="Times New Roman" w:cs="Times New Roman" w:eastAsia="Times New Roman" w:hint="default"/>
        </w:rPr>
        <w:t>5</w:t>
      </w:r>
      <w:r>
        <w:rPr/>
        <w:t>家。</w:t>
      </w:r>
      <w:r>
        <w:rPr>
          <w:spacing w:val="-100"/>
        </w:rPr>
        <w:t> </w:t>
      </w:r>
      <w:r>
        <w:rPr>
          <w:rFonts w:ascii="宋体" w:hAnsi="宋体" w:cs="宋体" w:eastAsia="宋体" w:hint="default"/>
          <w:b/>
          <w:bCs/>
          <w:spacing w:val="-2"/>
        </w:rPr>
        <w:t>戴昌久，</w:t>
      </w:r>
      <w:r>
        <w:rPr>
          <w:spacing w:val="-2"/>
        </w:rPr>
        <w:t>中国国籍，无境外居留权，男，生于</w:t>
      </w:r>
      <w:r>
        <w:rPr>
          <w:rFonts w:ascii="Times New Roman" w:hAnsi="Times New Roman" w:cs="Times New Roman" w:eastAsia="Times New Roman" w:hint="default"/>
          <w:spacing w:val="-2"/>
        </w:rPr>
        <w:t>1962</w:t>
      </w:r>
      <w:r>
        <w:rPr>
          <w:spacing w:val="-2"/>
        </w:rPr>
        <w:t>年</w:t>
      </w:r>
      <w:r>
        <w:rPr>
          <w:rFonts w:ascii="Times New Roman" w:hAnsi="Times New Roman" w:cs="Times New Roman" w:eastAsia="Times New Roman" w:hint="default"/>
          <w:spacing w:val="-2"/>
        </w:rPr>
        <w:t>12</w:t>
      </w:r>
      <w:r>
        <w:rPr>
          <w:spacing w:val="-2"/>
        </w:rPr>
        <w:t>月，法学硕士。现任本公司独立董事，任期为</w:t>
      </w:r>
    </w:p>
    <w:p>
      <w:pPr>
        <w:pStyle w:val="BodyText"/>
        <w:spacing w:line="240" w:lineRule="auto" w:before="5"/>
        <w:ind w:right="1764"/>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4</w:t>
      </w:r>
      <w:r>
        <w:rPr/>
        <w:t>月。</w:t>
      </w:r>
    </w:p>
    <w:p>
      <w:pPr>
        <w:pStyle w:val="BodyText"/>
        <w:spacing w:line="240" w:lineRule="auto" w:before="21"/>
        <w:ind w:left="535" w:right="1007"/>
        <w:jc w:val="left"/>
        <w:rPr>
          <w:rFonts w:ascii="Times New Roman" w:hAnsi="Times New Roman" w:cs="Times New Roman" w:eastAsia="Times New Roman" w:hint="default"/>
        </w:rPr>
      </w:pPr>
      <w:r>
        <w:rPr>
          <w:rFonts w:ascii="Times New Roman" w:hAnsi="Times New Roman" w:cs="Times New Roman" w:eastAsia="Times New Roman" w:hint="default"/>
          <w:w w:val="100"/>
        </w:rPr>
        <w:t>1987</w:t>
      </w:r>
      <w:r>
        <w:rPr>
          <w:w w:val="100"/>
        </w:rPr>
        <w:t>年</w:t>
      </w:r>
      <w:r>
        <w:rPr>
          <w:rFonts w:ascii="Times New Roman" w:hAnsi="Times New Roman" w:cs="Times New Roman" w:eastAsia="Times New Roman" w:hint="default"/>
          <w:w w:val="100"/>
        </w:rPr>
        <w:t>8</w:t>
      </w:r>
      <w:r>
        <w:rPr>
          <w:w w:val="100"/>
        </w:rPr>
        <w:t>月</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1994</w:t>
      </w:r>
      <w:r>
        <w:rPr>
          <w:w w:val="100"/>
        </w:rPr>
        <w:t>年</w:t>
      </w:r>
      <w:r>
        <w:rPr>
          <w:rFonts w:ascii="Times New Roman" w:hAnsi="Times New Roman" w:cs="Times New Roman" w:eastAsia="Times New Roman" w:hint="default"/>
          <w:w w:val="100"/>
        </w:rPr>
        <w:t>12</w:t>
      </w:r>
      <w:r>
        <w:rPr>
          <w:w w:val="100"/>
        </w:rPr>
        <w:t>月在财政部条法司工作</w:t>
      </w:r>
      <w:r>
        <w:rPr>
          <w:spacing w:val="1"/>
          <w:w w:val="100"/>
        </w:rPr>
        <w:t>（</w:t>
      </w:r>
      <w:r>
        <w:rPr>
          <w:rFonts w:ascii="Times New Roman" w:hAnsi="Times New Roman" w:cs="Times New Roman" w:eastAsia="Times New Roman" w:hint="default"/>
          <w:w w:val="100"/>
        </w:rPr>
        <w:t>1993</w:t>
      </w:r>
      <w:r>
        <w:rPr>
          <w:spacing w:val="-5"/>
          <w:w w:val="100"/>
        </w:rPr>
        <w:t>年</w:t>
      </w:r>
      <w:r>
        <w:rPr>
          <w:w w:val="100"/>
        </w:rPr>
        <w:t>美国波士顿大学访问学者</w:t>
      </w:r>
      <w:r>
        <w:rPr>
          <w:spacing w:val="-106"/>
          <w:w w:val="100"/>
        </w:rPr>
        <w:t>）</w:t>
      </w:r>
      <w:r>
        <w:rPr>
          <w:spacing w:val="1"/>
          <w:w w:val="100"/>
        </w:rPr>
        <w:t>；</w:t>
      </w:r>
      <w:r>
        <w:rPr>
          <w:rFonts w:ascii="Times New Roman" w:hAnsi="Times New Roman" w:cs="Times New Roman" w:eastAsia="Times New Roman" w:hint="default"/>
          <w:w w:val="100"/>
        </w:rPr>
        <w:t>1995</w:t>
      </w:r>
      <w:r>
        <w:rPr>
          <w:w w:val="100"/>
        </w:rPr>
        <w:t>年</w:t>
      </w:r>
      <w:r>
        <w:rPr>
          <w:rFonts w:ascii="Times New Roman" w:hAnsi="Times New Roman" w:cs="Times New Roman" w:eastAsia="Times New Roman" w:hint="default"/>
          <w:w w:val="100"/>
        </w:rPr>
        <w:t>1</w:t>
      </w:r>
      <w:r>
        <w:rPr>
          <w:w w:val="100"/>
        </w:rPr>
        <w:t>月</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1996</w:t>
      </w:r>
      <w:r>
        <w:rPr>
          <w:w w:val="100"/>
        </w:rPr>
        <w:t>年</w:t>
      </w:r>
      <w:r>
        <w:rPr>
          <w:rFonts w:ascii="Times New Roman" w:hAnsi="Times New Roman" w:cs="Times New Roman" w:eastAsia="Times New Roman" w:hint="default"/>
          <w:w w:val="100"/>
        </w:rPr>
        <w:t>1</w:t>
      </w:r>
    </w:p>
    <w:p>
      <w:pPr>
        <w:pStyle w:val="BodyText"/>
        <w:spacing w:line="256" w:lineRule="auto" w:before="21"/>
        <w:ind w:left="535" w:right="1764" w:hanging="423"/>
        <w:jc w:val="left"/>
      </w:pPr>
      <w:r>
        <w:rPr>
          <w:spacing w:val="-2"/>
        </w:rPr>
        <w:t>月就职于中洲会计师事务所；</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2</w:t>
      </w:r>
      <w:r>
        <w:rPr>
          <w:spacing w:val="-2"/>
        </w:rPr>
        <w:t>月至今担任北京市昌久律师事务所主任。</w:t>
      </w:r>
      <w:r>
        <w:rPr>
          <w:spacing w:val="-29"/>
        </w:rPr>
        <w:t> </w:t>
      </w:r>
      <w:r>
        <w:rPr>
          <w:spacing w:val="-29"/>
        </w:rPr>
      </w:r>
      <w:r>
        <w:rPr/>
        <w:t>包括本公司在内，戴昌久兼任独立董事的上市公司不超过</w:t>
      </w:r>
      <w:r>
        <w:rPr>
          <w:rFonts w:ascii="Times New Roman" w:hAnsi="Times New Roman" w:cs="Times New Roman" w:eastAsia="Times New Roman" w:hint="default"/>
        </w:rPr>
        <w:t>5</w:t>
      </w:r>
      <w:r>
        <w:rPr/>
        <w:t>家。</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6"/>
          <w:szCs w:val="26"/>
        </w:rPr>
      </w:pPr>
    </w:p>
    <w:p>
      <w:pPr>
        <w:pStyle w:val="BodyText"/>
        <w:spacing w:line="256" w:lineRule="auto" w:before="0"/>
        <w:ind w:left="473" w:right="1007" w:hanging="360"/>
        <w:jc w:val="left"/>
        <w:rPr>
          <w:rFonts w:ascii="Times New Roman" w:hAnsi="Times New Roman" w:cs="Times New Roman" w:eastAsia="Times New Roman" w:hint="default"/>
        </w:rPr>
      </w:pPr>
      <w:r>
        <w:rPr>
          <w:rFonts w:ascii="Times New Roman" w:hAnsi="Times New Roman" w:cs="Times New Roman" w:eastAsia="Times New Roman" w:hint="default"/>
          <w:b/>
          <w:bCs/>
        </w:rPr>
        <w:t>2</w:t>
      </w:r>
      <w:r>
        <w:rPr>
          <w:rFonts w:ascii="宋体" w:hAnsi="宋体" w:cs="宋体" w:eastAsia="宋体" w:hint="default"/>
          <w:b/>
          <w:bCs/>
        </w:rPr>
        <w:t>、监事会成员</w:t>
      </w:r>
      <w:r>
        <w:rPr>
          <w:rFonts w:ascii="宋体" w:hAnsi="宋体" w:cs="宋体" w:eastAsia="宋体" w:hint="default"/>
          <w:b/>
          <w:bCs/>
          <w:spacing w:val="-103"/>
        </w:rPr>
        <w:t> </w:t>
      </w:r>
      <w:r>
        <w:rPr>
          <w:rFonts w:ascii="宋体" w:hAnsi="宋体" w:cs="宋体" w:eastAsia="宋体" w:hint="default"/>
          <w:b/>
          <w:bCs/>
          <w:spacing w:val="-1"/>
        </w:rPr>
        <w:t>杨文庆</w:t>
      </w:r>
      <w:r>
        <w:rPr>
          <w:spacing w:val="-1"/>
        </w:rPr>
        <w:t>，中国国籍，无境外居留权，男，生于</w:t>
      </w:r>
      <w:r>
        <w:rPr>
          <w:rFonts w:ascii="Times New Roman" w:hAnsi="Times New Roman" w:cs="Times New Roman" w:eastAsia="Times New Roman" w:hint="default"/>
          <w:spacing w:val="-1"/>
        </w:rPr>
        <w:t>1966</w:t>
      </w:r>
      <w:r>
        <w:rPr>
          <w:spacing w:val="-1"/>
        </w:rPr>
        <w:t>年</w:t>
      </w:r>
      <w:r>
        <w:rPr>
          <w:rFonts w:ascii="Times New Roman" w:hAnsi="Times New Roman" w:cs="Times New Roman" w:eastAsia="Times New Roman" w:hint="default"/>
          <w:spacing w:val="-1"/>
        </w:rPr>
        <w:t>10</w:t>
      </w:r>
      <w:r>
        <w:rPr>
          <w:spacing w:val="-1"/>
        </w:rPr>
        <w:t>月，本科。现任本公司监事，任期为</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p>
    <w:p>
      <w:pPr>
        <w:pStyle w:val="BodyText"/>
        <w:spacing w:line="256" w:lineRule="auto" w:before="5"/>
        <w:ind w:left="473" w:right="1007" w:hanging="360"/>
        <w:jc w:val="left"/>
      </w:pPr>
      <w:r>
        <w:rPr/>
        <w:t>月</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4</w:t>
      </w:r>
      <w:r>
        <w:rPr/>
        <w:t>月。</w:t>
      </w:r>
      <w:r>
        <w:rPr>
          <w:spacing w:val="-101"/>
        </w:rPr>
        <w:t> </w:t>
      </w:r>
      <w:r>
        <w:rPr>
          <w:spacing w:val="-3"/>
        </w:rPr>
        <w:t>曾先后担任天源迪科有限公司社保事业部销售经理、上海雷米贸易有限公司副经理；</w:t>
      </w:r>
      <w:r>
        <w:rPr>
          <w:rFonts w:ascii="Times New Roman" w:hAnsi="Times New Roman" w:cs="Times New Roman" w:eastAsia="Times New Roman" w:hint="default"/>
          <w:spacing w:val="-3"/>
        </w:rPr>
        <w:t>2005</w:t>
      </w:r>
      <w:r>
        <w:rPr>
          <w:spacing w:val="-3"/>
        </w:rPr>
        <w:t>年</w:t>
      </w:r>
      <w:r>
        <w:rPr>
          <w:rFonts w:ascii="Times New Roman" w:hAnsi="Times New Roman" w:cs="Times New Roman" w:eastAsia="Times New Roman" w:hint="default"/>
          <w:spacing w:val="-3"/>
        </w:rPr>
        <w:t>1</w:t>
      </w:r>
      <w:r>
        <w:rPr>
          <w:spacing w:val="-3"/>
        </w:rPr>
        <w:t>月至今就</w:t>
      </w:r>
    </w:p>
    <w:p>
      <w:pPr>
        <w:pStyle w:val="BodyText"/>
        <w:spacing w:line="256" w:lineRule="auto" w:before="5"/>
        <w:ind w:left="473" w:right="1007" w:hanging="360"/>
        <w:jc w:val="left"/>
      </w:pPr>
      <w:r>
        <w:rPr/>
        <w:t>职于中联资本置业基金；</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月担任公司董事，</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月至今担任公司监事。</w:t>
      </w:r>
      <w:r>
        <w:rPr>
          <w:spacing w:val="-98"/>
        </w:rPr>
        <w:t> </w:t>
      </w:r>
      <w:r>
        <w:rPr>
          <w:spacing w:val="-98"/>
        </w:rPr>
      </w:r>
      <w:r>
        <w:rPr>
          <w:rFonts w:ascii="宋体" w:hAnsi="宋体" w:cs="宋体" w:eastAsia="宋体" w:hint="default"/>
          <w:b/>
          <w:bCs/>
          <w:spacing w:val="-1"/>
        </w:rPr>
        <w:t>肖征，</w:t>
      </w:r>
      <w:r>
        <w:rPr>
          <w:spacing w:val="-1"/>
        </w:rPr>
        <w:t>中国国籍，无境外居留权，女，生于</w:t>
      </w:r>
      <w:r>
        <w:rPr>
          <w:rFonts w:ascii="Times New Roman" w:hAnsi="Times New Roman" w:cs="Times New Roman" w:eastAsia="Times New Roman" w:hint="default"/>
          <w:spacing w:val="-1"/>
        </w:rPr>
        <w:t>1978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10</w:t>
      </w:r>
      <w:r>
        <w:rPr>
          <w:spacing w:val="-1"/>
        </w:rPr>
        <w:t>日，管理学硕士。现任本公司监事，任期为</w:t>
      </w:r>
    </w:p>
    <w:p>
      <w:pPr>
        <w:pStyle w:val="BodyText"/>
        <w:spacing w:line="240" w:lineRule="auto" w:before="5"/>
        <w:ind w:right="1764"/>
        <w:jc w:val="left"/>
      </w:pPr>
      <w:r>
        <w:rPr>
          <w:rFonts w:ascii="Times New Roman" w:hAnsi="Times New Roman" w:cs="Times New Roman" w:eastAsia="Times New Roman" w:hint="default"/>
        </w:rPr>
        <w:t>20</w:t>
      </w:r>
      <w:r>
        <w:rPr>
          <w:rFonts w:ascii="宋体" w:hAnsi="宋体" w:cs="宋体" w:eastAsia="宋体" w:hint="default"/>
        </w:rPr>
        <w:t>20</w:t>
      </w:r>
      <w:r>
        <w:rPr/>
        <w:t>年</w:t>
      </w:r>
      <w:r>
        <w:rPr>
          <w:rFonts w:ascii="宋体" w:hAnsi="宋体" w:cs="宋体" w:eastAsia="宋体" w:hint="default"/>
        </w:rPr>
        <w:t>1</w:t>
      </w:r>
      <w:r>
        <w:rPr/>
        <w:t>月</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4</w:t>
      </w:r>
      <w:r>
        <w:rPr/>
        <w:t>月。</w:t>
      </w:r>
    </w:p>
    <w:p>
      <w:pPr>
        <w:pStyle w:val="BodyText"/>
        <w:spacing w:line="256" w:lineRule="auto" w:before="21"/>
        <w:ind w:right="1137" w:firstLine="360"/>
        <w:jc w:val="both"/>
      </w:pP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月担任公司质量管理部高级质量工程师；</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月担任公司质量管理</w:t>
      </w:r>
      <w:r>
        <w:rPr>
          <w:w w:val="100"/>
        </w:rPr>
        <w:t> </w:t>
      </w:r>
      <w:r>
        <w:rPr/>
        <w:t>部部门经理；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月至今担任公司企业信息化部及客服质量部部门经理。</w:t>
      </w:r>
    </w:p>
    <w:p>
      <w:pPr>
        <w:pStyle w:val="BodyText"/>
        <w:spacing w:line="256" w:lineRule="auto" w:before="5"/>
        <w:ind w:right="1127" w:firstLine="360"/>
        <w:jc w:val="both"/>
      </w:pPr>
      <w:r>
        <w:rPr>
          <w:rFonts w:ascii="宋体" w:hAnsi="宋体" w:cs="宋体" w:eastAsia="宋体" w:hint="default"/>
          <w:b/>
          <w:bCs/>
          <w:spacing w:val="-3"/>
        </w:rPr>
        <w:t>代静，</w:t>
      </w:r>
      <w:r>
        <w:rPr>
          <w:spacing w:val="-3"/>
        </w:rPr>
        <w:t>中国国籍，无境外居留权，女，生于</w:t>
      </w:r>
      <w:r>
        <w:rPr>
          <w:rFonts w:ascii="Times New Roman" w:hAnsi="Times New Roman" w:cs="Times New Roman" w:eastAsia="Times New Roman" w:hint="default"/>
          <w:spacing w:val="-3"/>
        </w:rPr>
        <w:t>1981</w:t>
      </w:r>
      <w:r>
        <w:rPr>
          <w:spacing w:val="-3"/>
        </w:rPr>
        <w:t>年</w:t>
      </w:r>
      <w:r>
        <w:rPr>
          <w:rFonts w:ascii="Times New Roman" w:hAnsi="Times New Roman" w:cs="Times New Roman" w:eastAsia="Times New Roman" w:hint="default"/>
          <w:spacing w:val="-3"/>
        </w:rPr>
        <w:t>11</w:t>
      </w:r>
      <w:r>
        <w:rPr>
          <w:spacing w:val="-3"/>
        </w:rPr>
        <w:t>月，本科。于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18</w:t>
      </w:r>
      <w:r>
        <w:rPr>
          <w:spacing w:val="-3"/>
        </w:rPr>
        <w:t>日经公司职工代表大会</w:t>
      </w:r>
      <w:r>
        <w:rPr>
          <w:w w:val="100"/>
        </w:rPr>
        <w:t> </w:t>
      </w:r>
      <w:r>
        <w:rPr/>
        <w:t>选举为公司职工代表监事，现任本公司监事，监事任期为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4</w:t>
      </w:r>
      <w:r>
        <w:rPr/>
        <w:t>月。</w:t>
      </w:r>
    </w:p>
    <w:p>
      <w:pPr>
        <w:pStyle w:val="BodyText"/>
        <w:spacing w:line="240" w:lineRule="auto" w:before="5"/>
        <w:ind w:left="473" w:right="1007"/>
        <w:jc w:val="left"/>
        <w:rPr>
          <w:rFonts w:ascii="Times New Roman" w:hAnsi="Times New Roman" w:cs="Times New Roman" w:eastAsia="Times New Roman" w:hint="default"/>
        </w:rPr>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月担任天源迪科商务部商务专员；</w:t>
      </w:r>
      <w:r>
        <w:rPr>
          <w:spacing w:val="-34"/>
        </w:rPr>
        <w:t> </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1</w:t>
      </w:r>
      <w:r>
        <w:rPr>
          <w:spacing w:val="-4"/>
        </w:rPr>
        <w:t>月起担任天源迪科商务部副经理；</w:t>
      </w:r>
      <w:r>
        <w:rPr>
          <w:rFonts w:ascii="Times New Roman" w:hAnsi="Times New Roman" w:cs="Times New Roman" w:eastAsia="Times New Roman" w:hint="default"/>
          <w:spacing w:val="-4"/>
        </w:rPr>
        <w:t>2019</w:t>
      </w:r>
    </w:p>
    <w:p>
      <w:pPr>
        <w:pStyle w:val="BodyText"/>
        <w:spacing w:line="240" w:lineRule="auto" w:before="21"/>
        <w:ind w:right="1764"/>
        <w:jc w:val="left"/>
      </w:pPr>
      <w:r>
        <w:rPr/>
        <w:t>年</w:t>
      </w:r>
      <w:r>
        <w:rPr>
          <w:rFonts w:ascii="Times New Roman" w:hAnsi="Times New Roman" w:cs="Times New Roman" w:eastAsia="Times New Roman" w:hint="default"/>
        </w:rPr>
        <w:t>1</w:t>
      </w:r>
      <w:r>
        <w:rPr/>
        <w:t>月起担任公司商务部部门总监。</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7"/>
          <w:szCs w:val="27"/>
        </w:rPr>
      </w:pPr>
    </w:p>
    <w:p>
      <w:pPr>
        <w:pStyle w:val="Heading3"/>
        <w:spacing w:line="240" w:lineRule="auto"/>
        <w:ind w:right="1764"/>
        <w:jc w:val="left"/>
        <w:rPr>
          <w:b w:val="0"/>
          <w:bCs w:val="0"/>
        </w:rPr>
      </w:pPr>
      <w:r>
        <w:rPr>
          <w:rFonts w:ascii="Times New Roman" w:hAnsi="Times New Roman" w:cs="Times New Roman" w:eastAsia="Times New Roman" w:hint="default"/>
        </w:rPr>
        <w:t>3</w:t>
      </w:r>
      <w:r>
        <w:rPr/>
        <w:t>、高级管理人员</w:t>
      </w:r>
      <w:r>
        <w:rPr>
          <w:b w:val="0"/>
          <w:bCs w:val="0"/>
        </w:rPr>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b/>
          <w:bCs/>
          <w:sz w:val="21"/>
          <w:szCs w:val="21"/>
        </w:rPr>
      </w:pPr>
    </w:p>
    <w:p>
      <w:pPr>
        <w:pStyle w:val="BodyText"/>
        <w:spacing w:line="256" w:lineRule="auto" w:before="36"/>
        <w:ind w:left="473" w:right="5762"/>
        <w:jc w:val="left"/>
      </w:pPr>
      <w:r>
        <w:rPr/>
        <w:t>苗逢源，总经理，参见本节</w:t>
      </w:r>
      <w:r>
        <w:rPr>
          <w:rFonts w:ascii="Times New Roman" w:hAnsi="Times New Roman" w:cs="Times New Roman" w:eastAsia="Times New Roman" w:hint="default"/>
        </w:rPr>
        <w:t>“</w:t>
      </w:r>
      <w:r>
        <w:rPr/>
        <w:t>董事会成员</w:t>
      </w:r>
      <w:r>
        <w:rPr>
          <w:rFonts w:ascii="Times New Roman" w:hAnsi="Times New Roman" w:cs="Times New Roman" w:eastAsia="Times New Roman" w:hint="default"/>
        </w:rPr>
        <w:t>”</w:t>
      </w:r>
      <w:r>
        <w:rPr/>
        <w:t>。</w:t>
      </w:r>
      <w:r>
        <w:rPr>
          <w:spacing w:val="-103"/>
        </w:rPr>
        <w:t> </w:t>
      </w:r>
      <w:r>
        <w:rPr/>
        <w:t>陈鲁康，副总经理，参见本节</w:t>
      </w:r>
      <w:r>
        <w:rPr>
          <w:rFonts w:ascii="Times New Roman" w:hAnsi="Times New Roman" w:cs="Times New Roman" w:eastAsia="Times New Roman" w:hint="default"/>
        </w:rPr>
        <w:t>“</w:t>
      </w:r>
      <w:r>
        <w:rPr/>
        <w:t>董事会成员</w:t>
      </w:r>
      <w:r>
        <w:rPr>
          <w:rFonts w:ascii="Times New Roman" w:hAnsi="Times New Roman" w:cs="Times New Roman" w:eastAsia="Times New Roman" w:hint="default"/>
        </w:rPr>
        <w:t>”</w:t>
      </w:r>
      <w:r>
        <w:rPr/>
        <w:t>。</w:t>
      </w:r>
      <w:r>
        <w:rPr>
          <w:spacing w:val="-102"/>
        </w:rPr>
        <w:t> </w:t>
      </w:r>
      <w:r>
        <w:rPr>
          <w:spacing w:val="-2"/>
        </w:rPr>
        <w:t>汪东升，常务副总经理，参见本节</w:t>
      </w:r>
      <w:r>
        <w:rPr>
          <w:rFonts w:ascii="Times New Roman" w:hAnsi="Times New Roman" w:cs="Times New Roman" w:eastAsia="Times New Roman" w:hint="default"/>
          <w:spacing w:val="-2"/>
        </w:rPr>
        <w:t>“</w:t>
      </w:r>
      <w:r>
        <w:rPr>
          <w:spacing w:val="-2"/>
        </w:rPr>
        <w:t>董事会成员</w:t>
      </w:r>
      <w:r>
        <w:rPr>
          <w:rFonts w:ascii="Times New Roman" w:hAnsi="Times New Roman" w:cs="Times New Roman" w:eastAsia="Times New Roman" w:hint="default"/>
          <w:spacing w:val="-2"/>
        </w:rPr>
        <w:t>”</w:t>
      </w:r>
      <w:r>
        <w:rPr>
          <w:spacing w:val="-2"/>
        </w:rPr>
        <w:t>。</w:t>
      </w:r>
    </w:p>
    <w:p>
      <w:pPr>
        <w:pStyle w:val="BodyText"/>
        <w:spacing w:line="240" w:lineRule="auto" w:before="5"/>
        <w:ind w:left="473" w:right="1007"/>
        <w:jc w:val="left"/>
      </w:pPr>
      <w:r>
        <w:rPr>
          <w:rFonts w:ascii="宋体" w:hAnsi="宋体" w:cs="宋体" w:eastAsia="宋体" w:hint="default"/>
          <w:b/>
          <w:bCs/>
          <w:spacing w:val="-3"/>
        </w:rPr>
        <w:t>林容，</w:t>
      </w:r>
      <w:r>
        <w:rPr>
          <w:spacing w:val="-3"/>
        </w:rPr>
        <w:t>中国国籍，无境外居留权，女，生于</w:t>
      </w:r>
      <w:r>
        <w:rPr>
          <w:rFonts w:ascii="Times New Roman" w:hAnsi="Times New Roman" w:cs="Times New Roman" w:eastAsia="Times New Roman" w:hint="default"/>
          <w:spacing w:val="-3"/>
        </w:rPr>
        <w:t>1972</w:t>
      </w:r>
      <w:r>
        <w:rPr>
          <w:spacing w:val="-3"/>
        </w:rPr>
        <w:t>年</w:t>
      </w:r>
      <w:r>
        <w:rPr>
          <w:rFonts w:ascii="Times New Roman" w:hAnsi="Times New Roman" w:cs="Times New Roman" w:eastAsia="Times New Roman" w:hint="default"/>
          <w:spacing w:val="-3"/>
        </w:rPr>
        <w:t>6</w:t>
      </w:r>
      <w:r>
        <w:rPr>
          <w:spacing w:val="-3"/>
        </w:rPr>
        <w:t>月，本科。现任公司副总经理，</w:t>
      </w:r>
      <w:r>
        <w:rPr>
          <w:spacing w:val="51"/>
        </w:rPr>
        <w:t> </w:t>
      </w:r>
      <w:r>
        <w:rPr/>
        <w:t>任期为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p>
    <w:p>
      <w:pPr>
        <w:pStyle w:val="BodyText"/>
        <w:spacing w:line="256" w:lineRule="auto" w:before="21"/>
        <w:ind w:left="473" w:right="1007" w:hanging="360"/>
        <w:jc w:val="left"/>
      </w:pPr>
      <w:r>
        <w:rPr>
          <w:rFonts w:ascii="Times New Roman" w:hAnsi="Times New Roman" w:cs="Times New Roman" w:eastAsia="Times New Roman" w:hint="default"/>
        </w:rPr>
        <w:t>-2022</w:t>
      </w:r>
      <w:r>
        <w:rPr/>
        <w:t>年</w:t>
      </w:r>
      <w:r>
        <w:rPr>
          <w:rFonts w:ascii="Times New Roman" w:hAnsi="Times New Roman" w:cs="Times New Roman" w:eastAsia="Times New Roman" w:hint="default"/>
        </w:rPr>
        <w:t>4</w:t>
      </w:r>
      <w:r>
        <w:rPr/>
        <w:t>月。</w:t>
      </w:r>
      <w:r>
        <w:rPr>
          <w:spacing w:val="-103"/>
        </w:rPr>
        <w:t> </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10</w:t>
      </w:r>
      <w:r>
        <w:rPr>
          <w:spacing w:val="-3"/>
        </w:rPr>
        <w:t>月加入天源迪科，曾任联通事业部总经理，全面负责公司面向中国联通的业务；</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w:t>
      </w:r>
      <w:r>
        <w:rPr>
          <w:spacing w:val="-3"/>
        </w:rPr>
        <w:t>月至</w:t>
      </w:r>
    </w:p>
    <w:p>
      <w:pPr>
        <w:pStyle w:val="BodyText"/>
        <w:spacing w:line="273" w:lineRule="auto" w:before="5"/>
        <w:ind w:left="473" w:right="1007" w:hanging="360"/>
        <w:jc w:val="left"/>
        <w:rPr>
          <w:rFonts w:ascii="Times New Roman" w:hAnsi="Times New Roman" w:cs="Times New Roman" w:eastAsia="Times New Roman" w:hint="default"/>
        </w:rPr>
      </w:pPr>
      <w:r>
        <w:rPr/>
        <w:t>今担任公司副总经理，目前全面负责公司军品、联通行业线、数字政府业务线市场和管理工作。</w:t>
      </w:r>
      <w:r>
        <w:rPr>
          <w:w w:val="100"/>
        </w:rPr>
        <w:t> </w:t>
      </w:r>
      <w:r>
        <w:rPr>
          <w:rFonts w:ascii="宋体" w:hAnsi="宋体" w:cs="宋体" w:eastAsia="宋体" w:hint="default"/>
          <w:b/>
          <w:bCs/>
          <w:spacing w:val="-1"/>
        </w:rPr>
        <w:t>管四新，</w:t>
      </w:r>
      <w:r>
        <w:rPr>
          <w:spacing w:val="-1"/>
        </w:rPr>
        <w:t>中国国籍，无境外居留权，男，生于</w:t>
      </w:r>
      <w:r>
        <w:rPr>
          <w:rFonts w:ascii="Times New Roman" w:hAnsi="Times New Roman" w:cs="Times New Roman" w:eastAsia="Times New Roman" w:hint="default"/>
          <w:spacing w:val="-1"/>
        </w:rPr>
        <w:t>1973</w:t>
      </w:r>
      <w:r>
        <w:rPr>
          <w:spacing w:val="-1"/>
        </w:rPr>
        <w:t>年</w:t>
      </w:r>
      <w:r>
        <w:rPr>
          <w:rFonts w:ascii="Times New Roman" w:hAnsi="Times New Roman" w:cs="Times New Roman" w:eastAsia="Times New Roman" w:hint="default"/>
          <w:spacing w:val="-1"/>
        </w:rPr>
        <w:t>1</w:t>
      </w:r>
      <w:r>
        <w:rPr>
          <w:spacing w:val="-1"/>
        </w:rPr>
        <w:t>月，本科。现任公司副总经理，任期为</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p>
    <w:p>
      <w:pPr>
        <w:pStyle w:val="BodyText"/>
        <w:spacing w:line="279" w:lineRule="exact" w:before="0"/>
        <w:ind w:right="1764"/>
        <w:jc w:val="left"/>
      </w:pPr>
      <w:r>
        <w:rPr/>
        <w:t>月</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4</w:t>
      </w:r>
      <w:r>
        <w:rPr/>
        <w:t>月。</w:t>
      </w:r>
    </w:p>
    <w:p>
      <w:pPr>
        <w:pStyle w:val="BodyText"/>
        <w:spacing w:line="256" w:lineRule="auto" w:before="21"/>
        <w:ind w:right="1123" w:firstLine="360"/>
        <w:jc w:val="both"/>
      </w:pPr>
      <w:r>
        <w:rPr>
          <w:rFonts w:ascii="Times New Roman" w:hAnsi="Times New Roman" w:cs="Times New Roman" w:eastAsia="Times New Roman" w:hint="default"/>
          <w:spacing w:val="-3"/>
        </w:rPr>
        <w:t>2009</w:t>
      </w:r>
      <w:r>
        <w:rPr>
          <w:spacing w:val="-3"/>
        </w:rPr>
        <w:t>年加入天源迪科，曾任联通事业部总经理；</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4</w:t>
      </w:r>
      <w:r>
        <w:rPr>
          <w:spacing w:val="-3"/>
        </w:rPr>
        <w:t>月起任公司副总经理，目前负责公司数字政府</w:t>
      </w:r>
      <w:r>
        <w:rPr>
          <w:w w:val="100"/>
        </w:rPr>
        <w:t> </w:t>
      </w:r>
      <w:r>
        <w:rPr/>
        <w:t>业务线的战略管理工作。</w:t>
      </w:r>
    </w:p>
    <w:p>
      <w:pPr>
        <w:pStyle w:val="BodyText"/>
        <w:spacing w:line="240" w:lineRule="auto" w:before="22"/>
        <w:ind w:left="473" w:right="1007"/>
        <w:jc w:val="left"/>
      </w:pPr>
      <w:r>
        <w:rPr>
          <w:rFonts w:ascii="宋体" w:hAnsi="宋体" w:cs="宋体" w:eastAsia="宋体" w:hint="default"/>
          <w:b/>
          <w:bCs/>
          <w:spacing w:val="-3"/>
        </w:rPr>
        <w:t>罗赞，</w:t>
      </w:r>
      <w:r>
        <w:rPr>
          <w:spacing w:val="-3"/>
        </w:rPr>
        <w:t>中国国籍，无境外居留权，男，生于</w:t>
      </w:r>
      <w:r>
        <w:rPr>
          <w:rFonts w:ascii="Times New Roman" w:hAnsi="Times New Roman" w:cs="Times New Roman" w:eastAsia="Times New Roman" w:hint="default"/>
          <w:spacing w:val="-3"/>
        </w:rPr>
        <w:t>1974</w:t>
      </w:r>
      <w:r>
        <w:rPr>
          <w:spacing w:val="-3"/>
        </w:rPr>
        <w:t>年</w:t>
      </w:r>
      <w:r>
        <w:rPr>
          <w:rFonts w:ascii="Times New Roman" w:hAnsi="Times New Roman" w:cs="Times New Roman" w:eastAsia="Times New Roman" w:hint="default"/>
          <w:spacing w:val="-3"/>
        </w:rPr>
        <w:t>8</w:t>
      </w:r>
      <w:r>
        <w:rPr>
          <w:spacing w:val="-3"/>
        </w:rPr>
        <w:t>月，计算机专业学士。现任公司副总经理，任期为</w:t>
      </w:r>
    </w:p>
    <w:p>
      <w:pPr>
        <w:pStyle w:val="BodyText"/>
        <w:spacing w:line="240" w:lineRule="auto" w:before="21"/>
        <w:ind w:right="1764"/>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4</w:t>
      </w:r>
      <w:r>
        <w:rPr/>
        <w:t>月。</w:t>
      </w:r>
    </w:p>
    <w:p>
      <w:pPr>
        <w:pStyle w:val="BodyText"/>
        <w:spacing w:line="259" w:lineRule="auto" w:before="21"/>
        <w:ind w:right="1128" w:firstLine="360"/>
        <w:jc w:val="both"/>
      </w:pP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4</w:t>
      </w:r>
      <w:r>
        <w:rPr>
          <w:spacing w:val="-2"/>
        </w:rPr>
        <w:t>月加入天源迪科，先后担任高级技术咨询专家、大数据</w:t>
      </w:r>
      <w:r>
        <w:rPr>
          <w:rFonts w:ascii="Times New Roman" w:hAnsi="Times New Roman" w:cs="Times New Roman" w:eastAsia="Times New Roman" w:hint="default"/>
          <w:spacing w:val="-2"/>
        </w:rPr>
        <w:t>(BI)</w:t>
      </w:r>
      <w:r>
        <w:rPr>
          <w:spacing w:val="-2"/>
        </w:rPr>
        <w:t>产品总监、电信事业部研发中心总</w:t>
      </w:r>
      <w:r>
        <w:rPr>
          <w:w w:val="100"/>
        </w:rPr>
        <w:t> </w:t>
      </w:r>
      <w:r>
        <w:rPr/>
        <w:t>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月起任公司副总经理。</w:t>
      </w:r>
    </w:p>
    <w:p>
      <w:pPr>
        <w:pStyle w:val="BodyText"/>
        <w:spacing w:line="256" w:lineRule="auto" w:before="2"/>
        <w:ind w:right="1051" w:firstLine="360"/>
        <w:jc w:val="both"/>
      </w:pPr>
      <w:r>
        <w:rPr>
          <w:rFonts w:ascii="宋体" w:hAnsi="宋体" w:cs="宋体" w:eastAsia="宋体" w:hint="default"/>
          <w:b/>
          <w:bCs/>
          <w:spacing w:val="-1"/>
        </w:rPr>
        <w:t>赵影，</w:t>
      </w:r>
      <w:r>
        <w:rPr>
          <w:spacing w:val="-1"/>
        </w:rPr>
        <w:t>中国国籍，无境外居留权，女，生于</w:t>
      </w:r>
      <w:r>
        <w:rPr>
          <w:rFonts w:ascii="Times New Roman" w:hAnsi="Times New Roman" w:cs="Times New Roman" w:eastAsia="Times New Roman" w:hint="default"/>
          <w:spacing w:val="-1"/>
        </w:rPr>
        <w:t>1973</w:t>
      </w:r>
      <w:r>
        <w:rPr>
          <w:spacing w:val="-1"/>
        </w:rPr>
        <w:t>年</w:t>
      </w:r>
      <w:r>
        <w:rPr>
          <w:rFonts w:ascii="Times New Roman" w:hAnsi="Times New Roman" w:cs="Times New Roman" w:eastAsia="Times New Roman" w:hint="default"/>
          <w:spacing w:val="-1"/>
        </w:rPr>
        <w:t>8</w:t>
      </w:r>
      <w:r>
        <w:rPr>
          <w:spacing w:val="-1"/>
        </w:rPr>
        <w:t>月，硕士，高级工程师职称。现任公司副总经理，</w:t>
      </w:r>
      <w:r>
        <w:rPr>
          <w:w w:val="100"/>
        </w:rPr>
        <w:t> </w:t>
      </w:r>
      <w:r>
        <w:rPr/>
        <w:t>任期为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4</w:t>
      </w:r>
      <w:r>
        <w:rPr/>
        <w:t>月。</w:t>
      </w:r>
    </w:p>
    <w:p>
      <w:pPr>
        <w:pStyle w:val="BodyText"/>
        <w:spacing w:line="261" w:lineRule="auto" w:before="5"/>
        <w:ind w:right="1123" w:firstLine="360"/>
        <w:jc w:val="both"/>
      </w:pPr>
      <w:r>
        <w:rPr>
          <w:rFonts w:ascii="Times New Roman" w:hAnsi="Times New Roman" w:cs="Times New Roman" w:eastAsia="Times New Roman" w:hint="default"/>
          <w:spacing w:val="-2"/>
        </w:rPr>
        <w:t>1991</w:t>
      </w:r>
      <w:r>
        <w:rPr>
          <w:spacing w:val="-2"/>
        </w:rPr>
        <w:t>年至</w:t>
      </w:r>
      <w:r>
        <w:rPr>
          <w:rFonts w:ascii="Times New Roman" w:hAnsi="Times New Roman" w:cs="Times New Roman" w:eastAsia="Times New Roman" w:hint="default"/>
          <w:spacing w:val="-2"/>
        </w:rPr>
        <w:t>2005</w:t>
      </w:r>
      <w:r>
        <w:rPr>
          <w:spacing w:val="-2"/>
        </w:rPr>
        <w:t>年任职于中国电信合肥分公司，担任网络规划室交换数据业务规划工程师，市场部产品</w:t>
      </w:r>
      <w:r>
        <w:rPr>
          <w:w w:val="100"/>
        </w:rPr>
        <w:t> </w:t>
      </w:r>
      <w:r>
        <w:rPr>
          <w:spacing w:val="-2"/>
        </w:rPr>
        <w:t>经理，大客户部主任助理、副主任。</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月任职于中国电信安徽省公司。先后任商务领航</w:t>
      </w:r>
      <w:r>
        <w:rPr>
          <w:spacing w:val="-22"/>
        </w:rPr>
        <w:t> </w:t>
      </w:r>
      <w:r>
        <w:rPr>
          <w:spacing w:val="-22"/>
        </w:rPr>
      </w:r>
      <w:r>
        <w:rPr>
          <w:spacing w:val="-2"/>
        </w:rPr>
        <w:t>中心解决方案经理、多媒体中心总经理、互联网部副总经理、任省公司政企部总经理，兼任安徽系统集成</w:t>
      </w:r>
      <w:r>
        <w:rPr>
          <w:spacing w:val="-33"/>
        </w:rPr>
        <w:t> </w:t>
      </w:r>
      <w:r>
        <w:rPr>
          <w:spacing w:val="-33"/>
        </w:rPr>
      </w:r>
      <w:r>
        <w:rPr/>
        <w:t>公司总经理。</w:t>
      </w:r>
    </w:p>
    <w:p>
      <w:pPr>
        <w:pStyle w:val="BodyText"/>
        <w:spacing w:line="256" w:lineRule="auto" w:before="18"/>
        <w:ind w:right="1127" w:firstLine="360"/>
        <w:jc w:val="both"/>
      </w:pPr>
      <w:r>
        <w:rPr>
          <w:rFonts w:ascii="宋体" w:hAnsi="宋体" w:cs="宋体" w:eastAsia="宋体" w:hint="default"/>
          <w:b/>
          <w:bCs/>
          <w:spacing w:val="-2"/>
        </w:rPr>
        <w:t>陈秀琴</w:t>
      </w:r>
      <w:r>
        <w:rPr>
          <w:spacing w:val="-2"/>
        </w:rPr>
        <w:t>，中国国籍，无境外居留权，女，生于</w:t>
      </w:r>
      <w:r>
        <w:rPr>
          <w:rFonts w:ascii="Times New Roman" w:hAnsi="Times New Roman" w:cs="Times New Roman" w:eastAsia="Times New Roman" w:hint="default"/>
          <w:spacing w:val="-2"/>
        </w:rPr>
        <w:t>1970</w:t>
      </w:r>
      <w:r>
        <w:rPr>
          <w:spacing w:val="-2"/>
        </w:rPr>
        <w:t>年</w:t>
      </w:r>
      <w:r>
        <w:rPr>
          <w:rFonts w:ascii="Times New Roman" w:hAnsi="Times New Roman" w:cs="Times New Roman" w:eastAsia="Times New Roman" w:hint="default"/>
          <w:spacing w:val="-2"/>
        </w:rPr>
        <w:t>10</w:t>
      </w:r>
      <w:r>
        <w:rPr>
          <w:spacing w:val="-2"/>
        </w:rPr>
        <w:t>月，中级会计师，英国威尔士大学</w:t>
      </w:r>
      <w:r>
        <w:rPr>
          <w:rFonts w:ascii="Times New Roman" w:hAnsi="Times New Roman" w:cs="Times New Roman" w:eastAsia="Times New Roman" w:hint="default"/>
          <w:spacing w:val="-2"/>
        </w:rPr>
        <w:t>MBA</w:t>
      </w:r>
      <w:r>
        <w:rPr>
          <w:spacing w:val="-2"/>
        </w:rPr>
        <w:t>。现任</w:t>
      </w:r>
      <w:r>
        <w:rPr>
          <w:w w:val="100"/>
        </w:rPr>
        <w:t> </w:t>
      </w:r>
      <w:r>
        <w:rPr/>
        <w:t>公司副总经理、董事会秘书，任期为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4</w:t>
      </w:r>
      <w:r>
        <w:rPr/>
        <w:t>月。</w:t>
      </w:r>
    </w:p>
    <w:p>
      <w:pPr>
        <w:pStyle w:val="BodyText"/>
        <w:spacing w:line="256" w:lineRule="auto" w:before="5"/>
        <w:ind w:right="1129" w:firstLine="360"/>
        <w:jc w:val="both"/>
      </w:pPr>
      <w:r>
        <w:rPr>
          <w:rFonts w:ascii="Times New Roman" w:hAnsi="Times New Roman" w:cs="Times New Roman" w:eastAsia="Times New Roman" w:hint="default"/>
          <w:spacing w:val="-3"/>
        </w:rPr>
        <w:t>1997</w:t>
      </w:r>
      <w:r>
        <w:rPr>
          <w:spacing w:val="-3"/>
        </w:rPr>
        <w:t>年</w:t>
      </w:r>
      <w:r>
        <w:rPr>
          <w:rFonts w:ascii="Times New Roman" w:hAnsi="Times New Roman" w:cs="Times New Roman" w:eastAsia="Times New Roman" w:hint="default"/>
          <w:spacing w:val="-3"/>
        </w:rPr>
        <w:t>5</w:t>
      </w:r>
      <w:r>
        <w:rPr>
          <w:spacing w:val="-3"/>
        </w:rPr>
        <w:t>月加入天源迪科，先后任公司总帐会计、税务会计、成本会计、往来款会计、财务经理、审计</w:t>
      </w:r>
      <w:r>
        <w:rPr>
          <w:w w:val="100"/>
        </w:rPr>
        <w:t> </w:t>
      </w:r>
      <w:r>
        <w:rPr/>
        <w:t>总监。</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月起任公司董事会秘书，</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月起任公司副总经理。</w:t>
      </w:r>
    </w:p>
    <w:p>
      <w:pPr>
        <w:pStyle w:val="BodyText"/>
        <w:spacing w:line="256" w:lineRule="auto" w:before="5"/>
        <w:ind w:right="1128" w:firstLine="360"/>
        <w:jc w:val="both"/>
      </w:pPr>
      <w:r>
        <w:rPr>
          <w:rFonts w:ascii="宋体" w:hAnsi="宋体" w:cs="宋体" w:eastAsia="宋体" w:hint="default"/>
          <w:b/>
          <w:bCs/>
          <w:spacing w:val="-3"/>
        </w:rPr>
        <w:t>钱文胜，</w:t>
      </w:r>
      <w:r>
        <w:rPr>
          <w:spacing w:val="-3"/>
        </w:rPr>
        <w:t>中国国籍，无境外居留权，男，生于</w:t>
      </w:r>
      <w:r>
        <w:rPr>
          <w:rFonts w:ascii="Times New Roman" w:hAnsi="Times New Roman" w:cs="Times New Roman" w:eastAsia="Times New Roman" w:hint="default"/>
          <w:spacing w:val="-3"/>
        </w:rPr>
        <w:t>1968</w:t>
      </w:r>
      <w:r>
        <w:rPr>
          <w:spacing w:val="-3"/>
        </w:rPr>
        <w:t>年</w:t>
      </w:r>
      <w:r>
        <w:rPr>
          <w:rFonts w:ascii="Times New Roman" w:hAnsi="Times New Roman" w:cs="Times New Roman" w:eastAsia="Times New Roman" w:hint="default"/>
          <w:spacing w:val="-3"/>
        </w:rPr>
        <w:t>3</w:t>
      </w:r>
      <w:r>
        <w:rPr>
          <w:spacing w:val="-3"/>
        </w:rPr>
        <w:t>月，工商管理硕士。现任本公司财务总监，任期</w:t>
      </w:r>
      <w:r>
        <w:rPr>
          <w:w w:val="100"/>
        </w:rPr>
        <w:t> </w:t>
      </w:r>
      <w:r>
        <w:rPr/>
        <w:t>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4</w:t>
      </w:r>
      <w:r>
        <w:rPr/>
        <w:t>月。</w:t>
      </w:r>
    </w:p>
    <w:p>
      <w:pPr>
        <w:pStyle w:val="BodyText"/>
        <w:spacing w:line="256" w:lineRule="auto" w:before="48"/>
        <w:ind w:right="1122" w:firstLine="422"/>
        <w:jc w:val="both"/>
      </w:pP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4</w:t>
      </w:r>
      <w:r>
        <w:rPr>
          <w:spacing w:val="-2"/>
        </w:rPr>
        <w:t>月加入天源迪科，先后任公司财务主管、财务部副经理、财务部经理。</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月起任公司财</w:t>
      </w:r>
      <w:r>
        <w:rPr>
          <w:w w:val="100"/>
        </w:rPr>
        <w:t> </w:t>
      </w:r>
      <w:r>
        <w:rPr/>
        <w:t>务总监。</w:t>
      </w:r>
    </w:p>
    <w:p>
      <w:pPr>
        <w:spacing w:before="91"/>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在股东单位任职情况</w:t>
      </w:r>
    </w:p>
    <w:p>
      <w:pPr>
        <w:spacing w:line="357" w:lineRule="auto" w:before="115"/>
        <w:ind w:left="113" w:right="769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pacing w:val="-3"/>
          <w:sz w:val="18"/>
          <w:szCs w:val="18"/>
        </w:rPr>
        <w:t>适用</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不适用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在其他单位任职情况</w:t>
      </w:r>
    </w:p>
    <w:p>
      <w:pPr>
        <w:spacing w:before="31"/>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201"/>
        <w:gridCol w:w="3193"/>
        <w:gridCol w:w="1061"/>
        <w:gridCol w:w="1196"/>
        <w:gridCol w:w="1325"/>
        <w:gridCol w:w="1594"/>
      </w:tblGrid>
      <w:tr>
        <w:trPr>
          <w:trHeight w:val="1028"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508" w:right="137" w:hanging="360"/>
              <w:jc w:val="left"/>
              <w:rPr>
                <w:rFonts w:ascii="宋体" w:hAnsi="宋体" w:cs="宋体" w:eastAsia="宋体" w:hint="default"/>
                <w:sz w:val="18"/>
                <w:szCs w:val="18"/>
              </w:rPr>
            </w:pPr>
            <w:r>
              <w:rPr>
                <w:rFonts w:ascii="宋体" w:hAnsi="宋体" w:cs="宋体" w:eastAsia="宋体" w:hint="default"/>
                <w:spacing w:val="-2"/>
                <w:sz w:val="18"/>
                <w:szCs w:val="18"/>
              </w:rPr>
              <w:t>任职人员姓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68" w:right="156"/>
              <w:jc w:val="center"/>
              <w:rPr>
                <w:rFonts w:ascii="宋体" w:hAnsi="宋体" w:cs="宋体" w:eastAsia="宋体" w:hint="default"/>
                <w:sz w:val="18"/>
                <w:szCs w:val="18"/>
              </w:rPr>
            </w:pPr>
            <w:r>
              <w:rPr>
                <w:rFonts w:ascii="宋体" w:hAnsi="宋体" w:cs="宋体" w:eastAsia="宋体" w:hint="default"/>
                <w:spacing w:val="-2"/>
                <w:sz w:val="18"/>
                <w:szCs w:val="18"/>
              </w:rPr>
              <w:t>在其他单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位担任的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504" w:right="137" w:hanging="361"/>
              <w:jc w:val="left"/>
              <w:rPr>
                <w:rFonts w:ascii="宋体" w:hAnsi="宋体" w:cs="宋体" w:eastAsia="宋体" w:hint="default"/>
                <w:sz w:val="18"/>
                <w:szCs w:val="18"/>
              </w:rPr>
            </w:pPr>
            <w:r>
              <w:rPr>
                <w:rFonts w:ascii="宋体" w:hAnsi="宋体" w:cs="宋体" w:eastAsia="宋体" w:hint="default"/>
                <w:spacing w:val="-2"/>
                <w:sz w:val="18"/>
                <w:szCs w:val="18"/>
              </w:rPr>
              <w:t>任期起始日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54" w:right="156" w:hanging="92"/>
              <w:jc w:val="left"/>
              <w:rPr>
                <w:rFonts w:ascii="宋体" w:hAnsi="宋体" w:cs="宋体" w:eastAsia="宋体" w:hint="default"/>
                <w:sz w:val="18"/>
                <w:szCs w:val="18"/>
              </w:rPr>
            </w:pPr>
            <w:r>
              <w:rPr>
                <w:rFonts w:ascii="宋体" w:hAnsi="宋体" w:cs="宋体" w:eastAsia="宋体" w:hint="default"/>
                <w:spacing w:val="-3"/>
                <w:sz w:val="18"/>
                <w:szCs w:val="18"/>
              </w:rPr>
              <w:t>在其他单位是否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领取报酬津贴</w:t>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陈兵</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维恩贝特科技有限公司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19"/>
              <w:jc w:val="left"/>
              <w:rPr>
                <w:rFonts w:ascii="宋体" w:hAnsi="宋体" w:cs="宋体" w:eastAsia="宋体" w:hint="default"/>
                <w:sz w:val="18"/>
                <w:szCs w:val="18"/>
              </w:rPr>
            </w:pPr>
            <w:r>
              <w:rPr>
                <w:rFonts w:ascii="宋体" w:hAnsi="宋体" w:cs="宋体" w:eastAsia="宋体" w:hint="default"/>
                <w:sz w:val="18"/>
                <w:szCs w:val="18"/>
              </w:rPr>
              <w:t>董事长兼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陈兵</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深圳市证通电子股份有限公司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陈兵</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北京江融信科技有限公司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01"/>
        <w:gridCol w:w="3193"/>
        <w:gridCol w:w="1061"/>
        <w:gridCol w:w="1196"/>
        <w:gridCol w:w="1325"/>
        <w:gridCol w:w="1594"/>
      </w:tblGrid>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陈兵</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安徽迪科数金科技有限公司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陈鲁康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武汉天源迪科信息技术有限公司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陈鲁康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合肥天源迪科信息技术有限公司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武汉天源迪科信息技术有限公司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维恩贝特科技有限公司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深圳市宝贝团信息技术有限公司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合肥英泽信息科技有限公司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合肥天源迪科职业培训学校有限公司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合肥天源迪科信息技术有限公司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广州易星信息科技有限公司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广州天源信息科技股份有限公司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广州天源迪科信息技术有限公司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219"/>
              <w:jc w:val="left"/>
              <w:rPr>
                <w:rFonts w:ascii="宋体" w:hAnsi="宋体" w:cs="宋体" w:eastAsia="宋体" w:hint="default"/>
                <w:sz w:val="18"/>
                <w:szCs w:val="18"/>
              </w:rPr>
            </w:pPr>
            <w:r>
              <w:rPr>
                <w:rFonts w:ascii="宋体" w:hAnsi="宋体" w:cs="宋体" w:eastAsia="宋体" w:hint="default"/>
                <w:sz w:val="18"/>
                <w:szCs w:val="18"/>
              </w:rPr>
              <w:t>执行董事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兼总经理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广州市易杰数码科技有限公司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广西驿途信息科技有限公司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北京天源迪科网络科技有限公司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北京迪科云起科技有限公司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深圳市汇巨信息技术有限公司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合肥英泽信息科技有限公司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北京天源迪科信息技术有限公司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2"/>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2"/>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01"/>
        <w:gridCol w:w="3193"/>
        <w:gridCol w:w="1061"/>
        <w:gridCol w:w="1196"/>
        <w:gridCol w:w="1325"/>
        <w:gridCol w:w="1594"/>
      </w:tblGrid>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深圳市优课在线教育有限公司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管四新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广西驿途信息科技有限公司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管四新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北京天源迪科信息技术有限公司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219"/>
              <w:jc w:val="left"/>
              <w:rPr>
                <w:rFonts w:ascii="宋体" w:hAnsi="宋体" w:cs="宋体" w:eastAsia="宋体" w:hint="default"/>
                <w:sz w:val="18"/>
                <w:szCs w:val="18"/>
              </w:rPr>
            </w:pPr>
            <w:r>
              <w:rPr>
                <w:rFonts w:ascii="宋体" w:hAnsi="宋体" w:cs="宋体" w:eastAsia="宋体" w:hint="default"/>
                <w:sz w:val="18"/>
                <w:szCs w:val="18"/>
              </w:rPr>
              <w:t>董事兼经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管四新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北京天源迪科网络科技有限公司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管四新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北京迪科云起科技有限公司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管四新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北京迪科云锦科技有限公司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林容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北京天源迪科网络科技有限公司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林容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广西驿途信息科技有限公司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苗逢源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上海天源迪科信息技术有限公司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钱文胜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维恩贝特科技有限公司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钱文胜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深圳市金华威数码科技有限公司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钱文胜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广州市易杰数码科技有限公司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汪东升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深圳市汇巨信息技术有限公司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汪东升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深圳市宝贝团信息技术有限公司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汪东升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合肥英泽信息科技有限公司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汪东升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广州天源信息科技股份有限公司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汪东升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北京信邦安达信息科技股份有限公司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80"/>
              <w:jc w:val="both"/>
              <w:rPr>
                <w:rFonts w:ascii="宋体" w:hAnsi="宋体" w:cs="宋体" w:eastAsia="宋体" w:hint="default"/>
                <w:sz w:val="18"/>
                <w:szCs w:val="18"/>
              </w:rPr>
            </w:pPr>
            <w:r>
              <w:rPr>
                <w:rFonts w:ascii="宋体" w:hAnsi="宋体" w:cs="宋体" w:eastAsia="宋体" w:hint="default"/>
                <w:spacing w:val="-2"/>
                <w:sz w:val="18"/>
                <w:szCs w:val="18"/>
              </w:rPr>
              <w:t>在其他单位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任职情况的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说明</w:t>
            </w:r>
          </w:p>
        </w:tc>
        <w:tc>
          <w:tcPr>
            <w:tcW w:w="83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公司现任及报告期内离任董事、监事和高级管理人员近三年证券监管机构处罚的情况</w:t>
      </w:r>
    </w:p>
    <w:p>
      <w:pPr>
        <w:spacing w:before="115"/>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宋体" w:hAnsi="宋体" w:cs="宋体" w:eastAsia="宋体" w:hint="default"/>
          <w:sz w:val="20"/>
          <w:szCs w:val="20"/>
        </w:rPr>
      </w:pPr>
    </w:p>
    <w:p>
      <w:pPr>
        <w:pStyle w:val="Heading2"/>
        <w:spacing w:line="240" w:lineRule="auto" w:before="26"/>
        <w:ind w:right="1764"/>
        <w:jc w:val="left"/>
        <w:rPr>
          <w:b w:val="0"/>
          <w:bCs w:val="0"/>
        </w:rPr>
      </w:pPr>
      <w:bookmarkStart w:name="四、董事、监事、高级管理人员报酬情况" w:id="127"/>
      <w:bookmarkEnd w:id="127"/>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董事、监事、高级管理人员报酬的决策程序、确定依据、实际支付情况</w:t>
      </w:r>
    </w:p>
    <w:p>
      <w:pPr>
        <w:spacing w:line="300" w:lineRule="auto" w:before="110"/>
        <w:ind w:left="113" w:right="1127" w:firstLine="422"/>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27</w:t>
      </w:r>
      <w:r>
        <w:rPr>
          <w:rFonts w:ascii="宋体" w:hAnsi="宋体" w:cs="宋体" w:eastAsia="宋体" w:hint="default"/>
          <w:spacing w:val="-2"/>
          <w:sz w:val="18"/>
          <w:szCs w:val="18"/>
        </w:rPr>
        <w:t>日召开的第四届董事会第二十六次会议和</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26</w:t>
      </w:r>
      <w:r>
        <w:rPr>
          <w:rFonts w:ascii="宋体" w:hAnsi="宋体" w:cs="宋体" w:eastAsia="宋体" w:hint="default"/>
          <w:spacing w:val="-2"/>
          <w:sz w:val="18"/>
          <w:szCs w:val="18"/>
        </w:rPr>
        <w:t>日召开的</w:t>
      </w:r>
      <w:r>
        <w:rPr>
          <w:rFonts w:ascii="Times New Roman" w:hAnsi="Times New Roman" w:cs="Times New Roman" w:eastAsia="Times New Roman" w:hint="default"/>
          <w:spacing w:val="-2"/>
          <w:sz w:val="18"/>
          <w:szCs w:val="18"/>
        </w:rPr>
        <w:t>201</w:t>
      </w:r>
      <w:r>
        <w:rPr>
          <w:rFonts w:ascii="宋体" w:hAnsi="宋体" w:cs="宋体" w:eastAsia="宋体" w:hint="default"/>
          <w:spacing w:val="-2"/>
          <w:sz w:val="18"/>
          <w:szCs w:val="18"/>
        </w:rPr>
        <w:t>8</w:t>
      </w:r>
      <w:r>
        <w:rPr>
          <w:rFonts w:ascii="宋体" w:hAnsi="宋体" w:cs="宋体" w:eastAsia="宋体" w:hint="default"/>
          <w:spacing w:val="-2"/>
          <w:sz w:val="18"/>
          <w:szCs w:val="18"/>
        </w:rPr>
        <w:t>年度股东大会审议通过了《</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年度</w:t>
      </w:r>
      <w:r>
        <w:rPr>
          <w:rFonts w:ascii="宋体" w:hAnsi="宋体" w:cs="宋体" w:eastAsia="宋体" w:hint="default"/>
          <w:spacing w:val="-5"/>
          <w:w w:val="101"/>
          <w:sz w:val="18"/>
          <w:szCs w:val="18"/>
        </w:rPr>
        <w:t> </w:t>
      </w:r>
      <w:r>
        <w:rPr>
          <w:rFonts w:ascii="宋体" w:hAnsi="宋体" w:cs="宋体" w:eastAsia="宋体" w:hint="default"/>
          <w:spacing w:val="-4"/>
          <w:w w:val="101"/>
          <w:sz w:val="18"/>
          <w:szCs w:val="18"/>
        </w:rPr>
        <w:t>天源迪科董事、监事、高管薪酬方案》，议案中对公司</w:t>
      </w:r>
      <w:r>
        <w:rPr>
          <w:rFonts w:ascii="Times New Roman" w:hAnsi="Times New Roman" w:cs="Times New Roman" w:eastAsia="Times New Roman" w:hint="default"/>
          <w:spacing w:val="-4"/>
          <w:w w:val="101"/>
          <w:sz w:val="18"/>
          <w:szCs w:val="18"/>
        </w:rPr>
        <w:t>201</w:t>
      </w:r>
      <w:r>
        <w:rPr>
          <w:rFonts w:ascii="宋体" w:hAnsi="宋体" w:cs="宋体" w:eastAsia="宋体" w:hint="default"/>
          <w:spacing w:val="-4"/>
          <w:w w:val="101"/>
          <w:sz w:val="18"/>
          <w:szCs w:val="18"/>
        </w:rPr>
        <w:t>9</w:t>
      </w:r>
      <w:r>
        <w:rPr>
          <w:rFonts w:ascii="宋体" w:hAnsi="宋体" w:cs="宋体" w:eastAsia="宋体" w:hint="default"/>
          <w:spacing w:val="-4"/>
          <w:w w:val="101"/>
          <w:sz w:val="18"/>
          <w:szCs w:val="18"/>
        </w:rPr>
        <w:t>年度董事、监事、高级管理人员的薪酬标准及考核办法进行了明</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确。</w:t>
      </w:r>
    </w:p>
    <w:p>
      <w:pPr>
        <w:spacing w:line="316" w:lineRule="auto" w:before="31"/>
        <w:ind w:left="535" w:right="1764"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、董事、监事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董事无津贴；兼职董事、监事的人员按其在公司所任职务领取薪酬；独立董事津贴为税前</w:t>
      </w:r>
      <w:r>
        <w:rPr>
          <w:rFonts w:ascii="宋体" w:hAnsi="宋体" w:cs="宋体" w:eastAsia="宋体" w:hint="default"/>
          <w:spacing w:val="-3"/>
          <w:sz w:val="18"/>
          <w:szCs w:val="18"/>
        </w:rPr>
        <w:t>8.40</w:t>
      </w:r>
      <w:r>
        <w:rPr>
          <w:rFonts w:ascii="宋体" w:hAnsi="宋体" w:cs="宋体" w:eastAsia="宋体" w:hint="default"/>
          <w:spacing w:val="-3"/>
          <w:sz w:val="18"/>
          <w:szCs w:val="18"/>
        </w:rPr>
        <w:t>万元</w:t>
      </w:r>
      <w:r>
        <w:rPr>
          <w:rFonts w:ascii="宋体" w:hAnsi="宋体" w:cs="宋体" w:eastAsia="宋体" w:hint="default"/>
          <w:spacing w:val="-3"/>
          <w:sz w:val="18"/>
          <w:szCs w:val="18"/>
        </w:rPr>
        <w:t>/</w:t>
      </w:r>
      <w:r>
        <w:rPr>
          <w:rFonts w:ascii="宋体" w:hAnsi="宋体" w:cs="宋体" w:eastAsia="宋体" w:hint="default"/>
          <w:spacing w:val="-3"/>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2</w:t>
      </w:r>
      <w:r>
        <w:rPr>
          <w:rFonts w:ascii="宋体" w:hAnsi="宋体" w:cs="宋体" w:eastAsia="宋体" w:hint="default"/>
          <w:sz w:val="18"/>
          <w:szCs w:val="18"/>
        </w:rPr>
        <w:t>、高级管理人员</w:t>
      </w:r>
    </w:p>
    <w:p>
      <w:pPr>
        <w:spacing w:line="316" w:lineRule="auto" w:before="19"/>
        <w:ind w:left="113" w:right="1122" w:firstLine="422"/>
        <w:jc w:val="both"/>
        <w:rPr>
          <w:rFonts w:ascii="宋体" w:hAnsi="宋体" w:cs="宋体" w:eastAsia="宋体" w:hint="default"/>
          <w:sz w:val="18"/>
          <w:szCs w:val="18"/>
        </w:rPr>
      </w:pPr>
      <w:r>
        <w:rPr>
          <w:rFonts w:ascii="宋体" w:hAnsi="宋体" w:cs="宋体" w:eastAsia="宋体" w:hint="default"/>
          <w:w w:val="101"/>
          <w:sz w:val="18"/>
          <w:szCs w:val="18"/>
        </w:rPr>
        <w:t>高管薪</w:t>
      </w:r>
      <w:r>
        <w:rPr>
          <w:rFonts w:ascii="宋体" w:hAnsi="宋体" w:cs="宋体" w:eastAsia="宋体" w:hint="default"/>
          <w:spacing w:val="-5"/>
          <w:w w:val="101"/>
          <w:sz w:val="18"/>
          <w:szCs w:val="18"/>
        </w:rPr>
        <w:t>酬</w:t>
      </w:r>
      <w:r>
        <w:rPr>
          <w:rFonts w:ascii="宋体" w:hAnsi="宋体" w:cs="宋体" w:eastAsia="宋体" w:hint="default"/>
          <w:w w:val="101"/>
          <w:sz w:val="18"/>
          <w:szCs w:val="18"/>
        </w:rPr>
        <w:t>实行</w:t>
      </w:r>
      <w:r>
        <w:rPr>
          <w:rFonts w:ascii="宋体" w:hAnsi="宋体" w:cs="宋体" w:eastAsia="宋体" w:hint="default"/>
          <w:spacing w:val="-5"/>
          <w:w w:val="101"/>
          <w:sz w:val="18"/>
          <w:szCs w:val="18"/>
        </w:rPr>
        <w:t>年</w:t>
      </w:r>
      <w:r>
        <w:rPr>
          <w:rFonts w:ascii="宋体" w:hAnsi="宋体" w:cs="宋体" w:eastAsia="宋体" w:hint="default"/>
          <w:w w:val="101"/>
          <w:sz w:val="18"/>
          <w:szCs w:val="18"/>
        </w:rPr>
        <w:t>薪制</w:t>
      </w:r>
      <w:r>
        <w:rPr>
          <w:rFonts w:ascii="宋体" w:hAnsi="宋体" w:cs="宋体" w:eastAsia="宋体" w:hint="default"/>
          <w:spacing w:val="-5"/>
          <w:w w:val="101"/>
          <w:sz w:val="18"/>
          <w:szCs w:val="18"/>
        </w:rPr>
        <w:t>，</w:t>
      </w:r>
      <w:r>
        <w:rPr>
          <w:rFonts w:ascii="宋体" w:hAnsi="宋体" w:cs="宋体" w:eastAsia="宋体" w:hint="default"/>
          <w:w w:val="101"/>
          <w:sz w:val="18"/>
          <w:szCs w:val="18"/>
        </w:rPr>
        <w:t>年薪</w:t>
      </w:r>
      <w:r>
        <w:rPr>
          <w:rFonts w:ascii="宋体" w:hAnsi="宋体" w:cs="宋体" w:eastAsia="宋体" w:hint="default"/>
          <w:spacing w:val="-5"/>
          <w:w w:val="101"/>
          <w:sz w:val="18"/>
          <w:szCs w:val="18"/>
        </w:rPr>
        <w:t>分</w:t>
      </w:r>
      <w:r>
        <w:rPr>
          <w:rFonts w:ascii="宋体" w:hAnsi="宋体" w:cs="宋体" w:eastAsia="宋体" w:hint="default"/>
          <w:w w:val="101"/>
          <w:sz w:val="18"/>
          <w:szCs w:val="18"/>
        </w:rPr>
        <w:t>为基</w:t>
      </w:r>
      <w:r>
        <w:rPr>
          <w:rFonts w:ascii="宋体" w:hAnsi="宋体" w:cs="宋体" w:eastAsia="宋体" w:hint="default"/>
          <w:spacing w:val="-5"/>
          <w:w w:val="101"/>
          <w:sz w:val="18"/>
          <w:szCs w:val="18"/>
        </w:rPr>
        <w:t>础</w:t>
      </w:r>
      <w:r>
        <w:rPr>
          <w:rFonts w:ascii="宋体" w:hAnsi="宋体" w:cs="宋体" w:eastAsia="宋体" w:hint="default"/>
          <w:w w:val="101"/>
          <w:sz w:val="18"/>
          <w:szCs w:val="18"/>
        </w:rPr>
        <w:t>年薪</w:t>
      </w:r>
      <w:r>
        <w:rPr>
          <w:rFonts w:ascii="宋体" w:hAnsi="宋体" w:cs="宋体" w:eastAsia="宋体" w:hint="default"/>
          <w:spacing w:val="-4"/>
          <w:w w:val="101"/>
          <w:sz w:val="18"/>
          <w:szCs w:val="18"/>
        </w:rPr>
        <w:t>（</w:t>
      </w:r>
      <w:r>
        <w:rPr>
          <w:rFonts w:ascii="宋体" w:hAnsi="宋体" w:cs="宋体" w:eastAsia="宋体" w:hint="default"/>
          <w:w w:val="101"/>
          <w:sz w:val="18"/>
          <w:szCs w:val="18"/>
        </w:rPr>
        <w:t>60.</w:t>
      </w:r>
      <w:r>
        <w:rPr>
          <w:rFonts w:ascii="宋体" w:hAnsi="宋体" w:cs="宋体" w:eastAsia="宋体" w:hint="default"/>
          <w:spacing w:val="-5"/>
          <w:w w:val="101"/>
          <w:sz w:val="18"/>
          <w:szCs w:val="18"/>
        </w:rPr>
        <w:t>0</w:t>
      </w:r>
      <w:r>
        <w:rPr>
          <w:rFonts w:ascii="宋体" w:hAnsi="宋体" w:cs="宋体" w:eastAsia="宋体" w:hint="default"/>
          <w:w w:val="101"/>
          <w:sz w:val="18"/>
          <w:szCs w:val="18"/>
        </w:rPr>
        <w:t>0</w:t>
      </w:r>
      <w:r>
        <w:rPr>
          <w:rFonts w:ascii="宋体" w:hAnsi="宋体" w:cs="宋体" w:eastAsia="宋体" w:hint="default"/>
          <w:spacing w:val="-1"/>
          <w:w w:val="101"/>
          <w:sz w:val="18"/>
          <w:szCs w:val="18"/>
        </w:rPr>
        <w:t>%</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绩效</w:t>
      </w:r>
      <w:r>
        <w:rPr>
          <w:rFonts w:ascii="宋体" w:hAnsi="宋体" w:cs="宋体" w:eastAsia="宋体" w:hint="default"/>
          <w:spacing w:val="-5"/>
          <w:w w:val="101"/>
          <w:sz w:val="18"/>
          <w:szCs w:val="18"/>
        </w:rPr>
        <w:t>奖</w:t>
      </w:r>
      <w:r>
        <w:rPr>
          <w:rFonts w:ascii="宋体" w:hAnsi="宋体" w:cs="宋体" w:eastAsia="宋体" w:hint="default"/>
          <w:w w:val="101"/>
          <w:sz w:val="18"/>
          <w:szCs w:val="18"/>
        </w:rPr>
        <w:t>金（</w:t>
      </w:r>
      <w:r>
        <w:rPr>
          <w:rFonts w:ascii="宋体" w:hAnsi="宋体" w:cs="宋体" w:eastAsia="宋体" w:hint="default"/>
          <w:w w:val="101"/>
          <w:sz w:val="18"/>
          <w:szCs w:val="18"/>
        </w:rPr>
        <w:t>40</w:t>
      </w:r>
      <w:r>
        <w:rPr>
          <w:rFonts w:ascii="宋体" w:hAnsi="宋体" w:cs="宋体" w:eastAsia="宋体" w:hint="default"/>
          <w:spacing w:val="-5"/>
          <w:w w:val="101"/>
          <w:sz w:val="18"/>
          <w:szCs w:val="18"/>
        </w:rPr>
        <w:t>.</w:t>
      </w:r>
      <w:r>
        <w:rPr>
          <w:rFonts w:ascii="宋体" w:hAnsi="宋体" w:cs="宋体" w:eastAsia="宋体" w:hint="default"/>
          <w:w w:val="101"/>
          <w:sz w:val="18"/>
          <w:szCs w:val="18"/>
        </w:rPr>
        <w:t>00%</w:t>
      </w:r>
      <w:r>
        <w:rPr>
          <w:rFonts w:ascii="宋体" w:hAnsi="宋体" w:cs="宋体" w:eastAsia="宋体" w:hint="default"/>
          <w:spacing w:val="-5"/>
          <w:w w:val="101"/>
          <w:sz w:val="18"/>
          <w:szCs w:val="18"/>
        </w:rPr>
        <w:t>）</w:t>
      </w:r>
      <w:r>
        <w:rPr>
          <w:rFonts w:ascii="宋体" w:hAnsi="宋体" w:cs="宋体" w:eastAsia="宋体" w:hint="default"/>
          <w:w w:val="101"/>
          <w:sz w:val="18"/>
          <w:szCs w:val="18"/>
        </w:rPr>
        <w:t>两部</w:t>
      </w:r>
      <w:r>
        <w:rPr>
          <w:rFonts w:ascii="宋体" w:hAnsi="宋体" w:cs="宋体" w:eastAsia="宋体" w:hint="default"/>
          <w:spacing w:val="-5"/>
          <w:w w:val="101"/>
          <w:sz w:val="18"/>
          <w:szCs w:val="18"/>
        </w:rPr>
        <w:t>分</w:t>
      </w:r>
      <w:r>
        <w:rPr>
          <w:rFonts w:ascii="宋体" w:hAnsi="宋体" w:cs="宋体" w:eastAsia="宋体" w:hint="default"/>
          <w:w w:val="101"/>
          <w:sz w:val="18"/>
          <w:szCs w:val="18"/>
        </w:rPr>
        <w:t>：年</w:t>
      </w:r>
      <w:r>
        <w:rPr>
          <w:rFonts w:ascii="宋体" w:hAnsi="宋体" w:cs="宋体" w:eastAsia="宋体" w:hint="default"/>
          <w:spacing w:val="-5"/>
          <w:w w:val="101"/>
          <w:sz w:val="18"/>
          <w:szCs w:val="18"/>
        </w:rPr>
        <w:t>薪</w:t>
      </w:r>
      <w:r>
        <w:rPr>
          <w:rFonts w:ascii="宋体" w:hAnsi="宋体" w:cs="宋体" w:eastAsia="宋体" w:hint="default"/>
          <w:w w:val="101"/>
          <w:sz w:val="18"/>
          <w:szCs w:val="18"/>
        </w:rPr>
        <w:t>=</w:t>
      </w:r>
      <w:r>
        <w:rPr>
          <w:rFonts w:ascii="宋体" w:hAnsi="宋体" w:cs="宋体" w:eastAsia="宋体" w:hint="default"/>
          <w:spacing w:val="1"/>
          <w:sz w:val="18"/>
          <w:szCs w:val="18"/>
        </w:rPr>
        <w:t> </w:t>
      </w:r>
      <w:r>
        <w:rPr>
          <w:rFonts w:ascii="宋体" w:hAnsi="宋体" w:cs="宋体" w:eastAsia="宋体" w:hint="default"/>
          <w:w w:val="101"/>
          <w:sz w:val="18"/>
          <w:szCs w:val="18"/>
        </w:rPr>
        <w:t>基</w:t>
      </w:r>
      <w:r>
        <w:rPr>
          <w:rFonts w:ascii="宋体" w:hAnsi="宋体" w:cs="宋体" w:eastAsia="宋体" w:hint="default"/>
          <w:spacing w:val="-5"/>
          <w:w w:val="101"/>
          <w:sz w:val="18"/>
          <w:szCs w:val="18"/>
        </w:rPr>
        <w:t>础</w:t>
      </w:r>
      <w:r>
        <w:rPr>
          <w:rFonts w:ascii="宋体" w:hAnsi="宋体" w:cs="宋体" w:eastAsia="宋体" w:hint="default"/>
          <w:w w:val="101"/>
          <w:sz w:val="18"/>
          <w:szCs w:val="18"/>
        </w:rPr>
        <w:t>年薪</w:t>
      </w:r>
      <w:r>
        <w:rPr>
          <w:rFonts w:ascii="宋体" w:hAnsi="宋体" w:cs="宋体" w:eastAsia="宋体" w:hint="default"/>
          <w:spacing w:val="1"/>
          <w:sz w:val="18"/>
          <w:szCs w:val="18"/>
        </w:rPr>
        <w:t> </w:t>
      </w:r>
      <w:r>
        <w:rPr>
          <w:rFonts w:ascii="宋体" w:hAnsi="宋体" w:cs="宋体" w:eastAsia="宋体" w:hint="default"/>
          <w:w w:val="101"/>
          <w:sz w:val="18"/>
          <w:szCs w:val="18"/>
        </w:rPr>
        <w:t>+</w:t>
      </w:r>
      <w:r>
        <w:rPr>
          <w:rFonts w:ascii="宋体" w:hAnsi="宋体" w:cs="宋体" w:eastAsia="宋体" w:hint="default"/>
          <w:spacing w:val="-4"/>
          <w:sz w:val="18"/>
          <w:szCs w:val="18"/>
        </w:rPr>
        <w:t> </w:t>
      </w:r>
      <w:r>
        <w:rPr>
          <w:rFonts w:ascii="宋体" w:hAnsi="宋体" w:cs="宋体" w:eastAsia="宋体" w:hint="default"/>
          <w:w w:val="101"/>
          <w:sz w:val="18"/>
          <w:szCs w:val="18"/>
        </w:rPr>
        <w:t>绩</w:t>
      </w:r>
      <w:r>
        <w:rPr>
          <w:rFonts w:ascii="宋体" w:hAnsi="宋体" w:cs="宋体" w:eastAsia="宋体" w:hint="default"/>
          <w:spacing w:val="-5"/>
          <w:w w:val="101"/>
          <w:sz w:val="18"/>
          <w:szCs w:val="18"/>
        </w:rPr>
        <w:t>效</w:t>
      </w:r>
      <w:r>
        <w:rPr>
          <w:rFonts w:ascii="宋体" w:hAnsi="宋体" w:cs="宋体" w:eastAsia="宋体" w:hint="default"/>
          <w:w w:val="101"/>
          <w:sz w:val="18"/>
          <w:szCs w:val="18"/>
        </w:rPr>
        <w:t>奖金</w:t>
      </w:r>
      <w:r>
        <w:rPr>
          <w:rFonts w:ascii="宋体" w:hAnsi="宋体" w:cs="宋体" w:eastAsia="宋体" w:hint="default"/>
          <w:spacing w:val="-5"/>
          <w:w w:val="101"/>
          <w:sz w:val="18"/>
          <w:szCs w:val="18"/>
        </w:rPr>
        <w:t>。</w:t>
      </w:r>
      <w:r>
        <w:rPr>
          <w:rFonts w:ascii="宋体" w:hAnsi="宋体" w:cs="宋体" w:eastAsia="宋体" w:hint="default"/>
          <w:w w:val="101"/>
          <w:sz w:val="18"/>
          <w:szCs w:val="18"/>
        </w:rPr>
        <w:t>其</w:t>
      </w:r>
      <w:r>
        <w:rPr>
          <w:rFonts w:ascii="宋体" w:hAnsi="宋体" w:cs="宋体" w:eastAsia="宋体" w:hint="default"/>
          <w:w w:val="101"/>
          <w:sz w:val="18"/>
          <w:szCs w:val="18"/>
        </w:rPr>
        <w:t> 中，</w:t>
      </w:r>
      <w:r>
        <w:rPr>
          <w:rFonts w:ascii="宋体" w:hAnsi="宋体" w:cs="宋体" w:eastAsia="宋体" w:hint="default"/>
          <w:spacing w:val="-5"/>
          <w:w w:val="101"/>
          <w:sz w:val="18"/>
          <w:szCs w:val="18"/>
        </w:rPr>
        <w:t>基</w:t>
      </w:r>
      <w:r>
        <w:rPr>
          <w:rFonts w:ascii="宋体" w:hAnsi="宋体" w:cs="宋体" w:eastAsia="宋体" w:hint="default"/>
          <w:w w:val="101"/>
          <w:sz w:val="18"/>
          <w:szCs w:val="18"/>
        </w:rPr>
        <w:t>础</w:t>
      </w:r>
      <w:r>
        <w:rPr>
          <w:rFonts w:ascii="宋体" w:hAnsi="宋体" w:cs="宋体" w:eastAsia="宋体" w:hint="default"/>
          <w:spacing w:val="-5"/>
          <w:w w:val="101"/>
          <w:sz w:val="18"/>
          <w:szCs w:val="18"/>
        </w:rPr>
        <w:t>年</w:t>
      </w:r>
      <w:r>
        <w:rPr>
          <w:rFonts w:ascii="宋体" w:hAnsi="宋体" w:cs="宋体" w:eastAsia="宋体" w:hint="default"/>
          <w:w w:val="101"/>
          <w:sz w:val="18"/>
          <w:szCs w:val="18"/>
        </w:rPr>
        <w:t>薪</w:t>
      </w:r>
      <w:r>
        <w:rPr>
          <w:rFonts w:ascii="宋体" w:hAnsi="宋体" w:cs="宋体" w:eastAsia="宋体" w:hint="default"/>
          <w:spacing w:val="-5"/>
          <w:w w:val="101"/>
          <w:sz w:val="18"/>
          <w:szCs w:val="18"/>
        </w:rPr>
        <w:t>按</w:t>
      </w:r>
      <w:r>
        <w:rPr>
          <w:rFonts w:ascii="宋体" w:hAnsi="宋体" w:cs="宋体" w:eastAsia="宋体" w:hint="default"/>
          <w:w w:val="101"/>
          <w:sz w:val="18"/>
          <w:szCs w:val="18"/>
        </w:rPr>
        <w:t>月</w:t>
      </w:r>
      <w:r>
        <w:rPr>
          <w:rFonts w:ascii="宋体" w:hAnsi="宋体" w:cs="宋体" w:eastAsia="宋体" w:hint="default"/>
          <w:spacing w:val="-5"/>
          <w:w w:val="101"/>
          <w:sz w:val="18"/>
          <w:szCs w:val="18"/>
        </w:rPr>
        <w:t>固</w:t>
      </w:r>
      <w:r>
        <w:rPr>
          <w:rFonts w:ascii="宋体" w:hAnsi="宋体" w:cs="宋体" w:eastAsia="宋体" w:hint="default"/>
          <w:w w:val="101"/>
          <w:sz w:val="18"/>
          <w:szCs w:val="18"/>
        </w:rPr>
        <w:t>定</w:t>
      </w:r>
      <w:r>
        <w:rPr>
          <w:rFonts w:ascii="宋体" w:hAnsi="宋体" w:cs="宋体" w:eastAsia="宋体" w:hint="default"/>
          <w:spacing w:val="-5"/>
          <w:w w:val="101"/>
          <w:sz w:val="18"/>
          <w:szCs w:val="18"/>
        </w:rPr>
        <w:t>发</w:t>
      </w:r>
      <w:r>
        <w:rPr>
          <w:rFonts w:ascii="宋体" w:hAnsi="宋体" w:cs="宋体" w:eastAsia="宋体" w:hint="default"/>
          <w:w w:val="101"/>
          <w:sz w:val="18"/>
          <w:szCs w:val="18"/>
        </w:rPr>
        <w:t>放</w:t>
      </w:r>
      <w:r>
        <w:rPr>
          <w:rFonts w:ascii="宋体" w:hAnsi="宋体" w:cs="宋体" w:eastAsia="宋体" w:hint="default"/>
          <w:spacing w:val="-5"/>
          <w:w w:val="101"/>
          <w:sz w:val="18"/>
          <w:szCs w:val="18"/>
        </w:rPr>
        <w:t>，</w:t>
      </w:r>
      <w:r>
        <w:rPr>
          <w:rFonts w:ascii="宋体" w:hAnsi="宋体" w:cs="宋体" w:eastAsia="宋体" w:hint="default"/>
          <w:w w:val="101"/>
          <w:sz w:val="18"/>
          <w:szCs w:val="18"/>
        </w:rPr>
        <w:t>绩</w:t>
      </w:r>
      <w:r>
        <w:rPr>
          <w:rFonts w:ascii="宋体" w:hAnsi="宋体" w:cs="宋体" w:eastAsia="宋体" w:hint="default"/>
          <w:spacing w:val="-5"/>
          <w:w w:val="101"/>
          <w:sz w:val="18"/>
          <w:szCs w:val="18"/>
        </w:rPr>
        <w:t>效</w:t>
      </w:r>
      <w:r>
        <w:rPr>
          <w:rFonts w:ascii="宋体" w:hAnsi="宋体" w:cs="宋体" w:eastAsia="宋体" w:hint="default"/>
          <w:w w:val="101"/>
          <w:sz w:val="18"/>
          <w:szCs w:val="18"/>
        </w:rPr>
        <w:t>奖</w:t>
      </w:r>
      <w:r>
        <w:rPr>
          <w:rFonts w:ascii="宋体" w:hAnsi="宋体" w:cs="宋体" w:eastAsia="宋体" w:hint="default"/>
          <w:spacing w:val="-5"/>
          <w:w w:val="101"/>
          <w:sz w:val="18"/>
          <w:szCs w:val="18"/>
        </w:rPr>
        <w:t>金</w:t>
      </w:r>
      <w:r>
        <w:rPr>
          <w:rFonts w:ascii="宋体" w:hAnsi="宋体" w:cs="宋体" w:eastAsia="宋体" w:hint="default"/>
          <w:w w:val="101"/>
          <w:sz w:val="18"/>
          <w:szCs w:val="18"/>
        </w:rPr>
        <w:t>参照</w:t>
      </w:r>
      <w:r>
        <w:rPr>
          <w:rFonts w:ascii="宋体" w:hAnsi="宋体" w:cs="宋体" w:eastAsia="宋体" w:hint="default"/>
          <w:spacing w:val="-5"/>
          <w:w w:val="101"/>
          <w:sz w:val="18"/>
          <w:szCs w:val="18"/>
        </w:rPr>
        <w:t>考</w:t>
      </w:r>
      <w:r>
        <w:rPr>
          <w:rFonts w:ascii="宋体" w:hAnsi="宋体" w:cs="宋体" w:eastAsia="宋体" w:hint="default"/>
          <w:w w:val="101"/>
          <w:sz w:val="18"/>
          <w:szCs w:val="18"/>
        </w:rPr>
        <w:t>核</w:t>
      </w:r>
      <w:r>
        <w:rPr>
          <w:rFonts w:ascii="宋体" w:hAnsi="宋体" w:cs="宋体" w:eastAsia="宋体" w:hint="default"/>
          <w:spacing w:val="-5"/>
          <w:w w:val="101"/>
          <w:sz w:val="18"/>
          <w:szCs w:val="18"/>
        </w:rPr>
        <w:t>情</w:t>
      </w:r>
      <w:r>
        <w:rPr>
          <w:rFonts w:ascii="宋体" w:hAnsi="宋体" w:cs="宋体" w:eastAsia="宋体" w:hint="default"/>
          <w:w w:val="101"/>
          <w:sz w:val="18"/>
          <w:szCs w:val="18"/>
        </w:rPr>
        <w:t>况</w:t>
      </w:r>
      <w:r>
        <w:rPr>
          <w:rFonts w:ascii="宋体" w:hAnsi="宋体" w:cs="宋体" w:eastAsia="宋体" w:hint="default"/>
          <w:spacing w:val="-5"/>
          <w:w w:val="101"/>
          <w:sz w:val="18"/>
          <w:szCs w:val="18"/>
        </w:rPr>
        <w:t>按</w:t>
      </w:r>
      <w:r>
        <w:rPr>
          <w:rFonts w:ascii="宋体" w:hAnsi="宋体" w:cs="宋体" w:eastAsia="宋体" w:hint="default"/>
          <w:w w:val="101"/>
          <w:sz w:val="18"/>
          <w:szCs w:val="18"/>
        </w:rPr>
        <w:t>年</w:t>
      </w:r>
      <w:r>
        <w:rPr>
          <w:rFonts w:ascii="宋体" w:hAnsi="宋体" w:cs="宋体" w:eastAsia="宋体" w:hint="default"/>
          <w:spacing w:val="-5"/>
          <w:w w:val="101"/>
          <w:sz w:val="18"/>
          <w:szCs w:val="18"/>
        </w:rPr>
        <w:t>度发</w:t>
      </w:r>
      <w:r>
        <w:rPr>
          <w:rFonts w:ascii="宋体" w:hAnsi="宋体" w:cs="宋体" w:eastAsia="宋体" w:hint="default"/>
          <w:w w:val="101"/>
          <w:sz w:val="18"/>
          <w:szCs w:val="18"/>
        </w:rPr>
        <w:t>放</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不</w:t>
      </w:r>
      <w:r>
        <w:rPr>
          <w:rFonts w:ascii="宋体" w:hAnsi="宋体" w:cs="宋体" w:eastAsia="宋体" w:hint="default"/>
          <w:spacing w:val="-5"/>
          <w:w w:val="101"/>
          <w:sz w:val="18"/>
          <w:szCs w:val="18"/>
        </w:rPr>
        <w:t>含</w:t>
      </w:r>
      <w:r>
        <w:rPr>
          <w:rFonts w:ascii="宋体" w:hAnsi="宋体" w:cs="宋体" w:eastAsia="宋体" w:hint="default"/>
          <w:w w:val="101"/>
          <w:sz w:val="18"/>
          <w:szCs w:val="18"/>
        </w:rPr>
        <w:t>社</w:t>
      </w:r>
      <w:r>
        <w:rPr>
          <w:rFonts w:ascii="宋体" w:hAnsi="宋体" w:cs="宋体" w:eastAsia="宋体" w:hint="default"/>
          <w:spacing w:val="-5"/>
          <w:w w:val="101"/>
          <w:sz w:val="18"/>
          <w:szCs w:val="18"/>
        </w:rPr>
        <w:t>会</w:t>
      </w:r>
      <w:r>
        <w:rPr>
          <w:rFonts w:ascii="宋体" w:hAnsi="宋体" w:cs="宋体" w:eastAsia="宋体" w:hint="default"/>
          <w:w w:val="101"/>
          <w:sz w:val="18"/>
          <w:szCs w:val="18"/>
        </w:rPr>
        <w:t>保险</w:t>
      </w:r>
      <w:r>
        <w:rPr>
          <w:rFonts w:ascii="宋体" w:hAnsi="宋体" w:cs="宋体" w:eastAsia="宋体" w:hint="default"/>
          <w:spacing w:val="-5"/>
          <w:w w:val="101"/>
          <w:sz w:val="18"/>
          <w:szCs w:val="18"/>
        </w:rPr>
        <w:t>、</w:t>
      </w:r>
      <w:r>
        <w:rPr>
          <w:rFonts w:ascii="宋体" w:hAnsi="宋体" w:cs="宋体" w:eastAsia="宋体" w:hint="default"/>
          <w:w w:val="101"/>
          <w:sz w:val="18"/>
          <w:szCs w:val="18"/>
        </w:rPr>
        <w:t>过</w:t>
      </w:r>
      <w:r>
        <w:rPr>
          <w:rFonts w:ascii="宋体" w:hAnsi="宋体" w:cs="宋体" w:eastAsia="宋体" w:hint="default"/>
          <w:spacing w:val="-5"/>
          <w:w w:val="101"/>
          <w:sz w:val="18"/>
          <w:szCs w:val="18"/>
        </w:rPr>
        <w:t>节</w:t>
      </w:r>
      <w:r>
        <w:rPr>
          <w:rFonts w:ascii="宋体" w:hAnsi="宋体" w:cs="宋体" w:eastAsia="宋体" w:hint="default"/>
          <w:w w:val="101"/>
          <w:sz w:val="18"/>
          <w:szCs w:val="18"/>
        </w:rPr>
        <w:t>费</w:t>
      </w:r>
      <w:r>
        <w:rPr>
          <w:rFonts w:ascii="宋体" w:hAnsi="宋体" w:cs="宋体" w:eastAsia="宋体" w:hint="default"/>
          <w:spacing w:val="-5"/>
          <w:w w:val="101"/>
          <w:sz w:val="18"/>
          <w:szCs w:val="18"/>
        </w:rPr>
        <w:t>等</w:t>
      </w:r>
      <w:r>
        <w:rPr>
          <w:rFonts w:ascii="宋体" w:hAnsi="宋体" w:cs="宋体" w:eastAsia="宋体" w:hint="default"/>
          <w:w w:val="101"/>
          <w:sz w:val="18"/>
          <w:szCs w:val="18"/>
        </w:rPr>
        <w:t>福</w:t>
      </w:r>
      <w:r>
        <w:rPr>
          <w:rFonts w:ascii="宋体" w:hAnsi="宋体" w:cs="宋体" w:eastAsia="宋体" w:hint="default"/>
          <w:spacing w:val="-5"/>
          <w:w w:val="101"/>
          <w:sz w:val="18"/>
          <w:szCs w:val="18"/>
        </w:rPr>
        <w:t>利</w:t>
      </w:r>
      <w:r>
        <w:rPr>
          <w:rFonts w:ascii="宋体" w:hAnsi="宋体" w:cs="宋体" w:eastAsia="宋体" w:hint="default"/>
          <w:w w:val="101"/>
          <w:sz w:val="18"/>
          <w:szCs w:val="18"/>
        </w:rPr>
        <w:t>，</w:t>
      </w:r>
      <w:r>
        <w:rPr>
          <w:rFonts w:ascii="宋体" w:hAnsi="宋体" w:cs="宋体" w:eastAsia="宋体" w:hint="default"/>
          <w:spacing w:val="-5"/>
          <w:w w:val="101"/>
          <w:sz w:val="18"/>
          <w:szCs w:val="18"/>
        </w:rPr>
        <w:t>其</w:t>
      </w:r>
      <w:r>
        <w:rPr>
          <w:rFonts w:ascii="宋体" w:hAnsi="宋体" w:cs="宋体" w:eastAsia="宋体" w:hint="default"/>
          <w:w w:val="101"/>
          <w:sz w:val="18"/>
          <w:szCs w:val="18"/>
        </w:rPr>
        <w:t>按</w:t>
      </w:r>
      <w:r>
        <w:rPr>
          <w:rFonts w:ascii="宋体" w:hAnsi="宋体" w:cs="宋体" w:eastAsia="宋体" w:hint="default"/>
          <w:spacing w:val="-5"/>
          <w:w w:val="101"/>
          <w:sz w:val="18"/>
          <w:szCs w:val="18"/>
        </w:rPr>
        <w:t>照</w:t>
      </w:r>
      <w:r>
        <w:rPr>
          <w:rFonts w:ascii="宋体" w:hAnsi="宋体" w:cs="宋体" w:eastAsia="宋体" w:hint="default"/>
          <w:w w:val="101"/>
          <w:sz w:val="18"/>
          <w:szCs w:val="18"/>
        </w:rPr>
        <w:t>相</w:t>
      </w:r>
      <w:r>
        <w:rPr>
          <w:rFonts w:ascii="宋体" w:hAnsi="宋体" w:cs="宋体" w:eastAsia="宋体" w:hint="default"/>
          <w:spacing w:val="-5"/>
          <w:w w:val="101"/>
          <w:sz w:val="18"/>
          <w:szCs w:val="18"/>
        </w:rPr>
        <w:t>关</w:t>
      </w:r>
      <w:r>
        <w:rPr>
          <w:rFonts w:ascii="宋体" w:hAnsi="宋体" w:cs="宋体" w:eastAsia="宋体" w:hint="default"/>
          <w:w w:val="101"/>
          <w:sz w:val="18"/>
          <w:szCs w:val="18"/>
        </w:rPr>
        <w:t>监</w:t>
      </w:r>
      <w:r>
        <w:rPr>
          <w:rFonts w:ascii="宋体" w:hAnsi="宋体" w:cs="宋体" w:eastAsia="宋体" w:hint="default"/>
          <w:spacing w:val="-5"/>
          <w:w w:val="101"/>
          <w:sz w:val="18"/>
          <w:szCs w:val="18"/>
        </w:rPr>
        <w:t>管</w:t>
      </w:r>
      <w:r>
        <w:rPr>
          <w:rFonts w:ascii="宋体" w:hAnsi="宋体" w:cs="宋体" w:eastAsia="宋体" w:hint="default"/>
          <w:w w:val="101"/>
          <w:sz w:val="18"/>
          <w:szCs w:val="18"/>
        </w:rPr>
        <w:t>部</w:t>
      </w:r>
      <w:r>
        <w:rPr>
          <w:rFonts w:ascii="宋体" w:hAnsi="宋体" w:cs="宋体" w:eastAsia="宋体" w:hint="default"/>
          <w:spacing w:val="-5"/>
          <w:w w:val="101"/>
          <w:sz w:val="18"/>
          <w:szCs w:val="18"/>
        </w:rPr>
        <w:t>门</w:t>
      </w:r>
      <w:r>
        <w:rPr>
          <w:rFonts w:ascii="宋体" w:hAnsi="宋体" w:cs="宋体" w:eastAsia="宋体" w:hint="default"/>
          <w:w w:val="101"/>
          <w:sz w:val="18"/>
          <w:szCs w:val="18"/>
        </w:rPr>
        <w:t>规</w:t>
      </w:r>
      <w:r>
        <w:rPr>
          <w:rFonts w:ascii="宋体" w:hAnsi="宋体" w:cs="宋体" w:eastAsia="宋体" w:hint="default"/>
          <w:w w:val="101"/>
          <w:sz w:val="18"/>
          <w:szCs w:val="18"/>
        </w:rPr>
        <w:t> 定</w:t>
      </w:r>
      <w:r>
        <w:rPr>
          <w:rFonts w:ascii="宋体" w:hAnsi="宋体" w:cs="宋体" w:eastAsia="宋体" w:hint="default"/>
          <w:spacing w:val="-5"/>
          <w:w w:val="101"/>
          <w:sz w:val="18"/>
          <w:szCs w:val="18"/>
        </w:rPr>
        <w:t>及</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相</w:t>
      </w:r>
      <w:r>
        <w:rPr>
          <w:rFonts w:ascii="宋体" w:hAnsi="宋体" w:cs="宋体" w:eastAsia="宋体" w:hint="default"/>
          <w:spacing w:val="-5"/>
          <w:w w:val="101"/>
          <w:sz w:val="18"/>
          <w:szCs w:val="18"/>
        </w:rPr>
        <w:t>应</w:t>
      </w:r>
      <w:r>
        <w:rPr>
          <w:rFonts w:ascii="宋体" w:hAnsi="宋体" w:cs="宋体" w:eastAsia="宋体" w:hint="default"/>
          <w:w w:val="101"/>
          <w:sz w:val="18"/>
          <w:szCs w:val="18"/>
        </w:rPr>
        <w:t>制</w:t>
      </w:r>
      <w:r>
        <w:rPr>
          <w:rFonts w:ascii="宋体" w:hAnsi="宋体" w:cs="宋体" w:eastAsia="宋体" w:hint="default"/>
          <w:spacing w:val="-5"/>
          <w:w w:val="101"/>
          <w:sz w:val="18"/>
          <w:szCs w:val="18"/>
        </w:rPr>
        <w:t>度</w:t>
      </w:r>
      <w:r>
        <w:rPr>
          <w:rFonts w:ascii="宋体" w:hAnsi="宋体" w:cs="宋体" w:eastAsia="宋体" w:hint="default"/>
          <w:w w:val="101"/>
          <w:sz w:val="18"/>
          <w:szCs w:val="18"/>
        </w:rPr>
        <w:t>发</w:t>
      </w:r>
      <w:r>
        <w:rPr>
          <w:rFonts w:ascii="宋体" w:hAnsi="宋体" w:cs="宋体" w:eastAsia="宋体" w:hint="default"/>
          <w:spacing w:val="-5"/>
          <w:w w:val="101"/>
          <w:sz w:val="18"/>
          <w:szCs w:val="18"/>
        </w:rPr>
        <w:t>放</w:t>
      </w:r>
      <w:r>
        <w:rPr>
          <w:rFonts w:ascii="宋体" w:hAnsi="宋体" w:cs="宋体" w:eastAsia="宋体" w:hint="default"/>
          <w:w w:val="101"/>
          <w:sz w:val="18"/>
          <w:szCs w:val="18"/>
        </w:rPr>
        <w:t>或</w:t>
      </w:r>
      <w:r>
        <w:rPr>
          <w:rFonts w:ascii="宋体" w:hAnsi="宋体" w:cs="宋体" w:eastAsia="宋体" w:hint="default"/>
          <w:spacing w:val="-5"/>
          <w:w w:val="101"/>
          <w:sz w:val="18"/>
          <w:szCs w:val="18"/>
        </w:rPr>
        <w:t>缴</w:t>
      </w:r>
      <w:r>
        <w:rPr>
          <w:rFonts w:ascii="宋体" w:hAnsi="宋体" w:cs="宋体" w:eastAsia="宋体" w:hint="default"/>
          <w:w w:val="101"/>
          <w:sz w:val="18"/>
          <w:szCs w:val="18"/>
        </w:rPr>
        <w:t>纳</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p>
      <w:pPr>
        <w:spacing w:line="316" w:lineRule="auto" w:before="19"/>
        <w:ind w:left="113" w:right="1124" w:firstLine="422"/>
        <w:jc w:val="both"/>
        <w:rPr>
          <w:rFonts w:ascii="宋体" w:hAnsi="宋体" w:cs="宋体" w:eastAsia="宋体" w:hint="default"/>
          <w:sz w:val="18"/>
          <w:szCs w:val="18"/>
        </w:rPr>
      </w:pPr>
      <w:r>
        <w:rPr>
          <w:rFonts w:ascii="宋体" w:hAnsi="宋体" w:cs="宋体" w:eastAsia="宋体" w:hint="default"/>
          <w:spacing w:val="-2"/>
          <w:sz w:val="18"/>
          <w:szCs w:val="18"/>
        </w:rPr>
        <w:t>公司总经理、副总经理按公司年度考核目标，参照绩效奖金基数确定其最终年度绩效奖金，并提交公司薪酬与考核委</w:t>
      </w:r>
      <w:r>
        <w:rPr>
          <w:rFonts w:ascii="宋体" w:hAnsi="宋体" w:cs="宋体" w:eastAsia="宋体" w:hint="default"/>
          <w:w w:val="101"/>
          <w:sz w:val="18"/>
          <w:szCs w:val="18"/>
        </w:rPr>
        <w:t> </w:t>
      </w:r>
      <w:r>
        <w:rPr>
          <w:rFonts w:ascii="宋体" w:hAnsi="宋体" w:cs="宋体" w:eastAsia="宋体" w:hint="default"/>
          <w:spacing w:val="-3"/>
          <w:sz w:val="18"/>
          <w:szCs w:val="18"/>
        </w:rPr>
        <w:t>员会。公司其他高管按照各自职能，以其</w:t>
      </w:r>
      <w:r>
        <w:rPr>
          <w:rFonts w:ascii="宋体" w:hAnsi="宋体" w:cs="宋体" w:eastAsia="宋体" w:hint="default"/>
          <w:spacing w:val="-3"/>
          <w:sz w:val="18"/>
          <w:szCs w:val="18"/>
        </w:rPr>
        <w:t>2019</w:t>
      </w:r>
      <w:r>
        <w:rPr>
          <w:rFonts w:ascii="宋体" w:hAnsi="宋体" w:cs="宋体" w:eastAsia="宋体" w:hint="default"/>
          <w:spacing w:val="-3"/>
          <w:sz w:val="18"/>
          <w:szCs w:val="18"/>
        </w:rPr>
        <w:t>年职务、考核分数确定最终年度绩效奖金，并提交公司薪酬与考核委员会。</w:t>
      </w:r>
    </w:p>
    <w:p>
      <w:pPr>
        <w:spacing w:before="62"/>
        <w:ind w:left="535" w:right="1007" w:firstLine="0"/>
        <w:jc w:val="left"/>
        <w:rPr>
          <w:rFonts w:ascii="宋体" w:hAnsi="宋体" w:cs="宋体" w:eastAsia="宋体" w:hint="default"/>
          <w:sz w:val="18"/>
          <w:szCs w:val="18"/>
        </w:rPr>
      </w:pPr>
      <w:r>
        <w:rPr>
          <w:rFonts w:ascii="宋体" w:hAnsi="宋体" w:cs="宋体" w:eastAsia="宋体" w:hint="default"/>
          <w:spacing w:val="-3"/>
          <w:sz w:val="18"/>
          <w:szCs w:val="18"/>
        </w:rPr>
        <w:t>独立董事津贴根据规定按照季度支付；高级管理人员基础年薪已按月支付，</w:t>
      </w:r>
      <w:r>
        <w:rPr>
          <w:rFonts w:ascii="宋体" w:hAnsi="宋体" w:cs="宋体" w:eastAsia="宋体" w:hint="default"/>
          <w:spacing w:val="-3"/>
          <w:sz w:val="18"/>
          <w:szCs w:val="18"/>
        </w:rPr>
        <w:t>2018</w:t>
      </w:r>
      <w:r>
        <w:rPr>
          <w:rFonts w:ascii="宋体" w:hAnsi="宋体" w:cs="宋体" w:eastAsia="宋体" w:hint="default"/>
          <w:spacing w:val="-3"/>
          <w:sz w:val="18"/>
          <w:szCs w:val="18"/>
        </w:rPr>
        <w:t>年度绩效奖金已根据公司考核情况发</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362" w:lineRule="auto" w:before="76"/>
        <w:ind w:left="113" w:right="0" w:firstLine="0"/>
        <w:jc w:val="left"/>
        <w:rPr>
          <w:rFonts w:ascii="宋体" w:hAnsi="宋体" w:cs="宋体" w:eastAsia="宋体" w:hint="default"/>
          <w:sz w:val="18"/>
          <w:szCs w:val="18"/>
        </w:rPr>
      </w:pPr>
      <w:r>
        <w:rPr>
          <w:rFonts w:ascii="宋体" w:hAnsi="宋体" w:cs="宋体" w:eastAsia="宋体" w:hint="default"/>
          <w:sz w:val="18"/>
          <w:szCs w:val="18"/>
        </w:rPr>
        <w:t>放。</w:t>
      </w:r>
      <w:r>
        <w:rPr>
          <w:rFonts w:ascii="宋体" w:hAnsi="宋体" w:cs="宋体" w:eastAsia="宋体" w:hint="default"/>
          <w:spacing w:val="-86"/>
          <w:sz w:val="18"/>
          <w:szCs w:val="18"/>
        </w:rPr>
        <w:t> </w:t>
      </w:r>
      <w:r>
        <w:rPr>
          <w:rFonts w:ascii="宋体" w:hAnsi="宋体" w:cs="宋体" w:eastAsia="宋体" w:hint="default"/>
          <w:spacing w:val="-3"/>
          <w:sz w:val="18"/>
          <w:szCs w:val="18"/>
        </w:rPr>
        <w:t>公司报告期内董事、监事和高级管理人员报酬情况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3"/>
          <w:szCs w:val="23"/>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4079" w:space="4665"/>
            <w:col w:w="2146"/>
          </w:cols>
        </w:sectPr>
      </w:pP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71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39" w:right="132"/>
              <w:jc w:val="left"/>
              <w:rPr>
                <w:rFonts w:ascii="宋体" w:hAnsi="宋体" w:cs="宋体" w:eastAsia="宋体" w:hint="default"/>
                <w:sz w:val="18"/>
                <w:szCs w:val="18"/>
              </w:rPr>
            </w:pPr>
            <w:r>
              <w:rPr>
                <w:rFonts w:ascii="宋体" w:hAnsi="宋体" w:cs="宋体" w:eastAsia="宋体" w:hint="default"/>
                <w:spacing w:val="-2"/>
                <w:sz w:val="18"/>
                <w:szCs w:val="18"/>
              </w:rPr>
              <w:t>从公司获得的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税前报酬总额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39" w:right="132"/>
              <w:jc w:val="left"/>
              <w:rPr>
                <w:rFonts w:ascii="宋体" w:hAnsi="宋体" w:cs="宋体" w:eastAsia="宋体" w:hint="default"/>
                <w:sz w:val="18"/>
                <w:szCs w:val="18"/>
              </w:rPr>
            </w:pPr>
            <w:r>
              <w:rPr>
                <w:rFonts w:ascii="宋体" w:hAnsi="宋体" w:cs="宋体" w:eastAsia="宋体" w:hint="default"/>
                <w:spacing w:val="-2"/>
                <w:sz w:val="18"/>
                <w:szCs w:val="18"/>
              </w:rPr>
              <w:t>是否在公司关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联方获取报酬</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陈友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56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143.69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苗逢源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57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232.02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陈鲁康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董事、副总经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61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89.15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李谦益</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166"/>
              <w:jc w:val="left"/>
              <w:rPr>
                <w:rFonts w:ascii="宋体" w:hAnsi="宋体" w:cs="宋体" w:eastAsia="宋体" w:hint="default"/>
                <w:sz w:val="18"/>
                <w:szCs w:val="18"/>
              </w:rPr>
            </w:pPr>
            <w:r>
              <w:rPr>
                <w:rFonts w:ascii="宋体" w:hAnsi="宋体" w:cs="宋体" w:eastAsia="宋体" w:hint="default"/>
                <w:spacing w:val="-2"/>
                <w:sz w:val="18"/>
                <w:szCs w:val="18"/>
              </w:rPr>
              <w:t>董事、副总经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47.83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谢晓宾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47.33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陈兵</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57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74.47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杨文庆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54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汪东升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166"/>
              <w:jc w:val="left"/>
              <w:rPr>
                <w:rFonts w:ascii="宋体" w:hAnsi="宋体" w:cs="宋体" w:eastAsia="宋体" w:hint="default"/>
                <w:sz w:val="18"/>
                <w:szCs w:val="18"/>
              </w:rPr>
            </w:pPr>
            <w:r>
              <w:rPr>
                <w:rFonts w:ascii="宋体" w:hAnsi="宋体" w:cs="宋体" w:eastAsia="宋体" w:hint="default"/>
                <w:spacing w:val="-2"/>
                <w:sz w:val="18"/>
                <w:szCs w:val="18"/>
              </w:rPr>
              <w:t>董事、常务副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47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164.46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梁金华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2.67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盛宝军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56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2.67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郑飞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45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2.67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张卫华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z w:val="18"/>
              </w:rPr>
              <w:t>47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z w:val="18"/>
              </w:rPr>
              <w:t>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谢波峰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44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戴昌久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58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林容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153.06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管四新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151.19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代峰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46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47.18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罗赞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46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105.98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赵影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z w:val="18"/>
              </w:rPr>
              <w:t>47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144.13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钱文胜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52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81.04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副总经理、董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事会秘书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86.79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张媛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41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46.27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梁凌琳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5"/>
              <w:jc w:val="right"/>
              <w:rPr>
                <w:rFonts w:ascii="Times New Roman" w:hAnsi="Times New Roman" w:cs="Times New Roman" w:eastAsia="Times New Roman" w:hint="default"/>
                <w:sz w:val="18"/>
                <w:szCs w:val="18"/>
              </w:rPr>
            </w:pPr>
            <w:r>
              <w:rPr>
                <w:rFonts w:ascii="Times New Roman"/>
                <w:sz w:val="18"/>
              </w:rPr>
              <w:t>45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30.39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代静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39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34.66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肖征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42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40.07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1"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1,748.72</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906" w:footer="1022" w:top="1100" w:bottom="1220" w:left="1020" w:right="0"/>
        </w:sectPr>
      </w:pPr>
    </w:p>
    <w:p>
      <w:pPr>
        <w:spacing w:before="56"/>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公司董事、高级管理人员报告期内被授予的股权激励情况</w:t>
      </w:r>
    </w:p>
    <w:p>
      <w:pPr>
        <w:spacing w:before="115"/>
        <w:ind w:left="1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2"/>
          <w:szCs w:val="22"/>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4617" w:space="4305"/>
            <w:col w:w="1968"/>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864"/>
        <w:gridCol w:w="869"/>
        <w:gridCol w:w="874"/>
        <w:gridCol w:w="869"/>
        <w:gridCol w:w="869"/>
        <w:gridCol w:w="869"/>
        <w:gridCol w:w="869"/>
        <w:gridCol w:w="874"/>
        <w:gridCol w:w="869"/>
        <w:gridCol w:w="869"/>
        <w:gridCol w:w="869"/>
      </w:tblGrid>
      <w:tr>
        <w:trPr>
          <w:trHeight w:val="1964"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63" w:right="156"/>
              <w:jc w:val="both"/>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内可行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权股数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58" w:right="156"/>
              <w:jc w:val="both"/>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内已行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权股数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29" w:right="134" w:firstLine="28"/>
              <w:jc w:val="both"/>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w w:val="101"/>
                <w:sz w:val="18"/>
                <w:szCs w:val="18"/>
              </w:rPr>
              <w:t> </w:t>
            </w:r>
            <w:r>
              <w:rPr>
                <w:rFonts w:ascii="宋体" w:hAnsi="宋体" w:cs="宋体" w:eastAsia="宋体" w:hint="default"/>
                <w:sz w:val="18"/>
                <w:szCs w:val="18"/>
              </w:rPr>
              <w:t>内已行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权股数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行权价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格（元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30"/>
              <w:ind w:left="163" w:right="151"/>
              <w:jc w:val="left"/>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末市价</w:t>
            </w:r>
          </w:p>
          <w:p>
            <w:pPr>
              <w:pStyle w:val="TableParagraph"/>
              <w:spacing w:line="304" w:lineRule="auto" w:before="20"/>
              <w:ind w:left="250" w:right="220" w:hanging="24"/>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63" w:right="151"/>
              <w:jc w:val="both"/>
              <w:rPr>
                <w:rFonts w:ascii="宋体" w:hAnsi="宋体" w:cs="宋体" w:eastAsia="宋体" w:hint="default"/>
                <w:sz w:val="18"/>
                <w:szCs w:val="18"/>
              </w:rPr>
            </w:pPr>
            <w:r>
              <w:rPr>
                <w:rFonts w:ascii="宋体" w:hAnsi="宋体" w:cs="宋体" w:eastAsia="宋体" w:hint="default"/>
                <w:sz w:val="18"/>
                <w:szCs w:val="18"/>
              </w:rPr>
              <w:t>期初持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性股票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数量</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63" w:right="156"/>
              <w:jc w:val="both"/>
              <w:rPr>
                <w:rFonts w:ascii="宋体" w:hAnsi="宋体" w:cs="宋体" w:eastAsia="宋体" w:hint="default"/>
                <w:sz w:val="18"/>
                <w:szCs w:val="18"/>
              </w:rPr>
            </w:pPr>
            <w:r>
              <w:rPr>
                <w:rFonts w:ascii="宋体" w:hAnsi="宋体" w:cs="宋体" w:eastAsia="宋体" w:hint="default"/>
                <w:sz w:val="18"/>
                <w:szCs w:val="18"/>
              </w:rPr>
              <w:t>本期已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解锁股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9" w:right="156"/>
              <w:jc w:val="center"/>
              <w:rPr>
                <w:rFonts w:ascii="宋体" w:hAnsi="宋体" w:cs="宋体" w:eastAsia="宋体" w:hint="default"/>
                <w:sz w:val="18"/>
                <w:szCs w:val="18"/>
              </w:rPr>
            </w:pPr>
            <w:r>
              <w:rPr>
                <w:rFonts w:ascii="宋体" w:hAnsi="宋体" w:cs="宋体" w:eastAsia="宋体" w:hint="default"/>
                <w:spacing w:val="-2"/>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新授予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限制性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股票数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134" w:right="129" w:firstLine="28"/>
              <w:jc w:val="both"/>
              <w:rPr>
                <w:rFonts w:ascii="宋体" w:hAnsi="宋体" w:cs="宋体" w:eastAsia="宋体" w:hint="default"/>
                <w:sz w:val="18"/>
                <w:szCs w:val="18"/>
              </w:rPr>
            </w:pPr>
            <w:r>
              <w:rPr>
                <w:rFonts w:ascii="宋体" w:hAnsi="宋体" w:cs="宋体" w:eastAsia="宋体" w:hint="default"/>
                <w:sz w:val="18"/>
                <w:szCs w:val="18"/>
              </w:rPr>
              <w:t>限制性</w:t>
            </w:r>
            <w:r>
              <w:rPr>
                <w:rFonts w:ascii="宋体" w:hAnsi="宋体" w:cs="宋体" w:eastAsia="宋体" w:hint="default"/>
                <w:w w:val="101"/>
                <w:sz w:val="18"/>
                <w:szCs w:val="18"/>
              </w:rPr>
              <w:t> </w:t>
            </w:r>
            <w:r>
              <w:rPr>
                <w:rFonts w:ascii="宋体" w:hAnsi="宋体" w:cs="宋体" w:eastAsia="宋体" w:hint="default"/>
                <w:sz w:val="18"/>
                <w:szCs w:val="18"/>
              </w:rPr>
              <w:t>股票的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授予价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格（元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63" w:right="151"/>
              <w:jc w:val="both"/>
              <w:rPr>
                <w:rFonts w:ascii="宋体" w:hAnsi="宋体" w:cs="宋体" w:eastAsia="宋体" w:hint="default"/>
                <w:sz w:val="18"/>
                <w:szCs w:val="18"/>
              </w:rPr>
            </w:pPr>
            <w:r>
              <w:rPr>
                <w:rFonts w:ascii="宋体" w:hAnsi="宋体" w:cs="宋体" w:eastAsia="宋体" w:hint="default"/>
                <w:sz w:val="18"/>
                <w:szCs w:val="18"/>
              </w:rPr>
              <w:t>期末持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性股票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数量</w:t>
            </w:r>
          </w:p>
        </w:tc>
      </w:tr>
      <w:tr>
        <w:trPr>
          <w:trHeight w:val="71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林容</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09"/>
              <w:jc w:val="left"/>
              <w:rPr>
                <w:rFonts w:ascii="宋体" w:hAnsi="宋体" w:cs="宋体" w:eastAsia="宋体" w:hint="default"/>
                <w:sz w:val="18"/>
                <w:szCs w:val="18"/>
              </w:rPr>
            </w:pPr>
            <w:r>
              <w:rPr>
                <w:rFonts w:ascii="宋体" w:hAnsi="宋体" w:cs="宋体" w:eastAsia="宋体" w:hint="default"/>
                <w:sz w:val="18"/>
                <w:szCs w:val="18"/>
              </w:rPr>
              <w:t>副总经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7.96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96,071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96,071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5.41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管四新</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209"/>
              <w:jc w:val="left"/>
              <w:rPr>
                <w:rFonts w:ascii="宋体" w:hAnsi="宋体" w:cs="宋体" w:eastAsia="宋体" w:hint="default"/>
                <w:sz w:val="18"/>
                <w:szCs w:val="18"/>
              </w:rPr>
            </w:pPr>
            <w:r>
              <w:rPr>
                <w:rFonts w:ascii="宋体" w:hAnsi="宋体" w:cs="宋体" w:eastAsia="宋体" w:hint="default"/>
                <w:sz w:val="18"/>
                <w:szCs w:val="18"/>
              </w:rPr>
              <w:t>副总经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7.96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96,071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96,071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5.41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代峰</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209"/>
              <w:jc w:val="left"/>
              <w:rPr>
                <w:rFonts w:ascii="宋体" w:hAnsi="宋体" w:cs="宋体" w:eastAsia="宋体" w:hint="default"/>
                <w:sz w:val="18"/>
                <w:szCs w:val="18"/>
              </w:rPr>
            </w:pPr>
            <w:r>
              <w:rPr>
                <w:rFonts w:ascii="宋体" w:hAnsi="宋体" w:cs="宋体" w:eastAsia="宋体" w:hint="default"/>
                <w:sz w:val="18"/>
                <w:szCs w:val="18"/>
              </w:rPr>
              <w:t>副总经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7.96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40,350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40,350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5.41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罗赞</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09"/>
              <w:jc w:val="left"/>
              <w:rPr>
                <w:rFonts w:ascii="宋体" w:hAnsi="宋体" w:cs="宋体" w:eastAsia="宋体" w:hint="default"/>
                <w:sz w:val="18"/>
                <w:szCs w:val="18"/>
              </w:rPr>
            </w:pPr>
            <w:r>
              <w:rPr>
                <w:rFonts w:ascii="宋体" w:hAnsi="宋体" w:cs="宋体" w:eastAsia="宋体" w:hint="default"/>
                <w:sz w:val="18"/>
                <w:szCs w:val="18"/>
              </w:rPr>
              <w:t>副总经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7.96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67,250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67,250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5.41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陈秀琴</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93"/>
              <w:jc w:val="left"/>
              <w:rPr>
                <w:rFonts w:ascii="宋体" w:hAnsi="宋体" w:cs="宋体" w:eastAsia="宋体" w:hint="default"/>
                <w:sz w:val="18"/>
                <w:szCs w:val="18"/>
              </w:rPr>
            </w:pPr>
            <w:r>
              <w:rPr>
                <w:rFonts w:ascii="宋体" w:hAnsi="宋体" w:cs="宋体" w:eastAsia="宋体" w:hint="default"/>
                <w:sz w:val="18"/>
                <w:szCs w:val="18"/>
              </w:rPr>
              <w:t>副总经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理、董事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会秘书</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7.96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58,924</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58,924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5.41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钱文胜</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209"/>
              <w:jc w:val="left"/>
              <w:rPr>
                <w:rFonts w:ascii="宋体" w:hAnsi="宋体" w:cs="宋体" w:eastAsia="宋体" w:hint="default"/>
                <w:sz w:val="18"/>
                <w:szCs w:val="18"/>
              </w:rPr>
            </w:pPr>
            <w:r>
              <w:rPr>
                <w:rFonts w:ascii="宋体" w:hAnsi="宋体" w:cs="宋体" w:eastAsia="宋体" w:hint="default"/>
                <w:sz w:val="18"/>
                <w:szCs w:val="18"/>
              </w:rPr>
              <w:t>财务总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监</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7.96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44,833</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44,833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5.41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403,499</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403,499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20" w:left="1020" w:right="0"/>
        </w:sectPr>
      </w:pPr>
    </w:p>
    <w:p>
      <w:pPr>
        <w:spacing w:line="240" w:lineRule="auto" w:before="6"/>
        <w:rPr>
          <w:rFonts w:ascii="宋体" w:hAnsi="宋体" w:cs="宋体" w:eastAsia="宋体" w:hint="default"/>
          <w:sz w:val="20"/>
          <w:szCs w:val="20"/>
        </w:rPr>
      </w:pPr>
    </w:p>
    <w:p>
      <w:pPr>
        <w:pStyle w:val="Heading2"/>
        <w:spacing w:line="240" w:lineRule="auto" w:before="26"/>
        <w:ind w:right="1764"/>
        <w:jc w:val="left"/>
        <w:rPr>
          <w:b w:val="0"/>
          <w:bCs w:val="0"/>
        </w:rPr>
      </w:pPr>
      <w:bookmarkStart w:name="五、公司员工情况" w:id="128"/>
      <w:bookmarkEnd w:id="128"/>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764"/>
        <w:jc w:val="left"/>
        <w:rPr>
          <w:b w:val="0"/>
          <w:bCs w:val="0"/>
        </w:rPr>
      </w:pPr>
      <w:bookmarkStart w:name="1、员工数量、专业构成及教育程度" w:id="129"/>
      <w:bookmarkEnd w:id="129"/>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12"/>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母公司在职员工的数量（人）</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2,422</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主要子公司在职员工的数量（人）</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2,958</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在职员工的数量合计（人）</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5,380</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当期领取薪酬员工总人数（人）</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5,380</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母公司及主要子公司需承担费用的离退休职工人数（人）</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74" w:right="0"/>
              <w:jc w:val="left"/>
              <w:rPr>
                <w:rFonts w:ascii="宋体" w:hAnsi="宋体" w:cs="宋体" w:eastAsia="宋体" w:hint="default"/>
                <w:sz w:val="18"/>
                <w:szCs w:val="18"/>
              </w:rPr>
            </w:pPr>
            <w:r>
              <w:rPr>
                <w:rFonts w:ascii="宋体" w:hAnsi="宋体" w:cs="宋体" w:eastAsia="宋体" w:hint="default"/>
                <w:spacing w:val="-3"/>
                <w:sz w:val="18"/>
                <w:szCs w:val="18"/>
              </w:rPr>
              <w:t>专业构成人数（人）</w:t>
            </w:r>
          </w:p>
        </w:tc>
      </w:tr>
      <w:tr>
        <w:trPr>
          <w:trHeight w:val="40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9"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243</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3,539</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49</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375</w:t>
            </w:r>
          </w:p>
        </w:tc>
      </w:tr>
      <w:tr>
        <w:trPr>
          <w:trHeight w:val="399"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客服人员</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628</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546</w:t>
            </w:r>
          </w:p>
        </w:tc>
      </w:tr>
      <w:tr>
        <w:trPr>
          <w:trHeight w:val="40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5,380</w:t>
            </w:r>
          </w:p>
        </w:tc>
      </w:tr>
      <w:tr>
        <w:trPr>
          <w:trHeight w:val="398"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399"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186</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3,998</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1,034</w:t>
            </w:r>
          </w:p>
        </w:tc>
      </w:tr>
      <w:tr>
        <w:trPr>
          <w:trHeight w:val="399"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162</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5,380</w:t>
            </w:r>
          </w:p>
        </w:tc>
      </w:tr>
    </w:tbl>
    <w:p>
      <w:pPr>
        <w:spacing w:line="240" w:lineRule="auto" w:before="3"/>
        <w:rPr>
          <w:rFonts w:ascii="宋体" w:hAnsi="宋体" w:cs="宋体" w:eastAsia="宋体" w:hint="default"/>
          <w:b/>
          <w:bCs/>
          <w:sz w:val="19"/>
          <w:szCs w:val="19"/>
        </w:rPr>
      </w:pPr>
    </w:p>
    <w:p>
      <w:pPr>
        <w:pStyle w:val="Heading3"/>
        <w:spacing w:line="240" w:lineRule="auto" w:before="36"/>
        <w:ind w:right="1764"/>
        <w:jc w:val="left"/>
        <w:rPr>
          <w:b w:val="0"/>
          <w:bCs w:val="0"/>
        </w:rPr>
      </w:pPr>
      <w:bookmarkStart w:name="2、薪酬政策" w:id="130"/>
      <w:bookmarkEnd w:id="130"/>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5"/>
        <w:rPr>
          <w:rFonts w:ascii="宋体" w:hAnsi="宋体" w:cs="宋体" w:eastAsia="宋体" w:hint="default"/>
          <w:b/>
          <w:bCs/>
          <w:sz w:val="26"/>
          <w:szCs w:val="26"/>
        </w:rPr>
      </w:pPr>
    </w:p>
    <w:p>
      <w:pPr>
        <w:spacing w:line="321" w:lineRule="auto" w:before="0"/>
        <w:ind w:left="113" w:right="1007" w:firstLine="360"/>
        <w:jc w:val="left"/>
        <w:rPr>
          <w:rFonts w:ascii="宋体" w:hAnsi="宋体" w:cs="宋体" w:eastAsia="宋体" w:hint="default"/>
          <w:sz w:val="18"/>
          <w:szCs w:val="18"/>
        </w:rPr>
      </w:pPr>
      <w:r>
        <w:rPr>
          <w:rFonts w:ascii="宋体" w:hAnsi="宋体" w:cs="宋体" w:eastAsia="宋体" w:hint="default"/>
          <w:spacing w:val="-4"/>
          <w:sz w:val="18"/>
          <w:szCs w:val="18"/>
        </w:rPr>
        <w:t>为规范公司员工薪酬评定及其预算、支付等管理工作，建立公司与员工合理分享公司发展带来的利益的机制，促进公司</w:t>
      </w:r>
      <w:r>
        <w:rPr>
          <w:rFonts w:ascii="宋体" w:hAnsi="宋体" w:cs="宋体" w:eastAsia="宋体" w:hint="default"/>
          <w:w w:val="101"/>
          <w:sz w:val="18"/>
          <w:szCs w:val="18"/>
        </w:rPr>
        <w:t> </w:t>
      </w:r>
      <w:r>
        <w:rPr>
          <w:rFonts w:ascii="宋体" w:hAnsi="宋体" w:cs="宋体" w:eastAsia="宋体" w:hint="default"/>
          <w:spacing w:val="-3"/>
          <w:sz w:val="18"/>
          <w:szCs w:val="18"/>
        </w:rPr>
        <w:t>实现发展目标，公司制定了相关的薪酬制度。</w:t>
      </w:r>
    </w:p>
    <w:p>
      <w:pPr>
        <w:spacing w:before="58"/>
        <w:ind w:left="473" w:right="1764" w:firstLine="0"/>
        <w:jc w:val="left"/>
        <w:rPr>
          <w:rFonts w:ascii="宋体" w:hAnsi="宋体" w:cs="宋体" w:eastAsia="宋体" w:hint="default"/>
          <w:sz w:val="18"/>
          <w:szCs w:val="18"/>
        </w:rPr>
      </w:pPr>
      <w:r>
        <w:rPr>
          <w:rFonts w:ascii="宋体" w:hAnsi="宋体" w:cs="宋体" w:eastAsia="宋体" w:hint="default"/>
          <w:spacing w:val="-3"/>
          <w:sz w:val="18"/>
          <w:szCs w:val="18"/>
        </w:rPr>
        <w:t>公司员工的薪酬结构主要包括工资、奖金、福利三个方面：</w:t>
      </w:r>
    </w:p>
    <w:p>
      <w:pPr>
        <w:spacing w:line="357" w:lineRule="auto" w:before="115"/>
        <w:ind w:left="473" w:right="271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）工资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按构成内容和计发依据不同又分为正常工作时间工资、绩效工资和浮动工资等若干部分。</w:t>
      </w:r>
    </w:p>
    <w:p>
      <w:pPr>
        <w:spacing w:before="32"/>
        <w:ind w:left="473" w:right="176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）奖金</w:t>
      </w:r>
    </w:p>
    <w:p>
      <w:pPr>
        <w:spacing w:line="321" w:lineRule="auto" w:before="110"/>
        <w:ind w:left="113" w:right="1007" w:firstLine="633"/>
        <w:jc w:val="left"/>
        <w:rPr>
          <w:rFonts w:ascii="宋体" w:hAnsi="宋体" w:cs="宋体" w:eastAsia="宋体" w:hint="default"/>
          <w:sz w:val="18"/>
          <w:szCs w:val="18"/>
        </w:rPr>
      </w:pPr>
      <w:r>
        <w:rPr>
          <w:rFonts w:ascii="宋体" w:hAnsi="宋体" w:cs="宋体" w:eastAsia="宋体" w:hint="default"/>
          <w:spacing w:val="-3"/>
          <w:sz w:val="18"/>
          <w:szCs w:val="18"/>
        </w:rPr>
        <w:t>公司会根据公司业绩、部门或团队的贡献、结合公司激励考核制度、员工当年的考核结果、实际出勤率、岗位贡献</w:t>
      </w:r>
      <w:r>
        <w:rPr>
          <w:rFonts w:ascii="宋体" w:hAnsi="宋体" w:cs="宋体" w:eastAsia="宋体" w:hint="default"/>
          <w:w w:val="101"/>
          <w:sz w:val="18"/>
          <w:szCs w:val="18"/>
        </w:rPr>
        <w:t> </w:t>
      </w:r>
      <w:r>
        <w:rPr>
          <w:rFonts w:ascii="宋体" w:hAnsi="宋体" w:cs="宋体" w:eastAsia="宋体" w:hint="default"/>
          <w:spacing w:val="-3"/>
          <w:sz w:val="18"/>
          <w:szCs w:val="18"/>
        </w:rPr>
        <w:t>等因素给在岗的部分优秀员工发放一定额度的年度奖金</w:t>
      </w:r>
      <w:r>
        <w:rPr>
          <w:rFonts w:ascii="宋体" w:hAnsi="宋体" w:cs="宋体" w:eastAsia="宋体" w:hint="default"/>
          <w:spacing w:val="74"/>
          <w:sz w:val="18"/>
          <w:szCs w:val="18"/>
        </w:rPr>
        <w:t> </w:t>
      </w:r>
      <w:r>
        <w:rPr>
          <w:rFonts w:ascii="宋体" w:hAnsi="宋体" w:cs="宋体" w:eastAsia="宋体" w:hint="default"/>
          <w:sz w:val="18"/>
          <w:szCs w:val="18"/>
        </w:rPr>
        <w:t>；</w:t>
      </w:r>
    </w:p>
    <w:p>
      <w:pPr>
        <w:spacing w:after="0" w:line="321"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spacing w:line="321" w:lineRule="auto" w:before="46"/>
        <w:ind w:left="113" w:right="1007" w:firstLine="360"/>
        <w:jc w:val="left"/>
        <w:rPr>
          <w:rFonts w:ascii="宋体" w:hAnsi="宋体" w:cs="宋体" w:eastAsia="宋体" w:hint="default"/>
          <w:sz w:val="18"/>
          <w:szCs w:val="18"/>
        </w:rPr>
      </w:pPr>
      <w:r>
        <w:rPr>
          <w:rFonts w:ascii="宋体" w:hAnsi="宋体" w:cs="宋体" w:eastAsia="宋体" w:hint="default"/>
          <w:spacing w:val="-4"/>
          <w:sz w:val="18"/>
          <w:szCs w:val="18"/>
        </w:rPr>
        <w:t>奖金不属于工资的一部分，属于奖励性质，公司有权决定向哪些人员发放奖金、不向哪些人员发放奖金，对此，所有在</w:t>
      </w:r>
      <w:r>
        <w:rPr>
          <w:rFonts w:ascii="宋体" w:hAnsi="宋体" w:cs="宋体" w:eastAsia="宋体" w:hint="default"/>
          <w:w w:val="101"/>
          <w:sz w:val="18"/>
          <w:szCs w:val="18"/>
        </w:rPr>
        <w:t> </w:t>
      </w:r>
      <w:r>
        <w:rPr>
          <w:rFonts w:ascii="宋体" w:hAnsi="宋体" w:cs="宋体" w:eastAsia="宋体" w:hint="default"/>
          <w:sz w:val="18"/>
          <w:szCs w:val="18"/>
        </w:rPr>
        <w:t>岗人员无权提出异议；</w:t>
      </w:r>
    </w:p>
    <w:p>
      <w:pPr>
        <w:spacing w:before="53"/>
        <w:ind w:left="473" w:right="1764" w:firstLine="0"/>
        <w:jc w:val="left"/>
        <w:rPr>
          <w:rFonts w:ascii="宋体" w:hAnsi="宋体" w:cs="宋体" w:eastAsia="宋体" w:hint="default"/>
          <w:sz w:val="18"/>
          <w:szCs w:val="18"/>
        </w:rPr>
      </w:pPr>
      <w:r>
        <w:rPr>
          <w:rFonts w:ascii="宋体" w:hAnsi="宋体" w:cs="宋体" w:eastAsia="宋体" w:hint="default"/>
          <w:spacing w:val="-3"/>
          <w:sz w:val="18"/>
          <w:szCs w:val="18"/>
        </w:rPr>
        <w:t>任何奖金发放日期前提出离职或已经离职的人，以及严重违反公司制度的员工，一概不发放。</w:t>
      </w:r>
    </w:p>
    <w:p>
      <w:pPr>
        <w:spacing w:line="357" w:lineRule="auto" w:before="120"/>
        <w:ind w:left="473" w:right="5762"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）福利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公司设置的福利包括法定福利和其他福利两部分。</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法定福利有：社会保险和住房公积金。</w:t>
      </w:r>
    </w:p>
    <w:p>
      <w:pPr>
        <w:spacing w:line="357" w:lineRule="auto" w:before="31"/>
        <w:ind w:left="473" w:right="1764" w:firstLine="0"/>
        <w:jc w:val="left"/>
        <w:rPr>
          <w:rFonts w:ascii="宋体" w:hAnsi="宋体" w:cs="宋体" w:eastAsia="宋体" w:hint="default"/>
          <w:sz w:val="18"/>
          <w:szCs w:val="18"/>
        </w:rPr>
      </w:pPr>
      <w:r>
        <w:rPr>
          <w:rFonts w:ascii="宋体" w:hAnsi="宋体" w:cs="宋体" w:eastAsia="宋体" w:hint="default"/>
          <w:spacing w:val="-3"/>
          <w:sz w:val="18"/>
          <w:szCs w:val="18"/>
        </w:rPr>
        <w:t>非法定福利有：</w:t>
      </w:r>
      <w:r>
        <w:rPr>
          <w:rFonts w:ascii="宋体" w:hAnsi="宋体" w:cs="宋体" w:eastAsia="宋体" w:hint="default"/>
          <w:spacing w:val="61"/>
          <w:sz w:val="18"/>
          <w:szCs w:val="18"/>
        </w:rPr>
        <w:t> </w:t>
      </w:r>
      <w:r>
        <w:rPr>
          <w:rFonts w:ascii="宋体" w:hAnsi="宋体" w:cs="宋体" w:eastAsia="宋体" w:hint="default"/>
          <w:spacing w:val="-3"/>
          <w:sz w:val="18"/>
          <w:szCs w:val="18"/>
        </w:rPr>
        <w:t>过节费、体检</w:t>
      </w:r>
      <w:r>
        <w:rPr>
          <w:rFonts w:ascii="宋体" w:hAnsi="宋体" w:cs="宋体" w:eastAsia="宋体" w:hint="default"/>
          <w:spacing w:val="52"/>
          <w:sz w:val="18"/>
          <w:szCs w:val="18"/>
        </w:rPr>
        <w:t> </w:t>
      </w:r>
      <w:r>
        <w:rPr>
          <w:rFonts w:ascii="宋体" w:hAnsi="宋体" w:cs="宋体" w:eastAsia="宋体" w:hint="default"/>
          <w:spacing w:val="-3"/>
          <w:sz w:val="18"/>
          <w:szCs w:val="18"/>
        </w:rPr>
        <w:t>、社会保险、商业保险、团队建设费、员工关怀礼金和生日关怀。</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公司的薪酬原则为：</w:t>
      </w:r>
    </w:p>
    <w:p>
      <w:pPr>
        <w:spacing w:before="27"/>
        <w:ind w:left="473" w:right="176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）按劳分配为主的原则；</w:t>
      </w:r>
    </w:p>
    <w:p>
      <w:pPr>
        <w:spacing w:before="119"/>
        <w:ind w:left="473" w:right="176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）效率优先兼顾公平的原则；</w:t>
      </w:r>
    </w:p>
    <w:p>
      <w:pPr>
        <w:spacing w:before="115"/>
        <w:ind w:left="473" w:right="1764" w:firstLine="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3</w:t>
      </w:r>
      <w:r>
        <w:rPr>
          <w:rFonts w:ascii="宋体" w:hAnsi="宋体" w:cs="宋体" w:eastAsia="宋体" w:hint="default"/>
          <w:spacing w:val="-3"/>
          <w:sz w:val="18"/>
          <w:szCs w:val="18"/>
        </w:rPr>
        <w:t>）成本在部门预算范围内；</w:t>
      </w:r>
    </w:p>
    <w:p>
      <w:pPr>
        <w:spacing w:before="115"/>
        <w:ind w:left="473" w:right="1764" w:firstLine="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4</w:t>
      </w:r>
      <w:r>
        <w:rPr>
          <w:rFonts w:ascii="宋体" w:hAnsi="宋体" w:cs="宋体" w:eastAsia="宋体" w:hint="default"/>
          <w:spacing w:val="-3"/>
          <w:sz w:val="18"/>
          <w:szCs w:val="18"/>
        </w:rPr>
        <w:t>）员工薪资范围与员工职级职系相匹配；</w:t>
      </w:r>
    </w:p>
    <w:p>
      <w:pPr>
        <w:spacing w:line="357" w:lineRule="auto" w:before="119"/>
        <w:ind w:left="473" w:right="5762" w:firstLine="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5</w:t>
      </w:r>
      <w:r>
        <w:rPr>
          <w:rFonts w:ascii="宋体" w:hAnsi="宋体" w:cs="宋体" w:eastAsia="宋体" w:hint="default"/>
          <w:spacing w:val="-3"/>
          <w:sz w:val="18"/>
          <w:szCs w:val="18"/>
        </w:rPr>
        <w:t>）调薪幅度由绩效考核等级决定。</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3"/>
          <w:sz w:val="18"/>
          <w:szCs w:val="18"/>
        </w:rPr>
        <w:t>公司定期可申请调薪，薪酬调整作业时间：每半年一次。</w:t>
      </w:r>
    </w:p>
    <w:p>
      <w:pPr>
        <w:spacing w:line="321" w:lineRule="auto" w:before="22"/>
        <w:ind w:left="113" w:right="1131" w:firstLine="360"/>
        <w:jc w:val="left"/>
        <w:rPr>
          <w:rFonts w:ascii="宋体" w:hAnsi="宋体" w:cs="宋体" w:eastAsia="宋体" w:hint="default"/>
          <w:sz w:val="18"/>
          <w:szCs w:val="18"/>
        </w:rPr>
      </w:pPr>
      <w:r>
        <w:rPr>
          <w:rFonts w:ascii="宋体" w:hAnsi="宋体" w:cs="宋体" w:eastAsia="宋体" w:hint="default"/>
          <w:spacing w:val="-3"/>
          <w:sz w:val="18"/>
          <w:szCs w:val="18"/>
        </w:rPr>
        <w:t>调薪流程：人力资源发布薪资调整通知</w:t>
      </w:r>
      <w:r>
        <w:rPr>
          <w:rFonts w:ascii="宋体" w:hAnsi="宋体" w:cs="宋体" w:eastAsia="宋体" w:hint="default"/>
          <w:spacing w:val="-3"/>
          <w:sz w:val="18"/>
          <w:szCs w:val="18"/>
        </w:rPr>
        <w:t>---</w:t>
      </w:r>
      <w:r>
        <w:rPr>
          <w:rFonts w:ascii="宋体" w:hAnsi="宋体" w:cs="宋体" w:eastAsia="宋体" w:hint="default"/>
          <w:spacing w:val="-3"/>
          <w:sz w:val="18"/>
          <w:szCs w:val="18"/>
        </w:rPr>
        <w:t>各组织上报薪资调整信息</w:t>
      </w:r>
      <w:r>
        <w:rPr>
          <w:rFonts w:ascii="宋体" w:hAnsi="宋体" w:cs="宋体" w:eastAsia="宋体" w:hint="default"/>
          <w:spacing w:val="-3"/>
          <w:sz w:val="18"/>
          <w:szCs w:val="18"/>
        </w:rPr>
        <w:t>---</w:t>
      </w:r>
      <w:r>
        <w:rPr>
          <w:rFonts w:ascii="宋体" w:hAnsi="宋体" w:cs="宋体" w:eastAsia="宋体" w:hint="default"/>
          <w:spacing w:val="-3"/>
          <w:sz w:val="18"/>
          <w:szCs w:val="18"/>
        </w:rPr>
        <w:t>运营管理部和财务部提供数据</w:t>
      </w:r>
      <w:r>
        <w:rPr>
          <w:rFonts w:ascii="宋体" w:hAnsi="宋体" w:cs="宋体" w:eastAsia="宋体" w:hint="default"/>
          <w:spacing w:val="-3"/>
          <w:sz w:val="18"/>
          <w:szCs w:val="18"/>
        </w:rPr>
        <w:t>---</w:t>
      </w:r>
      <w:r>
        <w:rPr>
          <w:rFonts w:ascii="宋体" w:hAnsi="宋体" w:cs="宋体" w:eastAsia="宋体" w:hint="default"/>
          <w:spacing w:val="-3"/>
          <w:sz w:val="18"/>
          <w:szCs w:val="18"/>
        </w:rPr>
        <w:t>人力资源部审</w:t>
      </w:r>
      <w:r>
        <w:rPr>
          <w:rFonts w:ascii="宋体" w:hAnsi="宋体" w:cs="宋体" w:eastAsia="宋体" w:hint="default"/>
          <w:w w:val="101"/>
          <w:sz w:val="18"/>
          <w:szCs w:val="18"/>
        </w:rPr>
        <w:t> </w:t>
      </w:r>
      <w:r>
        <w:rPr>
          <w:rFonts w:ascii="宋体" w:hAnsi="宋体" w:cs="宋体" w:eastAsia="宋体" w:hint="default"/>
          <w:spacing w:val="-3"/>
          <w:sz w:val="18"/>
          <w:szCs w:val="18"/>
        </w:rPr>
        <w:t>核</w:t>
      </w:r>
      <w:r>
        <w:rPr>
          <w:rFonts w:ascii="宋体" w:hAnsi="宋体" w:cs="宋体" w:eastAsia="宋体" w:hint="default"/>
          <w:spacing w:val="-3"/>
          <w:sz w:val="18"/>
          <w:szCs w:val="18"/>
        </w:rPr>
        <w:t>---</w:t>
      </w:r>
      <w:r>
        <w:rPr>
          <w:rFonts w:ascii="宋体" w:hAnsi="宋体" w:cs="宋体" w:eastAsia="宋体" w:hint="default"/>
          <w:spacing w:val="-3"/>
          <w:sz w:val="18"/>
          <w:szCs w:val="18"/>
        </w:rPr>
        <w:t>各分管副总审批</w:t>
      </w:r>
      <w:r>
        <w:rPr>
          <w:rFonts w:ascii="宋体" w:hAnsi="宋体" w:cs="宋体" w:eastAsia="宋体" w:hint="default"/>
          <w:spacing w:val="-3"/>
          <w:sz w:val="18"/>
          <w:szCs w:val="18"/>
        </w:rPr>
        <w:t>---</w:t>
      </w:r>
      <w:r>
        <w:rPr>
          <w:rFonts w:ascii="宋体" w:hAnsi="宋体" w:cs="宋体" w:eastAsia="宋体" w:hint="default"/>
          <w:spacing w:val="-3"/>
          <w:sz w:val="18"/>
          <w:szCs w:val="18"/>
        </w:rPr>
        <w:t>总裁审批</w:t>
      </w:r>
      <w:r>
        <w:rPr>
          <w:rFonts w:ascii="宋体" w:hAnsi="宋体" w:cs="宋体" w:eastAsia="宋体" w:hint="default"/>
          <w:spacing w:val="-3"/>
          <w:sz w:val="18"/>
          <w:szCs w:val="18"/>
        </w:rPr>
        <w:t>---</w:t>
      </w:r>
      <w:r>
        <w:rPr>
          <w:rFonts w:ascii="宋体" w:hAnsi="宋体" w:cs="宋体" w:eastAsia="宋体" w:hint="default"/>
          <w:spacing w:val="-3"/>
          <w:sz w:val="18"/>
          <w:szCs w:val="18"/>
        </w:rPr>
        <w:t>董事长最终审批</w:t>
      </w:r>
      <w:r>
        <w:rPr>
          <w:rFonts w:ascii="宋体" w:hAnsi="宋体" w:cs="宋体" w:eastAsia="宋体" w:hint="default"/>
          <w:spacing w:val="-3"/>
          <w:sz w:val="18"/>
          <w:szCs w:val="18"/>
        </w:rPr>
        <w:t>---</w:t>
      </w:r>
      <w:r>
        <w:rPr>
          <w:rFonts w:ascii="宋体" w:hAnsi="宋体" w:cs="宋体" w:eastAsia="宋体" w:hint="default"/>
          <w:spacing w:val="-3"/>
          <w:sz w:val="18"/>
          <w:szCs w:val="18"/>
        </w:rPr>
        <w:t>财务部核发。</w:t>
      </w:r>
    </w:p>
    <w:p>
      <w:pPr>
        <w:spacing w:before="58"/>
        <w:ind w:left="473" w:right="1007" w:firstLine="0"/>
        <w:jc w:val="left"/>
        <w:rPr>
          <w:rFonts w:ascii="宋体" w:hAnsi="宋体" w:cs="宋体" w:eastAsia="宋体" w:hint="default"/>
          <w:sz w:val="18"/>
          <w:szCs w:val="18"/>
        </w:rPr>
      </w:pPr>
      <w:r>
        <w:rPr>
          <w:rFonts w:ascii="宋体" w:hAnsi="宋体" w:cs="宋体" w:eastAsia="宋体" w:hint="default"/>
          <w:spacing w:val="-3"/>
          <w:sz w:val="18"/>
          <w:szCs w:val="18"/>
        </w:rPr>
        <w:t>公司需遵守《深圳证券交易所行业信息披露指引第</w:t>
      </w:r>
      <w:r>
        <w:rPr>
          <w:rFonts w:ascii="宋体" w:hAnsi="宋体" w:cs="宋体" w:eastAsia="宋体" w:hint="default"/>
          <w:spacing w:val="-3"/>
          <w:sz w:val="18"/>
          <w:szCs w:val="18"/>
        </w:rPr>
        <w:t>12</w:t>
      </w:r>
      <w:r>
        <w:rPr>
          <w:rFonts w:ascii="宋体" w:hAnsi="宋体" w:cs="宋体" w:eastAsia="宋体" w:hint="default"/>
          <w:spacing w:val="-3"/>
          <w:sz w:val="18"/>
          <w:szCs w:val="18"/>
        </w:rPr>
        <w:t>号——上市公司从事软件与信息技术服务业务》的披露要求。</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7"/>
          <w:szCs w:val="1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公司需遵守《深圳证券交易所行业信息披露指引第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号——上市公司从事软件与信息技术服务业务》的披露要求</w:t>
      </w:r>
    </w:p>
    <w:p>
      <w:pPr>
        <w:spacing w:line="240" w:lineRule="auto" w:before="0"/>
        <w:rPr>
          <w:rFonts w:ascii="宋体" w:hAnsi="宋体" w:cs="宋体" w:eastAsia="宋体" w:hint="default"/>
          <w:sz w:val="18"/>
          <w:szCs w:val="18"/>
        </w:rPr>
      </w:pPr>
    </w:p>
    <w:p>
      <w:pPr>
        <w:spacing w:before="125"/>
        <w:ind w:left="113" w:right="1764" w:firstLine="0"/>
        <w:jc w:val="left"/>
        <w:rPr>
          <w:rFonts w:ascii="宋体" w:hAnsi="宋体" w:cs="宋体" w:eastAsia="宋体" w:hint="default"/>
          <w:sz w:val="18"/>
          <w:szCs w:val="18"/>
        </w:rPr>
      </w:pPr>
      <w:bookmarkStart w:name="3、培训计划" w:id="131"/>
      <w:bookmarkEnd w:id="131"/>
      <w:r>
        <w:rPr/>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、培训计划</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324" w:lineRule="auto" w:before="129"/>
        <w:ind w:left="113" w:right="1007" w:firstLine="422"/>
        <w:jc w:val="left"/>
        <w:rPr>
          <w:rFonts w:ascii="宋体" w:hAnsi="宋体" w:cs="宋体" w:eastAsia="宋体" w:hint="default"/>
          <w:sz w:val="18"/>
          <w:szCs w:val="18"/>
        </w:rPr>
      </w:pPr>
      <w:r>
        <w:rPr>
          <w:rFonts w:ascii="宋体" w:hAnsi="宋体" w:cs="宋体" w:eastAsia="宋体" w:hint="default"/>
          <w:spacing w:val="-3"/>
          <w:sz w:val="18"/>
          <w:szCs w:val="18"/>
        </w:rPr>
        <w:t>2019</w:t>
      </w:r>
      <w:r>
        <w:rPr>
          <w:rFonts w:ascii="宋体" w:hAnsi="宋体" w:cs="宋体" w:eastAsia="宋体" w:hint="default"/>
          <w:spacing w:val="-3"/>
          <w:sz w:val="18"/>
          <w:szCs w:val="18"/>
        </w:rPr>
        <w:t>年，稳步开展能级认证、能力专项训练、培训过程管理、讲师队伍管理、培训平台维护，为公司员工提供良好的</w:t>
      </w:r>
      <w:r>
        <w:rPr>
          <w:rFonts w:ascii="宋体" w:hAnsi="宋体" w:cs="宋体" w:eastAsia="宋体" w:hint="default"/>
          <w:w w:val="101"/>
          <w:sz w:val="18"/>
          <w:szCs w:val="18"/>
        </w:rPr>
        <w:t> </w:t>
      </w:r>
      <w:r>
        <w:rPr>
          <w:rFonts w:ascii="宋体" w:hAnsi="宋体" w:cs="宋体" w:eastAsia="宋体" w:hint="default"/>
          <w:sz w:val="18"/>
          <w:szCs w:val="18"/>
        </w:rPr>
        <w:t>培训支持。</w:t>
      </w:r>
    </w:p>
    <w:p>
      <w:pPr>
        <w:spacing w:before="52"/>
        <w:ind w:left="535" w:right="1007" w:firstLine="0"/>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、公司级内训方面，社招新人训</w:t>
      </w:r>
      <w:r>
        <w:rPr>
          <w:rFonts w:ascii="宋体" w:hAnsi="宋体" w:cs="宋体" w:eastAsia="宋体" w:hint="default"/>
          <w:spacing w:val="-4"/>
          <w:sz w:val="18"/>
          <w:szCs w:val="18"/>
        </w:rPr>
        <w:t>5</w:t>
      </w:r>
      <w:r>
        <w:rPr>
          <w:rFonts w:ascii="宋体" w:hAnsi="宋体" w:cs="宋体" w:eastAsia="宋体" w:hint="default"/>
          <w:spacing w:val="-4"/>
          <w:sz w:val="18"/>
          <w:szCs w:val="18"/>
        </w:rPr>
        <w:t>场，累计培训人数</w:t>
      </w:r>
      <w:r>
        <w:rPr>
          <w:rFonts w:ascii="宋体" w:hAnsi="宋体" w:cs="宋体" w:eastAsia="宋体" w:hint="default"/>
          <w:spacing w:val="-4"/>
          <w:sz w:val="18"/>
          <w:szCs w:val="18"/>
        </w:rPr>
        <w:t>1192</w:t>
      </w:r>
      <w:r>
        <w:rPr>
          <w:rFonts w:ascii="宋体" w:hAnsi="宋体" w:cs="宋体" w:eastAsia="宋体" w:hint="default"/>
          <w:spacing w:val="-4"/>
          <w:sz w:val="18"/>
          <w:szCs w:val="18"/>
        </w:rPr>
        <w:t>人。使新入职员工及时适应工作环境、提高对公司的认同感。</w:t>
      </w:r>
    </w:p>
    <w:p>
      <w:pPr>
        <w:spacing w:before="115"/>
        <w:ind w:left="535" w:right="1007" w:firstLine="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、培训宣导方面，制作发布《知识达人》总共</w:t>
      </w:r>
      <w:r>
        <w:rPr>
          <w:rFonts w:ascii="宋体" w:hAnsi="宋体" w:cs="宋体" w:eastAsia="宋体" w:hint="default"/>
          <w:spacing w:val="-3"/>
          <w:sz w:val="18"/>
          <w:szCs w:val="18"/>
        </w:rPr>
        <w:t>10</w:t>
      </w:r>
      <w:r>
        <w:rPr>
          <w:rFonts w:ascii="宋体" w:hAnsi="宋体" w:cs="宋体" w:eastAsia="宋体" w:hint="default"/>
          <w:spacing w:val="-3"/>
          <w:sz w:val="18"/>
          <w:szCs w:val="18"/>
        </w:rPr>
        <w:t>期，涵盖系统思维、学习创新、高效执行、</w:t>
      </w:r>
      <w:r>
        <w:rPr>
          <w:rFonts w:ascii="宋体" w:hAnsi="宋体" w:cs="宋体" w:eastAsia="宋体" w:hint="default"/>
          <w:spacing w:val="-3"/>
          <w:sz w:val="18"/>
          <w:szCs w:val="18"/>
        </w:rPr>
        <w:t>PPT</w:t>
      </w:r>
      <w:r>
        <w:rPr>
          <w:rFonts w:ascii="宋体" w:hAnsi="宋体" w:cs="宋体" w:eastAsia="宋体" w:hint="default"/>
          <w:spacing w:val="-3"/>
          <w:sz w:val="18"/>
          <w:szCs w:val="18"/>
        </w:rPr>
        <w:t>制作技巧四大主题。</w:t>
      </w:r>
    </w:p>
    <w:p>
      <w:pPr>
        <w:spacing w:line="321" w:lineRule="auto" w:before="115"/>
        <w:ind w:left="113" w:right="1156" w:firstLine="422"/>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、培训平台维护：通过日常工作记录</w:t>
      </w:r>
      <w:r>
        <w:rPr>
          <w:rFonts w:ascii="宋体" w:hAnsi="宋体" w:cs="宋体" w:eastAsia="宋体" w:hint="default"/>
          <w:spacing w:val="-3"/>
          <w:sz w:val="18"/>
          <w:szCs w:val="18"/>
        </w:rPr>
        <w:t>E-learning</w:t>
      </w:r>
      <w:r>
        <w:rPr>
          <w:rFonts w:ascii="宋体" w:hAnsi="宋体" w:cs="宋体" w:eastAsia="宋体" w:hint="default"/>
          <w:spacing w:val="-3"/>
          <w:sz w:val="18"/>
          <w:szCs w:val="18"/>
        </w:rPr>
        <w:t>平台运行中的</w:t>
      </w:r>
      <w:r>
        <w:rPr>
          <w:rFonts w:ascii="宋体" w:hAnsi="宋体" w:cs="宋体" w:eastAsia="宋体" w:hint="default"/>
          <w:spacing w:val="-3"/>
          <w:sz w:val="18"/>
          <w:szCs w:val="18"/>
        </w:rPr>
        <w:t>bug</w:t>
      </w:r>
      <w:r>
        <w:rPr>
          <w:rFonts w:ascii="宋体" w:hAnsi="宋体" w:cs="宋体" w:eastAsia="宋体" w:hint="default"/>
          <w:spacing w:val="-3"/>
          <w:sz w:val="18"/>
          <w:szCs w:val="18"/>
        </w:rPr>
        <w:t>问题，实时交付开发，解决使用漏洞，以不断提升</w:t>
      </w:r>
      <w:r>
        <w:rPr>
          <w:rFonts w:ascii="宋体" w:hAnsi="宋体" w:cs="宋体" w:eastAsia="宋体" w:hint="default"/>
          <w:w w:val="101"/>
          <w:sz w:val="18"/>
          <w:szCs w:val="18"/>
        </w:rPr>
        <w:t> </w:t>
      </w:r>
      <w:r>
        <w:rPr>
          <w:rFonts w:ascii="宋体" w:hAnsi="宋体" w:cs="宋体" w:eastAsia="宋体" w:hint="default"/>
          <w:sz w:val="18"/>
          <w:szCs w:val="18"/>
        </w:rPr>
        <w:t>E-learning</w:t>
      </w:r>
      <w:r>
        <w:rPr>
          <w:rFonts w:ascii="宋体" w:hAnsi="宋体" w:cs="宋体" w:eastAsia="宋体" w:hint="default"/>
          <w:sz w:val="18"/>
          <w:szCs w:val="18"/>
        </w:rPr>
        <w:t>的功能。通过</w:t>
      </w:r>
      <w:r>
        <w:rPr>
          <w:rFonts w:ascii="宋体" w:hAnsi="宋体" w:cs="宋体" w:eastAsia="宋体" w:hint="default"/>
          <w:sz w:val="18"/>
          <w:szCs w:val="18"/>
        </w:rPr>
        <w:t>E-learning</w:t>
      </w:r>
      <w:r>
        <w:rPr>
          <w:rFonts w:ascii="宋体" w:hAnsi="宋体" w:cs="宋体" w:eastAsia="宋体" w:hint="default"/>
          <w:sz w:val="18"/>
          <w:szCs w:val="18"/>
        </w:rPr>
        <w:t>不断发布最新学习资源。</w:t>
      </w:r>
    </w:p>
    <w:p>
      <w:pPr>
        <w:spacing w:line="319" w:lineRule="auto" w:before="49"/>
        <w:ind w:left="113" w:right="1132" w:firstLine="422"/>
        <w:jc w:val="both"/>
        <w:rPr>
          <w:rFonts w:ascii="宋体" w:hAnsi="宋体" w:cs="宋体" w:eastAsia="宋体" w:hint="default"/>
          <w:sz w:val="18"/>
          <w:szCs w:val="18"/>
        </w:rPr>
      </w:pPr>
      <w:r>
        <w:rPr>
          <w:rFonts w:ascii="宋体" w:hAnsi="宋体" w:cs="宋体" w:eastAsia="宋体" w:hint="default"/>
          <w:spacing w:val="-3"/>
          <w:sz w:val="18"/>
          <w:szCs w:val="18"/>
        </w:rPr>
        <w:t>4</w:t>
      </w:r>
      <w:r>
        <w:rPr>
          <w:rFonts w:ascii="宋体" w:hAnsi="宋体" w:cs="宋体" w:eastAsia="宋体" w:hint="default"/>
          <w:spacing w:val="-3"/>
          <w:sz w:val="18"/>
          <w:szCs w:val="18"/>
        </w:rPr>
        <w:t>、能级认证：</w:t>
      </w:r>
      <w:r>
        <w:rPr>
          <w:rFonts w:ascii="宋体" w:hAnsi="宋体" w:cs="宋体" w:eastAsia="宋体" w:hint="default"/>
          <w:spacing w:val="-3"/>
          <w:sz w:val="18"/>
          <w:szCs w:val="18"/>
        </w:rPr>
        <w:t>2019</w:t>
      </w:r>
      <w:r>
        <w:rPr>
          <w:rFonts w:ascii="宋体" w:hAnsi="宋体" w:cs="宋体" w:eastAsia="宋体" w:hint="default"/>
          <w:spacing w:val="-3"/>
          <w:sz w:val="18"/>
          <w:szCs w:val="18"/>
        </w:rPr>
        <w:t>年能级认证体系规范化、认证运营常态化。通过</w:t>
      </w:r>
      <w:r>
        <w:rPr>
          <w:rFonts w:ascii="宋体" w:hAnsi="宋体" w:cs="宋体" w:eastAsia="宋体" w:hint="default"/>
          <w:spacing w:val="-3"/>
          <w:sz w:val="18"/>
          <w:szCs w:val="18"/>
        </w:rPr>
        <w:t>IDP</w:t>
      </w:r>
      <w:r>
        <w:rPr>
          <w:rFonts w:ascii="宋体" w:hAnsi="宋体" w:cs="宋体" w:eastAsia="宋体" w:hint="default"/>
          <w:spacing w:val="-3"/>
          <w:sz w:val="18"/>
          <w:szCs w:val="18"/>
        </w:rPr>
        <w:t>（个人发展计划）工具的引入，帮助员工制定</w:t>
      </w:r>
      <w:r>
        <w:rPr>
          <w:rFonts w:ascii="宋体" w:hAnsi="宋体" w:cs="宋体" w:eastAsia="宋体" w:hint="default"/>
          <w:w w:val="101"/>
          <w:sz w:val="18"/>
          <w:szCs w:val="18"/>
        </w:rPr>
        <w:t> </w:t>
      </w:r>
      <w:r>
        <w:rPr>
          <w:rFonts w:ascii="宋体" w:hAnsi="宋体" w:cs="宋体" w:eastAsia="宋体" w:hint="default"/>
          <w:spacing w:val="-3"/>
          <w:sz w:val="18"/>
          <w:szCs w:val="18"/>
        </w:rPr>
        <w:t>能力提升计划，实现组织高绩效。</w:t>
      </w:r>
      <w:r>
        <w:rPr>
          <w:rFonts w:ascii="宋体" w:hAnsi="宋体" w:cs="宋体" w:eastAsia="宋体" w:hint="default"/>
          <w:spacing w:val="-3"/>
          <w:sz w:val="18"/>
          <w:szCs w:val="18"/>
        </w:rPr>
        <w:t>2019</w:t>
      </w:r>
      <w:r>
        <w:rPr>
          <w:rFonts w:ascii="宋体" w:hAnsi="宋体" w:cs="宋体" w:eastAsia="宋体" w:hint="default"/>
          <w:spacing w:val="-3"/>
          <w:sz w:val="18"/>
          <w:szCs w:val="18"/>
        </w:rPr>
        <w:t>年公司能级认证通过人数为</w:t>
      </w:r>
      <w:r>
        <w:rPr>
          <w:rFonts w:ascii="宋体" w:hAnsi="宋体" w:cs="宋体" w:eastAsia="宋体" w:hint="default"/>
          <w:spacing w:val="-3"/>
          <w:sz w:val="18"/>
          <w:szCs w:val="18"/>
        </w:rPr>
        <w:t>208</w:t>
      </w:r>
      <w:r>
        <w:rPr>
          <w:rFonts w:ascii="宋体" w:hAnsi="宋体" w:cs="宋体" w:eastAsia="宋体" w:hint="default"/>
          <w:spacing w:val="-3"/>
          <w:sz w:val="18"/>
          <w:szCs w:val="18"/>
        </w:rPr>
        <w:t>人，为员工提供了挖掘能力短板，提出改进计划的良</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好平台。</w:t>
      </w:r>
    </w:p>
    <w:p>
      <w:pPr>
        <w:spacing w:line="321" w:lineRule="auto" w:before="50"/>
        <w:ind w:left="113" w:right="1045" w:firstLine="422"/>
        <w:jc w:val="left"/>
        <w:rPr>
          <w:rFonts w:ascii="宋体" w:hAnsi="宋体" w:cs="宋体" w:eastAsia="宋体" w:hint="default"/>
          <w:sz w:val="18"/>
          <w:szCs w:val="18"/>
        </w:rPr>
      </w:pPr>
      <w:r>
        <w:rPr>
          <w:rFonts w:ascii="宋体" w:hAnsi="宋体" w:cs="宋体" w:eastAsia="宋体" w:hint="default"/>
          <w:spacing w:val="-4"/>
          <w:sz w:val="18"/>
          <w:szCs w:val="18"/>
        </w:rPr>
        <w:t>5</w:t>
      </w:r>
      <w:r>
        <w:rPr>
          <w:rFonts w:ascii="宋体" w:hAnsi="宋体" w:cs="宋体" w:eastAsia="宋体" w:hint="default"/>
          <w:spacing w:val="-4"/>
          <w:sz w:val="18"/>
          <w:szCs w:val="18"/>
        </w:rPr>
        <w:t>、能力专项训练：针对组织能力短板，开展能力专项训练，提升人才专业能力。</w:t>
      </w:r>
      <w:r>
        <w:rPr>
          <w:rFonts w:ascii="宋体" w:hAnsi="宋体" w:cs="宋体" w:eastAsia="宋体" w:hint="default"/>
          <w:spacing w:val="-4"/>
          <w:sz w:val="18"/>
          <w:szCs w:val="18"/>
        </w:rPr>
        <w:t>2019</w:t>
      </w:r>
      <w:r>
        <w:rPr>
          <w:rFonts w:ascii="宋体" w:hAnsi="宋体" w:cs="宋体" w:eastAsia="宋体" w:hint="default"/>
          <w:spacing w:val="-4"/>
          <w:sz w:val="18"/>
          <w:szCs w:val="18"/>
        </w:rPr>
        <w:t>年，专项训练主要覆盖公司关键</w:t>
      </w:r>
      <w:r>
        <w:rPr>
          <w:rFonts w:ascii="宋体" w:hAnsi="宋体" w:cs="宋体" w:eastAsia="宋体" w:hint="default"/>
          <w:w w:val="101"/>
          <w:sz w:val="18"/>
          <w:szCs w:val="18"/>
        </w:rPr>
        <w:t> </w:t>
      </w:r>
      <w:r>
        <w:rPr>
          <w:rFonts w:ascii="宋体" w:hAnsi="宋体" w:cs="宋体" w:eastAsia="宋体" w:hint="default"/>
          <w:spacing w:val="-3"/>
          <w:sz w:val="18"/>
          <w:szCs w:val="18"/>
        </w:rPr>
        <w:t>岗位核心人员。具体包括：营销实战演练</w:t>
      </w:r>
      <w:r>
        <w:rPr>
          <w:rFonts w:ascii="宋体" w:hAnsi="宋体" w:cs="宋体" w:eastAsia="宋体" w:hint="default"/>
          <w:spacing w:val="-3"/>
          <w:sz w:val="18"/>
          <w:szCs w:val="18"/>
        </w:rPr>
        <w:t>2</w:t>
      </w:r>
      <w:r>
        <w:rPr>
          <w:rFonts w:ascii="宋体" w:hAnsi="宋体" w:cs="宋体" w:eastAsia="宋体" w:hint="default"/>
          <w:spacing w:val="-3"/>
          <w:sz w:val="18"/>
          <w:szCs w:val="18"/>
        </w:rPr>
        <w:t>期，雏鹰计划</w:t>
      </w:r>
      <w:r>
        <w:rPr>
          <w:rFonts w:ascii="宋体" w:hAnsi="宋体" w:cs="宋体" w:eastAsia="宋体" w:hint="default"/>
          <w:spacing w:val="-3"/>
          <w:sz w:val="18"/>
          <w:szCs w:val="18"/>
        </w:rPr>
        <w:t>-</w:t>
      </w:r>
      <w:r>
        <w:rPr>
          <w:rFonts w:ascii="宋体" w:hAnsi="宋体" w:cs="宋体" w:eastAsia="宋体" w:hint="default"/>
          <w:spacing w:val="-3"/>
          <w:sz w:val="18"/>
          <w:szCs w:val="18"/>
        </w:rPr>
        <w:t>项目人才培养，子公司商务与运营管理培训，及</w:t>
      </w:r>
      <w:r>
        <w:rPr>
          <w:rFonts w:ascii="宋体" w:hAnsi="宋体" w:cs="宋体" w:eastAsia="宋体" w:hint="default"/>
          <w:spacing w:val="-3"/>
          <w:sz w:val="18"/>
          <w:szCs w:val="18"/>
        </w:rPr>
        <w:t>12</w:t>
      </w:r>
      <w:r>
        <w:rPr>
          <w:rFonts w:ascii="宋体" w:hAnsi="宋体" w:cs="宋体" w:eastAsia="宋体" w:hint="default"/>
          <w:spacing w:val="-3"/>
          <w:sz w:val="18"/>
          <w:szCs w:val="18"/>
        </w:rPr>
        <w:t>期迪科大讲堂，</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此系列课程极大提升了员工专业能力和职业素养。</w:t>
      </w:r>
    </w:p>
    <w:p>
      <w:pPr>
        <w:spacing w:line="240" w:lineRule="auto" w:before="13"/>
        <w:rPr>
          <w:rFonts w:ascii="宋体" w:hAnsi="宋体" w:cs="宋体" w:eastAsia="宋体" w:hint="default"/>
          <w:sz w:val="21"/>
          <w:szCs w:val="21"/>
        </w:rPr>
      </w:pPr>
    </w:p>
    <w:p>
      <w:pPr>
        <w:pStyle w:val="Heading3"/>
        <w:spacing w:line="240" w:lineRule="auto"/>
        <w:ind w:right="1764"/>
        <w:jc w:val="left"/>
        <w:rPr>
          <w:b w:val="0"/>
          <w:bCs w:val="0"/>
        </w:rPr>
      </w:pPr>
      <w:bookmarkStart w:name="4、劳务外包情况" w:id="132"/>
      <w:bookmarkEnd w:id="132"/>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1"/>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right="1827"/>
        <w:jc w:val="center"/>
        <w:rPr>
          <w:b w:val="0"/>
          <w:bCs w:val="0"/>
        </w:rPr>
      </w:pPr>
      <w:bookmarkStart w:name="第十节公司治理" w:id="133"/>
      <w:bookmarkEnd w:id="133"/>
      <w:r>
        <w:rPr>
          <w:b w:val="0"/>
          <w:bCs w:val="0"/>
        </w:rPr>
      </w:r>
      <w:bookmarkStart w:name="_bookmark8" w:id="134"/>
      <w:bookmarkEnd w:id="134"/>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1764"/>
        <w:jc w:val="left"/>
        <w:rPr>
          <w:b w:val="0"/>
          <w:bCs w:val="0"/>
        </w:rPr>
      </w:pPr>
      <w:bookmarkStart w:name="一、公司治理的基本状况" w:id="135"/>
      <w:bookmarkEnd w:id="135"/>
      <w:r>
        <w:rPr>
          <w:b w:val="0"/>
          <w:bCs w:val="0"/>
        </w:rPr>
      </w:r>
      <w:r>
        <w:rPr/>
        <w:t>一、公司治理的基本状况</w:t>
      </w:r>
      <w:r>
        <w:rPr>
          <w:b w:val="0"/>
          <w:bCs w:val="0"/>
        </w:rPr>
      </w:r>
    </w:p>
    <w:p>
      <w:pPr>
        <w:spacing w:line="240" w:lineRule="auto" w:before="3"/>
        <w:rPr>
          <w:rFonts w:ascii="宋体" w:hAnsi="宋体" w:cs="宋体" w:eastAsia="宋体" w:hint="default"/>
          <w:b/>
          <w:bCs/>
          <w:sz w:val="25"/>
          <w:szCs w:val="25"/>
        </w:rPr>
      </w:pPr>
    </w:p>
    <w:p>
      <w:pPr>
        <w:pStyle w:val="BodyText"/>
        <w:spacing w:line="273" w:lineRule="auto" w:before="0"/>
        <w:ind w:right="1125" w:firstLine="360"/>
        <w:jc w:val="both"/>
      </w:pPr>
      <w:r>
        <w:rPr>
          <w:spacing w:val="-15"/>
          <w:w w:val="100"/>
        </w:rPr>
        <w:t>报告期内，公司严格按照《公司法》、《证券法》、《深圳证券交易所创业板股票上市规则》、《深圳证券</w:t>
      </w:r>
      <w:r>
        <w:rPr>
          <w:w w:val="100"/>
        </w:rPr>
        <w:t> </w:t>
      </w:r>
      <w:r>
        <w:rPr>
          <w:spacing w:val="-2"/>
        </w:rPr>
        <w:t>交易所创业板上市公司规范运作指引》及《上市公司治理准则》及中国证监会有关法律、法规和公司规章</w:t>
      </w:r>
      <w:r>
        <w:rPr>
          <w:spacing w:val="-33"/>
        </w:rPr>
        <w:t> </w:t>
      </w:r>
      <w:r>
        <w:rPr>
          <w:spacing w:val="-33"/>
        </w:rPr>
      </w:r>
      <w:r>
        <w:rPr/>
        <w:t>的要求，继续完善公司的法人治理结构，健全内部管理、规范公司运作。</w:t>
      </w:r>
    </w:p>
    <w:p>
      <w:pPr>
        <w:pStyle w:val="BodyText"/>
        <w:spacing w:line="273" w:lineRule="auto"/>
        <w:ind w:right="1007" w:firstLine="360"/>
        <w:jc w:val="left"/>
      </w:pPr>
      <w:r>
        <w:rPr>
          <w:rFonts w:ascii="宋体" w:hAnsi="宋体" w:cs="宋体" w:eastAsia="宋体" w:hint="default"/>
          <w:spacing w:val="-8"/>
          <w:w w:val="100"/>
        </w:rPr>
        <w:t>1</w:t>
      </w:r>
      <w:r>
        <w:rPr>
          <w:spacing w:val="-8"/>
          <w:w w:val="100"/>
        </w:rPr>
        <w:t>、关于股东与股东大会：公司严格按照《公司章程》、《股东大会议事规则》等规定和要求，规范地召</w:t>
      </w:r>
      <w:r>
        <w:rPr>
          <w:w w:val="100"/>
        </w:rPr>
        <w:t> </w:t>
      </w:r>
      <w:r>
        <w:rPr>
          <w:spacing w:val="-4"/>
          <w:w w:val="100"/>
        </w:rPr>
        <w:t>集、召开股东大会。报告期内，股东大会行使了选举公司独立董事和非独立董事、修订《公司章程》、审</w:t>
      </w:r>
      <w:r>
        <w:rPr>
          <w:spacing w:val="-81"/>
          <w:w w:val="100"/>
        </w:rPr>
        <w:t> </w:t>
      </w:r>
      <w:r>
        <w:rPr>
          <w:spacing w:val="-81"/>
          <w:w w:val="100"/>
        </w:rPr>
      </w:r>
      <w:r>
        <w:rPr>
          <w:spacing w:val="-4"/>
        </w:rPr>
        <w:t>议达到披露标准的事项等权力。股东大会除现场召开，提供网络投票方式，为股东参加股东大会提供便利。</w:t>
      </w:r>
      <w:r>
        <w:rPr>
          <w:spacing w:val="-47"/>
        </w:rPr>
        <w:t> </w:t>
      </w:r>
      <w:r>
        <w:rPr>
          <w:spacing w:val="-47"/>
        </w:rPr>
      </w:r>
      <w:r>
        <w:rPr/>
        <w:t>中小投资者表决情况单独披露，维护中小投资者利益。</w:t>
      </w:r>
    </w:p>
    <w:p>
      <w:pPr>
        <w:pStyle w:val="BodyText"/>
        <w:spacing w:line="273" w:lineRule="auto"/>
        <w:ind w:right="1106" w:firstLine="360"/>
        <w:jc w:val="both"/>
      </w:pPr>
      <w:r>
        <w:rPr>
          <w:rFonts w:ascii="宋体" w:hAnsi="宋体" w:cs="宋体" w:eastAsia="宋体" w:hint="default"/>
          <w:spacing w:val="-3"/>
        </w:rPr>
        <w:t>2</w:t>
      </w:r>
      <w:r>
        <w:rPr>
          <w:spacing w:val="-3"/>
        </w:rPr>
        <w:t>、关于公司与控股股东：公司无大股东及实际控制人。内控制度严格施行，公司股东严于律己，不存</w:t>
      </w:r>
      <w:r>
        <w:rPr>
          <w:w w:val="100"/>
        </w:rPr>
        <w:t> </w:t>
      </w:r>
      <w:r>
        <w:rPr>
          <w:spacing w:val="-2"/>
        </w:rPr>
        <w:t>在超越股东大会直接或间接干预公司的决策和经营活动的行为，公司不存在向大股东、实际控制人提供未</w:t>
      </w:r>
      <w:r>
        <w:rPr>
          <w:spacing w:val="-33"/>
        </w:rPr>
        <w:t> </w:t>
      </w:r>
      <w:r>
        <w:rPr>
          <w:spacing w:val="-33"/>
        </w:rPr>
      </w:r>
      <w:r>
        <w:rPr>
          <w:spacing w:val="-2"/>
        </w:rPr>
        <w:t>公开信息的情况。公司拥有独立完整的业务和自主经营能力，在业务、人员、资产、机构、财务上独立，</w:t>
      </w:r>
      <w:r>
        <w:rPr>
          <w:spacing w:val="-13"/>
        </w:rPr>
        <w:t> </w:t>
      </w:r>
      <w:r>
        <w:rPr>
          <w:spacing w:val="-13"/>
        </w:rPr>
      </w:r>
      <w:r>
        <w:rPr/>
        <w:t>公司董事会、监事会和内部机构独立运作。</w:t>
      </w:r>
    </w:p>
    <w:p>
      <w:pPr>
        <w:pStyle w:val="BodyText"/>
        <w:spacing w:line="273" w:lineRule="auto"/>
        <w:ind w:right="1123" w:firstLine="360"/>
        <w:jc w:val="both"/>
      </w:pPr>
      <w:r>
        <w:rPr>
          <w:rFonts w:ascii="宋体" w:hAnsi="宋体" w:cs="宋体" w:eastAsia="宋体" w:hint="default"/>
          <w:spacing w:val="-3"/>
        </w:rPr>
        <w:t>3</w:t>
      </w:r>
      <w:r>
        <w:rPr>
          <w:spacing w:val="-3"/>
        </w:rPr>
        <w:t>、关于董事和董事会：公司董事会目前设董事</w:t>
      </w:r>
      <w:r>
        <w:rPr>
          <w:rFonts w:ascii="宋体" w:hAnsi="宋体" w:cs="宋体" w:eastAsia="宋体" w:hint="default"/>
          <w:spacing w:val="-3"/>
        </w:rPr>
        <w:t>9</w:t>
      </w:r>
      <w:r>
        <w:rPr>
          <w:spacing w:val="-3"/>
        </w:rPr>
        <w:t>名，其中独立董事</w:t>
      </w:r>
      <w:r>
        <w:rPr>
          <w:rFonts w:ascii="宋体" w:hAnsi="宋体" w:cs="宋体" w:eastAsia="宋体" w:hint="default"/>
          <w:spacing w:val="-3"/>
        </w:rPr>
        <w:t>3</w:t>
      </w:r>
      <w:r>
        <w:rPr>
          <w:spacing w:val="-3"/>
        </w:rPr>
        <w:t>名，董事会的人数及人员构成符合</w:t>
      </w:r>
      <w:r>
        <w:rPr>
          <w:w w:val="100"/>
        </w:rPr>
        <w:t> </w:t>
      </w:r>
      <w:r>
        <w:rPr>
          <w:spacing w:val="-11"/>
          <w:w w:val="100"/>
        </w:rPr>
        <w:t>法律、法规和《公司章程》的要求。各位董事能够依据《董事会议事规则》、《独立董事工作制度》、《深圳</w:t>
      </w:r>
      <w:r>
        <w:rPr>
          <w:spacing w:val="-82"/>
          <w:w w:val="100"/>
        </w:rPr>
        <w:t> </w:t>
      </w:r>
      <w:r>
        <w:rPr>
          <w:spacing w:val="-82"/>
          <w:w w:val="100"/>
        </w:rPr>
      </w:r>
      <w:r>
        <w:rPr>
          <w:spacing w:val="-2"/>
        </w:rPr>
        <w:t>证券交易所创业板上市公司规范运作指引》等开展工作，出席董事会和股东大会，勤勉尽责地履行职责和</w:t>
      </w:r>
      <w:r>
        <w:rPr>
          <w:spacing w:val="-33"/>
        </w:rPr>
        <w:t> </w:t>
      </w:r>
      <w:r>
        <w:rPr>
          <w:spacing w:val="-33"/>
        </w:rPr>
      </w:r>
      <w:r>
        <w:rPr/>
        <w:t>义务，同时积极参加相关培训，熟悉相关法律法规。</w:t>
      </w:r>
    </w:p>
    <w:p>
      <w:pPr>
        <w:pStyle w:val="BodyText"/>
        <w:spacing w:line="273" w:lineRule="auto"/>
        <w:ind w:right="1123" w:firstLine="360"/>
        <w:jc w:val="both"/>
      </w:pPr>
      <w:r>
        <w:rPr>
          <w:rFonts w:ascii="宋体" w:hAnsi="宋体" w:cs="宋体" w:eastAsia="宋体" w:hint="default"/>
          <w:spacing w:val="-3"/>
        </w:rPr>
        <w:t>4</w:t>
      </w:r>
      <w:r>
        <w:rPr>
          <w:spacing w:val="-3"/>
        </w:rPr>
        <w:t>、关于监事和监事会：公司监事会设监事</w:t>
      </w:r>
      <w:r>
        <w:rPr>
          <w:rFonts w:ascii="宋体" w:hAnsi="宋体" w:cs="宋体" w:eastAsia="宋体" w:hint="default"/>
          <w:spacing w:val="-3"/>
        </w:rPr>
        <w:t>3</w:t>
      </w:r>
      <w:r>
        <w:rPr>
          <w:spacing w:val="-3"/>
        </w:rPr>
        <w:t>名，其中职工监事</w:t>
      </w:r>
      <w:r>
        <w:rPr>
          <w:rFonts w:ascii="宋体" w:hAnsi="宋体" w:cs="宋体" w:eastAsia="宋体" w:hint="default"/>
          <w:spacing w:val="-3"/>
        </w:rPr>
        <w:t>1</w:t>
      </w:r>
      <w:r>
        <w:rPr>
          <w:spacing w:val="-3"/>
        </w:rPr>
        <w:t>名，监事会的人数和构成符合法律、法</w:t>
      </w:r>
      <w:r>
        <w:rPr>
          <w:w w:val="100"/>
        </w:rPr>
        <w:t> </w:t>
      </w:r>
      <w:r>
        <w:rPr>
          <w:spacing w:val="-2"/>
        </w:rPr>
        <w:t>规的要求。各位监事能够按照《监事会议事规则》的要求，认真履行自己的职责，对公司重大事项、关联</w:t>
      </w:r>
      <w:r>
        <w:rPr>
          <w:spacing w:val="-33"/>
        </w:rPr>
        <w:t> </w:t>
      </w:r>
      <w:r>
        <w:rPr>
          <w:spacing w:val="-33"/>
        </w:rPr>
      </w:r>
      <w:r>
        <w:rPr/>
        <w:t>交易、财务状况以及董事、高管人员履行职责的合法合规性进行监督。</w:t>
      </w:r>
    </w:p>
    <w:p>
      <w:pPr>
        <w:pStyle w:val="BodyText"/>
        <w:spacing w:line="273" w:lineRule="auto" w:before="8"/>
        <w:ind w:right="1126" w:firstLine="360"/>
        <w:jc w:val="both"/>
      </w:pPr>
      <w:r>
        <w:rPr>
          <w:rFonts w:ascii="宋体" w:hAnsi="宋体" w:cs="宋体" w:eastAsia="宋体" w:hint="default"/>
          <w:spacing w:val="-3"/>
        </w:rPr>
        <w:t>5</w:t>
      </w:r>
      <w:r>
        <w:rPr>
          <w:spacing w:val="-3"/>
        </w:rPr>
        <w:t>、关于绩效评价与激励约束机制：公司董事会下设的薪酬和考核委员会负责对公司的董事、监事、高</w:t>
      </w:r>
      <w:r>
        <w:rPr>
          <w:w w:val="100"/>
        </w:rPr>
        <w:t> </w:t>
      </w:r>
      <w:r>
        <w:rPr/>
        <w:t>管进行绩效考核，公司现有的考核及激励约束机制符合公司的发展现状。</w:t>
      </w:r>
    </w:p>
    <w:p>
      <w:pPr>
        <w:pStyle w:val="BodyText"/>
        <w:spacing w:line="273" w:lineRule="auto"/>
        <w:ind w:right="1007" w:firstLine="360"/>
        <w:jc w:val="left"/>
      </w:pPr>
      <w:r>
        <w:rPr>
          <w:rFonts w:ascii="宋体" w:hAnsi="宋体" w:cs="宋体" w:eastAsia="宋体" w:hint="default"/>
          <w:spacing w:val="-8"/>
          <w:w w:val="100"/>
        </w:rPr>
        <w:t>6</w:t>
      </w:r>
      <w:r>
        <w:rPr>
          <w:spacing w:val="-8"/>
          <w:w w:val="100"/>
        </w:rPr>
        <w:t>、关于信息披露与透明度：公司严格按照有关法律法规以及《信息披露管理制度》、《投资者关系管理</w:t>
      </w:r>
      <w:r>
        <w:rPr>
          <w:w w:val="100"/>
        </w:rPr>
        <w:t> </w:t>
      </w:r>
      <w:r>
        <w:rPr>
          <w:spacing w:val="-4"/>
          <w:w w:val="100"/>
        </w:rPr>
        <w:t>制度》等的要求，真实、准确、及时、公平、完整地披露有关信息；《信息披露制度》中年报信息披露重</w:t>
      </w:r>
      <w:r>
        <w:rPr>
          <w:spacing w:val="-80"/>
          <w:w w:val="100"/>
        </w:rPr>
        <w:t> </w:t>
      </w:r>
      <w:r>
        <w:rPr>
          <w:spacing w:val="-80"/>
          <w:w w:val="100"/>
        </w:rPr>
      </w:r>
      <w:r>
        <w:rPr>
          <w:spacing w:val="-2"/>
        </w:rPr>
        <w:t>大差错责任追究做出明确规定；指定公司董事会秘书负责信息披露工作，协调公司与投资者的关系，接待</w:t>
      </w:r>
      <w:r>
        <w:rPr>
          <w:spacing w:val="-33"/>
        </w:rPr>
        <w:t> </w:t>
      </w:r>
      <w:r>
        <w:rPr>
          <w:spacing w:val="-33"/>
        </w:rPr>
      </w:r>
      <w:r>
        <w:rPr>
          <w:spacing w:val="-11"/>
          <w:w w:val="100"/>
        </w:rPr>
        <w:t>股东来访，回答投资者咨询，向投资者提供公司已披露的资料；并指定《证券时报》、《中国证券报》、《证</w:t>
      </w:r>
      <w:r>
        <w:rPr>
          <w:spacing w:val="-77"/>
          <w:w w:val="100"/>
        </w:rPr>
        <w:t> </w:t>
      </w:r>
      <w:r>
        <w:rPr>
          <w:spacing w:val="-77"/>
          <w:w w:val="100"/>
        </w:rPr>
      </w:r>
      <w:r>
        <w:rPr/>
        <w:t>券日报》和巨潮网（</w:t>
      </w:r>
      <w:hyperlink r:id="rId12">
        <w:r>
          <w:rPr>
            <w:rFonts w:ascii="宋体" w:hAnsi="宋体" w:cs="宋体" w:eastAsia="宋体" w:hint="default"/>
          </w:rPr>
          <w:t>www.cninfo.com.cn</w:t>
        </w:r>
      </w:hyperlink>
      <w:r>
        <w:rPr/>
        <w:t>）为公司信息披露的指定报纸和网站，确保公司所有股东能够以</w:t>
      </w:r>
      <w:r>
        <w:rPr>
          <w:w w:val="100"/>
        </w:rPr>
        <w:t> </w:t>
      </w:r>
      <w:r>
        <w:rPr/>
        <w:t>平等的机会获得信息。</w:t>
      </w:r>
    </w:p>
    <w:p>
      <w:pPr>
        <w:pStyle w:val="BodyText"/>
        <w:spacing w:line="273" w:lineRule="auto"/>
        <w:ind w:right="1130" w:firstLine="360"/>
        <w:jc w:val="both"/>
      </w:pPr>
      <w:r>
        <w:rPr>
          <w:rFonts w:ascii="宋体" w:hAnsi="宋体" w:cs="宋体" w:eastAsia="宋体" w:hint="default"/>
          <w:spacing w:val="-3"/>
        </w:rPr>
        <w:t>7</w:t>
      </w:r>
      <w:r>
        <w:rPr>
          <w:spacing w:val="-3"/>
        </w:rPr>
        <w:t>、关于相关利益者：公司充分尊重和维护相关利益者的合法权益，实现股东、员工、社会等各方利益</w:t>
      </w:r>
      <w:r>
        <w:rPr>
          <w:w w:val="100"/>
        </w:rPr>
        <w:t> </w:t>
      </w:r>
      <w:r>
        <w:rPr/>
        <w:t>的协调平衡，共同推动公司持续、健康的发展。</w:t>
      </w:r>
    </w:p>
    <w:p>
      <w:pPr>
        <w:spacing w:line="240" w:lineRule="auto" w:before="9"/>
        <w:rPr>
          <w:rFonts w:ascii="宋体" w:hAnsi="宋体" w:cs="宋体" w:eastAsia="宋体" w:hint="default"/>
          <w:sz w:val="29"/>
          <w:szCs w:val="29"/>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公司治理的实际状况与中国证监会发布的有关上市公司治理的规范性文件是否存在重大差异</w:t>
      </w:r>
    </w:p>
    <w:p>
      <w:pPr>
        <w:spacing w:line="362" w:lineRule="auto" w:before="115"/>
        <w:ind w:left="113" w:right="3606"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公司治理的实际状况与中国证监会发布的有关上市公司治理的规范性文件不存在重大差异。</w:t>
      </w:r>
    </w:p>
    <w:p>
      <w:pPr>
        <w:spacing w:line="240" w:lineRule="auto" w:before="12"/>
        <w:rPr>
          <w:rFonts w:ascii="宋体" w:hAnsi="宋体" w:cs="宋体" w:eastAsia="宋体" w:hint="default"/>
          <w:sz w:val="16"/>
          <w:szCs w:val="16"/>
        </w:rPr>
      </w:pPr>
    </w:p>
    <w:p>
      <w:pPr>
        <w:pStyle w:val="Heading2"/>
        <w:spacing w:line="240" w:lineRule="auto"/>
        <w:ind w:right="1764"/>
        <w:jc w:val="left"/>
        <w:rPr>
          <w:b w:val="0"/>
          <w:bCs w:val="0"/>
        </w:rPr>
      </w:pPr>
      <w:bookmarkStart w:name="二、公司相对于控股股东在业务、人员、资产、机构、财务等方面的独立情况" w:id="136"/>
      <w:bookmarkEnd w:id="136"/>
      <w:r>
        <w:rPr>
          <w:b w:val="0"/>
          <w:bCs w:val="0"/>
        </w:rPr>
      </w:r>
      <w:r>
        <w:rPr/>
        <w:t>二、公司相对于控股股东在业务、人员、资产、机构、财务等方面的独立情况</w:t>
      </w:r>
      <w:r>
        <w:rPr>
          <w:b w:val="0"/>
          <w:bCs w:val="0"/>
        </w:rPr>
      </w:r>
    </w:p>
    <w:p>
      <w:pPr>
        <w:spacing w:line="240" w:lineRule="auto" w:before="4"/>
        <w:rPr>
          <w:rFonts w:ascii="宋体" w:hAnsi="宋体" w:cs="宋体" w:eastAsia="宋体" w:hint="default"/>
          <w:b/>
          <w:bCs/>
          <w:sz w:val="25"/>
          <w:szCs w:val="25"/>
        </w:rPr>
      </w:pPr>
    </w:p>
    <w:p>
      <w:pPr>
        <w:pStyle w:val="BodyText"/>
        <w:spacing w:line="240" w:lineRule="auto" w:before="0"/>
        <w:ind w:right="1764"/>
        <w:jc w:val="left"/>
      </w:pPr>
      <w:r>
        <w:rPr/>
        <w:t>公司不存在控股股东。</w:t>
      </w:r>
    </w:p>
    <w:p>
      <w:pPr>
        <w:spacing w:after="0" w:line="240" w:lineRule="auto"/>
        <w:jc w:val="left"/>
        <w:sectPr>
          <w:pgSz w:w="11910" w:h="16840"/>
          <w:pgMar w:header="906" w:footer="1022" w:top="1100" w:bottom="1220" w:left="1020" w:right="0"/>
        </w:sectPr>
      </w:pPr>
    </w:p>
    <w:p>
      <w:pPr>
        <w:spacing w:line="240" w:lineRule="auto" w:before="6"/>
        <w:rPr>
          <w:rFonts w:ascii="宋体" w:hAnsi="宋体" w:cs="宋体" w:eastAsia="宋体" w:hint="default"/>
          <w:sz w:val="20"/>
          <w:szCs w:val="20"/>
        </w:rPr>
      </w:pPr>
    </w:p>
    <w:p>
      <w:pPr>
        <w:pStyle w:val="Heading2"/>
        <w:spacing w:line="240" w:lineRule="auto" w:before="26"/>
        <w:ind w:right="1764"/>
        <w:jc w:val="left"/>
        <w:rPr>
          <w:b w:val="0"/>
          <w:bCs w:val="0"/>
        </w:rPr>
      </w:pPr>
      <w:bookmarkStart w:name="三、同业竞争情况" w:id="137"/>
      <w:bookmarkEnd w:id="137"/>
      <w:r>
        <w:rPr>
          <w:b w:val="0"/>
          <w:bCs w:val="0"/>
        </w:rPr>
      </w:r>
      <w:r>
        <w:rPr/>
        <w:t>三、同业竞争情况</w:t>
      </w:r>
      <w:r>
        <w:rPr>
          <w:b w:val="0"/>
          <w:bCs w:val="0"/>
        </w:rPr>
      </w:r>
    </w:p>
    <w:p>
      <w:pPr>
        <w:spacing w:line="240" w:lineRule="auto" w:before="3"/>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764"/>
        <w:jc w:val="left"/>
        <w:rPr>
          <w:b w:val="0"/>
          <w:bCs w:val="0"/>
        </w:rPr>
      </w:pPr>
      <w:bookmarkStart w:name="四、报告期内召开的年度股东大会和临时股东大会的有关情况" w:id="138"/>
      <w:bookmarkEnd w:id="138"/>
      <w:r>
        <w:rPr>
          <w:b w:val="0"/>
          <w:bCs w:val="0"/>
        </w:rPr>
      </w:r>
      <w:r>
        <w:rPr/>
        <w:t>四、报告期内召开的年度股东大会和临时股东大会的有关情况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764"/>
        <w:jc w:val="left"/>
        <w:rPr>
          <w:b w:val="0"/>
          <w:bCs w:val="0"/>
        </w:rPr>
      </w:pPr>
      <w:bookmarkStart w:name="1、本报告期股东大会情况" w:id="139"/>
      <w:bookmarkEnd w:id="139"/>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404"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6"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29"/>
              <w:jc w:val="right"/>
              <w:rPr>
                <w:rFonts w:ascii="宋体" w:hAnsi="宋体" w:cs="宋体" w:eastAsia="宋体" w:hint="default"/>
                <w:sz w:val="18"/>
                <w:szCs w:val="18"/>
              </w:rPr>
            </w:pPr>
            <w:r>
              <w:rPr>
                <w:rFonts w:ascii="宋体" w:hAnsi="宋体" w:cs="宋体" w:eastAsia="宋体" w:hint="default"/>
                <w:spacing w:val="-2"/>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pacing w:val="-3"/>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30"/>
              <w:ind w:left="105" w:right="17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年度股东大</w:t>
            </w:r>
            <w:r>
              <w:rPr>
                <w:rFonts w:ascii="宋体" w:hAnsi="宋体" w:cs="宋体" w:eastAsia="宋体" w:hint="default"/>
                <w:w w:val="101"/>
                <w:sz w:val="18"/>
                <w:szCs w:val="18"/>
              </w:rPr>
              <w:t> </w:t>
            </w:r>
            <w:r>
              <w:rPr>
                <w:rFonts w:ascii="宋体" w:hAnsi="宋体" w:cs="宋体" w:eastAsia="宋体" w:hint="default"/>
                <w:sz w:val="18"/>
                <w:szCs w:val="18"/>
              </w:rPr>
              <w:t>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396"/>
              <w:jc w:val="right"/>
              <w:rPr>
                <w:rFonts w:ascii="宋体" w:hAnsi="宋体" w:cs="宋体" w:eastAsia="宋体" w:hint="default"/>
                <w:sz w:val="18"/>
                <w:szCs w:val="18"/>
              </w:rPr>
            </w:pPr>
            <w:r>
              <w:rPr>
                <w:rFonts w:ascii="宋体" w:hAnsi="宋体" w:cs="宋体" w:eastAsia="宋体" w:hint="default"/>
                <w:spacing w:val="-2"/>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26</w:t>
            </w:r>
            <w:r>
              <w:rPr>
                <w:rFonts w:ascii="Times New Roman" w:hAnsi="Times New Roman" w:cs="Times New Roman" w:eastAsia="Times New Roman" w:hint="default"/>
                <w:sz w:val="18"/>
                <w:szCs w:val="18"/>
              </w:rPr>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26</w:t>
            </w:r>
            <w:r>
              <w:rPr>
                <w:rFonts w:ascii="Times New Roman" w:hAnsi="Times New Roman" w:cs="Times New Roman" w:eastAsia="Times New Roman" w:hint="default"/>
                <w:sz w:val="18"/>
                <w:szCs w:val="18"/>
              </w:rPr>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53"/>
              <w:ind w:left="105" w:right="114"/>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w w:val="101"/>
                <w:sz w:val="18"/>
                <w:szCs w:val="18"/>
              </w:rPr>
              <w:t> </w:t>
            </w:r>
            <w:hyperlink r:id="rId22">
              <w:r>
                <w:rPr>
                  <w:rFonts w:ascii="Times New Roman" w:hAnsi="Times New Roman" w:cs="Times New Roman" w:eastAsia="Times New Roman" w:hint="default"/>
                  <w:spacing w:val="-3"/>
                  <w:sz w:val="18"/>
                  <w:szCs w:val="18"/>
                </w:rPr>
                <w:t>www.cninfo.com.c</w:t>
              </w:r>
            </w:hyperlink>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pacing w:val="-15"/>
                <w:sz w:val="18"/>
                <w:szCs w:val="18"/>
              </w:rPr>
            </w:r>
            <w:r>
              <w:rPr>
                <w:rFonts w:ascii="Times New Roman" w:hAnsi="Times New Roman" w:cs="Times New Roman" w:eastAsia="Times New Roman" w:hint="default"/>
                <w:sz w:val="18"/>
                <w:szCs w:val="18"/>
              </w:rPr>
              <w:t>n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公告编号：</w:t>
            </w:r>
          </w:p>
          <w:p>
            <w:pPr>
              <w:pStyle w:val="TableParagraph"/>
              <w:spacing w:line="240" w:lineRule="auto" w:before="32"/>
              <w:ind w:left="105" w:right="0"/>
              <w:jc w:val="left"/>
              <w:rPr>
                <w:rFonts w:ascii="Times New Roman" w:hAnsi="Times New Roman" w:cs="Times New Roman" w:eastAsia="Times New Roman" w:hint="default"/>
                <w:sz w:val="18"/>
                <w:szCs w:val="18"/>
              </w:rPr>
            </w:pPr>
            <w:r>
              <w:rPr>
                <w:rFonts w:ascii="Times New Roman"/>
                <w:sz w:val="18"/>
              </w:rPr>
              <w:t>2019-38</w:t>
            </w:r>
          </w:p>
        </w:tc>
      </w:tr>
      <w:tr>
        <w:trPr>
          <w:trHeight w:val="1340"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4" w:lineRule="auto" w:before="131"/>
              <w:ind w:left="105" w:right="17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年度第一次</w:t>
            </w:r>
            <w:r>
              <w:rPr>
                <w:rFonts w:ascii="宋体" w:hAnsi="宋体" w:cs="宋体" w:eastAsia="宋体" w:hint="default"/>
                <w:w w:val="101"/>
                <w:sz w:val="18"/>
                <w:szCs w:val="18"/>
              </w:rPr>
              <w:t> </w:t>
            </w: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right="396"/>
              <w:jc w:val="right"/>
              <w:rPr>
                <w:rFonts w:ascii="宋体" w:hAnsi="宋体" w:cs="宋体" w:eastAsia="宋体" w:hint="default"/>
                <w:sz w:val="18"/>
                <w:szCs w:val="18"/>
              </w:rPr>
            </w:pPr>
            <w:r>
              <w:rPr>
                <w:rFonts w:ascii="宋体" w:hAnsi="宋体" w:cs="宋体" w:eastAsia="宋体" w:hint="default"/>
                <w:spacing w:val="-2"/>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30</w:t>
            </w:r>
            <w:r>
              <w:rPr>
                <w:rFonts w:ascii="Times New Roman" w:hAnsi="Times New Roman" w:cs="Times New Roman" w:eastAsia="Times New Roman" w:hint="default"/>
                <w:sz w:val="18"/>
                <w:szCs w:val="18"/>
              </w:rPr>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30</w:t>
            </w:r>
            <w:r>
              <w:rPr>
                <w:rFonts w:ascii="Times New Roman" w:hAnsi="Times New Roman" w:cs="Times New Roman" w:eastAsia="Times New Roman" w:hint="default"/>
                <w:sz w:val="18"/>
                <w:szCs w:val="18"/>
              </w:rPr>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5"/>
              <w:ind w:left="105" w:right="114"/>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w w:val="101"/>
                <w:sz w:val="18"/>
                <w:szCs w:val="18"/>
              </w:rPr>
              <w:t> </w:t>
            </w:r>
            <w:hyperlink r:id="rId22">
              <w:r>
                <w:rPr>
                  <w:rFonts w:ascii="Times New Roman" w:hAnsi="Times New Roman" w:cs="Times New Roman" w:eastAsia="Times New Roman" w:hint="default"/>
                  <w:spacing w:val="-3"/>
                  <w:sz w:val="18"/>
                  <w:szCs w:val="18"/>
                </w:rPr>
                <w:t>www.cninfo.com.c</w:t>
              </w:r>
            </w:hyperlink>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pacing w:val="-15"/>
                <w:sz w:val="18"/>
                <w:szCs w:val="18"/>
              </w:rPr>
            </w:r>
            <w:r>
              <w:rPr>
                <w:rFonts w:ascii="Times New Roman" w:hAnsi="Times New Roman" w:cs="Times New Roman" w:eastAsia="Times New Roman" w:hint="default"/>
                <w:sz w:val="18"/>
                <w:szCs w:val="18"/>
              </w:rPr>
              <w:t>n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公告编号：</w:t>
            </w:r>
          </w:p>
          <w:p>
            <w:pPr>
              <w:pStyle w:val="TableParagraph"/>
              <w:spacing w:line="240" w:lineRule="auto" w:before="86"/>
              <w:ind w:left="105" w:right="0"/>
              <w:jc w:val="left"/>
              <w:rPr>
                <w:rFonts w:ascii="Times New Roman" w:hAnsi="Times New Roman" w:cs="Times New Roman" w:eastAsia="Times New Roman" w:hint="default"/>
                <w:sz w:val="18"/>
                <w:szCs w:val="18"/>
              </w:rPr>
            </w:pPr>
            <w:r>
              <w:rPr>
                <w:rFonts w:ascii="Times New Roman"/>
                <w:sz w:val="18"/>
              </w:rPr>
              <w:t>2019-80</w:t>
            </w:r>
          </w:p>
        </w:tc>
      </w:tr>
    </w:tbl>
    <w:p>
      <w:pPr>
        <w:spacing w:line="240" w:lineRule="auto" w:before="3"/>
        <w:rPr>
          <w:rFonts w:ascii="宋体" w:hAnsi="宋体" w:cs="宋体" w:eastAsia="宋体" w:hint="default"/>
          <w:b/>
          <w:bCs/>
          <w:sz w:val="19"/>
          <w:szCs w:val="19"/>
        </w:rPr>
      </w:pPr>
    </w:p>
    <w:p>
      <w:pPr>
        <w:pStyle w:val="Heading3"/>
        <w:spacing w:line="240" w:lineRule="auto" w:before="36"/>
        <w:ind w:right="1764"/>
        <w:jc w:val="left"/>
        <w:rPr>
          <w:b w:val="0"/>
          <w:bCs w:val="0"/>
        </w:rPr>
      </w:pPr>
      <w:bookmarkStart w:name="2、表决权恢复的优先股股东请求召开临时股东大会" w:id="140"/>
      <w:bookmarkEnd w:id="140"/>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4"/>
          <w:szCs w:val="24"/>
        </w:rPr>
      </w:pPr>
    </w:p>
    <w:p>
      <w:pPr>
        <w:pStyle w:val="Heading2"/>
        <w:spacing w:line="240" w:lineRule="auto"/>
        <w:ind w:right="1764"/>
        <w:jc w:val="left"/>
        <w:rPr>
          <w:b w:val="0"/>
          <w:bCs w:val="0"/>
        </w:rPr>
      </w:pPr>
      <w:bookmarkStart w:name="五、报告期内独立董事履行职责的情况" w:id="141"/>
      <w:bookmarkEnd w:id="141"/>
      <w:r>
        <w:rPr>
          <w:b w:val="0"/>
          <w:bCs w:val="0"/>
        </w:rPr>
      </w:r>
      <w:r>
        <w:rPr/>
        <w:t>五、报告期内独立董事履行职责的情况</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1764"/>
        <w:jc w:val="left"/>
        <w:rPr>
          <w:b w:val="0"/>
          <w:bCs w:val="0"/>
        </w:rPr>
      </w:pPr>
      <w:bookmarkStart w:name="1、独立董事出席董事会及股东大会的情况" w:id="142"/>
      <w:bookmarkEnd w:id="142"/>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426"/>
        <w:gridCol w:w="1167"/>
        <w:gridCol w:w="1162"/>
        <w:gridCol w:w="1167"/>
        <w:gridCol w:w="1162"/>
        <w:gridCol w:w="1162"/>
        <w:gridCol w:w="1162"/>
        <w:gridCol w:w="1167"/>
      </w:tblGrid>
      <w:tr>
        <w:trPr>
          <w:trHeight w:val="401" w:hRule="exact"/>
        </w:trPr>
        <w:tc>
          <w:tcPr>
            <w:tcW w:w="957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8" w:right="0"/>
              <w:jc w:val="center"/>
              <w:rPr>
                <w:rFonts w:ascii="宋体" w:hAnsi="宋体" w:cs="宋体" w:eastAsia="宋体" w:hint="default"/>
                <w:sz w:val="18"/>
                <w:szCs w:val="18"/>
              </w:rPr>
            </w:pPr>
            <w:r>
              <w:rPr>
                <w:rFonts w:ascii="宋体" w:hAnsi="宋体" w:cs="宋体" w:eastAsia="宋体" w:hint="default"/>
                <w:spacing w:val="-3"/>
                <w:sz w:val="18"/>
                <w:szCs w:val="18"/>
              </w:rPr>
              <w:t>独立董事出席董事会及股东大会的情况</w:t>
            </w:r>
          </w:p>
        </w:tc>
      </w:tr>
      <w:tr>
        <w:trPr>
          <w:trHeight w:val="1340"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9" w:lineRule="auto"/>
              <w:ind w:left="129" w:right="123"/>
              <w:jc w:val="center"/>
              <w:rPr>
                <w:rFonts w:ascii="宋体" w:hAnsi="宋体" w:cs="宋体" w:eastAsia="宋体" w:hint="default"/>
                <w:sz w:val="18"/>
                <w:szCs w:val="18"/>
              </w:rPr>
            </w:pPr>
            <w:r>
              <w:rPr>
                <w:rFonts w:ascii="宋体" w:hAnsi="宋体" w:cs="宋体" w:eastAsia="宋体" w:hint="default"/>
                <w:spacing w:val="-2"/>
                <w:sz w:val="18"/>
                <w:szCs w:val="18"/>
              </w:rPr>
              <w:t>本报告期应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参加董事会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24" w:lineRule="auto" w:before="130"/>
              <w:ind w:left="215" w:right="118" w:hanging="87"/>
              <w:jc w:val="left"/>
              <w:rPr>
                <w:rFonts w:ascii="宋体" w:hAnsi="宋体" w:cs="宋体" w:eastAsia="宋体" w:hint="default"/>
                <w:sz w:val="18"/>
                <w:szCs w:val="18"/>
              </w:rPr>
            </w:pPr>
            <w:r>
              <w:rPr>
                <w:rFonts w:ascii="宋体" w:hAnsi="宋体" w:cs="宋体" w:eastAsia="宋体" w:hint="default"/>
                <w:spacing w:val="-2"/>
                <w:sz w:val="18"/>
                <w:szCs w:val="18"/>
              </w:rPr>
              <w:t>现场出席董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事会次数</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9" w:lineRule="auto"/>
              <w:ind w:left="129" w:right="123"/>
              <w:jc w:val="center"/>
              <w:rPr>
                <w:rFonts w:ascii="宋体" w:hAnsi="宋体" w:cs="宋体" w:eastAsia="宋体" w:hint="default"/>
                <w:sz w:val="18"/>
                <w:szCs w:val="18"/>
              </w:rPr>
            </w:pPr>
            <w:r>
              <w:rPr>
                <w:rFonts w:ascii="宋体" w:hAnsi="宋体" w:cs="宋体" w:eastAsia="宋体" w:hint="default"/>
                <w:spacing w:val="-2"/>
                <w:sz w:val="18"/>
                <w:szCs w:val="18"/>
              </w:rPr>
              <w:t>以通讯方式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参加董事会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24" w:lineRule="auto" w:before="130"/>
              <w:ind w:left="211" w:right="123" w:hanging="87"/>
              <w:jc w:val="left"/>
              <w:rPr>
                <w:rFonts w:ascii="宋体" w:hAnsi="宋体" w:cs="宋体" w:eastAsia="宋体" w:hint="default"/>
                <w:sz w:val="18"/>
                <w:szCs w:val="18"/>
              </w:rPr>
            </w:pPr>
            <w:r>
              <w:rPr>
                <w:rFonts w:ascii="宋体" w:hAnsi="宋体" w:cs="宋体" w:eastAsia="宋体" w:hint="default"/>
                <w:spacing w:val="-2"/>
                <w:sz w:val="18"/>
                <w:szCs w:val="18"/>
              </w:rPr>
              <w:t>委托出席董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24" w:lineRule="auto" w:before="130"/>
              <w:ind w:left="398" w:right="118" w:hanging="269"/>
              <w:jc w:val="left"/>
              <w:rPr>
                <w:rFonts w:ascii="宋体" w:hAnsi="宋体" w:cs="宋体" w:eastAsia="宋体" w:hint="default"/>
                <w:sz w:val="18"/>
                <w:szCs w:val="18"/>
              </w:rPr>
            </w:pPr>
            <w:r>
              <w:rPr>
                <w:rFonts w:ascii="宋体" w:hAnsi="宋体" w:cs="宋体" w:eastAsia="宋体" w:hint="default"/>
                <w:spacing w:val="-2"/>
                <w:sz w:val="18"/>
                <w:szCs w:val="18"/>
              </w:rPr>
              <w:t>缺席董事会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29" w:right="118"/>
              <w:jc w:val="center"/>
              <w:rPr>
                <w:rFonts w:ascii="宋体" w:hAnsi="宋体" w:cs="宋体" w:eastAsia="宋体" w:hint="default"/>
                <w:sz w:val="18"/>
                <w:szCs w:val="18"/>
              </w:rPr>
            </w:pPr>
            <w:r>
              <w:rPr>
                <w:rFonts w:ascii="宋体" w:hAnsi="宋体" w:cs="宋体" w:eastAsia="宋体" w:hint="default"/>
                <w:spacing w:val="-2"/>
                <w:sz w:val="18"/>
                <w:szCs w:val="18"/>
              </w:rPr>
              <w:t>是否连续两</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次未亲自参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加董事会会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议</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24" w:lineRule="auto" w:before="130"/>
              <w:ind w:left="307" w:right="122" w:hanging="178"/>
              <w:jc w:val="left"/>
              <w:rPr>
                <w:rFonts w:ascii="宋体" w:hAnsi="宋体" w:cs="宋体" w:eastAsia="宋体" w:hint="default"/>
                <w:sz w:val="18"/>
                <w:szCs w:val="18"/>
              </w:rPr>
            </w:pPr>
            <w:r>
              <w:rPr>
                <w:rFonts w:ascii="宋体" w:hAnsi="宋体" w:cs="宋体" w:eastAsia="宋体" w:hint="default"/>
                <w:spacing w:val="-2"/>
                <w:sz w:val="18"/>
                <w:szCs w:val="18"/>
              </w:rPr>
              <w:t>出席股东大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会次数</w:t>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梁金华</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398"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盛宝军</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404"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郑飞</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张卫华</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戴昌久</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谢波峰</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bl>
    <w:p>
      <w:pPr>
        <w:spacing w:line="357" w:lineRule="auto" w:before="53"/>
        <w:ind w:left="113" w:right="5762" w:firstLine="0"/>
        <w:jc w:val="left"/>
        <w:rPr>
          <w:rFonts w:ascii="宋体" w:hAnsi="宋体" w:cs="宋体" w:eastAsia="宋体" w:hint="default"/>
          <w:sz w:val="18"/>
          <w:szCs w:val="18"/>
        </w:rPr>
      </w:pPr>
      <w:r>
        <w:rPr>
          <w:rFonts w:ascii="宋体" w:hAnsi="宋体" w:cs="宋体" w:eastAsia="宋体" w:hint="default"/>
          <w:spacing w:val="-3"/>
          <w:sz w:val="18"/>
          <w:szCs w:val="18"/>
        </w:rPr>
        <w:t>连续两次未亲自出席董事会的说明</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不存在连续两次未出席董事会的情况。</w:t>
      </w:r>
    </w:p>
    <w:p>
      <w:pPr>
        <w:spacing w:after="0" w:line="357"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3"/>
        <w:spacing w:line="240" w:lineRule="auto" w:before="36"/>
        <w:ind w:right="1764"/>
        <w:jc w:val="left"/>
        <w:rPr>
          <w:b w:val="0"/>
          <w:bCs w:val="0"/>
        </w:rPr>
      </w:pPr>
      <w:bookmarkStart w:name="2、独立董事对公司有关事项提出异议的情况" w:id="143"/>
      <w:bookmarkEnd w:id="143"/>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独立董事对公司有关事项是否提出异议</w:t>
      </w:r>
    </w:p>
    <w:p>
      <w:pPr>
        <w:spacing w:line="357" w:lineRule="auto" w:before="115"/>
        <w:ind w:left="113" w:right="695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否</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报告期内独立董事对公司有关事项未提出异议。</w:t>
      </w:r>
    </w:p>
    <w:p>
      <w:pPr>
        <w:spacing w:line="240" w:lineRule="auto" w:before="12"/>
        <w:rPr>
          <w:rFonts w:ascii="宋体" w:hAnsi="宋体" w:cs="宋体" w:eastAsia="宋体" w:hint="default"/>
          <w:sz w:val="19"/>
          <w:szCs w:val="19"/>
        </w:rPr>
      </w:pPr>
    </w:p>
    <w:p>
      <w:pPr>
        <w:pStyle w:val="Heading3"/>
        <w:spacing w:line="240" w:lineRule="auto"/>
        <w:ind w:right="1764"/>
        <w:jc w:val="left"/>
        <w:rPr>
          <w:b w:val="0"/>
          <w:bCs w:val="0"/>
        </w:rPr>
      </w:pPr>
      <w:bookmarkStart w:name="3、独立董事履行职责的其他说明" w:id="144"/>
      <w:bookmarkEnd w:id="144"/>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1"/>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独立董事对公司有关建议是否被采纳</w:t>
      </w:r>
    </w:p>
    <w:p>
      <w:pPr>
        <w:spacing w:line="357" w:lineRule="auto" w:before="115"/>
        <w:ind w:left="113" w:right="643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否</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独立董事对公司有关建议被采纳或未被采纳的说明</w:t>
      </w:r>
    </w:p>
    <w:p>
      <w:pPr>
        <w:spacing w:line="316" w:lineRule="auto" w:before="26"/>
        <w:ind w:left="478" w:right="1007" w:hanging="5"/>
        <w:jc w:val="left"/>
        <w:rPr>
          <w:rFonts w:ascii="宋体" w:hAnsi="宋体" w:cs="宋体" w:eastAsia="宋体" w:hint="default"/>
          <w:sz w:val="18"/>
          <w:szCs w:val="18"/>
        </w:rPr>
      </w:pPr>
      <w:r>
        <w:rPr>
          <w:rFonts w:ascii="宋体" w:hAnsi="宋体" w:cs="宋体" w:eastAsia="宋体" w:hint="default"/>
          <w:spacing w:val="-3"/>
          <w:sz w:val="18"/>
          <w:szCs w:val="18"/>
        </w:rPr>
        <w:t>报告期内，独立董事在参加公司董事会，审议相关议案中，提出以下建议：</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pacing w:val="-3"/>
          <w:sz w:val="18"/>
          <w:szCs w:val="18"/>
        </w:rPr>
        <w:t>1</w:t>
      </w:r>
      <w:r>
        <w:rPr>
          <w:rFonts w:ascii="宋体" w:hAnsi="宋体" w:cs="宋体" w:eastAsia="宋体" w:hint="default"/>
          <w:spacing w:val="-3"/>
          <w:sz w:val="18"/>
          <w:szCs w:val="18"/>
        </w:rPr>
        <w:t>、公司需关注新收入准则对公司业务收入确认方法的指导，以及业务合同具体条款相应匹配；关注公司存货和应收账</w:t>
      </w:r>
    </w:p>
    <w:p>
      <w:pPr>
        <w:spacing w:line="319" w:lineRule="auto" w:before="19"/>
        <w:ind w:left="478" w:right="1007" w:hanging="365"/>
        <w:jc w:val="left"/>
        <w:rPr>
          <w:rFonts w:ascii="宋体" w:hAnsi="宋体" w:cs="宋体" w:eastAsia="宋体" w:hint="default"/>
          <w:sz w:val="18"/>
          <w:szCs w:val="18"/>
        </w:rPr>
      </w:pPr>
      <w:r>
        <w:rPr>
          <w:rFonts w:ascii="宋体" w:hAnsi="宋体" w:cs="宋体" w:eastAsia="宋体" w:hint="default"/>
          <w:spacing w:val="-3"/>
          <w:sz w:val="18"/>
          <w:szCs w:val="18"/>
        </w:rPr>
        <w:t>款的规模，与公司收入规模的匹配度。</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2</w:t>
      </w:r>
      <w:r>
        <w:rPr>
          <w:rFonts w:ascii="宋体" w:hAnsi="宋体" w:cs="宋体" w:eastAsia="宋体" w:hint="default"/>
          <w:spacing w:val="-3"/>
          <w:sz w:val="18"/>
          <w:szCs w:val="18"/>
        </w:rPr>
        <w:t>、关注公司治理结构等方面，对于公司提供担保额度较大的子公司，在风险控制还需继续关注，加强对其财务、商务</w:t>
      </w:r>
    </w:p>
    <w:p>
      <w:pPr>
        <w:spacing w:before="17"/>
        <w:ind w:left="113" w:right="1764" w:firstLine="0"/>
        <w:jc w:val="left"/>
        <w:rPr>
          <w:rFonts w:ascii="宋体" w:hAnsi="宋体" w:cs="宋体" w:eastAsia="宋体" w:hint="default"/>
          <w:sz w:val="18"/>
          <w:szCs w:val="18"/>
        </w:rPr>
      </w:pPr>
      <w:r>
        <w:rPr>
          <w:rFonts w:ascii="宋体" w:hAnsi="宋体" w:cs="宋体" w:eastAsia="宋体" w:hint="default"/>
          <w:sz w:val="18"/>
          <w:szCs w:val="18"/>
        </w:rPr>
        <w:t>的把控。</w:t>
      </w:r>
    </w:p>
    <w:p>
      <w:pPr>
        <w:spacing w:before="76"/>
        <w:ind w:left="478" w:right="1007" w:firstLine="0"/>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、传统</w:t>
      </w:r>
      <w:r>
        <w:rPr>
          <w:rFonts w:ascii="宋体" w:hAnsi="宋体" w:cs="宋体" w:eastAsia="宋体" w:hint="default"/>
          <w:spacing w:val="-3"/>
          <w:sz w:val="18"/>
          <w:szCs w:val="18"/>
        </w:rPr>
        <w:t>IT</w:t>
      </w:r>
      <w:r>
        <w:rPr>
          <w:rFonts w:ascii="宋体" w:hAnsi="宋体" w:cs="宋体" w:eastAsia="宋体" w:hint="default"/>
          <w:spacing w:val="-3"/>
          <w:sz w:val="18"/>
          <w:szCs w:val="18"/>
        </w:rPr>
        <w:t>企业都处于转型的阶段，提示公司需十分关注行业的形势变化，新的技术发展，以及</w:t>
      </w:r>
      <w:r>
        <w:rPr>
          <w:rFonts w:ascii="宋体" w:hAnsi="宋体" w:cs="宋体" w:eastAsia="宋体" w:hint="default"/>
          <w:spacing w:val="-3"/>
          <w:sz w:val="18"/>
          <w:szCs w:val="18"/>
        </w:rPr>
        <w:t>IT</w:t>
      </w:r>
      <w:r>
        <w:rPr>
          <w:rFonts w:ascii="宋体" w:hAnsi="宋体" w:cs="宋体" w:eastAsia="宋体" w:hint="default"/>
          <w:spacing w:val="-3"/>
          <w:sz w:val="18"/>
          <w:szCs w:val="18"/>
        </w:rPr>
        <w:t>企业税的改制问题。</w:t>
      </w:r>
    </w:p>
    <w:p>
      <w:pPr>
        <w:spacing w:line="316" w:lineRule="auto" w:before="76"/>
        <w:ind w:left="113" w:right="1007" w:firstLine="364"/>
        <w:jc w:val="left"/>
        <w:rPr>
          <w:rFonts w:ascii="宋体" w:hAnsi="宋体" w:cs="宋体" w:eastAsia="宋体" w:hint="default"/>
          <w:sz w:val="18"/>
          <w:szCs w:val="18"/>
        </w:rPr>
      </w:pPr>
      <w:r>
        <w:rPr>
          <w:rFonts w:ascii="宋体" w:hAnsi="宋体" w:cs="宋体" w:eastAsia="宋体" w:hint="default"/>
          <w:spacing w:val="-3"/>
          <w:sz w:val="18"/>
          <w:szCs w:val="18"/>
        </w:rPr>
        <w:t>4</w:t>
      </w:r>
      <w:r>
        <w:rPr>
          <w:rFonts w:ascii="宋体" w:hAnsi="宋体" w:cs="宋体" w:eastAsia="宋体" w:hint="default"/>
          <w:spacing w:val="-3"/>
          <w:sz w:val="18"/>
          <w:szCs w:val="18"/>
        </w:rPr>
        <w:t>、完善公司内部控制体系，进一步建立健全内部控制制度，关注公司担保、财务资助的流程，完善子公司管理制度及</w:t>
      </w:r>
      <w:r>
        <w:rPr>
          <w:rFonts w:ascii="宋体" w:hAnsi="宋体" w:cs="宋体" w:eastAsia="宋体" w:hint="default"/>
          <w:w w:val="101"/>
          <w:sz w:val="18"/>
          <w:szCs w:val="18"/>
        </w:rPr>
        <w:t> </w:t>
      </w:r>
      <w:r>
        <w:rPr>
          <w:rFonts w:ascii="宋体" w:hAnsi="宋体" w:cs="宋体" w:eastAsia="宋体" w:hint="default"/>
          <w:spacing w:val="-3"/>
          <w:sz w:val="18"/>
          <w:szCs w:val="18"/>
        </w:rPr>
        <w:t>财务管理制度，强化内部审计职能，以确保公司长期持续、稳定发展。</w:t>
      </w:r>
    </w:p>
    <w:p>
      <w:pPr>
        <w:spacing w:line="316" w:lineRule="auto" w:before="19"/>
        <w:ind w:left="113" w:right="1007" w:firstLine="364"/>
        <w:jc w:val="left"/>
        <w:rPr>
          <w:rFonts w:ascii="宋体" w:hAnsi="宋体" w:cs="宋体" w:eastAsia="宋体" w:hint="default"/>
          <w:sz w:val="18"/>
          <w:szCs w:val="18"/>
        </w:rPr>
      </w:pPr>
      <w:r>
        <w:rPr>
          <w:rFonts w:ascii="宋体" w:hAnsi="宋体" w:cs="宋体" w:eastAsia="宋体" w:hint="default"/>
          <w:spacing w:val="-3"/>
          <w:sz w:val="18"/>
          <w:szCs w:val="18"/>
        </w:rPr>
        <w:t>5</w:t>
      </w:r>
      <w:r>
        <w:rPr>
          <w:rFonts w:ascii="宋体" w:hAnsi="宋体" w:cs="宋体" w:eastAsia="宋体" w:hint="default"/>
          <w:spacing w:val="-3"/>
          <w:sz w:val="18"/>
          <w:szCs w:val="18"/>
        </w:rPr>
        <w:t>、严格防范内幕交易行为，完善内幕信息知情人管理制度。完善分红政策、决策程序等，有效保护股东特别是中小股</w:t>
      </w:r>
      <w:r>
        <w:rPr>
          <w:rFonts w:ascii="宋体" w:hAnsi="宋体" w:cs="宋体" w:eastAsia="宋体" w:hint="default"/>
          <w:w w:val="101"/>
          <w:sz w:val="18"/>
          <w:szCs w:val="18"/>
        </w:rPr>
        <w:t> </w:t>
      </w:r>
      <w:r>
        <w:rPr>
          <w:rFonts w:ascii="宋体" w:hAnsi="宋体" w:cs="宋体" w:eastAsia="宋体" w:hint="default"/>
          <w:sz w:val="18"/>
          <w:szCs w:val="18"/>
        </w:rPr>
        <w:t>东的利益。</w:t>
      </w:r>
    </w:p>
    <w:p>
      <w:pPr>
        <w:spacing w:before="19"/>
        <w:ind w:left="478" w:right="1764" w:firstLine="0"/>
        <w:jc w:val="left"/>
        <w:rPr>
          <w:rFonts w:ascii="宋体" w:hAnsi="宋体" w:cs="宋体" w:eastAsia="宋体" w:hint="default"/>
          <w:sz w:val="18"/>
          <w:szCs w:val="18"/>
        </w:rPr>
      </w:pPr>
      <w:r>
        <w:rPr>
          <w:rFonts w:ascii="宋体" w:hAnsi="宋体" w:cs="宋体" w:eastAsia="宋体" w:hint="default"/>
          <w:spacing w:val="-3"/>
          <w:sz w:val="18"/>
          <w:szCs w:val="18"/>
        </w:rPr>
        <w:t>6</w:t>
      </w:r>
      <w:r>
        <w:rPr>
          <w:rFonts w:ascii="宋体" w:hAnsi="宋体" w:cs="宋体" w:eastAsia="宋体" w:hint="default"/>
          <w:spacing w:val="-3"/>
          <w:sz w:val="18"/>
          <w:szCs w:val="18"/>
        </w:rPr>
        <w:t>、做好投后管理，协助并购公司对接资源，关注公司商誉情况，定期做好商誉减值测试，避免商誉成为隐患。</w:t>
      </w:r>
    </w:p>
    <w:p>
      <w:pPr>
        <w:spacing w:before="76"/>
        <w:ind w:left="478" w:right="1764" w:firstLine="0"/>
        <w:jc w:val="left"/>
        <w:rPr>
          <w:rFonts w:ascii="宋体" w:hAnsi="宋体" w:cs="宋体" w:eastAsia="宋体" w:hint="default"/>
          <w:sz w:val="18"/>
          <w:szCs w:val="18"/>
        </w:rPr>
      </w:pPr>
      <w:r>
        <w:rPr>
          <w:rFonts w:ascii="宋体" w:hAnsi="宋体" w:cs="宋体" w:eastAsia="宋体" w:hint="default"/>
          <w:spacing w:val="-3"/>
          <w:sz w:val="18"/>
          <w:szCs w:val="18"/>
        </w:rPr>
        <w:t>7</w:t>
      </w:r>
      <w:r>
        <w:rPr>
          <w:rFonts w:ascii="宋体" w:hAnsi="宋体" w:cs="宋体" w:eastAsia="宋体" w:hint="default"/>
          <w:spacing w:val="-3"/>
          <w:sz w:val="18"/>
          <w:szCs w:val="18"/>
        </w:rPr>
        <w:t>、关注宏观经济发展形势，公司要有风险意识，面对经济下行的趋势时建立积极稳健的策略以对抗风险。</w:t>
      </w:r>
    </w:p>
    <w:p>
      <w:pPr>
        <w:spacing w:line="240" w:lineRule="auto" w:before="10"/>
        <w:rPr>
          <w:rFonts w:ascii="宋体" w:hAnsi="宋体" w:cs="宋体" w:eastAsia="宋体" w:hint="default"/>
          <w:sz w:val="24"/>
          <w:szCs w:val="24"/>
        </w:rPr>
      </w:pPr>
    </w:p>
    <w:p>
      <w:pPr>
        <w:spacing w:before="0"/>
        <w:ind w:left="113" w:right="1764" w:firstLine="0"/>
        <w:jc w:val="left"/>
        <w:rPr>
          <w:rFonts w:ascii="宋体" w:hAnsi="宋体" w:cs="宋体" w:eastAsia="宋体" w:hint="default"/>
          <w:sz w:val="18"/>
          <w:szCs w:val="18"/>
        </w:rPr>
      </w:pPr>
      <w:bookmarkStart w:name="六、董事会下设专门委员会在报告期内履行职责情况" w:id="145"/>
      <w:bookmarkEnd w:id="145"/>
      <w:r>
        <w:rPr/>
      </w:r>
      <w:r>
        <w:rPr>
          <w:rFonts w:ascii="宋体" w:hAnsi="宋体" w:cs="宋体" w:eastAsia="宋体" w:hint="default"/>
          <w:b/>
          <w:bCs/>
          <w:sz w:val="24"/>
          <w:szCs w:val="24"/>
        </w:rPr>
        <w:t>六、</w:t>
      </w:r>
      <w:r>
        <w:rPr>
          <w:rFonts w:ascii="宋体" w:hAnsi="宋体" w:cs="宋体" w:eastAsia="宋体" w:hint="default"/>
          <w:b/>
          <w:bCs/>
          <w:sz w:val="18"/>
          <w:szCs w:val="18"/>
        </w:rPr>
        <w:t>董事会下设专门委员会在报告期内履行职责情况</w:t>
      </w:r>
      <w:r>
        <w:rPr>
          <w:rFonts w:ascii="宋体" w:hAnsi="宋体" w:cs="宋体" w:eastAsia="宋体" w:hint="default"/>
          <w:sz w:val="18"/>
          <w:szCs w:val="18"/>
        </w:rPr>
      </w:r>
    </w:p>
    <w:p>
      <w:pPr>
        <w:spacing w:line="240" w:lineRule="auto" w:before="11"/>
        <w:rPr>
          <w:rFonts w:ascii="宋体" w:hAnsi="宋体" w:cs="宋体" w:eastAsia="宋体" w:hint="default"/>
          <w:b/>
          <w:bCs/>
          <w:sz w:val="26"/>
          <w:szCs w:val="26"/>
        </w:rPr>
      </w:pPr>
    </w:p>
    <w:p>
      <w:pPr>
        <w:spacing w:line="319" w:lineRule="auto" w:before="0"/>
        <w:ind w:left="113" w:right="1007" w:firstLine="422"/>
        <w:jc w:val="left"/>
        <w:rPr>
          <w:rFonts w:ascii="宋体" w:hAnsi="宋体" w:cs="宋体" w:eastAsia="宋体" w:hint="default"/>
          <w:sz w:val="18"/>
          <w:szCs w:val="18"/>
        </w:rPr>
      </w:pPr>
      <w:r>
        <w:rPr>
          <w:rFonts w:ascii="宋体" w:hAnsi="宋体" w:cs="宋体" w:eastAsia="宋体" w:hint="default"/>
          <w:spacing w:val="-2"/>
          <w:sz w:val="18"/>
          <w:szCs w:val="18"/>
        </w:rPr>
        <w:t>目前，公司第五届董事会下设审计委员会、提名委员会、薪酬与考核委员会三个专门委员会，根据《上市公司治理准</w:t>
      </w:r>
      <w:r>
        <w:rPr>
          <w:rFonts w:ascii="宋体" w:hAnsi="宋体" w:cs="宋体" w:eastAsia="宋体" w:hint="default"/>
          <w:w w:val="101"/>
          <w:sz w:val="18"/>
          <w:szCs w:val="18"/>
        </w:rPr>
        <w:t> </w:t>
      </w:r>
      <w:r>
        <w:rPr>
          <w:rFonts w:ascii="宋体" w:hAnsi="宋体" w:cs="宋体" w:eastAsia="宋体" w:hint="default"/>
          <w:sz w:val="18"/>
          <w:szCs w:val="18"/>
        </w:rPr>
        <w:t>则》 </w:t>
      </w:r>
      <w:r>
        <w:rPr>
          <w:rFonts w:ascii="宋体" w:hAnsi="宋体" w:cs="宋体" w:eastAsia="宋体" w:hint="default"/>
          <w:spacing w:val="-3"/>
          <w:sz w:val="18"/>
          <w:szCs w:val="18"/>
        </w:rPr>
        <w:t>及相应的委员会议事规则的要求，切实履行相应的职责。</w:t>
      </w:r>
      <w:r>
        <w:rPr>
          <w:rFonts w:ascii="宋体" w:hAnsi="宋体" w:cs="宋体" w:eastAsia="宋体" w:hint="default"/>
          <w:spacing w:val="-3"/>
          <w:sz w:val="18"/>
          <w:szCs w:val="18"/>
        </w:rPr>
        <w:t>2019</w:t>
      </w:r>
      <w:r>
        <w:rPr>
          <w:rFonts w:ascii="宋体" w:hAnsi="宋体" w:cs="宋体" w:eastAsia="宋体" w:hint="default"/>
          <w:spacing w:val="-3"/>
          <w:sz w:val="18"/>
          <w:szCs w:val="18"/>
        </w:rPr>
        <w:t>年度，公司共召开审计委员会会议五次，薪酬与考核委</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pacing w:val="-6"/>
          <w:sz w:val="18"/>
          <w:szCs w:val="18"/>
        </w:rPr>
        <w:t>员会会议两次，提名委员会会议两次，独立董事均亲自出席了董事会各专门委员会会议，持续了解公司生产经营和运作情况，</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4"/>
          <w:sz w:val="18"/>
          <w:szCs w:val="18"/>
        </w:rPr>
        <w:t>充分掌握信息，详尽审阅会议相关材料，认真审议公司的各项议案，为董事会决策作充分的准备工作，并对重大事务作独立</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的判断和决策。</w:t>
      </w:r>
    </w:p>
    <w:p>
      <w:pPr>
        <w:spacing w:line="357" w:lineRule="auto" w:before="55"/>
        <w:ind w:left="535" w:right="1007" w:firstLine="0"/>
        <w:jc w:val="left"/>
        <w:rPr>
          <w:rFonts w:ascii="宋体" w:hAnsi="宋体" w:cs="宋体" w:eastAsia="宋体" w:hint="default"/>
          <w:sz w:val="18"/>
          <w:szCs w:val="18"/>
        </w:rPr>
      </w:pPr>
      <w:r>
        <w:rPr>
          <w:rFonts w:ascii="宋体" w:hAnsi="宋体" w:cs="宋体" w:eastAsia="宋体" w:hint="default"/>
          <w:spacing w:val="-3"/>
          <w:sz w:val="18"/>
          <w:szCs w:val="18"/>
        </w:rPr>
        <w:t>独立董事履职情况：</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独立董事均积极履行了其在专门委员会的职责，戴昌久为审计委员会的召集人、提名委员会委员，张卫华为提名委员</w:t>
      </w:r>
    </w:p>
    <w:p>
      <w:pPr>
        <w:spacing w:line="357" w:lineRule="auto" w:before="0"/>
        <w:ind w:left="896" w:right="1764" w:hanging="783"/>
        <w:jc w:val="left"/>
        <w:rPr>
          <w:rFonts w:ascii="宋体" w:hAnsi="宋体" w:cs="宋体" w:eastAsia="宋体" w:hint="default"/>
          <w:sz w:val="18"/>
          <w:szCs w:val="18"/>
        </w:rPr>
      </w:pPr>
      <w:r>
        <w:rPr>
          <w:rFonts w:ascii="宋体" w:hAnsi="宋体" w:cs="宋体" w:eastAsia="宋体" w:hint="default"/>
          <w:spacing w:val="-3"/>
          <w:sz w:val="18"/>
          <w:szCs w:val="18"/>
        </w:rPr>
        <w:t>会召集人、薪酬与考核委员会委员，谢波峰为薪酬与考核委员会召集人、审计委员会委员。</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3"/>
          <w:sz w:val="18"/>
          <w:szCs w:val="18"/>
        </w:rPr>
        <w:t>独立董事出席会议情况如下：</w:t>
      </w:r>
    </w:p>
    <w:tbl>
      <w:tblPr>
        <w:tblW w:w="0" w:type="auto"/>
        <w:jc w:val="left"/>
        <w:tblInd w:w="103" w:type="dxa"/>
        <w:tblLayout w:type="fixed"/>
        <w:tblCellMar>
          <w:top w:w="0" w:type="dxa"/>
          <w:left w:w="0" w:type="dxa"/>
          <w:bottom w:w="0" w:type="dxa"/>
          <w:right w:w="0" w:type="dxa"/>
        </w:tblCellMar>
        <w:tblLook w:val="01E0"/>
      </w:tblPr>
      <w:tblGrid>
        <w:gridCol w:w="2238"/>
        <w:gridCol w:w="2266"/>
        <w:gridCol w:w="1983"/>
        <w:gridCol w:w="2036"/>
      </w:tblGrid>
      <w:tr>
        <w:trPr>
          <w:trHeight w:val="410" w:hRule="exact"/>
        </w:trPr>
        <w:tc>
          <w:tcPr>
            <w:tcW w:w="22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8"/>
              <w:ind w:left="3" w:right="0"/>
              <w:jc w:val="center"/>
              <w:rPr>
                <w:rFonts w:ascii="宋体" w:hAnsi="宋体" w:cs="宋体" w:eastAsia="宋体" w:hint="default"/>
                <w:sz w:val="18"/>
                <w:szCs w:val="18"/>
              </w:rPr>
            </w:pPr>
            <w:r>
              <w:rPr>
                <w:rFonts w:ascii="宋体" w:hAnsi="宋体" w:cs="宋体" w:eastAsia="宋体" w:hint="default"/>
                <w:b/>
                <w:bCs/>
                <w:sz w:val="18"/>
                <w:szCs w:val="18"/>
              </w:rPr>
              <w:t>独董姓名</w:t>
            </w:r>
            <w:r>
              <w:rPr>
                <w:rFonts w:ascii="宋体" w:hAnsi="宋体" w:cs="宋体" w:eastAsia="宋体" w:hint="default"/>
                <w:sz w:val="18"/>
                <w:szCs w:val="18"/>
              </w:rPr>
            </w:r>
          </w:p>
        </w:tc>
        <w:tc>
          <w:tcPr>
            <w:tcW w:w="22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8"/>
              <w:ind w:left="9" w:right="0"/>
              <w:jc w:val="center"/>
              <w:rPr>
                <w:rFonts w:ascii="宋体" w:hAnsi="宋体" w:cs="宋体" w:eastAsia="宋体" w:hint="default"/>
                <w:sz w:val="18"/>
                <w:szCs w:val="18"/>
              </w:rPr>
            </w:pPr>
            <w:r>
              <w:rPr>
                <w:rFonts w:ascii="宋体" w:hAnsi="宋体" w:cs="宋体" w:eastAsia="宋体" w:hint="default"/>
                <w:b/>
                <w:bCs/>
                <w:sz w:val="18"/>
                <w:szCs w:val="18"/>
              </w:rPr>
              <w:t>应参会次数</w:t>
            </w:r>
            <w:r>
              <w:rPr>
                <w:rFonts w:ascii="宋体" w:hAnsi="宋体" w:cs="宋体" w:eastAsia="宋体" w:hint="default"/>
                <w:sz w:val="18"/>
                <w:szCs w:val="18"/>
              </w:rPr>
            </w:r>
          </w:p>
        </w:tc>
        <w:tc>
          <w:tcPr>
            <w:tcW w:w="19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8"/>
              <w:ind w:left="4" w:right="0"/>
              <w:jc w:val="center"/>
              <w:rPr>
                <w:rFonts w:ascii="宋体" w:hAnsi="宋体" w:cs="宋体" w:eastAsia="宋体" w:hint="default"/>
                <w:sz w:val="18"/>
                <w:szCs w:val="18"/>
              </w:rPr>
            </w:pPr>
            <w:r>
              <w:rPr>
                <w:rFonts w:ascii="宋体" w:hAnsi="宋体" w:cs="宋体" w:eastAsia="宋体" w:hint="default"/>
                <w:b/>
                <w:bCs/>
                <w:sz w:val="18"/>
                <w:szCs w:val="18"/>
              </w:rPr>
              <w:t>亲自参会次数</w:t>
            </w:r>
            <w:r>
              <w:rPr>
                <w:rFonts w:ascii="宋体" w:hAnsi="宋体" w:cs="宋体" w:eastAsia="宋体" w:hint="default"/>
                <w:sz w:val="18"/>
                <w:szCs w:val="18"/>
              </w:rPr>
            </w:r>
          </w:p>
        </w:tc>
        <w:tc>
          <w:tcPr>
            <w:tcW w:w="20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8"/>
              <w:ind w:left="14"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44" w:hRule="exact"/>
        </w:trPr>
        <w:tc>
          <w:tcPr>
            <w:tcW w:w="8523"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9" w:right="0"/>
              <w:jc w:val="center"/>
              <w:rPr>
                <w:rFonts w:ascii="宋体" w:hAnsi="宋体" w:cs="宋体" w:eastAsia="宋体" w:hint="default"/>
                <w:sz w:val="18"/>
                <w:szCs w:val="18"/>
              </w:rPr>
            </w:pPr>
            <w:r>
              <w:rPr>
                <w:rFonts w:ascii="宋体" w:hAnsi="宋体" w:cs="宋体" w:eastAsia="宋体" w:hint="default"/>
                <w:sz w:val="18"/>
                <w:szCs w:val="18"/>
              </w:rPr>
              <w:t>审计委员会</w:t>
            </w:r>
          </w:p>
        </w:tc>
      </w:tr>
      <w:tr>
        <w:trPr>
          <w:trHeight w:val="427"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谢波峰</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428"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戴昌久</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梁金华</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盛宝军</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2036" w:type="dxa"/>
            <w:tcBorders>
              <w:top w:val="single" w:sz="6" w:space="0" w:color="000000"/>
              <w:left w:val="single" w:sz="6" w:space="0" w:color="000000"/>
              <w:bottom w:val="single" w:sz="6" w:space="0" w:color="000000"/>
              <w:right w:val="single" w:sz="6" w:space="0" w:color="000000"/>
            </w:tcBorders>
          </w:tcPr>
          <w:p>
            <w:pPr/>
          </w:p>
        </w:tc>
      </w:tr>
    </w:tbl>
    <w:p>
      <w:pPr>
        <w:spacing w:after="0"/>
        <w:sectPr>
          <w:headerReference w:type="default" r:id="rId23"/>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2238"/>
        <w:gridCol w:w="2266"/>
        <w:gridCol w:w="1983"/>
        <w:gridCol w:w="2036"/>
      </w:tblGrid>
      <w:tr>
        <w:trPr>
          <w:trHeight w:val="427" w:hRule="exact"/>
        </w:trPr>
        <w:tc>
          <w:tcPr>
            <w:tcW w:w="8523"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薪酬与考核委员会</w:t>
            </w:r>
          </w:p>
        </w:tc>
      </w:tr>
      <w:tr>
        <w:trPr>
          <w:trHeight w:val="427"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戴昌久</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079"/>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428"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张卫华</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079"/>
              <w:jc w:val="right"/>
              <w:rPr>
                <w:rFonts w:ascii="宋体" w:hAnsi="宋体" w:cs="宋体" w:eastAsia="宋体" w:hint="default"/>
                <w:sz w:val="18"/>
                <w:szCs w:val="18"/>
              </w:rPr>
            </w:pPr>
            <w:r>
              <w:rPr>
                <w:rFonts w:ascii="宋体"/>
                <w:w w:val="101"/>
                <w:sz w:val="18"/>
              </w:rPr>
              <w:t>2</w:t>
            </w:r>
            <w:r>
              <w:rPr>
                <w:rFonts w:ascii="宋体"/>
                <w:sz w:val="18"/>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center"/>
              <w:rPr>
                <w:rFonts w:ascii="宋体" w:hAnsi="宋体" w:cs="宋体" w:eastAsia="宋体" w:hint="default"/>
                <w:sz w:val="18"/>
                <w:szCs w:val="18"/>
              </w:rPr>
            </w:pPr>
            <w:r>
              <w:rPr>
                <w:rFonts w:ascii="宋体"/>
                <w:w w:val="101"/>
                <w:sz w:val="18"/>
              </w:rPr>
              <w:t>2</w:t>
            </w:r>
            <w:r>
              <w:rPr>
                <w:rFonts w:ascii="宋体"/>
                <w:sz w:val="18"/>
              </w:rPr>
            </w: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郑飞</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079"/>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梁金华</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079"/>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8523"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提名委员会</w:t>
            </w:r>
          </w:p>
        </w:tc>
      </w:tr>
      <w:tr>
        <w:trPr>
          <w:trHeight w:val="428"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张卫华</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079"/>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谢波峰</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079"/>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盛宝军</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079"/>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2036"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郑飞</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079"/>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203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21"/>
          <w:szCs w:val="21"/>
        </w:rPr>
      </w:pPr>
    </w:p>
    <w:p>
      <w:pPr>
        <w:spacing w:line="316" w:lineRule="auto" w:before="46"/>
        <w:ind w:left="113" w:right="1007" w:firstLine="360"/>
        <w:jc w:val="left"/>
        <w:rPr>
          <w:rFonts w:ascii="宋体" w:hAnsi="宋体" w:cs="宋体" w:eastAsia="宋体" w:hint="default"/>
          <w:sz w:val="18"/>
          <w:szCs w:val="18"/>
        </w:rPr>
      </w:pPr>
      <w:r>
        <w:rPr>
          <w:rFonts w:ascii="宋体" w:hAnsi="宋体" w:cs="宋体" w:eastAsia="宋体" w:hint="default"/>
          <w:spacing w:val="-5"/>
          <w:sz w:val="18"/>
          <w:szCs w:val="18"/>
        </w:rPr>
        <w:t>独立董事均认为公司董事会下设的各专门委员会会议的召集、召开程序符合法定程序，合法有效，全部投了赞成票，没</w:t>
      </w:r>
      <w:r>
        <w:rPr>
          <w:rFonts w:ascii="宋体" w:hAnsi="宋体" w:cs="宋体" w:eastAsia="宋体" w:hint="default"/>
          <w:w w:val="101"/>
          <w:sz w:val="18"/>
          <w:szCs w:val="18"/>
        </w:rPr>
        <w:t> </w:t>
      </w:r>
      <w:r>
        <w:rPr>
          <w:rFonts w:ascii="宋体" w:hAnsi="宋体" w:cs="宋体" w:eastAsia="宋体" w:hint="default"/>
          <w:sz w:val="18"/>
          <w:szCs w:val="18"/>
        </w:rPr>
        <w:t>有反对、弃权的情形。</w:t>
      </w:r>
    </w:p>
    <w:p>
      <w:pPr>
        <w:spacing w:before="19"/>
        <w:ind w:left="473" w:right="1764" w:firstLine="0"/>
        <w:jc w:val="left"/>
        <w:rPr>
          <w:rFonts w:ascii="宋体" w:hAnsi="宋体" w:cs="宋体" w:eastAsia="宋体" w:hint="default"/>
          <w:sz w:val="18"/>
          <w:szCs w:val="18"/>
        </w:rPr>
      </w:pPr>
      <w:r>
        <w:rPr>
          <w:rFonts w:ascii="宋体" w:hAnsi="宋体" w:cs="宋体" w:eastAsia="宋体" w:hint="default"/>
          <w:spacing w:val="-3"/>
          <w:sz w:val="18"/>
          <w:szCs w:val="18"/>
        </w:rPr>
        <w:t>二、专门委员会履职情况总体说明</w:t>
      </w:r>
    </w:p>
    <w:p>
      <w:pPr>
        <w:spacing w:line="316" w:lineRule="auto" w:before="76"/>
        <w:ind w:left="473" w:right="1007" w:firstLine="0"/>
        <w:jc w:val="left"/>
        <w:rPr>
          <w:rFonts w:ascii="宋体" w:hAnsi="宋体" w:cs="宋体" w:eastAsia="宋体" w:hint="default"/>
          <w:sz w:val="18"/>
          <w:szCs w:val="18"/>
        </w:rPr>
      </w:pPr>
      <w:r>
        <w:rPr>
          <w:rFonts w:ascii="宋体" w:hAnsi="宋体" w:cs="宋体" w:eastAsia="宋体" w:hint="default"/>
          <w:spacing w:val="-3"/>
          <w:sz w:val="18"/>
          <w:szCs w:val="18"/>
        </w:rPr>
        <w:t>（一）审计委员会履职情况</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5"/>
          <w:sz w:val="18"/>
          <w:szCs w:val="18"/>
        </w:rPr>
        <w:t>报告期内，审计委员会根据《公司章程》及《董事会审计委员会议事规则》等相关规定召开审计委员会会议，积极履行</w:t>
      </w:r>
    </w:p>
    <w:p>
      <w:pPr>
        <w:spacing w:line="316" w:lineRule="auto" w:before="19"/>
        <w:ind w:left="113" w:right="1007" w:firstLine="0"/>
        <w:jc w:val="left"/>
        <w:rPr>
          <w:rFonts w:ascii="宋体" w:hAnsi="宋体" w:cs="宋体" w:eastAsia="宋体" w:hint="default"/>
          <w:sz w:val="18"/>
          <w:szCs w:val="18"/>
        </w:rPr>
      </w:pPr>
      <w:r>
        <w:rPr>
          <w:rFonts w:ascii="宋体" w:hAnsi="宋体" w:cs="宋体" w:eastAsia="宋体" w:hint="default"/>
          <w:spacing w:val="-6"/>
          <w:sz w:val="18"/>
          <w:szCs w:val="18"/>
        </w:rPr>
        <w:t>职责。报告期内，审计委员会共召开五次会议，根据公司实际情况，对公司内部控制制度的建立和实施情况、季度审计工作、</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4"/>
          <w:sz w:val="18"/>
          <w:szCs w:val="18"/>
        </w:rPr>
        <w:t>聘请公司年度审计机构等事项进行审查，就公司</w:t>
      </w:r>
      <w:r>
        <w:rPr>
          <w:rFonts w:ascii="宋体" w:hAnsi="宋体" w:cs="宋体" w:eastAsia="宋体" w:hint="default"/>
          <w:spacing w:val="-4"/>
          <w:sz w:val="18"/>
          <w:szCs w:val="18"/>
        </w:rPr>
        <w:t>2018</w:t>
      </w:r>
      <w:r>
        <w:rPr>
          <w:rFonts w:ascii="宋体" w:hAnsi="宋体" w:cs="宋体" w:eastAsia="宋体" w:hint="default"/>
          <w:spacing w:val="-4"/>
          <w:sz w:val="18"/>
          <w:szCs w:val="18"/>
        </w:rPr>
        <w:t>年年度审计事项与财务部、审计部、公司管理层及注册会计师进行了沟</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4"/>
          <w:sz w:val="18"/>
          <w:szCs w:val="18"/>
        </w:rPr>
        <w:t>通，对审计委员会的工作进行总结和规划。审计委员会对公司</w:t>
      </w:r>
      <w:r>
        <w:rPr>
          <w:rFonts w:ascii="宋体" w:hAnsi="宋体" w:cs="宋体" w:eastAsia="宋体" w:hint="default"/>
          <w:spacing w:val="-4"/>
          <w:sz w:val="18"/>
          <w:szCs w:val="18"/>
        </w:rPr>
        <w:t>2018</w:t>
      </w:r>
      <w:r>
        <w:rPr>
          <w:rFonts w:ascii="宋体" w:hAnsi="宋体" w:cs="宋体" w:eastAsia="宋体" w:hint="default"/>
          <w:spacing w:val="-4"/>
          <w:sz w:val="18"/>
          <w:szCs w:val="18"/>
        </w:rPr>
        <w:t>年内控情况进行了核查和评价，切实履行了审计委员会的</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工作职责，对公司完善内控体系发挥了重要作用。</w:t>
      </w:r>
    </w:p>
    <w:p>
      <w:pPr>
        <w:spacing w:line="319" w:lineRule="auto" w:before="19"/>
        <w:ind w:left="473" w:right="1007" w:firstLine="0"/>
        <w:jc w:val="left"/>
        <w:rPr>
          <w:rFonts w:ascii="宋体" w:hAnsi="宋体" w:cs="宋体" w:eastAsia="宋体" w:hint="default"/>
          <w:sz w:val="18"/>
          <w:szCs w:val="18"/>
        </w:rPr>
      </w:pPr>
      <w:r>
        <w:rPr>
          <w:rFonts w:ascii="宋体" w:hAnsi="宋体" w:cs="宋体" w:eastAsia="宋体" w:hint="default"/>
          <w:spacing w:val="-3"/>
          <w:sz w:val="18"/>
          <w:szCs w:val="18"/>
        </w:rPr>
        <w:t>（二）薪酬与考核委员会履职情况</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8"/>
          <w:w w:val="101"/>
          <w:sz w:val="18"/>
          <w:szCs w:val="18"/>
        </w:rPr>
        <w:t>报告期内，薪酬与考核委员会按照《公司章程》、《董事会专门委员会工作细则》等相关规定，共召开两次会议，制定公</w:t>
      </w:r>
      <w:r>
        <w:rPr>
          <w:rFonts w:ascii="宋体" w:hAnsi="宋体" w:cs="宋体" w:eastAsia="宋体" w:hint="default"/>
          <w:spacing w:val="-8"/>
          <w:sz w:val="18"/>
          <w:szCs w:val="18"/>
        </w:rPr>
      </w:r>
    </w:p>
    <w:p>
      <w:pPr>
        <w:spacing w:line="309" w:lineRule="auto" w:before="17"/>
        <w:ind w:left="113" w:right="1124" w:firstLine="0"/>
        <w:jc w:val="both"/>
        <w:rPr>
          <w:rFonts w:ascii="宋体" w:hAnsi="宋体" w:cs="宋体" w:eastAsia="宋体" w:hint="default"/>
          <w:sz w:val="18"/>
          <w:szCs w:val="18"/>
        </w:rPr>
      </w:pPr>
      <w:r>
        <w:rPr>
          <w:rFonts w:ascii="宋体" w:hAnsi="宋体" w:cs="宋体" w:eastAsia="宋体" w:hint="default"/>
          <w:spacing w:val="-4"/>
          <w:sz w:val="18"/>
          <w:szCs w:val="18"/>
        </w:rPr>
        <w:t>司董事与高级管理人员薪酬与考核管理办法，对制度执行情况进行监督，审核了公司董事及高级管理人的履职情况并对其进</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4"/>
          <w:w w:val="101"/>
          <w:sz w:val="18"/>
          <w:szCs w:val="18"/>
        </w:rPr>
        <w:t>行年度绩效考核和评定。薪酬与考核委员会对公司《</w:t>
      </w:r>
      <w:r>
        <w:rPr>
          <w:rFonts w:ascii="Times New Roman" w:hAnsi="Times New Roman" w:cs="Times New Roman" w:eastAsia="Times New Roman" w:hint="default"/>
          <w:spacing w:val="-4"/>
          <w:w w:val="101"/>
          <w:sz w:val="18"/>
          <w:szCs w:val="18"/>
        </w:rPr>
        <w:t>2016</w:t>
      </w:r>
      <w:r>
        <w:rPr>
          <w:rFonts w:ascii="宋体" w:hAnsi="宋体" w:cs="宋体" w:eastAsia="宋体" w:hint="default"/>
          <w:spacing w:val="-4"/>
          <w:w w:val="101"/>
          <w:sz w:val="18"/>
          <w:szCs w:val="18"/>
        </w:rPr>
        <w:t>年限制性股票激励计划（草案）》的解锁条件进行审核，认为第三</w:t>
      </w:r>
      <w:r>
        <w:rPr>
          <w:rFonts w:ascii="宋体" w:hAnsi="宋体" w:cs="宋体" w:eastAsia="宋体" w:hint="default"/>
          <w:w w:val="101"/>
          <w:sz w:val="18"/>
          <w:szCs w:val="18"/>
        </w:rPr>
        <w:t> </w:t>
      </w:r>
      <w:r>
        <w:rPr>
          <w:rFonts w:ascii="宋体" w:hAnsi="宋体" w:cs="宋体" w:eastAsia="宋体" w:hint="default"/>
          <w:spacing w:val="-3"/>
          <w:sz w:val="18"/>
          <w:szCs w:val="18"/>
        </w:rPr>
        <w:t>个解锁期解锁条件已经成就，可申请办理限制性股票解除限售并上市流通。</w:t>
      </w:r>
    </w:p>
    <w:p>
      <w:pPr>
        <w:spacing w:line="362" w:lineRule="auto" w:before="24"/>
        <w:ind w:left="535" w:right="1007" w:hanging="63"/>
        <w:jc w:val="left"/>
        <w:rPr>
          <w:rFonts w:ascii="宋体" w:hAnsi="宋体" w:cs="宋体" w:eastAsia="宋体" w:hint="default"/>
          <w:sz w:val="18"/>
          <w:szCs w:val="18"/>
        </w:rPr>
      </w:pPr>
      <w:r>
        <w:rPr>
          <w:rFonts w:ascii="宋体" w:hAnsi="宋体" w:cs="宋体" w:eastAsia="宋体" w:hint="default"/>
          <w:spacing w:val="-3"/>
          <w:sz w:val="18"/>
          <w:szCs w:val="18"/>
        </w:rPr>
        <w:t>（三）提名委员会履职情况</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6"/>
          <w:w w:val="101"/>
          <w:sz w:val="18"/>
          <w:szCs w:val="18"/>
        </w:rPr>
        <w:t>报告期内，提名委员会按照《公司章程》、《董事会专门委员会工作细则》等相关规定，共召开两次会议，对公司选举</w:t>
      </w:r>
      <w:r>
        <w:rPr>
          <w:rFonts w:ascii="宋体" w:hAnsi="宋体" w:cs="宋体" w:eastAsia="宋体" w:hint="default"/>
          <w:spacing w:val="-6"/>
          <w:sz w:val="18"/>
          <w:szCs w:val="18"/>
        </w:rPr>
      </w:r>
    </w:p>
    <w:p>
      <w:pPr>
        <w:spacing w:line="215" w:lineRule="exact" w:before="0"/>
        <w:ind w:left="113" w:right="0" w:firstLine="0"/>
        <w:jc w:val="both"/>
        <w:rPr>
          <w:rFonts w:ascii="宋体" w:hAnsi="宋体" w:cs="宋体" w:eastAsia="宋体" w:hint="default"/>
          <w:sz w:val="18"/>
          <w:szCs w:val="18"/>
        </w:rPr>
      </w:pPr>
      <w:r>
        <w:rPr>
          <w:rFonts w:ascii="宋体" w:hAnsi="宋体" w:cs="宋体" w:eastAsia="宋体" w:hint="default"/>
          <w:w w:val="101"/>
          <w:sz w:val="18"/>
          <w:szCs w:val="18"/>
        </w:rPr>
        <w:t>董</w:t>
      </w:r>
      <w:r>
        <w:rPr>
          <w:rFonts w:ascii="宋体" w:hAnsi="宋体" w:cs="宋体" w:eastAsia="宋体" w:hint="default"/>
          <w:spacing w:val="-5"/>
          <w:w w:val="101"/>
          <w:sz w:val="18"/>
          <w:szCs w:val="18"/>
        </w:rPr>
        <w:t>事</w:t>
      </w:r>
      <w:r>
        <w:rPr>
          <w:rFonts w:ascii="宋体" w:hAnsi="宋体" w:cs="宋体" w:eastAsia="宋体" w:hint="default"/>
          <w:w w:val="101"/>
          <w:sz w:val="18"/>
          <w:szCs w:val="18"/>
        </w:rPr>
        <w:t>的</w:t>
      </w:r>
      <w:r>
        <w:rPr>
          <w:rFonts w:ascii="宋体" w:hAnsi="宋体" w:cs="宋体" w:eastAsia="宋体" w:hint="default"/>
          <w:spacing w:val="-5"/>
          <w:w w:val="101"/>
          <w:sz w:val="18"/>
          <w:szCs w:val="18"/>
        </w:rPr>
        <w:t>任</w:t>
      </w:r>
      <w:r>
        <w:rPr>
          <w:rFonts w:ascii="宋体" w:hAnsi="宋体" w:cs="宋体" w:eastAsia="宋体" w:hint="default"/>
          <w:w w:val="101"/>
          <w:sz w:val="18"/>
          <w:szCs w:val="18"/>
        </w:rPr>
        <w:t>职</w:t>
      </w:r>
      <w:r>
        <w:rPr>
          <w:rFonts w:ascii="宋体" w:hAnsi="宋体" w:cs="宋体" w:eastAsia="宋体" w:hint="default"/>
          <w:spacing w:val="-5"/>
          <w:w w:val="101"/>
          <w:sz w:val="18"/>
          <w:szCs w:val="18"/>
        </w:rPr>
        <w:t>资</w:t>
      </w:r>
      <w:r>
        <w:rPr>
          <w:rFonts w:ascii="宋体" w:hAnsi="宋体" w:cs="宋体" w:eastAsia="宋体" w:hint="default"/>
          <w:w w:val="101"/>
          <w:sz w:val="18"/>
          <w:szCs w:val="18"/>
        </w:rPr>
        <w:t>格</w:t>
      </w:r>
      <w:r>
        <w:rPr>
          <w:rFonts w:ascii="宋体" w:hAnsi="宋体" w:cs="宋体" w:eastAsia="宋体" w:hint="default"/>
          <w:spacing w:val="-5"/>
          <w:w w:val="101"/>
          <w:sz w:val="18"/>
          <w:szCs w:val="18"/>
        </w:rPr>
        <w:t>进</w:t>
      </w:r>
      <w:r>
        <w:rPr>
          <w:rFonts w:ascii="宋体" w:hAnsi="宋体" w:cs="宋体" w:eastAsia="宋体" w:hint="default"/>
          <w:w w:val="101"/>
          <w:sz w:val="18"/>
          <w:szCs w:val="18"/>
        </w:rPr>
        <w:t>行</w:t>
      </w:r>
      <w:r>
        <w:rPr>
          <w:rFonts w:ascii="宋体" w:hAnsi="宋体" w:cs="宋体" w:eastAsia="宋体" w:hint="default"/>
          <w:spacing w:val="-5"/>
          <w:w w:val="101"/>
          <w:sz w:val="18"/>
          <w:szCs w:val="18"/>
        </w:rPr>
        <w:t>了</w:t>
      </w:r>
      <w:r>
        <w:rPr>
          <w:rFonts w:ascii="宋体" w:hAnsi="宋体" w:cs="宋体" w:eastAsia="宋体" w:hint="default"/>
          <w:w w:val="101"/>
          <w:sz w:val="18"/>
          <w:szCs w:val="18"/>
        </w:rPr>
        <w:t>认</w:t>
      </w:r>
      <w:r>
        <w:rPr>
          <w:rFonts w:ascii="宋体" w:hAnsi="宋体" w:cs="宋体" w:eastAsia="宋体" w:hint="default"/>
          <w:spacing w:val="-5"/>
          <w:w w:val="101"/>
          <w:sz w:val="18"/>
          <w:szCs w:val="18"/>
        </w:rPr>
        <w:t>真</w:t>
      </w:r>
      <w:r>
        <w:rPr>
          <w:rFonts w:ascii="宋体" w:hAnsi="宋体" w:cs="宋体" w:eastAsia="宋体" w:hint="default"/>
          <w:w w:val="101"/>
          <w:sz w:val="18"/>
          <w:szCs w:val="18"/>
        </w:rPr>
        <w:t>审查</w:t>
      </w:r>
      <w:r>
        <w:rPr>
          <w:rFonts w:ascii="宋体" w:hAnsi="宋体" w:cs="宋体" w:eastAsia="宋体" w:hint="default"/>
          <w:spacing w:val="-34"/>
          <w:w w:val="101"/>
          <w:sz w:val="18"/>
          <w:szCs w:val="18"/>
        </w:rPr>
        <w:t>。</w:t>
      </w:r>
      <w:r>
        <w:rPr>
          <w:rFonts w:ascii="宋体" w:hAnsi="宋体" w:cs="宋体" w:eastAsia="宋体" w:hint="default"/>
          <w:w w:val="101"/>
          <w:sz w:val="18"/>
          <w:szCs w:val="18"/>
        </w:rPr>
        <w:t>提</w:t>
      </w:r>
      <w:r>
        <w:rPr>
          <w:rFonts w:ascii="宋体" w:hAnsi="宋体" w:cs="宋体" w:eastAsia="宋体" w:hint="default"/>
          <w:spacing w:val="-5"/>
          <w:w w:val="101"/>
          <w:sz w:val="18"/>
          <w:szCs w:val="18"/>
        </w:rPr>
        <w:t>名</w:t>
      </w:r>
      <w:r>
        <w:rPr>
          <w:rFonts w:ascii="宋体" w:hAnsi="宋体" w:cs="宋体" w:eastAsia="宋体" w:hint="default"/>
          <w:w w:val="101"/>
          <w:sz w:val="18"/>
          <w:szCs w:val="18"/>
        </w:rPr>
        <w:t>委</w:t>
      </w:r>
      <w:r>
        <w:rPr>
          <w:rFonts w:ascii="宋体" w:hAnsi="宋体" w:cs="宋体" w:eastAsia="宋体" w:hint="default"/>
          <w:spacing w:val="-5"/>
          <w:w w:val="101"/>
          <w:sz w:val="18"/>
          <w:szCs w:val="18"/>
        </w:rPr>
        <w:t>员</w:t>
      </w:r>
      <w:r>
        <w:rPr>
          <w:rFonts w:ascii="宋体" w:hAnsi="宋体" w:cs="宋体" w:eastAsia="宋体" w:hint="default"/>
          <w:w w:val="101"/>
          <w:sz w:val="18"/>
          <w:szCs w:val="18"/>
        </w:rPr>
        <w:t>会</w:t>
      </w:r>
      <w:r>
        <w:rPr>
          <w:rFonts w:ascii="宋体" w:hAnsi="宋体" w:cs="宋体" w:eastAsia="宋体" w:hint="default"/>
          <w:spacing w:val="-5"/>
          <w:w w:val="101"/>
          <w:sz w:val="18"/>
          <w:szCs w:val="18"/>
        </w:rPr>
        <w:t>审</w:t>
      </w:r>
      <w:r>
        <w:rPr>
          <w:rFonts w:ascii="宋体" w:hAnsi="宋体" w:cs="宋体" w:eastAsia="宋体" w:hint="default"/>
          <w:w w:val="101"/>
          <w:sz w:val="18"/>
          <w:szCs w:val="18"/>
        </w:rPr>
        <w:t>议</w:t>
      </w:r>
      <w:r>
        <w:rPr>
          <w:rFonts w:ascii="宋体" w:hAnsi="宋体" w:cs="宋体" w:eastAsia="宋体" w:hint="default"/>
          <w:spacing w:val="-34"/>
          <w:w w:val="101"/>
          <w:sz w:val="18"/>
          <w:szCs w:val="18"/>
        </w:rPr>
        <w:t>了</w:t>
      </w:r>
      <w:r>
        <w:rPr>
          <w:rFonts w:ascii="宋体" w:hAnsi="宋体" w:cs="宋体" w:eastAsia="宋体" w:hint="default"/>
          <w:w w:val="101"/>
          <w:sz w:val="18"/>
          <w:szCs w:val="18"/>
        </w:rPr>
        <w:t>《</w:t>
      </w:r>
      <w:r>
        <w:rPr>
          <w:rFonts w:ascii="宋体" w:hAnsi="宋体" w:cs="宋体" w:eastAsia="宋体" w:hint="default"/>
          <w:spacing w:val="-5"/>
          <w:w w:val="101"/>
          <w:sz w:val="18"/>
          <w:szCs w:val="18"/>
        </w:rPr>
        <w:t>关</w:t>
      </w:r>
      <w:r>
        <w:rPr>
          <w:rFonts w:ascii="宋体" w:hAnsi="宋体" w:cs="宋体" w:eastAsia="宋体" w:hint="default"/>
          <w:w w:val="101"/>
          <w:sz w:val="18"/>
          <w:szCs w:val="18"/>
        </w:rPr>
        <w:t>于</w:t>
      </w:r>
      <w:r>
        <w:rPr>
          <w:rFonts w:ascii="宋体" w:hAnsi="宋体" w:cs="宋体" w:eastAsia="宋体" w:hint="default"/>
          <w:spacing w:val="-5"/>
          <w:w w:val="101"/>
          <w:sz w:val="18"/>
          <w:szCs w:val="18"/>
        </w:rPr>
        <w:t>提</w:t>
      </w:r>
      <w:r>
        <w:rPr>
          <w:rFonts w:ascii="宋体" w:hAnsi="宋体" w:cs="宋体" w:eastAsia="宋体" w:hint="default"/>
          <w:w w:val="101"/>
          <w:sz w:val="18"/>
          <w:szCs w:val="18"/>
        </w:rPr>
        <w:t>名</w:t>
      </w:r>
      <w:r>
        <w:rPr>
          <w:rFonts w:ascii="宋体" w:hAnsi="宋体" w:cs="宋体" w:eastAsia="宋体" w:hint="default"/>
          <w:spacing w:val="-5"/>
          <w:w w:val="101"/>
          <w:sz w:val="18"/>
          <w:szCs w:val="18"/>
        </w:rPr>
        <w:t>苗</w:t>
      </w:r>
      <w:r>
        <w:rPr>
          <w:rFonts w:ascii="宋体" w:hAnsi="宋体" w:cs="宋体" w:eastAsia="宋体" w:hint="default"/>
          <w:w w:val="101"/>
          <w:sz w:val="18"/>
          <w:szCs w:val="18"/>
        </w:rPr>
        <w:t>逢</w:t>
      </w:r>
      <w:r>
        <w:rPr>
          <w:rFonts w:ascii="宋体" w:hAnsi="宋体" w:cs="宋体" w:eastAsia="宋体" w:hint="default"/>
          <w:spacing w:val="-5"/>
          <w:w w:val="101"/>
          <w:sz w:val="18"/>
          <w:szCs w:val="18"/>
        </w:rPr>
        <w:t>源</w:t>
      </w:r>
      <w:r>
        <w:rPr>
          <w:rFonts w:ascii="宋体" w:hAnsi="宋体" w:cs="宋体" w:eastAsia="宋体" w:hint="default"/>
          <w:w w:val="101"/>
          <w:sz w:val="18"/>
          <w:szCs w:val="18"/>
        </w:rPr>
        <w:t>为</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第</w:t>
      </w:r>
      <w:r>
        <w:rPr>
          <w:rFonts w:ascii="宋体" w:hAnsi="宋体" w:cs="宋体" w:eastAsia="宋体" w:hint="default"/>
          <w:w w:val="101"/>
          <w:sz w:val="18"/>
          <w:szCs w:val="18"/>
        </w:rPr>
        <w:t>五</w:t>
      </w:r>
      <w:r>
        <w:rPr>
          <w:rFonts w:ascii="宋体" w:hAnsi="宋体" w:cs="宋体" w:eastAsia="宋体" w:hint="default"/>
          <w:spacing w:val="-5"/>
          <w:w w:val="101"/>
          <w:sz w:val="18"/>
          <w:szCs w:val="18"/>
        </w:rPr>
        <w:t>届</w:t>
      </w:r>
      <w:r>
        <w:rPr>
          <w:rFonts w:ascii="宋体" w:hAnsi="宋体" w:cs="宋体" w:eastAsia="宋体" w:hint="default"/>
          <w:w w:val="101"/>
          <w:sz w:val="18"/>
          <w:szCs w:val="18"/>
        </w:rPr>
        <w:t>董</w:t>
      </w:r>
      <w:r>
        <w:rPr>
          <w:rFonts w:ascii="宋体" w:hAnsi="宋体" w:cs="宋体" w:eastAsia="宋体" w:hint="default"/>
          <w:spacing w:val="-5"/>
          <w:w w:val="101"/>
          <w:sz w:val="18"/>
          <w:szCs w:val="18"/>
        </w:rPr>
        <w:t>事</w:t>
      </w:r>
      <w:r>
        <w:rPr>
          <w:rFonts w:ascii="宋体" w:hAnsi="宋体" w:cs="宋体" w:eastAsia="宋体" w:hint="default"/>
          <w:w w:val="101"/>
          <w:sz w:val="18"/>
          <w:szCs w:val="18"/>
        </w:rPr>
        <w:t>会</w:t>
      </w:r>
      <w:r>
        <w:rPr>
          <w:rFonts w:ascii="宋体" w:hAnsi="宋体" w:cs="宋体" w:eastAsia="宋体" w:hint="default"/>
          <w:spacing w:val="-5"/>
          <w:w w:val="101"/>
          <w:sz w:val="18"/>
          <w:szCs w:val="18"/>
        </w:rPr>
        <w:t>非</w:t>
      </w:r>
      <w:r>
        <w:rPr>
          <w:rFonts w:ascii="宋体" w:hAnsi="宋体" w:cs="宋体" w:eastAsia="宋体" w:hint="default"/>
          <w:w w:val="101"/>
          <w:sz w:val="18"/>
          <w:szCs w:val="18"/>
        </w:rPr>
        <w:t>独</w:t>
      </w:r>
      <w:r>
        <w:rPr>
          <w:rFonts w:ascii="宋体" w:hAnsi="宋体" w:cs="宋体" w:eastAsia="宋体" w:hint="default"/>
          <w:spacing w:val="-5"/>
          <w:w w:val="101"/>
          <w:sz w:val="18"/>
          <w:szCs w:val="18"/>
        </w:rPr>
        <w:t>立</w:t>
      </w:r>
      <w:r>
        <w:rPr>
          <w:rFonts w:ascii="宋体" w:hAnsi="宋体" w:cs="宋体" w:eastAsia="宋体" w:hint="default"/>
          <w:w w:val="101"/>
          <w:sz w:val="18"/>
          <w:szCs w:val="18"/>
        </w:rPr>
        <w:t>董</w:t>
      </w:r>
      <w:r>
        <w:rPr>
          <w:rFonts w:ascii="宋体" w:hAnsi="宋体" w:cs="宋体" w:eastAsia="宋体" w:hint="default"/>
          <w:spacing w:val="-5"/>
          <w:w w:val="101"/>
          <w:sz w:val="18"/>
          <w:szCs w:val="18"/>
        </w:rPr>
        <w:t>事</w:t>
      </w:r>
      <w:r>
        <w:rPr>
          <w:rFonts w:ascii="宋体" w:hAnsi="宋体" w:cs="宋体" w:eastAsia="宋体" w:hint="default"/>
          <w:w w:val="101"/>
          <w:sz w:val="18"/>
          <w:szCs w:val="18"/>
        </w:rPr>
        <w:t>候</w:t>
      </w:r>
      <w:r>
        <w:rPr>
          <w:rFonts w:ascii="宋体" w:hAnsi="宋体" w:cs="宋体" w:eastAsia="宋体" w:hint="default"/>
          <w:spacing w:val="-5"/>
          <w:w w:val="101"/>
          <w:sz w:val="18"/>
          <w:szCs w:val="18"/>
        </w:rPr>
        <w:t>选</w:t>
      </w:r>
      <w:r>
        <w:rPr>
          <w:rFonts w:ascii="宋体" w:hAnsi="宋体" w:cs="宋体" w:eastAsia="宋体" w:hint="default"/>
          <w:w w:val="101"/>
          <w:sz w:val="18"/>
          <w:szCs w:val="18"/>
        </w:rPr>
        <w:t>人</w:t>
      </w:r>
      <w:r>
        <w:rPr>
          <w:rFonts w:ascii="宋体" w:hAnsi="宋体" w:cs="宋体" w:eastAsia="宋体" w:hint="default"/>
          <w:spacing w:val="-5"/>
          <w:w w:val="101"/>
          <w:sz w:val="18"/>
          <w:szCs w:val="18"/>
        </w:rPr>
        <w:t>的</w:t>
      </w:r>
      <w:r>
        <w:rPr>
          <w:rFonts w:ascii="宋体" w:hAnsi="宋体" w:cs="宋体" w:eastAsia="宋体" w:hint="default"/>
          <w:w w:val="101"/>
          <w:sz w:val="18"/>
          <w:szCs w:val="18"/>
        </w:rPr>
        <w:t>议案</w:t>
      </w:r>
      <w:r>
        <w:rPr>
          <w:rFonts w:ascii="宋体" w:hAnsi="宋体" w:cs="宋体" w:eastAsia="宋体" w:hint="default"/>
          <w:spacing w:val="-96"/>
          <w:w w:val="101"/>
          <w:sz w:val="18"/>
          <w:szCs w:val="18"/>
        </w:rPr>
        <w:t>》</w:t>
      </w:r>
      <w:r>
        <w:rPr>
          <w:rFonts w:ascii="宋体" w:hAnsi="宋体" w:cs="宋体" w:eastAsia="宋体" w:hint="default"/>
          <w:spacing w:val="-120"/>
          <w:w w:val="101"/>
          <w:sz w:val="18"/>
          <w:szCs w:val="18"/>
        </w:rPr>
        <w:t>、</w:t>
      </w:r>
      <w:r>
        <w:rPr>
          <w:rFonts w:ascii="宋体" w:hAnsi="宋体" w:cs="宋体" w:eastAsia="宋体" w:hint="default"/>
          <w:w w:val="101"/>
          <w:sz w:val="18"/>
          <w:szCs w:val="18"/>
        </w:rPr>
        <w:t>《关</w:t>
      </w:r>
      <w:r>
        <w:rPr>
          <w:rFonts w:ascii="宋体" w:hAnsi="宋体" w:cs="宋体" w:eastAsia="宋体" w:hint="default"/>
          <w:sz w:val="18"/>
          <w:szCs w:val="18"/>
        </w:rPr>
      </w:r>
    </w:p>
    <w:p>
      <w:pPr>
        <w:spacing w:line="319" w:lineRule="auto" w:before="76"/>
        <w:ind w:left="113" w:right="1122" w:firstLine="0"/>
        <w:jc w:val="both"/>
        <w:rPr>
          <w:rFonts w:ascii="宋体" w:hAnsi="宋体" w:cs="宋体" w:eastAsia="宋体" w:hint="default"/>
          <w:sz w:val="18"/>
          <w:szCs w:val="18"/>
        </w:rPr>
      </w:pPr>
      <w:r>
        <w:rPr>
          <w:rFonts w:ascii="宋体" w:hAnsi="宋体" w:cs="宋体" w:eastAsia="宋体" w:hint="default"/>
          <w:spacing w:val="-4"/>
          <w:sz w:val="18"/>
          <w:szCs w:val="18"/>
        </w:rPr>
        <w:t>于提名谢波峰、戴昌久为公司第五届董事会独立董事候选人的议案》和《关于提名肖征为公司第五届监事会监事候选人的议</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7"/>
          <w:w w:val="101"/>
          <w:sz w:val="18"/>
          <w:szCs w:val="18"/>
        </w:rPr>
        <w:t>案》，提名委员会对候选人的简历进行了审慎的核查，认为被提名人</w:t>
      </w:r>
      <w:r>
        <w:rPr>
          <w:rFonts w:ascii="宋体" w:hAnsi="宋体" w:cs="宋体" w:eastAsia="宋体" w:hint="default"/>
          <w:spacing w:val="20"/>
          <w:w w:val="101"/>
          <w:sz w:val="18"/>
          <w:szCs w:val="18"/>
        </w:rPr>
        <w:t> </w:t>
      </w:r>
      <w:r>
        <w:rPr>
          <w:rFonts w:ascii="宋体" w:hAnsi="宋体" w:cs="宋体" w:eastAsia="宋体" w:hint="default"/>
          <w:spacing w:val="-5"/>
          <w:w w:val="101"/>
          <w:sz w:val="18"/>
          <w:szCs w:val="18"/>
        </w:rPr>
        <w:t>符合相关的任职要求。未发现《公司法》及相关法律法</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pacing w:val="-3"/>
          <w:sz w:val="18"/>
          <w:szCs w:val="18"/>
        </w:rPr>
        <w:t>规规定禁止担任上市公司董事、高管的情形。</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七、监事会工作情况" w:id="146"/>
      <w:bookmarkEnd w:id="146"/>
      <w:r>
        <w:rPr>
          <w:b w:val="0"/>
          <w:bCs w:val="0"/>
        </w:rPr>
      </w:r>
      <w:r>
        <w:rPr/>
        <w:t>七、监事会工作情况</w:t>
      </w:r>
      <w:r>
        <w:rPr>
          <w:b w:val="0"/>
          <w:bCs w:val="0"/>
        </w:rPr>
      </w:r>
    </w:p>
    <w:p>
      <w:pPr>
        <w:spacing w:line="240" w:lineRule="auto" w:before="7"/>
        <w:rPr>
          <w:rFonts w:ascii="宋体" w:hAnsi="宋体" w:cs="宋体" w:eastAsia="宋体" w:hint="default"/>
          <w:b/>
          <w:bCs/>
          <w:sz w:val="27"/>
          <w:szCs w:val="27"/>
        </w:rPr>
      </w:pPr>
    </w:p>
    <w:p>
      <w:pPr>
        <w:spacing w:before="0"/>
        <w:ind w:left="113" w:right="0" w:firstLine="0"/>
        <w:jc w:val="both"/>
        <w:rPr>
          <w:rFonts w:ascii="宋体" w:hAnsi="宋体" w:cs="宋体" w:eastAsia="宋体" w:hint="default"/>
          <w:sz w:val="18"/>
          <w:szCs w:val="18"/>
        </w:rPr>
      </w:pPr>
      <w:r>
        <w:rPr>
          <w:rFonts w:ascii="宋体" w:hAnsi="宋体" w:cs="宋体" w:eastAsia="宋体" w:hint="default"/>
          <w:spacing w:val="-3"/>
          <w:sz w:val="18"/>
          <w:szCs w:val="18"/>
        </w:rPr>
        <w:t>监事会在报告期内的监督活动中发现公司是否存在风险</w:t>
      </w:r>
    </w:p>
    <w:p>
      <w:pPr>
        <w:spacing w:line="357" w:lineRule="auto" w:before="119"/>
        <w:ind w:left="113" w:right="695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否</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公司监事会对报告期内的监督事项无异议。</w:t>
      </w:r>
    </w:p>
    <w:p>
      <w:pPr>
        <w:spacing w:after="0" w:line="357"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宋体" w:hAnsi="宋体" w:cs="宋体" w:eastAsia="宋体" w:hint="default"/>
          <w:sz w:val="20"/>
          <w:szCs w:val="20"/>
        </w:rPr>
      </w:pPr>
    </w:p>
    <w:p>
      <w:pPr>
        <w:pStyle w:val="Heading2"/>
        <w:spacing w:line="240" w:lineRule="auto" w:before="26"/>
        <w:ind w:right="0"/>
        <w:jc w:val="both"/>
        <w:rPr>
          <w:b w:val="0"/>
          <w:bCs w:val="0"/>
        </w:rPr>
      </w:pPr>
      <w:bookmarkStart w:name="八、高级管理人员的考评及激励情况" w:id="147"/>
      <w:bookmarkEnd w:id="147"/>
      <w:r>
        <w:rPr>
          <w:b w:val="0"/>
          <w:bCs w:val="0"/>
        </w:rPr>
      </w:r>
      <w:r>
        <w:rPr/>
        <w:t>八、高级管理人员的考评及激励情况</w:t>
      </w:r>
      <w:r>
        <w:rPr>
          <w:b w:val="0"/>
          <w:bCs w:val="0"/>
        </w:rPr>
      </w:r>
    </w:p>
    <w:p>
      <w:pPr>
        <w:spacing w:line="240" w:lineRule="auto" w:before="3"/>
        <w:rPr>
          <w:rFonts w:ascii="宋体" w:hAnsi="宋体" w:cs="宋体" w:eastAsia="宋体" w:hint="default"/>
          <w:b/>
          <w:bCs/>
          <w:sz w:val="27"/>
          <w:szCs w:val="27"/>
        </w:rPr>
      </w:pPr>
    </w:p>
    <w:p>
      <w:pPr>
        <w:spacing w:before="0"/>
        <w:ind w:left="535" w:right="176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、薪酬制定及考核</w:t>
      </w:r>
    </w:p>
    <w:p>
      <w:pPr>
        <w:spacing w:line="307" w:lineRule="auto" w:before="63"/>
        <w:ind w:left="113" w:right="1122" w:firstLine="422"/>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27</w:t>
      </w:r>
      <w:r>
        <w:rPr>
          <w:rFonts w:ascii="宋体" w:hAnsi="宋体" w:cs="宋体" w:eastAsia="宋体" w:hint="default"/>
          <w:spacing w:val="-2"/>
          <w:sz w:val="18"/>
          <w:szCs w:val="18"/>
        </w:rPr>
        <w:t>日召开的第四届董事会第二十六次会议和</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26</w:t>
      </w:r>
      <w:r>
        <w:rPr>
          <w:rFonts w:ascii="宋体" w:hAnsi="宋体" w:cs="宋体" w:eastAsia="宋体" w:hint="default"/>
          <w:spacing w:val="-2"/>
          <w:sz w:val="18"/>
          <w:szCs w:val="18"/>
        </w:rPr>
        <w:t>日的召开</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年度股东大会审议通过了《关于</w:t>
      </w:r>
      <w:r>
        <w:rPr>
          <w:rFonts w:ascii="Times New Roman" w:hAnsi="Times New Roman" w:cs="Times New Roman" w:eastAsia="Times New Roman" w:hint="default"/>
          <w:spacing w:val="-2"/>
          <w:sz w:val="18"/>
          <w:szCs w:val="18"/>
        </w:rPr>
        <w:t>2019</w:t>
      </w:r>
      <w:r>
        <w:rPr>
          <w:rFonts w:ascii="Times New Roman" w:hAnsi="Times New Roman" w:cs="Times New Roman" w:eastAsia="Times New Roman" w:hint="default"/>
          <w:w w:val="101"/>
          <w:sz w:val="18"/>
          <w:szCs w:val="18"/>
        </w:rPr>
        <w:t> </w:t>
      </w:r>
      <w:r>
        <w:rPr>
          <w:rFonts w:ascii="宋体" w:hAnsi="宋体" w:cs="宋体" w:eastAsia="宋体" w:hint="default"/>
          <w:spacing w:val="-8"/>
          <w:w w:val="101"/>
          <w:sz w:val="18"/>
          <w:szCs w:val="18"/>
        </w:rPr>
        <w:t>年度董事、监事、高级管理人员薪酬的议案》，</w:t>
      </w:r>
      <w:r>
        <w:rPr>
          <w:rFonts w:ascii="宋体" w:hAnsi="宋体" w:cs="宋体" w:eastAsia="宋体" w:hint="default"/>
          <w:spacing w:val="-12"/>
          <w:w w:val="101"/>
          <w:sz w:val="18"/>
          <w:szCs w:val="18"/>
        </w:rPr>
        <w:t> </w:t>
      </w:r>
      <w:r>
        <w:rPr>
          <w:rFonts w:ascii="宋体" w:hAnsi="宋体" w:cs="宋体" w:eastAsia="宋体" w:hint="default"/>
          <w:spacing w:val="-4"/>
          <w:w w:val="101"/>
          <w:sz w:val="18"/>
          <w:szCs w:val="18"/>
        </w:rPr>
        <w:t>在该议案中，从业绩完成情况、管理效能、内部团队协作等多方面对高级管</w:t>
      </w:r>
      <w:r>
        <w:rPr>
          <w:rFonts w:ascii="宋体" w:hAnsi="宋体" w:cs="宋体" w:eastAsia="宋体" w:hint="default"/>
          <w:spacing w:val="-85"/>
          <w:w w:val="101"/>
          <w:sz w:val="18"/>
          <w:szCs w:val="18"/>
        </w:rPr>
        <w:t> </w:t>
      </w:r>
      <w:r>
        <w:rPr>
          <w:rFonts w:ascii="宋体" w:hAnsi="宋体" w:cs="宋体" w:eastAsia="宋体" w:hint="default"/>
          <w:spacing w:val="-85"/>
          <w:w w:val="101"/>
          <w:sz w:val="18"/>
          <w:szCs w:val="18"/>
        </w:rPr>
      </w:r>
      <w:r>
        <w:rPr>
          <w:rFonts w:ascii="宋体" w:hAnsi="宋体" w:cs="宋体" w:eastAsia="宋体" w:hint="default"/>
          <w:spacing w:val="-4"/>
          <w:sz w:val="18"/>
          <w:szCs w:val="18"/>
        </w:rPr>
        <w:t>理人员</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年的薪酬进行了考核，认为公司</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年度董监高薪酬发放情况符合公司所处的行业及地区的薪酬水平，符合公司</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的实际经营情况。</w:t>
      </w:r>
    </w:p>
    <w:p>
      <w:pPr>
        <w:spacing w:line="300" w:lineRule="auto" w:before="26"/>
        <w:ind w:left="113" w:right="1122" w:firstLine="422"/>
        <w:jc w:val="both"/>
        <w:rPr>
          <w:rFonts w:ascii="宋体" w:hAnsi="宋体" w:cs="宋体" w:eastAsia="宋体" w:hint="default"/>
          <w:sz w:val="18"/>
          <w:szCs w:val="18"/>
        </w:rPr>
      </w:pPr>
      <w:r>
        <w:rPr>
          <w:rFonts w:ascii="宋体" w:hAnsi="宋体" w:cs="宋体" w:eastAsia="宋体" w:hint="default"/>
          <w:spacing w:val="-2"/>
          <w:sz w:val="18"/>
          <w:szCs w:val="18"/>
        </w:rPr>
        <w:t>议案中对公司</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年度董事、监事、高级管理人员的薪酬标准及考核办法进行了明确。</w:t>
      </w:r>
      <w:r>
        <w:rPr>
          <w:rFonts w:ascii="宋体" w:hAnsi="宋体" w:cs="宋体" w:eastAsia="宋体" w:hint="default"/>
          <w:spacing w:val="29"/>
          <w:sz w:val="18"/>
          <w:szCs w:val="18"/>
        </w:rPr>
        <w:t> </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）董事、监事：董事无津</w:t>
      </w:r>
      <w:r>
        <w:rPr>
          <w:rFonts w:ascii="宋体" w:hAnsi="宋体" w:cs="宋体" w:eastAsia="宋体" w:hint="default"/>
          <w:w w:val="101"/>
          <w:sz w:val="18"/>
          <w:szCs w:val="18"/>
        </w:rPr>
        <w:t> </w:t>
      </w:r>
      <w:r>
        <w:rPr>
          <w:rFonts w:ascii="宋体" w:hAnsi="宋体" w:cs="宋体" w:eastAsia="宋体" w:hint="default"/>
          <w:spacing w:val="-3"/>
          <w:sz w:val="18"/>
          <w:szCs w:val="18"/>
        </w:rPr>
        <w:t>贴；兼职董事、监事的人员按其在公司所任职务领取薪酬；独立董事津贴为税前</w:t>
      </w:r>
      <w:r>
        <w:rPr>
          <w:rFonts w:ascii="Times New Roman" w:hAnsi="Times New Roman" w:cs="Times New Roman" w:eastAsia="Times New Roman" w:hint="default"/>
          <w:spacing w:val="-3"/>
          <w:sz w:val="18"/>
          <w:szCs w:val="18"/>
        </w:rPr>
        <w:t>8.40</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年。</w:t>
      </w:r>
    </w:p>
    <w:p>
      <w:pPr>
        <w:spacing w:line="309" w:lineRule="auto" w:before="13"/>
        <w:ind w:left="113" w:right="1120" w:firstLine="422"/>
        <w:jc w:val="both"/>
        <w:rPr>
          <w:rFonts w:ascii="宋体" w:hAnsi="宋体" w:cs="宋体" w:eastAsia="宋体" w:hint="default"/>
          <w:sz w:val="18"/>
          <w:szCs w:val="18"/>
        </w:rPr>
      </w:pPr>
      <w:r>
        <w:rPr>
          <w:rFonts w:ascii="宋体" w:hAnsi="宋体" w:cs="宋体" w:eastAsia="宋体" w:hint="default"/>
          <w:spacing w:val="-4"/>
          <w:w w:val="101"/>
          <w:sz w:val="18"/>
          <w:szCs w:val="18"/>
        </w:rPr>
        <w:t>高级管理人员：高管薪酬实行年薪制，年薪分为基础年薪（</w:t>
      </w:r>
      <w:r>
        <w:rPr>
          <w:rFonts w:ascii="Times New Roman" w:hAnsi="Times New Roman" w:cs="Times New Roman" w:eastAsia="Times New Roman" w:hint="default"/>
          <w:spacing w:val="-4"/>
          <w:w w:val="101"/>
          <w:sz w:val="18"/>
          <w:szCs w:val="18"/>
        </w:rPr>
        <w:t>60.00%</w:t>
      </w:r>
      <w:r>
        <w:rPr>
          <w:rFonts w:ascii="宋体" w:hAnsi="宋体" w:cs="宋体" w:eastAsia="宋体" w:hint="default"/>
          <w:spacing w:val="-4"/>
          <w:w w:val="101"/>
          <w:sz w:val="18"/>
          <w:szCs w:val="18"/>
        </w:rPr>
        <w:t>）、绩效奖金（</w:t>
      </w:r>
      <w:r>
        <w:rPr>
          <w:rFonts w:ascii="Times New Roman" w:hAnsi="Times New Roman" w:cs="Times New Roman" w:eastAsia="Times New Roman" w:hint="default"/>
          <w:spacing w:val="-4"/>
          <w:w w:val="101"/>
          <w:sz w:val="18"/>
          <w:szCs w:val="18"/>
        </w:rPr>
        <w:t>40.00%</w:t>
      </w:r>
      <w:r>
        <w:rPr>
          <w:rFonts w:ascii="宋体" w:hAnsi="宋体" w:cs="宋体" w:eastAsia="宋体" w:hint="default"/>
          <w:spacing w:val="-4"/>
          <w:w w:val="101"/>
          <w:sz w:val="18"/>
          <w:szCs w:val="18"/>
        </w:rPr>
        <w:t>）两部分：年薪</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33"/>
          <w:w w:val="101"/>
          <w:sz w:val="18"/>
          <w:szCs w:val="18"/>
        </w:rPr>
        <w:t> </w:t>
      </w:r>
      <w:r>
        <w:rPr>
          <w:rFonts w:ascii="宋体" w:hAnsi="宋体" w:cs="宋体" w:eastAsia="宋体" w:hint="default"/>
          <w:spacing w:val="-2"/>
          <w:w w:val="101"/>
          <w:sz w:val="18"/>
          <w:szCs w:val="18"/>
        </w:rPr>
        <w:t>基础年薪</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pacing w:val="-4"/>
          <w:w w:val="101"/>
          <w:sz w:val="18"/>
          <w:szCs w:val="18"/>
        </w:rPr>
        <w:t>绩效奖金。其中，基础年薪按月固定发放，绩效奖金参照考核情况按年度发放。（不含社会保险、过节费等福利，其按照相</w:t>
      </w:r>
      <w:r>
        <w:rPr>
          <w:rFonts w:ascii="宋体" w:hAnsi="宋体" w:cs="宋体" w:eastAsia="宋体" w:hint="default"/>
          <w:w w:val="101"/>
          <w:sz w:val="18"/>
          <w:szCs w:val="18"/>
        </w:rPr>
        <w:t> </w:t>
      </w:r>
      <w:r>
        <w:rPr>
          <w:rFonts w:ascii="宋体" w:hAnsi="宋体" w:cs="宋体" w:eastAsia="宋体" w:hint="default"/>
          <w:spacing w:val="-7"/>
          <w:w w:val="101"/>
          <w:sz w:val="18"/>
          <w:szCs w:val="18"/>
        </w:rPr>
        <w:t>关监管部门规定及公司相应制度发放或缴纳。）公司总经理、</w:t>
      </w:r>
      <w:r>
        <w:rPr>
          <w:rFonts w:ascii="宋体" w:hAnsi="宋体" w:cs="宋体" w:eastAsia="宋体" w:hint="default"/>
          <w:spacing w:val="-17"/>
          <w:w w:val="101"/>
          <w:sz w:val="18"/>
          <w:szCs w:val="18"/>
        </w:rPr>
        <w:t> </w:t>
      </w:r>
      <w:r>
        <w:rPr>
          <w:rFonts w:ascii="宋体" w:hAnsi="宋体" w:cs="宋体" w:eastAsia="宋体" w:hint="default"/>
          <w:spacing w:val="-4"/>
          <w:w w:val="101"/>
          <w:sz w:val="18"/>
          <w:szCs w:val="18"/>
        </w:rPr>
        <w:t>副总经理按公司年度考核目标，参照绩效奖金基数确定其最终</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pacing w:val="-4"/>
          <w:sz w:val="18"/>
          <w:szCs w:val="18"/>
        </w:rPr>
        <w:t>年度绩效奖金，并提交公司薪酬与考核委员会。公司其他高管按照各自职能，以其</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年职务、考核分数确定最终年度绩效</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3"/>
          <w:sz w:val="18"/>
          <w:szCs w:val="18"/>
        </w:rPr>
        <w:t>奖金，并提交公司薪酬与考核委员会。</w:t>
      </w:r>
    </w:p>
    <w:p>
      <w:pPr>
        <w:spacing w:line="316" w:lineRule="auto" w:before="25"/>
        <w:ind w:left="535" w:right="1007"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、限制性股票激励</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公司根据实际经营发展的需要，适时推行了限制性股票激励计划，公司于</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21</w:t>
      </w:r>
      <w:r>
        <w:rPr>
          <w:rFonts w:ascii="宋体" w:hAnsi="宋体" w:cs="宋体" w:eastAsia="宋体" w:hint="default"/>
          <w:spacing w:val="-4"/>
          <w:sz w:val="18"/>
          <w:szCs w:val="18"/>
        </w:rPr>
        <w:t>日向公司高级管理人员、中层以</w:t>
      </w:r>
    </w:p>
    <w:p>
      <w:pPr>
        <w:spacing w:line="300" w:lineRule="auto" w:before="0"/>
        <w:ind w:left="113" w:right="1122" w:firstLine="0"/>
        <w:jc w:val="both"/>
        <w:rPr>
          <w:rFonts w:ascii="宋体" w:hAnsi="宋体" w:cs="宋体" w:eastAsia="宋体" w:hint="default"/>
          <w:sz w:val="18"/>
          <w:szCs w:val="18"/>
        </w:rPr>
      </w:pPr>
      <w:r>
        <w:rPr>
          <w:rFonts w:ascii="宋体" w:hAnsi="宋体" w:cs="宋体" w:eastAsia="宋体" w:hint="default"/>
          <w:spacing w:val="-4"/>
          <w:sz w:val="18"/>
          <w:szCs w:val="18"/>
        </w:rPr>
        <w:t>及核心骨干等</w:t>
      </w:r>
      <w:r>
        <w:rPr>
          <w:rFonts w:ascii="Times New Roman" w:hAnsi="Times New Roman" w:cs="Times New Roman" w:eastAsia="Times New Roman" w:hint="default"/>
          <w:spacing w:val="-4"/>
          <w:sz w:val="18"/>
          <w:szCs w:val="18"/>
        </w:rPr>
        <w:t>421</w:t>
      </w:r>
      <w:r>
        <w:rPr>
          <w:rFonts w:ascii="宋体" w:hAnsi="宋体" w:cs="宋体" w:eastAsia="宋体" w:hint="default"/>
          <w:spacing w:val="-4"/>
          <w:sz w:val="18"/>
          <w:szCs w:val="18"/>
        </w:rPr>
        <w:t>名激励对象授予</w:t>
      </w:r>
      <w:r>
        <w:rPr>
          <w:rFonts w:ascii="Times New Roman" w:hAnsi="Times New Roman" w:cs="Times New Roman" w:eastAsia="Times New Roman" w:hint="default"/>
          <w:spacing w:val="-4"/>
          <w:sz w:val="18"/>
          <w:szCs w:val="18"/>
        </w:rPr>
        <w:t>1,258.9</w:t>
      </w:r>
      <w:r>
        <w:rPr>
          <w:rFonts w:ascii="宋体" w:hAnsi="宋体" w:cs="宋体" w:eastAsia="宋体" w:hint="default"/>
          <w:spacing w:val="-4"/>
          <w:sz w:val="18"/>
          <w:szCs w:val="18"/>
        </w:rPr>
        <w:t>万股限制性股票。</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27</w:t>
      </w:r>
      <w:r>
        <w:rPr>
          <w:rFonts w:ascii="宋体" w:hAnsi="宋体" w:cs="宋体" w:eastAsia="宋体" w:hint="default"/>
          <w:spacing w:val="-4"/>
          <w:sz w:val="18"/>
          <w:szCs w:val="18"/>
        </w:rPr>
        <w:t>日，第五届董事会第一次会议和第五届监事会第一次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w w:val="101"/>
          <w:sz w:val="18"/>
          <w:szCs w:val="18"/>
        </w:rPr>
        <w:t>会议审议通过了《关于第三期限制性股票解锁条件具备的议案》，同意</w:t>
      </w:r>
      <w:r>
        <w:rPr>
          <w:rFonts w:ascii="Times New Roman" w:hAnsi="Times New Roman" w:cs="Times New Roman" w:eastAsia="Times New Roman" w:hint="default"/>
          <w:spacing w:val="-6"/>
          <w:w w:val="101"/>
          <w:sz w:val="18"/>
          <w:szCs w:val="18"/>
        </w:rPr>
        <w:t>348</w:t>
      </w:r>
      <w:r>
        <w:rPr>
          <w:rFonts w:ascii="宋体" w:hAnsi="宋体" w:cs="宋体" w:eastAsia="宋体" w:hint="default"/>
          <w:spacing w:val="-6"/>
          <w:w w:val="101"/>
          <w:sz w:val="18"/>
          <w:szCs w:val="18"/>
        </w:rPr>
        <w:t>名激励对象在限制性股票激励计划第三个解锁期解</w:t>
      </w:r>
      <w:r>
        <w:rPr>
          <w:rFonts w:ascii="宋体" w:hAnsi="宋体" w:cs="宋体" w:eastAsia="宋体" w:hint="default"/>
          <w:spacing w:val="-60"/>
          <w:w w:val="101"/>
          <w:sz w:val="18"/>
          <w:szCs w:val="18"/>
        </w:rPr>
        <w:t> </w:t>
      </w:r>
      <w:r>
        <w:rPr>
          <w:rFonts w:ascii="宋体" w:hAnsi="宋体" w:cs="宋体" w:eastAsia="宋体" w:hint="default"/>
          <w:spacing w:val="-60"/>
          <w:w w:val="101"/>
          <w:sz w:val="18"/>
          <w:szCs w:val="18"/>
        </w:rPr>
      </w:r>
      <w:r>
        <w:rPr>
          <w:rFonts w:ascii="宋体" w:hAnsi="宋体" w:cs="宋体" w:eastAsia="宋体" w:hint="default"/>
          <w:spacing w:val="-2"/>
          <w:sz w:val="18"/>
          <w:szCs w:val="18"/>
        </w:rPr>
        <w:t>锁限制性股票</w:t>
      </w:r>
      <w:r>
        <w:rPr>
          <w:rFonts w:ascii="Times New Roman" w:hAnsi="Times New Roman" w:cs="Times New Roman" w:eastAsia="Times New Roman" w:hint="default"/>
          <w:spacing w:val="-2"/>
          <w:sz w:val="18"/>
          <w:szCs w:val="18"/>
        </w:rPr>
        <w:t>6,190,850</w:t>
      </w:r>
      <w:r>
        <w:rPr>
          <w:rFonts w:ascii="宋体" w:hAnsi="宋体" w:cs="宋体" w:eastAsia="宋体" w:hint="default"/>
          <w:spacing w:val="-2"/>
          <w:sz w:val="18"/>
          <w:szCs w:val="18"/>
        </w:rPr>
        <w:t>股。</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日，公司</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年股权激励限制性股票第三个解锁期共计</w:t>
      </w:r>
      <w:r>
        <w:rPr>
          <w:rFonts w:ascii="Times New Roman" w:hAnsi="Times New Roman" w:cs="Times New Roman" w:eastAsia="Times New Roman" w:hint="default"/>
          <w:spacing w:val="-2"/>
          <w:sz w:val="18"/>
          <w:szCs w:val="18"/>
        </w:rPr>
        <w:t>6,190,850</w:t>
      </w:r>
      <w:r>
        <w:rPr>
          <w:rFonts w:ascii="宋体" w:hAnsi="宋体" w:cs="宋体" w:eastAsia="宋体" w:hint="default"/>
          <w:spacing w:val="-2"/>
          <w:sz w:val="18"/>
          <w:szCs w:val="18"/>
        </w:rPr>
        <w:t>股已解除限售。</w:t>
      </w:r>
    </w:p>
    <w:p>
      <w:pPr>
        <w:spacing w:line="240" w:lineRule="auto" w:before="11"/>
        <w:rPr>
          <w:rFonts w:ascii="宋体" w:hAnsi="宋体" w:cs="宋体" w:eastAsia="宋体" w:hint="default"/>
          <w:sz w:val="19"/>
          <w:szCs w:val="19"/>
        </w:rPr>
      </w:pPr>
    </w:p>
    <w:p>
      <w:pPr>
        <w:pStyle w:val="Heading2"/>
        <w:spacing w:line="240" w:lineRule="auto"/>
        <w:ind w:right="0"/>
        <w:jc w:val="both"/>
        <w:rPr>
          <w:b w:val="0"/>
          <w:bCs w:val="0"/>
        </w:rPr>
      </w:pPr>
      <w:bookmarkStart w:name="九、内部控制评价报告" w:id="148"/>
      <w:bookmarkEnd w:id="148"/>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报告期内发现的内部控制重大缺陷的具体情况" w:id="149"/>
      <w:bookmarkEnd w:id="149"/>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both"/>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26"/>
          <w:szCs w:val="26"/>
        </w:rPr>
      </w:pPr>
    </w:p>
    <w:p>
      <w:pPr>
        <w:pStyle w:val="Heading3"/>
        <w:spacing w:line="240" w:lineRule="auto"/>
        <w:ind w:right="0"/>
        <w:jc w:val="both"/>
        <w:rPr>
          <w:b w:val="0"/>
          <w:bCs w:val="0"/>
        </w:rPr>
      </w:pPr>
      <w:bookmarkStart w:name="2、内控自我评价报告" w:id="150"/>
      <w:bookmarkEnd w:id="150"/>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193"/>
        <w:gridCol w:w="3328"/>
        <w:gridCol w:w="3049"/>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内部控制评价报告全文披露日期</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内部控制评价报告全文披露索引</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6" w:right="0"/>
              <w:jc w:val="left"/>
              <w:rPr>
                <w:rFonts w:ascii="Times New Roman" w:hAnsi="Times New Roman" w:cs="Times New Roman" w:eastAsia="Times New Roman" w:hint="default"/>
                <w:sz w:val="18"/>
                <w:szCs w:val="18"/>
              </w:rPr>
            </w:pPr>
            <w:hyperlink r:id="rId12">
              <w:r>
                <w:rPr>
                  <w:rFonts w:ascii="Times New Roman"/>
                  <w:spacing w:val="-3"/>
                  <w:sz w:val="18"/>
                </w:rPr>
                <w:t>http://www.cninfo.com.cn</w:t>
              </w:r>
            </w:hyperlink>
          </w:p>
        </w:tc>
      </w:tr>
      <w:tr>
        <w:trPr>
          <w:trHeight w:val="71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190"/>
              <w:jc w:val="left"/>
              <w:rPr>
                <w:rFonts w:ascii="宋体" w:hAnsi="宋体" w:cs="宋体" w:eastAsia="宋体" w:hint="default"/>
                <w:sz w:val="18"/>
                <w:szCs w:val="18"/>
              </w:rPr>
            </w:pPr>
            <w:r>
              <w:rPr>
                <w:rFonts w:ascii="宋体" w:hAnsi="宋体" w:cs="宋体" w:eastAsia="宋体" w:hint="default"/>
                <w:spacing w:val="-3"/>
                <w:sz w:val="18"/>
                <w:szCs w:val="18"/>
              </w:rPr>
              <w:t>纳入评价范围单位资产总额占公司合</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并财务报表资产总额的比例</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715"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90"/>
              <w:jc w:val="left"/>
              <w:rPr>
                <w:rFonts w:ascii="宋体" w:hAnsi="宋体" w:cs="宋体" w:eastAsia="宋体" w:hint="default"/>
                <w:sz w:val="18"/>
                <w:szCs w:val="18"/>
              </w:rPr>
            </w:pPr>
            <w:r>
              <w:rPr>
                <w:rFonts w:ascii="宋体" w:hAnsi="宋体" w:cs="宋体" w:eastAsia="宋体" w:hint="default"/>
                <w:spacing w:val="-3"/>
                <w:sz w:val="18"/>
                <w:szCs w:val="18"/>
              </w:rPr>
              <w:t>纳入评价范围单位营业收入占公司合</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并财务报表营业收入的比例</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4"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23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106" w:right="9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、财务报告内控重大缺陷是指：</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）控</w:t>
            </w:r>
            <w:r>
              <w:rPr>
                <w:rFonts w:ascii="宋体" w:hAnsi="宋体" w:cs="宋体" w:eastAsia="宋体" w:hint="default"/>
                <w:spacing w:val="-41"/>
                <w:sz w:val="18"/>
                <w:szCs w:val="18"/>
              </w:rPr>
              <w:t> </w:t>
            </w:r>
            <w:r>
              <w:rPr>
                <w:rFonts w:ascii="宋体" w:hAnsi="宋体" w:cs="宋体" w:eastAsia="宋体" w:hint="default"/>
                <w:sz w:val="18"/>
                <w:szCs w:val="18"/>
              </w:rPr>
              <w:t>制 </w:t>
            </w:r>
            <w:r>
              <w:rPr>
                <w:rFonts w:ascii="宋体" w:hAnsi="宋体" w:cs="宋体" w:eastAsia="宋体" w:hint="default"/>
                <w:spacing w:val="-3"/>
                <w:sz w:val="18"/>
                <w:szCs w:val="18"/>
              </w:rPr>
              <w:t>环境无效；</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）公司董事、监事和高</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级管理 </w:t>
            </w:r>
            <w:r>
              <w:rPr>
                <w:rFonts w:ascii="宋体" w:hAnsi="宋体" w:cs="宋体" w:eastAsia="宋体" w:hint="default"/>
                <w:spacing w:val="-3"/>
                <w:sz w:val="18"/>
                <w:szCs w:val="18"/>
              </w:rPr>
              <w:t>人员舞弊并给企业造成重大损</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失和不利影 </w:t>
            </w:r>
            <w:r>
              <w:rPr>
                <w:rFonts w:ascii="宋体" w:hAnsi="宋体" w:cs="宋体" w:eastAsia="宋体" w:hint="default"/>
                <w:spacing w:val="-3"/>
                <w:sz w:val="18"/>
                <w:szCs w:val="18"/>
              </w:rPr>
              <w:t>响；</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）注册会计师发现当</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3"/>
                <w:sz w:val="18"/>
                <w:szCs w:val="18"/>
              </w:rPr>
              <w:t>期财务报告存在</w:t>
            </w:r>
            <w:r>
              <w:rPr>
                <w:rFonts w:ascii="宋体" w:hAnsi="宋体" w:cs="宋体" w:eastAsia="宋体" w:hint="default"/>
                <w:spacing w:val="42"/>
                <w:sz w:val="18"/>
                <w:szCs w:val="18"/>
              </w:rPr>
              <w:t> </w:t>
            </w:r>
            <w:r>
              <w:rPr>
                <w:rFonts w:ascii="宋体" w:hAnsi="宋体" w:cs="宋体" w:eastAsia="宋体" w:hint="default"/>
                <w:spacing w:val="-7"/>
                <w:sz w:val="18"/>
                <w:szCs w:val="18"/>
              </w:rPr>
              <w:t>重大错报，而内部控制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在运行过程中未能 </w:t>
            </w:r>
            <w:r>
              <w:rPr>
                <w:rFonts w:ascii="宋体" w:hAnsi="宋体" w:cs="宋体" w:eastAsia="宋体" w:hint="default"/>
                <w:spacing w:val="-3"/>
                <w:sz w:val="18"/>
                <w:szCs w:val="18"/>
              </w:rPr>
              <w:t>发现该错报；</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）已</w:t>
            </w:r>
            <w:r>
              <w:rPr>
                <w:rFonts w:ascii="宋体" w:hAnsi="宋体" w:cs="宋体" w:eastAsia="宋体" w:hint="default"/>
                <w:spacing w:val="-68"/>
                <w:sz w:val="18"/>
                <w:szCs w:val="18"/>
              </w:rPr>
              <w:t> </w:t>
            </w:r>
            <w:r>
              <w:rPr>
                <w:rFonts w:ascii="宋体" w:hAnsi="宋体" w:cs="宋体" w:eastAsia="宋体" w:hint="default"/>
                <w:sz w:val="18"/>
                <w:szCs w:val="18"/>
              </w:rPr>
              <w:t>经发现并报告给管理层</w:t>
            </w:r>
            <w:r>
              <w:rPr>
                <w:rFonts w:ascii="宋体" w:hAnsi="宋体" w:cs="宋体" w:eastAsia="宋体" w:hint="default"/>
                <w:spacing w:val="4"/>
                <w:sz w:val="18"/>
                <w:szCs w:val="18"/>
              </w:rPr>
              <w:t> </w:t>
            </w:r>
            <w:r>
              <w:rPr>
                <w:rFonts w:ascii="宋体" w:hAnsi="宋体" w:cs="宋体" w:eastAsia="宋体" w:hint="default"/>
                <w:sz w:val="18"/>
                <w:szCs w:val="18"/>
              </w:rPr>
              <w:t>的重大缺陷在</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100" w:right="2"/>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、非财务报告内控重大缺陷是指：</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w:t>
            </w:r>
            <w:r>
              <w:rPr>
                <w:rFonts w:ascii="宋体" w:hAnsi="宋体" w:cs="宋体" w:eastAsia="宋体" w:hint="default"/>
                <w:spacing w:val="-40"/>
                <w:sz w:val="18"/>
                <w:szCs w:val="18"/>
              </w:rPr>
              <w:t> </w:t>
            </w:r>
            <w:r>
              <w:rPr>
                <w:rFonts w:ascii="宋体" w:hAnsi="宋体" w:cs="宋体" w:eastAsia="宋体" w:hint="default"/>
                <w:spacing w:val="-3"/>
                <w:sz w:val="18"/>
                <w:szCs w:val="18"/>
              </w:rPr>
              <w:t>公司存在重大资产被私人占用的行</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w w:val="101"/>
                <w:sz w:val="18"/>
                <w:szCs w:val="18"/>
              </w:rPr>
              <w:t>为；</w:t>
            </w:r>
            <w:r>
              <w:rPr>
                <w:rFonts w:ascii="宋体" w:hAnsi="宋体" w:cs="宋体" w:eastAsia="宋体" w:hint="default"/>
                <w:spacing w:val="-69"/>
                <w:w w:val="101"/>
                <w:sz w:val="18"/>
                <w:szCs w:val="18"/>
              </w:rPr>
              <w:t> </w:t>
            </w:r>
            <w:r>
              <w:rPr>
                <w:rFonts w:ascii="Times New Roman" w:hAnsi="Times New Roman" w:cs="Times New Roman" w:eastAsia="Times New Roman" w:hint="default"/>
                <w:spacing w:val="-7"/>
                <w:w w:val="101"/>
                <w:sz w:val="18"/>
                <w:szCs w:val="18"/>
              </w:rPr>
              <w:t>2</w:t>
            </w:r>
            <w:r>
              <w:rPr>
                <w:rFonts w:ascii="宋体" w:hAnsi="宋体" w:cs="宋体" w:eastAsia="宋体" w:hint="default"/>
                <w:spacing w:val="-7"/>
                <w:w w:val="101"/>
                <w:sz w:val="18"/>
                <w:szCs w:val="18"/>
              </w:rPr>
              <w:t>）公司存在严重违反国家税收、</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法律 </w:t>
            </w:r>
            <w:r>
              <w:rPr>
                <w:rFonts w:ascii="宋体" w:hAnsi="宋体" w:cs="宋体" w:eastAsia="宋体" w:hint="default"/>
                <w:spacing w:val="-6"/>
                <w:sz w:val="18"/>
                <w:szCs w:val="18"/>
              </w:rPr>
              <w:t>法规受到处罚的情况；</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）公司</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存在中 </w:t>
            </w:r>
            <w:r>
              <w:rPr>
                <w:rFonts w:ascii="宋体" w:hAnsi="宋体" w:cs="宋体" w:eastAsia="宋体" w:hint="default"/>
                <w:spacing w:val="-3"/>
                <w:sz w:val="18"/>
                <w:szCs w:val="18"/>
              </w:rPr>
              <w:t>高级管理人员或高级技术人</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员普遍流 </w:t>
            </w:r>
            <w:r>
              <w:rPr>
                <w:rFonts w:ascii="宋体" w:hAnsi="宋体" w:cs="宋体" w:eastAsia="宋体" w:hint="default"/>
                <w:spacing w:val="-6"/>
                <w:sz w:val="18"/>
                <w:szCs w:val="18"/>
              </w:rPr>
              <w:t>失的情况；</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）公司存在内</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部控制重大</w:t>
            </w:r>
            <w:r>
              <w:rPr>
                <w:rFonts w:ascii="宋体" w:hAnsi="宋体" w:cs="宋体" w:eastAsia="宋体" w:hint="default"/>
                <w:spacing w:val="31"/>
                <w:sz w:val="18"/>
                <w:szCs w:val="18"/>
              </w:rPr>
              <w:t> </w:t>
            </w:r>
            <w:r>
              <w:rPr>
                <w:rFonts w:ascii="宋体" w:hAnsi="宋体" w:cs="宋体" w:eastAsia="宋体" w:hint="default"/>
                <w:spacing w:val="-3"/>
                <w:sz w:val="18"/>
                <w:szCs w:val="18"/>
              </w:rPr>
              <w:t>缺陷未得到整改的情</w:t>
            </w:r>
          </w:p>
        </w:tc>
      </w:tr>
    </w:tbl>
    <w:p>
      <w:pPr>
        <w:spacing w:after="0" w:line="304"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193"/>
        <w:gridCol w:w="3328"/>
        <w:gridCol w:w="3049"/>
      </w:tblGrid>
      <w:tr>
        <w:trPr>
          <w:trHeight w:val="4417"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106" w:right="55"/>
              <w:jc w:val="left"/>
              <w:rPr>
                <w:rFonts w:ascii="宋体" w:hAnsi="宋体" w:cs="宋体" w:eastAsia="宋体" w:hint="default"/>
                <w:sz w:val="18"/>
                <w:szCs w:val="18"/>
              </w:rPr>
            </w:pPr>
            <w:r>
              <w:rPr>
                <w:rFonts w:ascii="宋体" w:hAnsi="宋体" w:cs="宋体" w:eastAsia="宋体" w:hint="default"/>
                <w:spacing w:val="-3"/>
                <w:sz w:val="18"/>
                <w:szCs w:val="18"/>
              </w:rPr>
              <w:t>合理的时间内未加以改正； </w:t>
            </w:r>
            <w:r>
              <w:rPr>
                <w:rFonts w:ascii="Times New Roman" w:hAnsi="Times New Roman" w:cs="Times New Roman" w:eastAsia="Times New Roman" w:hint="default"/>
                <w:sz w:val="18"/>
                <w:szCs w:val="18"/>
              </w:rPr>
              <w:t>5</w:t>
            </w:r>
            <w:r>
              <w:rPr>
                <w:rFonts w:ascii="宋体" w:hAnsi="宋体" w:cs="宋体" w:eastAsia="宋体" w:hint="default"/>
                <w:sz w:val="18"/>
                <w:szCs w:val="18"/>
              </w:rPr>
              <w:t>）审计委</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员会和内部审计部对公司的内部 </w:t>
            </w:r>
            <w:r>
              <w:rPr>
                <w:rFonts w:ascii="宋体" w:hAnsi="宋体" w:cs="宋体" w:eastAsia="宋体" w:hint="default"/>
                <w:sz w:val="18"/>
                <w:szCs w:val="18"/>
              </w:rPr>
              <w:t>控制</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10"/>
                <w:w w:val="101"/>
                <w:sz w:val="18"/>
                <w:szCs w:val="18"/>
              </w:rPr>
              <w:t>监督无效。</w:t>
            </w:r>
            <w:r>
              <w:rPr>
                <w:rFonts w:ascii="Times New Roman" w:hAnsi="Times New Roman" w:cs="Times New Roman" w:eastAsia="Times New Roman" w:hint="default"/>
                <w:spacing w:val="-10"/>
                <w:w w:val="101"/>
                <w:sz w:val="18"/>
                <w:szCs w:val="18"/>
              </w:rPr>
              <w:t>2</w:t>
            </w:r>
            <w:r>
              <w:rPr>
                <w:rFonts w:ascii="宋体" w:hAnsi="宋体" w:cs="宋体" w:eastAsia="宋体" w:hint="default"/>
                <w:spacing w:val="-10"/>
                <w:w w:val="101"/>
                <w:sz w:val="18"/>
                <w:szCs w:val="18"/>
              </w:rPr>
              <w:t>、财务报告内控重要缺陷</w:t>
            </w:r>
            <w:r>
              <w:rPr>
                <w:rFonts w:ascii="宋体" w:hAnsi="宋体" w:cs="宋体" w:eastAsia="宋体" w:hint="default"/>
                <w:spacing w:val="-6"/>
                <w:w w:val="101"/>
                <w:sz w:val="18"/>
                <w:szCs w:val="18"/>
              </w:rPr>
              <w:t> </w:t>
            </w:r>
            <w:r>
              <w:rPr>
                <w:rFonts w:ascii="宋体" w:hAnsi="宋体" w:cs="宋体" w:eastAsia="宋体" w:hint="default"/>
                <w:w w:val="101"/>
                <w:sz w:val="18"/>
                <w:szCs w:val="18"/>
              </w:rPr>
              <w:t>是</w:t>
            </w:r>
            <w:r>
              <w:rPr>
                <w:rFonts w:ascii="宋体" w:hAnsi="宋体" w:cs="宋体" w:eastAsia="宋体" w:hint="default"/>
                <w:w w:val="101"/>
                <w:sz w:val="18"/>
                <w:szCs w:val="18"/>
              </w:rPr>
              <w:t> </w:t>
            </w:r>
            <w:r>
              <w:rPr>
                <w:rFonts w:ascii="宋体" w:hAnsi="宋体" w:cs="宋体" w:eastAsia="宋体" w:hint="default"/>
                <w:spacing w:val="-5"/>
                <w:sz w:val="18"/>
                <w:szCs w:val="18"/>
              </w:rPr>
              <w:t>指：</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）未依照公认会计准则选择和应用</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5"/>
                <w:sz w:val="18"/>
                <w:szCs w:val="18"/>
              </w:rPr>
              <w:t>会计政策；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）未建立反舞弊程序和控制</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措 </w:t>
            </w:r>
            <w:r>
              <w:rPr>
                <w:rFonts w:ascii="宋体" w:hAnsi="宋体" w:cs="宋体" w:eastAsia="宋体" w:hint="default"/>
                <w:spacing w:val="-3"/>
                <w:sz w:val="18"/>
                <w:szCs w:val="18"/>
              </w:rPr>
              <w:t>施；</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）财务报告过程中出现单独或</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多项缺 </w:t>
            </w:r>
            <w:r>
              <w:rPr>
                <w:rFonts w:ascii="宋体" w:hAnsi="宋体" w:cs="宋体" w:eastAsia="宋体" w:hint="default"/>
                <w:spacing w:val="-6"/>
                <w:sz w:val="18"/>
                <w:szCs w:val="18"/>
              </w:rPr>
              <w:t>陷，虽然未达到重大缺陷认定标</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8"/>
                <w:sz w:val="18"/>
                <w:szCs w:val="18"/>
              </w:rPr>
              <w:t>准，但影 </w:t>
            </w:r>
            <w:r>
              <w:rPr>
                <w:rFonts w:ascii="宋体" w:hAnsi="宋体" w:cs="宋体" w:eastAsia="宋体" w:hint="default"/>
                <w:spacing w:val="-5"/>
                <w:sz w:val="18"/>
                <w:szCs w:val="18"/>
              </w:rPr>
              <w:t>响到财务报告达到真实、准确</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的目标。</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宋体" w:hAnsi="宋体" w:cs="宋体" w:eastAsia="宋体" w:hint="default"/>
                <w:spacing w:val="-3"/>
                <w:sz w:val="18"/>
                <w:szCs w:val="18"/>
              </w:rPr>
              <w:t>一般缺陷是指除上述重大</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3"/>
                <w:sz w:val="18"/>
                <w:szCs w:val="18"/>
              </w:rPr>
              <w:t>缺陷、重要缺陷</w:t>
            </w:r>
            <w:r>
              <w:rPr>
                <w:rFonts w:ascii="宋体" w:hAnsi="宋体" w:cs="宋体" w:eastAsia="宋体" w:hint="default"/>
                <w:spacing w:val="52"/>
                <w:sz w:val="18"/>
                <w:szCs w:val="18"/>
              </w:rPr>
              <w:t> </w:t>
            </w:r>
            <w:r>
              <w:rPr>
                <w:rFonts w:ascii="宋体" w:hAnsi="宋体" w:cs="宋体" w:eastAsia="宋体" w:hint="default"/>
                <w:spacing w:val="-3"/>
                <w:sz w:val="18"/>
                <w:szCs w:val="18"/>
              </w:rPr>
              <w:t>之外的其他控制缺陷。</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100" w:right="93"/>
              <w:jc w:val="both"/>
              <w:rPr>
                <w:rFonts w:ascii="宋体" w:hAnsi="宋体" w:cs="宋体" w:eastAsia="宋体" w:hint="default"/>
                <w:sz w:val="18"/>
                <w:szCs w:val="18"/>
              </w:rPr>
            </w:pPr>
            <w:r>
              <w:rPr>
                <w:rFonts w:ascii="宋体" w:hAnsi="宋体" w:cs="宋体" w:eastAsia="宋体" w:hint="default"/>
                <w:spacing w:val="-8"/>
                <w:sz w:val="18"/>
                <w:szCs w:val="18"/>
              </w:rPr>
              <w:t>况；</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）公司存在</w:t>
            </w:r>
            <w:r>
              <w:rPr>
                <w:rFonts w:ascii="宋体" w:hAnsi="宋体" w:cs="宋体" w:eastAsia="宋体" w:hint="default"/>
                <w:spacing w:val="19"/>
                <w:sz w:val="18"/>
                <w:szCs w:val="18"/>
              </w:rPr>
              <w:t> </w:t>
            </w:r>
            <w:r>
              <w:rPr>
                <w:rFonts w:ascii="宋体" w:hAnsi="宋体" w:cs="宋体" w:eastAsia="宋体" w:hint="default"/>
                <w:sz w:val="18"/>
                <w:szCs w:val="18"/>
              </w:rPr>
              <w:t>遭受证监会重大处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罚事件或证券交易 </w:t>
            </w:r>
            <w:r>
              <w:rPr>
                <w:rFonts w:ascii="宋体" w:hAnsi="宋体" w:cs="宋体" w:eastAsia="宋体" w:hint="default"/>
                <w:spacing w:val="-3"/>
                <w:sz w:val="18"/>
                <w:szCs w:val="18"/>
              </w:rPr>
              <w:t>所警告的情况；</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）公司出现严重质量、 </w:t>
            </w:r>
            <w:r>
              <w:rPr>
                <w:rFonts w:ascii="宋体" w:hAnsi="宋体" w:cs="宋体" w:eastAsia="宋体" w:hint="default"/>
                <w:sz w:val="18"/>
                <w:szCs w:val="18"/>
              </w:rPr>
              <w:t>环境与职业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6"/>
                <w:sz w:val="18"/>
                <w:szCs w:val="18"/>
              </w:rPr>
              <w:t>健康安全事件。</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、非财务</w:t>
            </w:r>
            <w:r>
              <w:rPr>
                <w:rFonts w:ascii="宋体" w:hAnsi="宋体" w:cs="宋体" w:eastAsia="宋体" w:hint="default"/>
                <w:spacing w:val="25"/>
                <w:sz w:val="18"/>
                <w:szCs w:val="18"/>
              </w:rPr>
              <w:t> </w:t>
            </w:r>
            <w:r>
              <w:rPr>
                <w:rFonts w:ascii="宋体" w:hAnsi="宋体" w:cs="宋体" w:eastAsia="宋体" w:hint="default"/>
                <w:sz w:val="18"/>
                <w:szCs w:val="18"/>
              </w:rPr>
              <w:t>报告内控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重要缺陷是指：</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）公司存在</w:t>
            </w:r>
            <w:r>
              <w:rPr>
                <w:rFonts w:ascii="宋体" w:hAnsi="宋体" w:cs="宋体" w:eastAsia="宋体" w:hint="default"/>
                <w:spacing w:val="31"/>
                <w:sz w:val="18"/>
                <w:szCs w:val="18"/>
              </w:rPr>
              <w:t> </w:t>
            </w:r>
            <w:r>
              <w:rPr>
                <w:rFonts w:ascii="宋体" w:hAnsi="宋体" w:cs="宋体" w:eastAsia="宋体" w:hint="default"/>
                <w:sz w:val="18"/>
                <w:szCs w:val="18"/>
              </w:rPr>
              <w:t>大额资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产运用失效的行为；</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）公司关</w:t>
            </w:r>
            <w:r>
              <w:rPr>
                <w:rFonts w:ascii="宋体" w:hAnsi="宋体" w:cs="宋体" w:eastAsia="宋体" w:hint="default"/>
                <w:spacing w:val="35"/>
                <w:sz w:val="18"/>
                <w:szCs w:val="18"/>
              </w:rPr>
              <w:t> </w:t>
            </w:r>
            <w:r>
              <w:rPr>
                <w:rFonts w:ascii="宋体" w:hAnsi="宋体" w:cs="宋体" w:eastAsia="宋体" w:hint="default"/>
                <w:sz w:val="18"/>
                <w:szCs w:val="18"/>
              </w:rPr>
              <w:t>键经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营业务存在缺乏控制标准或标准 </w:t>
            </w:r>
            <w:r>
              <w:rPr>
                <w:rFonts w:ascii="宋体" w:hAnsi="宋体" w:cs="宋体" w:eastAsia="宋体" w:hint="default"/>
                <w:sz w:val="18"/>
                <w:szCs w:val="18"/>
              </w:rPr>
              <w:t>失</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3"/>
                <w:sz w:val="18"/>
                <w:szCs w:val="18"/>
              </w:rPr>
              <w:t>效的情况；</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）公司存在内部控制重</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要的缺陷未得到整改的情况；</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）公</w:t>
            </w:r>
            <w:r>
              <w:rPr>
                <w:rFonts w:ascii="宋体" w:hAnsi="宋体" w:cs="宋体" w:eastAsia="宋体" w:hint="default"/>
                <w:spacing w:val="-45"/>
                <w:sz w:val="18"/>
                <w:szCs w:val="18"/>
              </w:rPr>
              <w:t> </w:t>
            </w:r>
            <w:r>
              <w:rPr>
                <w:rFonts w:ascii="宋体" w:hAnsi="宋体" w:cs="宋体" w:eastAsia="宋体" w:hint="default"/>
                <w:sz w:val="18"/>
                <w:szCs w:val="18"/>
              </w:rPr>
              <w:t>司 </w:t>
            </w:r>
            <w:r>
              <w:rPr>
                <w:rFonts w:ascii="宋体" w:hAnsi="宋体" w:cs="宋体" w:eastAsia="宋体" w:hint="default"/>
                <w:spacing w:val="-3"/>
                <w:sz w:val="18"/>
                <w:szCs w:val="18"/>
              </w:rPr>
              <w:t>出现重要的质量、环境与职业健</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康安全</w:t>
            </w:r>
            <w:r>
              <w:rPr>
                <w:rFonts w:ascii="宋体" w:hAnsi="宋体" w:cs="宋体" w:eastAsia="宋体" w:hint="default"/>
                <w:spacing w:val="31"/>
                <w:sz w:val="18"/>
                <w:szCs w:val="18"/>
              </w:rPr>
              <w:t> </w:t>
            </w:r>
            <w:r>
              <w:rPr>
                <w:rFonts w:ascii="宋体" w:hAnsi="宋体" w:cs="宋体" w:eastAsia="宋体" w:hint="default"/>
                <w:spacing w:val="-6"/>
                <w:sz w:val="18"/>
                <w:szCs w:val="18"/>
              </w:rPr>
              <w:t>事件；</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）公司管理层存在重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要越权行</w:t>
            </w:r>
            <w:r>
              <w:rPr>
                <w:rFonts w:ascii="宋体" w:hAnsi="宋体" w:cs="宋体" w:eastAsia="宋体" w:hint="default"/>
                <w:spacing w:val="26"/>
                <w:sz w:val="18"/>
                <w:szCs w:val="18"/>
              </w:rPr>
              <w:t> </w:t>
            </w:r>
            <w:r>
              <w:rPr>
                <w:rFonts w:ascii="宋体" w:hAnsi="宋体" w:cs="宋体" w:eastAsia="宋体" w:hint="default"/>
                <w:spacing w:val="-6"/>
                <w:sz w:val="18"/>
                <w:szCs w:val="18"/>
              </w:rPr>
              <w:t>为。</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、一般缺陷的判断标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准是指：除 </w:t>
            </w:r>
            <w:r>
              <w:rPr>
                <w:rFonts w:ascii="宋体" w:hAnsi="宋体" w:cs="宋体" w:eastAsia="宋体" w:hint="default"/>
                <w:spacing w:val="-3"/>
                <w:sz w:val="18"/>
                <w:szCs w:val="18"/>
              </w:rPr>
              <w:t>上述重大、重要缺陷外</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的其他控制缺陷。</w:t>
            </w:r>
          </w:p>
        </w:tc>
      </w:tr>
      <w:tr>
        <w:trPr>
          <w:trHeight w:val="1652"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4"/>
              <w:ind w:left="106" w:right="99"/>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、满足条件之一可评估为财务报告内控</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重</w:t>
            </w:r>
            <w:r>
              <w:rPr>
                <w:rFonts w:ascii="宋体" w:hAnsi="宋体" w:cs="宋体" w:eastAsia="宋体" w:hint="default"/>
                <w:spacing w:val="46"/>
                <w:sz w:val="18"/>
                <w:szCs w:val="18"/>
              </w:rPr>
              <w:t> </w:t>
            </w:r>
            <w:r>
              <w:rPr>
                <w:rFonts w:ascii="宋体" w:hAnsi="宋体" w:cs="宋体" w:eastAsia="宋体" w:hint="default"/>
                <w:spacing w:val="-6"/>
                <w:sz w:val="18"/>
                <w:szCs w:val="18"/>
              </w:rPr>
              <w:t>大缺陷：资产总额形成的潜在错报≥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资产总额</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收入或成本形成的潜在错</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报≥营收总额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、上述标准以下分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属内控重要缺陷及一般缺陷。</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07" w:lineRule="auto"/>
              <w:ind w:left="100" w:right="94"/>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、满足条件之一可评估为非财务报</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5"/>
                <w:sz w:val="18"/>
                <w:szCs w:val="18"/>
              </w:rPr>
              <w:t>告内控重大缺陷：资产总体形成的潜</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在损失≥资产总额</w:t>
            </w:r>
            <w:r>
              <w:rPr>
                <w:rFonts w:ascii="宋体" w:hAnsi="宋体" w:cs="宋体" w:eastAsia="宋体" w:hint="default"/>
                <w:spacing w:val="-34"/>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收入或成本总</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体形成的潜在损失≥营收总额</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p>
        </w:tc>
      </w:tr>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财务报告重大缺陷数量（个）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非财务报告重大缺陷数量（个）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财务报告重要缺陷数量（个）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非财务报告重要缺陷数量（个）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line="240" w:lineRule="auto" w:before="9"/>
        <w:rPr>
          <w:rFonts w:ascii="宋体" w:hAnsi="宋体" w:cs="宋体" w:eastAsia="宋体" w:hint="default"/>
          <w:b/>
          <w:bCs/>
          <w:sz w:val="17"/>
          <w:szCs w:val="17"/>
        </w:rPr>
      </w:pPr>
    </w:p>
    <w:p>
      <w:pPr>
        <w:pStyle w:val="Heading2"/>
        <w:spacing w:line="240" w:lineRule="auto" w:before="26"/>
        <w:ind w:right="1764"/>
        <w:jc w:val="left"/>
        <w:rPr>
          <w:b w:val="0"/>
          <w:bCs w:val="0"/>
        </w:rPr>
      </w:pPr>
      <w:bookmarkStart w:name="十、内部控制审计报告或鉴证报告" w:id="151"/>
      <w:bookmarkEnd w:id="151"/>
      <w:r>
        <w:rPr>
          <w:b w:val="0"/>
          <w:bCs w:val="0"/>
        </w:rPr>
      </w:r>
      <w:r>
        <w:rPr/>
        <w:t>十、内部控制审计报告或鉴证报告</w:t>
      </w:r>
      <w:r>
        <w:rPr>
          <w:b w:val="0"/>
          <w:bCs w:val="0"/>
        </w:rPr>
      </w:r>
    </w:p>
    <w:p>
      <w:pPr>
        <w:spacing w:line="240" w:lineRule="auto" w:before="7"/>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665"/>
        <w:gridCol w:w="6905"/>
      </w:tblGrid>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内部控制鉴证报告中的审议意见段</w:t>
            </w:r>
          </w:p>
        </w:tc>
      </w:tr>
      <w:tr>
        <w:trPr>
          <w:trHeight w:val="711"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4"/>
              <w:ind w:left="105" w:right="176"/>
              <w:jc w:val="left"/>
              <w:rPr>
                <w:rFonts w:ascii="宋体" w:hAnsi="宋体" w:cs="宋体" w:eastAsia="宋体" w:hint="default"/>
                <w:sz w:val="18"/>
                <w:szCs w:val="18"/>
              </w:rPr>
            </w:pPr>
            <w:r>
              <w:rPr>
                <w:rFonts w:ascii="宋体" w:hAnsi="宋体" w:cs="宋体" w:eastAsia="宋体" w:hint="default"/>
                <w:spacing w:val="-3"/>
                <w:sz w:val="18"/>
                <w:szCs w:val="18"/>
              </w:rPr>
              <w:t>我们认为，天源迪科按照《企业内部控制基本规范》和相关规定于</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日在所有重大方面保持了与财务报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表相关的有效的内部控制。</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716"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204"/>
              <w:jc w:val="left"/>
              <w:rPr>
                <w:rFonts w:ascii="宋体" w:hAnsi="宋体" w:cs="宋体" w:eastAsia="宋体" w:hint="default"/>
                <w:sz w:val="18"/>
                <w:szCs w:val="18"/>
              </w:rPr>
            </w:pPr>
            <w:r>
              <w:rPr>
                <w:rFonts w:ascii="宋体" w:hAnsi="宋体" w:cs="宋体" w:eastAsia="宋体" w:hint="default"/>
                <w:spacing w:val="-3"/>
                <w:sz w:val="18"/>
                <w:szCs w:val="18"/>
              </w:rPr>
              <w:t>内部控制鉴证报告全文披露日</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期</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715"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204"/>
              <w:jc w:val="left"/>
              <w:rPr>
                <w:rFonts w:ascii="宋体" w:hAnsi="宋体" w:cs="宋体" w:eastAsia="宋体" w:hint="default"/>
                <w:sz w:val="18"/>
                <w:szCs w:val="18"/>
              </w:rPr>
            </w:pPr>
            <w:r>
              <w:rPr>
                <w:rFonts w:ascii="宋体" w:hAnsi="宋体" w:cs="宋体" w:eastAsia="宋体" w:hint="default"/>
                <w:spacing w:val="-3"/>
                <w:sz w:val="18"/>
                <w:szCs w:val="18"/>
              </w:rPr>
              <w:t>内部控制鉴证报告全文披露索</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引</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398"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标准无保留意见</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非财务报告是否存在重大缺陷</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before="54"/>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会计师事务所是否出具非标准意见的内部控制鉴证报告</w:t>
      </w:r>
    </w:p>
    <w:p>
      <w:pPr>
        <w:spacing w:line="357" w:lineRule="auto" w:before="119"/>
        <w:ind w:left="113" w:right="43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会计师事务所出具的内部控制鉴证报告与董事会的自我评价报告意见是否一致</w:t>
      </w:r>
    </w:p>
    <w:p>
      <w:pPr>
        <w:spacing w:after="0" w:line="357"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2"/>
        <w:rPr>
          <w:rFonts w:ascii="宋体" w:hAnsi="宋体" w:cs="宋体" w:eastAsia="宋体" w:hint="default"/>
          <w:sz w:val="23"/>
          <w:szCs w:val="23"/>
        </w:rPr>
      </w:pPr>
    </w:p>
    <w:p>
      <w:pPr>
        <w:spacing w:before="46"/>
        <w:ind w:left="113" w:right="176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003" w:right="1764"/>
        <w:jc w:val="left"/>
        <w:rPr>
          <w:b w:val="0"/>
          <w:bCs w:val="0"/>
        </w:rPr>
      </w:pPr>
      <w:bookmarkStart w:name="第十一节公司债券相关情况" w:id="152"/>
      <w:bookmarkEnd w:id="152"/>
      <w:r>
        <w:rPr>
          <w:b w:val="0"/>
          <w:bCs w:val="0"/>
        </w:rPr>
      </w:r>
      <w:bookmarkStart w:name="_bookmark9" w:id="153"/>
      <w:bookmarkEnd w:id="153"/>
      <w:r>
        <w:rPr>
          <w:b w:val="0"/>
          <w:bCs w:val="0"/>
        </w:rPr>
      </w:r>
      <w:r>
        <w:rPr/>
        <w:t>第十一节公司债券相关情况</w:t>
      </w:r>
      <w:r>
        <w:rPr>
          <w:b w:val="0"/>
          <w:bCs w:val="0"/>
        </w:rPr>
      </w:r>
    </w:p>
    <w:p>
      <w:pPr>
        <w:spacing w:line="240" w:lineRule="auto" w:before="12"/>
        <w:rPr>
          <w:rFonts w:ascii="宋体" w:hAnsi="宋体" w:cs="宋体" w:eastAsia="宋体" w:hint="default"/>
          <w:b/>
          <w:bCs/>
          <w:sz w:val="42"/>
          <w:szCs w:val="42"/>
        </w:rPr>
      </w:pPr>
    </w:p>
    <w:p>
      <w:pPr>
        <w:spacing w:line="357" w:lineRule="auto" w:before="0"/>
        <w:ind w:left="113" w:right="2115" w:firstLine="0"/>
        <w:jc w:val="left"/>
        <w:rPr>
          <w:rFonts w:ascii="宋体" w:hAnsi="宋体" w:cs="宋体" w:eastAsia="宋体" w:hint="default"/>
          <w:sz w:val="18"/>
          <w:szCs w:val="18"/>
        </w:rPr>
      </w:pPr>
      <w:r>
        <w:rPr>
          <w:rFonts w:ascii="宋体" w:hAnsi="宋体" w:cs="宋体" w:eastAsia="宋体" w:hint="default"/>
          <w:spacing w:val="-3"/>
          <w:sz w:val="18"/>
          <w:szCs w:val="18"/>
        </w:rPr>
        <w:t>公司是否存在公开发行并在证券交易所上市，且在年度报告批准报出日未到期或到期未能全额兑付的公司债券</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否</w:t>
      </w:r>
    </w:p>
    <w:p>
      <w:pPr>
        <w:spacing w:after="0" w:line="357"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right="1832"/>
        <w:jc w:val="center"/>
        <w:rPr>
          <w:b w:val="0"/>
          <w:bCs w:val="0"/>
        </w:rPr>
      </w:pPr>
      <w:bookmarkStart w:name="第十二节财务报告" w:id="154"/>
      <w:bookmarkEnd w:id="154"/>
      <w:r>
        <w:rPr>
          <w:b w:val="0"/>
          <w:bCs w:val="0"/>
        </w:rPr>
      </w:r>
      <w:bookmarkStart w:name="_bookmark10" w:id="155"/>
      <w:bookmarkEnd w:id="155"/>
      <w:r>
        <w:rPr>
          <w:b w:val="0"/>
          <w:bCs w:val="0"/>
        </w:rPr>
      </w:r>
      <w:r>
        <w:rPr/>
        <w:t>第十二节财务报告</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1764"/>
        <w:jc w:val="left"/>
        <w:rPr>
          <w:b w:val="0"/>
          <w:bCs w:val="0"/>
        </w:rPr>
      </w:pPr>
      <w:bookmarkStart w:name="一、审计报告" w:id="156"/>
      <w:bookmarkEnd w:id="156"/>
      <w:r>
        <w:rPr>
          <w:b w:val="0"/>
          <w:bCs w:val="0"/>
        </w:rPr>
      </w:r>
      <w:r>
        <w:rPr/>
        <w:t>一、审计报告</w:t>
      </w:r>
      <w:r>
        <w:rPr>
          <w:b w:val="0"/>
          <w:bCs w:val="0"/>
        </w:rPr>
      </w:r>
    </w:p>
    <w:p>
      <w:pPr>
        <w:spacing w:line="240" w:lineRule="auto" w:before="5"/>
        <w:rPr>
          <w:rFonts w:ascii="宋体" w:hAnsi="宋体" w:cs="宋体" w:eastAsia="宋体" w:hint="default"/>
          <w:b/>
          <w:bCs/>
          <w:sz w:val="26"/>
          <w:szCs w:val="26"/>
        </w:rPr>
      </w:pP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大华会计师事务所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特殊普通合伙</w:t>
            </w:r>
            <w:r>
              <w:rPr>
                <w:rFonts w:ascii="Times New Roman" w:hAnsi="Times New Roman" w:cs="Times New Roman" w:eastAsia="Times New Roman" w:hint="default"/>
                <w:spacing w:val="-3"/>
                <w:sz w:val="18"/>
                <w:szCs w:val="18"/>
              </w:rPr>
              <w:t>)</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[2020]006683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陈勇、吕红涛</w:t>
            </w:r>
          </w:p>
        </w:tc>
      </w:tr>
    </w:tbl>
    <w:p>
      <w:pPr>
        <w:spacing w:before="53"/>
        <w:ind w:left="818" w:right="1831"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before="158"/>
        <w:ind w:left="818" w:right="1832" w:firstLine="0"/>
        <w:jc w:val="center"/>
        <w:rPr>
          <w:rFonts w:ascii="宋体" w:hAnsi="宋体" w:cs="宋体" w:eastAsia="宋体" w:hint="default"/>
          <w:sz w:val="32"/>
          <w:szCs w:val="32"/>
        </w:rPr>
      </w:pPr>
      <w:r>
        <w:rPr>
          <w:rFonts w:ascii="宋体" w:hAnsi="宋体" w:cs="宋体" w:eastAsia="宋体" w:hint="default"/>
          <w:b/>
          <w:bCs/>
          <w:sz w:val="32"/>
          <w:szCs w:val="32"/>
        </w:rPr>
        <w:t>审计报告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5"/>
          <w:szCs w:val="15"/>
        </w:rPr>
      </w:pPr>
    </w:p>
    <w:p>
      <w:pPr>
        <w:pStyle w:val="Heading3"/>
        <w:spacing w:line="240" w:lineRule="auto" w:before="36"/>
        <w:ind w:left="0" w:right="1127"/>
        <w:jc w:val="right"/>
        <w:rPr>
          <w:b w:val="0"/>
          <w:bCs w:val="0"/>
        </w:rPr>
      </w:pPr>
      <w:r>
        <w:rPr>
          <w:w w:val="95"/>
        </w:rPr>
        <w:t>大华审字</w:t>
      </w:r>
      <w:r>
        <w:rPr>
          <w:rFonts w:ascii="宋体" w:hAnsi="宋体" w:cs="宋体" w:eastAsia="宋体" w:hint="default"/>
          <w:w w:val="95"/>
        </w:rPr>
        <w:t>[2020]006683</w:t>
      </w:r>
      <w:r>
        <w:rPr>
          <w:w w:val="95"/>
        </w:rPr>
        <w:t>号</w:t>
      </w:r>
      <w:r>
        <w:rPr>
          <w:b w:val="0"/>
          <w:bCs w:val="0"/>
          <w:w w:val="95"/>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spacing w:line="273" w:lineRule="auto" w:before="138"/>
        <w:ind w:right="6323"/>
        <w:jc w:val="left"/>
        <w:rPr>
          <w:b w:val="0"/>
          <w:bCs w:val="0"/>
        </w:rPr>
      </w:pPr>
      <w:r>
        <w:rPr/>
        <w:t>深圳天源迪科信息技术股份有限公司全体股东：</w:t>
      </w:r>
      <w:r>
        <w:rPr>
          <w:spacing w:val="-103"/>
        </w:rPr>
        <w:t> </w:t>
      </w:r>
      <w:r>
        <w:rPr>
          <w:spacing w:val="-103"/>
        </w:rPr>
      </w:r>
      <w:r>
        <w:rPr/>
        <w:t>一、审计意见</w:t>
      </w:r>
      <w:r>
        <w:rPr>
          <w:b w:val="0"/>
          <w:bCs w:val="0"/>
        </w:rPr>
      </w:r>
    </w:p>
    <w:p>
      <w:pPr>
        <w:pStyle w:val="BodyText"/>
        <w:spacing w:line="273" w:lineRule="auto"/>
        <w:ind w:right="1124" w:firstLine="561"/>
        <w:jc w:val="both"/>
      </w:pPr>
      <w:r>
        <w:rPr>
          <w:spacing w:val="-1"/>
        </w:rPr>
        <w:t>我们审计了深圳天源迪科信息技术股份有限公司</w:t>
      </w:r>
      <w:r>
        <w:rPr>
          <w:rFonts w:ascii="宋体" w:hAnsi="宋体" w:cs="宋体" w:eastAsia="宋体" w:hint="default"/>
          <w:spacing w:val="-1"/>
        </w:rPr>
        <w:t>(</w:t>
      </w:r>
      <w:r>
        <w:rPr>
          <w:spacing w:val="-1"/>
        </w:rPr>
        <w:t>以下简称天源迪科</w:t>
      </w:r>
      <w:r>
        <w:rPr>
          <w:rFonts w:ascii="宋体" w:hAnsi="宋体" w:cs="宋体" w:eastAsia="宋体" w:hint="default"/>
          <w:spacing w:val="-1"/>
        </w:rPr>
        <w:t>)</w:t>
      </w:r>
      <w:r>
        <w:rPr>
          <w:spacing w:val="-1"/>
        </w:rPr>
        <w:t>财务报表，包括</w:t>
      </w:r>
      <w:r>
        <w:rPr>
          <w:rFonts w:ascii="宋体" w:hAnsi="宋体" w:cs="宋体" w:eastAsia="宋体" w:hint="default"/>
          <w:spacing w:val="-1"/>
        </w:rPr>
        <w:t>2019</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rFonts w:ascii="宋体" w:hAnsi="宋体" w:cs="宋体" w:eastAsia="宋体" w:hint="default"/>
          <w:w w:val="100"/>
        </w:rPr>
        <w:t> </w:t>
      </w:r>
      <w:r>
        <w:rPr>
          <w:spacing w:val="-2"/>
        </w:rPr>
        <w:t>日的合并及母公司资产负债表，</w:t>
      </w:r>
      <w:r>
        <w:rPr>
          <w:rFonts w:ascii="宋体" w:hAnsi="宋体" w:cs="宋体" w:eastAsia="宋体" w:hint="default"/>
          <w:spacing w:val="-2"/>
        </w:rPr>
        <w:t>2019</w:t>
      </w:r>
      <w:r>
        <w:rPr>
          <w:spacing w:val="-2"/>
        </w:rPr>
        <w:t>年度的合并及母公司利润表、合并及母公司现金流量表、合并及母公</w:t>
      </w:r>
      <w:r>
        <w:rPr>
          <w:spacing w:val="-28"/>
        </w:rPr>
        <w:t> </w:t>
      </w:r>
      <w:r>
        <w:rPr>
          <w:spacing w:val="-28"/>
        </w:rPr>
      </w:r>
      <w:r>
        <w:rPr/>
        <w:t>司股东权益变动表以及相关财务报表附注。</w:t>
      </w:r>
    </w:p>
    <w:p>
      <w:pPr>
        <w:pStyle w:val="BodyText"/>
        <w:spacing w:line="273" w:lineRule="auto"/>
        <w:ind w:right="1007" w:firstLine="561"/>
        <w:jc w:val="left"/>
        <w:rPr>
          <w:rFonts w:ascii="宋体" w:hAnsi="宋体" w:cs="宋体" w:eastAsia="宋体" w:hint="default"/>
        </w:rPr>
      </w:pPr>
      <w:r>
        <w:rPr>
          <w:spacing w:val="-5"/>
          <w:w w:val="100"/>
        </w:rPr>
        <w:t>我们认为，后附的财务报表在所有重大方面按照企业会计准则的规定编制，公允反映了天源迪科</w:t>
      </w:r>
      <w:r>
        <w:rPr>
          <w:rFonts w:ascii="宋体" w:hAnsi="宋体" w:cs="宋体" w:eastAsia="宋体" w:hint="default"/>
          <w:spacing w:val="-5"/>
          <w:w w:val="100"/>
        </w:rPr>
        <w:t>2019</w:t>
      </w:r>
      <w:r>
        <w:rPr>
          <w:rFonts w:ascii="宋体" w:hAnsi="宋体" w:cs="宋体" w:eastAsia="宋体" w:hint="default"/>
          <w:w w:val="100"/>
        </w:rPr>
        <w:t> </w:t>
      </w:r>
      <w:r>
        <w:rPr/>
        <w:t>年</w:t>
      </w:r>
      <w:r>
        <w:rPr>
          <w:rFonts w:ascii="宋体" w:hAnsi="宋体" w:cs="宋体" w:eastAsia="宋体" w:hint="default"/>
        </w:rPr>
        <w:t>12</w:t>
      </w:r>
      <w:r>
        <w:rPr/>
        <w:t>月</w:t>
      </w:r>
      <w:r>
        <w:rPr>
          <w:rFonts w:ascii="宋体" w:hAnsi="宋体" w:cs="宋体" w:eastAsia="宋体" w:hint="default"/>
        </w:rPr>
        <w:t>31</w:t>
      </w:r>
      <w:r>
        <w:rPr/>
        <w:t>日的合并及母公司财务状况以及</w:t>
      </w:r>
      <w:r>
        <w:rPr>
          <w:rFonts w:ascii="宋体" w:hAnsi="宋体" w:cs="宋体" w:eastAsia="宋体" w:hint="default"/>
        </w:rPr>
        <w:t>2019</w:t>
      </w:r>
      <w:r>
        <w:rPr/>
        <w:t>年度的合并及母公司经营成果和现金流量。</w:t>
      </w:r>
      <w:r>
        <w:rPr>
          <w:spacing w:val="-103"/>
        </w:rPr>
        <w:t> </w:t>
      </w:r>
      <w:r>
        <w:rPr>
          <w:spacing w:val="-103"/>
        </w:rPr>
      </w:r>
      <w:r>
        <w:rPr>
          <w:rFonts w:ascii="宋体" w:hAnsi="宋体" w:cs="宋体" w:eastAsia="宋体" w:hint="default"/>
          <w:b/>
          <w:bCs/>
        </w:rPr>
        <w:t>二、形成审计意见的基础</w:t>
      </w:r>
      <w:r>
        <w:rPr>
          <w:rFonts w:ascii="宋体" w:hAnsi="宋体" w:cs="宋体" w:eastAsia="宋体" w:hint="default"/>
        </w:rPr>
      </w:r>
    </w:p>
    <w:p>
      <w:pPr>
        <w:pStyle w:val="BodyText"/>
        <w:spacing w:line="273" w:lineRule="auto"/>
        <w:ind w:right="1125" w:firstLine="561"/>
        <w:jc w:val="both"/>
      </w:pPr>
      <w:r>
        <w:rPr>
          <w:spacing w:val="-2"/>
        </w:rPr>
        <w:t>我们按照中国注册会计师审计准则的规定执行了审计工作。审计报告的“注册会计师对财务报表审</w:t>
      </w:r>
      <w:r>
        <w:rPr>
          <w:w w:val="100"/>
        </w:rPr>
        <w:t> </w:t>
      </w:r>
      <w:r>
        <w:rPr>
          <w:spacing w:val="-2"/>
        </w:rPr>
        <w:t>计的责任”部分进一步阐述了我们在这些准则下的责任。按照中国注册会计师职业道德守则，我们独立于</w:t>
      </w:r>
      <w:r>
        <w:rPr>
          <w:spacing w:val="-33"/>
        </w:rPr>
        <w:t> </w:t>
      </w:r>
      <w:r>
        <w:rPr>
          <w:spacing w:val="-33"/>
        </w:rPr>
      </w:r>
      <w:r>
        <w:rPr>
          <w:spacing w:val="-2"/>
        </w:rPr>
        <w:t>天源迪科，并履行了职业道德方面的其他责任。我们相信，我们获取的审计证据是充分、适当的，为发表</w:t>
      </w:r>
      <w:r>
        <w:rPr>
          <w:spacing w:val="-38"/>
        </w:rPr>
        <w:t> </w:t>
      </w:r>
      <w:r>
        <w:rPr>
          <w:spacing w:val="-38"/>
        </w:rPr>
      </w:r>
      <w:r>
        <w:rPr/>
        <w:t>审计意见提供了基础。</w:t>
      </w:r>
    </w:p>
    <w:p>
      <w:pPr>
        <w:pStyle w:val="Heading3"/>
        <w:spacing w:line="240" w:lineRule="auto" w:before="7"/>
        <w:ind w:right="1764"/>
        <w:jc w:val="left"/>
        <w:rPr>
          <w:b w:val="0"/>
          <w:bCs w:val="0"/>
        </w:rPr>
      </w:pPr>
      <w:r>
        <w:rPr/>
        <w:t>三、关键审计事项</w:t>
      </w:r>
      <w:r>
        <w:rPr>
          <w:b w:val="0"/>
          <w:bCs w:val="0"/>
        </w:rPr>
      </w:r>
    </w:p>
    <w:p>
      <w:pPr>
        <w:pStyle w:val="BodyText"/>
        <w:spacing w:line="273" w:lineRule="auto" w:before="37"/>
        <w:ind w:right="1174" w:firstLine="561"/>
        <w:jc w:val="both"/>
      </w:pPr>
      <w:r>
        <w:rPr>
          <w:spacing w:val="-2"/>
        </w:rPr>
        <w:t>关键审计事项是我们根据职业判断，认为对本期财务报表审计最为重要的事项。这些事项的应对以</w:t>
      </w:r>
      <w:r>
        <w:rPr>
          <w:w w:val="100"/>
        </w:rPr>
        <w:t> </w:t>
      </w:r>
      <w:r>
        <w:rPr/>
        <w:t>对财务报表整体进行审计并形成审计意见为背景，我们不对这些事项单独发表意见。</w:t>
      </w:r>
    </w:p>
    <w:p>
      <w:pPr>
        <w:pStyle w:val="BodyText"/>
        <w:spacing w:line="240" w:lineRule="auto"/>
        <w:ind w:left="674" w:right="1764"/>
        <w:jc w:val="left"/>
      </w:pPr>
      <w:r>
        <w:rPr/>
        <w:t>我们确定下列事项是需要在审计报告中沟通的关键审计事项。</w:t>
      </w:r>
    </w:p>
    <w:p>
      <w:pPr>
        <w:pStyle w:val="BodyText"/>
        <w:spacing w:line="273" w:lineRule="auto" w:before="37"/>
        <w:ind w:right="8661"/>
        <w:jc w:val="left"/>
      </w:pPr>
      <w:r>
        <w:rPr>
          <w:spacing w:val="-1"/>
        </w:rPr>
        <w:t>（一）营业收入的确认</w:t>
      </w:r>
      <w:r>
        <w:rPr>
          <w:spacing w:val="-93"/>
        </w:rPr>
        <w:t> </w:t>
      </w:r>
      <w:r>
        <w:rPr>
          <w:spacing w:val="-93"/>
        </w:rPr>
      </w:r>
      <w:r>
        <w:rPr>
          <w:rFonts w:ascii="宋体" w:hAnsi="宋体" w:cs="宋体" w:eastAsia="宋体" w:hint="default"/>
        </w:rPr>
        <w:t>1.</w:t>
      </w:r>
      <w:r>
        <w:rPr/>
        <w:t>事项描述</w:t>
      </w:r>
    </w:p>
    <w:p>
      <w:pPr>
        <w:pStyle w:val="BodyText"/>
        <w:spacing w:line="273" w:lineRule="auto"/>
        <w:ind w:right="1174" w:firstLine="561"/>
        <w:jc w:val="both"/>
      </w:pPr>
      <w:r>
        <w:rPr>
          <w:spacing w:val="-2"/>
        </w:rPr>
        <w:t>收入确认的会计政策详情及收入的分析请参阅合并财务报表附注“四、重要会计政策、会计估计”</w:t>
      </w:r>
      <w:r>
        <w:rPr>
          <w:w w:val="100"/>
        </w:rPr>
        <w:t> </w:t>
      </w:r>
      <w:r>
        <w:rPr/>
        <w:t>注释（二十八）所述的会计政策及“六、合并财务报表主要项目注释”注释</w:t>
      </w:r>
      <w:r>
        <w:rPr>
          <w:rFonts w:ascii="宋体" w:hAnsi="宋体" w:cs="宋体" w:eastAsia="宋体" w:hint="default"/>
        </w:rPr>
        <w:t>36</w:t>
      </w:r>
      <w:r>
        <w:rPr/>
        <w:t>。</w:t>
      </w:r>
    </w:p>
    <w:p>
      <w:pPr>
        <w:pStyle w:val="BodyText"/>
        <w:spacing w:line="273" w:lineRule="auto" w:before="8"/>
        <w:ind w:right="1170" w:firstLine="561"/>
        <w:jc w:val="both"/>
      </w:pPr>
      <w:r>
        <w:rPr>
          <w:spacing w:val="-1"/>
        </w:rPr>
        <w:t>于</w:t>
      </w:r>
      <w:r>
        <w:rPr>
          <w:rFonts w:ascii="宋体" w:hAnsi="宋体" w:cs="宋体" w:eastAsia="宋体" w:hint="default"/>
          <w:spacing w:val="-1"/>
        </w:rPr>
        <w:t>2019</w:t>
      </w:r>
      <w:r>
        <w:rPr>
          <w:spacing w:val="-1"/>
        </w:rPr>
        <w:t>年度，天源迪科合并营业收入金额</w:t>
      </w:r>
      <w:r>
        <w:rPr>
          <w:rFonts w:ascii="宋体" w:hAnsi="宋体" w:cs="宋体" w:eastAsia="宋体" w:hint="default"/>
          <w:spacing w:val="-1"/>
        </w:rPr>
        <w:t>4,470,792,753.32</w:t>
      </w:r>
      <w:r>
        <w:rPr>
          <w:spacing w:val="-1"/>
        </w:rPr>
        <w:t>元，营业收入较上期增长</w:t>
      </w:r>
      <w:r>
        <w:rPr>
          <w:rFonts w:ascii="宋体" w:hAnsi="宋体" w:cs="宋体" w:eastAsia="宋体" w:hint="default"/>
          <w:spacing w:val="-1"/>
        </w:rPr>
        <w:t>18.69%</w:t>
      </w:r>
      <w:r>
        <w:rPr>
          <w:spacing w:val="-1"/>
        </w:rPr>
        <w:t>，营业</w:t>
      </w:r>
      <w:r>
        <w:rPr>
          <w:w w:val="100"/>
        </w:rPr>
        <w:t> </w:t>
      </w:r>
      <w:r>
        <w:rPr/>
        <w:t>利润却较上期下降</w:t>
      </w:r>
      <w:r>
        <w:rPr>
          <w:rFonts w:ascii="宋体" w:hAnsi="宋体" w:cs="宋体" w:eastAsia="宋体" w:hint="default"/>
        </w:rPr>
        <w:t>34.33%</w:t>
      </w:r>
      <w:r>
        <w:rPr/>
        <w:t>，较为异常。</w:t>
      </w:r>
    </w:p>
    <w:p>
      <w:pPr>
        <w:pStyle w:val="BodyText"/>
        <w:spacing w:line="240" w:lineRule="auto"/>
        <w:ind w:left="674" w:right="1007"/>
        <w:jc w:val="left"/>
      </w:pPr>
      <w:r>
        <w:rPr/>
        <w:t>由于营业收入是公司关键业绩指标之一，且存在可能操纵收入确认时点以达到特定目标或预期的固</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73" w:lineRule="auto" w:before="36"/>
        <w:ind w:right="4333"/>
        <w:jc w:val="left"/>
      </w:pPr>
      <w:r>
        <w:rPr>
          <w:spacing w:val="-2"/>
        </w:rPr>
        <w:t>有风险，因此，我们将营业收入确认识别为关键审计事项。</w:t>
      </w:r>
      <w:r>
        <w:rPr>
          <w:spacing w:val="-52"/>
        </w:rPr>
        <w:t> </w:t>
      </w:r>
      <w:r>
        <w:rPr>
          <w:spacing w:val="-52"/>
        </w:rPr>
      </w:r>
      <w:r>
        <w:rPr>
          <w:rFonts w:ascii="宋体" w:hAnsi="宋体" w:cs="宋体" w:eastAsia="宋体" w:hint="default"/>
        </w:rPr>
        <w:t>2.</w:t>
      </w:r>
      <w:r>
        <w:rPr/>
        <w:t>审计应对</w:t>
      </w:r>
    </w:p>
    <w:p>
      <w:pPr>
        <w:pStyle w:val="BodyText"/>
        <w:spacing w:line="240" w:lineRule="auto"/>
        <w:ind w:left="679" w:right="1764"/>
        <w:jc w:val="left"/>
      </w:pPr>
      <w:r>
        <w:rPr/>
        <w:t>我们对于营业收入的确认所实施的重要审计程序包括：</w:t>
      </w:r>
    </w:p>
    <w:p>
      <w:pPr>
        <w:pStyle w:val="BodyText"/>
        <w:spacing w:line="240" w:lineRule="auto" w:before="37"/>
        <w:ind w:right="1764"/>
        <w:jc w:val="left"/>
      </w:pPr>
      <w:r>
        <w:rPr/>
        <w:t>（</w:t>
      </w:r>
      <w:r>
        <w:rPr>
          <w:rFonts w:ascii="宋体" w:hAnsi="宋体" w:cs="宋体" w:eastAsia="宋体" w:hint="default"/>
        </w:rPr>
        <w:t>1</w:t>
      </w:r>
      <w:r>
        <w:rPr/>
        <w:t>）评价与收入确认相关的关键内部控制的设计和运行有效性；</w:t>
      </w:r>
    </w:p>
    <w:p>
      <w:pPr>
        <w:pStyle w:val="BodyText"/>
        <w:spacing w:line="273" w:lineRule="auto" w:before="37"/>
        <w:ind w:right="1007"/>
        <w:jc w:val="left"/>
      </w:pPr>
      <w:r>
        <w:rPr>
          <w:spacing w:val="-2"/>
        </w:rPr>
        <w:t>（</w:t>
      </w:r>
      <w:r>
        <w:rPr>
          <w:rFonts w:ascii="宋体" w:hAnsi="宋体" w:cs="宋体" w:eastAsia="宋体" w:hint="default"/>
          <w:spacing w:val="-2"/>
        </w:rPr>
        <w:t>2</w:t>
      </w:r>
      <w:r>
        <w:rPr>
          <w:spacing w:val="-2"/>
        </w:rPr>
        <w:t>）选取样本检查销售合同，识别与商品所有权上的风险和报酬转移相关的合同条款与条件，评价收入</w:t>
      </w:r>
      <w:r>
        <w:rPr>
          <w:spacing w:val="-14"/>
        </w:rPr>
        <w:t> </w:t>
      </w:r>
      <w:r>
        <w:rPr>
          <w:spacing w:val="-14"/>
        </w:rPr>
      </w:r>
      <w:r>
        <w:rPr/>
        <w:t>确认时点是否符合企业会计准则的要求；</w:t>
      </w:r>
    </w:p>
    <w:p>
      <w:pPr>
        <w:pStyle w:val="BodyText"/>
        <w:spacing w:line="240" w:lineRule="auto"/>
        <w:ind w:right="1764"/>
        <w:jc w:val="left"/>
      </w:pPr>
      <w:r>
        <w:rPr/>
        <w:t>（</w:t>
      </w:r>
      <w:r>
        <w:rPr>
          <w:rFonts w:ascii="宋体" w:hAnsi="宋体" w:cs="宋体" w:eastAsia="宋体" w:hint="default"/>
        </w:rPr>
        <w:t>3</w:t>
      </w:r>
      <w:r>
        <w:rPr/>
        <w:t>）结合产品类型对收入以及毛利情况执行分析，判断本期收入金额是否出现异常波动的情况；</w:t>
      </w:r>
    </w:p>
    <w:p>
      <w:pPr>
        <w:pStyle w:val="BodyText"/>
        <w:spacing w:line="273" w:lineRule="auto" w:before="37"/>
        <w:ind w:right="1007"/>
        <w:jc w:val="left"/>
      </w:pPr>
      <w:r>
        <w:rPr>
          <w:spacing w:val="-2"/>
        </w:rPr>
        <w:t>（</w:t>
      </w:r>
      <w:r>
        <w:rPr>
          <w:rFonts w:ascii="宋体" w:hAnsi="宋体" w:cs="宋体" w:eastAsia="宋体" w:hint="default"/>
          <w:spacing w:val="-2"/>
        </w:rPr>
        <w:t>4</w:t>
      </w:r>
      <w:r>
        <w:rPr>
          <w:spacing w:val="-2"/>
        </w:rPr>
        <w:t>）对本年记录的收入交易选取样本，核对发票、销售合同及验收单、结算单，评价相关收入确认是否</w:t>
      </w:r>
      <w:r>
        <w:rPr>
          <w:spacing w:val="-14"/>
        </w:rPr>
        <w:t> </w:t>
      </w:r>
      <w:r>
        <w:rPr>
          <w:spacing w:val="-14"/>
        </w:rPr>
      </w:r>
      <w:r>
        <w:rPr/>
        <w:t>符合公司收入确认的会计政策；</w:t>
      </w:r>
    </w:p>
    <w:p>
      <w:pPr>
        <w:pStyle w:val="BodyText"/>
        <w:spacing w:line="273" w:lineRule="auto" w:before="8"/>
        <w:ind w:right="1007"/>
        <w:jc w:val="left"/>
      </w:pPr>
      <w:r>
        <w:rPr>
          <w:spacing w:val="-2"/>
        </w:rPr>
        <w:t>（</w:t>
      </w:r>
      <w:r>
        <w:rPr>
          <w:rFonts w:ascii="宋体" w:hAnsi="宋体" w:cs="宋体" w:eastAsia="宋体" w:hint="default"/>
          <w:spacing w:val="-2"/>
        </w:rPr>
        <w:t>5</w:t>
      </w:r>
      <w:r>
        <w:rPr>
          <w:spacing w:val="-2"/>
        </w:rPr>
        <w:t>）就资产负债表日前后记录的收入交易，选取样本，核对出库单及其他支持性文档，以评价收入是否</w:t>
      </w:r>
      <w:r>
        <w:rPr>
          <w:spacing w:val="-13"/>
        </w:rPr>
        <w:t> </w:t>
      </w:r>
      <w:r>
        <w:rPr>
          <w:spacing w:val="-13"/>
        </w:rPr>
      </w:r>
      <w:r>
        <w:rPr/>
        <w:t>被记录于恰当的会计期间；</w:t>
      </w:r>
    </w:p>
    <w:p>
      <w:pPr>
        <w:pStyle w:val="BodyText"/>
        <w:spacing w:line="240" w:lineRule="auto"/>
        <w:ind w:right="1764"/>
        <w:jc w:val="left"/>
      </w:pPr>
      <w:r>
        <w:rPr/>
        <w:t>（</w:t>
      </w:r>
      <w:r>
        <w:rPr>
          <w:rFonts w:ascii="宋体" w:hAnsi="宋体" w:cs="宋体" w:eastAsia="宋体" w:hint="default"/>
        </w:rPr>
        <w:t>6</w:t>
      </w:r>
      <w:r>
        <w:rPr/>
        <w:t>）对于技术服务收入，检查相关技术服务合同，测算已提供劳务收入，并与账面核对；</w:t>
      </w:r>
    </w:p>
    <w:p>
      <w:pPr>
        <w:pStyle w:val="BodyText"/>
        <w:spacing w:line="273" w:lineRule="auto" w:before="37"/>
        <w:ind w:left="679" w:right="1764" w:hanging="567"/>
        <w:jc w:val="left"/>
      </w:pPr>
      <w:r>
        <w:rPr/>
        <w:t>（</w:t>
      </w:r>
      <w:r>
        <w:rPr>
          <w:rFonts w:ascii="宋体" w:hAnsi="宋体" w:cs="宋体" w:eastAsia="宋体" w:hint="default"/>
        </w:rPr>
        <w:t>7</w:t>
      </w:r>
      <w:r>
        <w:rPr/>
        <w:t>）执行函证程序和替代测试。</w:t>
      </w:r>
      <w:r>
        <w:rPr>
          <w:spacing w:val="-103"/>
        </w:rPr>
        <w:t> </w:t>
      </w:r>
      <w:r>
        <w:rPr>
          <w:spacing w:val="-103"/>
        </w:rPr>
      </w:r>
      <w:r>
        <w:rPr>
          <w:spacing w:val="-2"/>
        </w:rPr>
        <w:t>基于已执行的审计工作，我们认为，天源迪科本年度的营业收入可以确认。</w:t>
      </w:r>
    </w:p>
    <w:p>
      <w:pPr>
        <w:pStyle w:val="BodyText"/>
        <w:spacing w:line="273" w:lineRule="auto" w:before="8"/>
        <w:ind w:right="8861"/>
        <w:jc w:val="left"/>
      </w:pPr>
      <w:r>
        <w:rPr/>
        <w:t>（二）商誉减值事项</w:t>
      </w:r>
      <w:r>
        <w:rPr>
          <w:spacing w:val="-100"/>
        </w:rPr>
        <w:t> </w:t>
      </w:r>
      <w:r>
        <w:rPr>
          <w:spacing w:val="-100"/>
        </w:rPr>
      </w:r>
      <w:r>
        <w:rPr>
          <w:rFonts w:ascii="宋体" w:hAnsi="宋体" w:cs="宋体" w:eastAsia="宋体" w:hint="default"/>
        </w:rPr>
        <w:t>1.</w:t>
      </w:r>
      <w:r>
        <w:rPr/>
        <w:t>事项描述</w:t>
      </w:r>
    </w:p>
    <w:p>
      <w:pPr>
        <w:pStyle w:val="BodyText"/>
        <w:spacing w:line="273" w:lineRule="auto"/>
        <w:ind w:right="1007" w:firstLine="561"/>
        <w:jc w:val="left"/>
      </w:pPr>
      <w:r>
        <w:rPr>
          <w:spacing w:val="-3"/>
        </w:rPr>
        <w:t>商誉减值的会计政策详情请参阅合并财务报表附注“四、重要会计政策、会计估计”注释（二十三）</w:t>
      </w:r>
      <w:r>
        <w:rPr>
          <w:w w:val="100"/>
        </w:rPr>
        <w:t> </w:t>
      </w:r>
      <w:r>
        <w:rPr/>
        <w:t>所述的会计政策及“五、合并财务报表主要项目注释”注释</w:t>
      </w:r>
      <w:r>
        <w:rPr>
          <w:rFonts w:ascii="宋体" w:hAnsi="宋体" w:cs="宋体" w:eastAsia="宋体" w:hint="default"/>
        </w:rPr>
        <w:t>18</w:t>
      </w:r>
      <w:r>
        <w:rPr/>
        <w:t>。</w:t>
      </w:r>
    </w:p>
    <w:p>
      <w:pPr>
        <w:pStyle w:val="BodyText"/>
        <w:spacing w:line="273" w:lineRule="auto"/>
        <w:ind w:left="674" w:right="1007"/>
        <w:jc w:val="left"/>
      </w:pPr>
      <w:r>
        <w:rPr/>
        <w:t>于</w:t>
      </w:r>
      <w:r>
        <w:rPr>
          <w:rFonts w:ascii="宋体" w:hAnsi="宋体" w:cs="宋体" w:eastAsia="宋体" w:hint="default"/>
        </w:rPr>
        <w:t>2019</w:t>
      </w:r>
      <w:r>
        <w:rPr/>
        <w:t>年度，天源迪科商誉金额</w:t>
      </w:r>
      <w:r>
        <w:rPr>
          <w:rFonts w:ascii="宋体" w:hAnsi="宋体" w:cs="宋体" w:eastAsia="宋体" w:hint="default"/>
        </w:rPr>
        <w:t>655,019,931.15</w:t>
      </w:r>
      <w:r>
        <w:rPr/>
        <w:t>元，商誉减值准备金额</w:t>
      </w:r>
      <w:r>
        <w:rPr>
          <w:rFonts w:ascii="宋体" w:hAnsi="宋体" w:cs="宋体" w:eastAsia="宋体" w:hint="default"/>
        </w:rPr>
        <w:t>1,020,017.91</w:t>
      </w:r>
      <w:r>
        <w:rPr/>
        <w:t>元。</w:t>
      </w:r>
      <w:r>
        <w:rPr>
          <w:spacing w:val="-102"/>
        </w:rPr>
        <w:t> </w:t>
      </w:r>
      <w:r>
        <w:rPr>
          <w:spacing w:val="-2"/>
        </w:rPr>
        <w:t>由于天源迪科管理层在对包含商誉的相关资产组或者资产组组合进行减值测试时需要运用重大会计</w:t>
      </w:r>
    </w:p>
    <w:p>
      <w:pPr>
        <w:pStyle w:val="BodyText"/>
        <w:spacing w:line="273" w:lineRule="auto"/>
        <w:ind w:right="2718"/>
        <w:jc w:val="left"/>
      </w:pPr>
      <w:r>
        <w:rPr>
          <w:spacing w:val="-2"/>
        </w:rPr>
        <w:t>估计和会计判断，且影响金额重大，因此，我们将商誉减值确认识别为关键审计事项。</w:t>
      </w:r>
      <w:r>
        <w:rPr>
          <w:spacing w:val="-29"/>
        </w:rPr>
        <w:t> </w:t>
      </w:r>
      <w:r>
        <w:rPr>
          <w:spacing w:val="-29"/>
        </w:rPr>
      </w:r>
      <w:r>
        <w:rPr>
          <w:rFonts w:ascii="宋体" w:hAnsi="宋体" w:cs="宋体" w:eastAsia="宋体" w:hint="default"/>
        </w:rPr>
        <w:t>2.</w:t>
      </w:r>
      <w:r>
        <w:rPr/>
        <w:t>审计应对</w:t>
      </w:r>
    </w:p>
    <w:p>
      <w:pPr>
        <w:pStyle w:val="BodyText"/>
        <w:spacing w:line="240" w:lineRule="auto"/>
        <w:ind w:left="679" w:right="1764"/>
        <w:jc w:val="left"/>
      </w:pPr>
      <w:r>
        <w:rPr/>
        <w:t>我们对于商誉减值所实施的重要审计程序包括：</w:t>
      </w:r>
    </w:p>
    <w:p>
      <w:pPr>
        <w:pStyle w:val="BodyText"/>
        <w:spacing w:line="240" w:lineRule="auto" w:before="37"/>
        <w:ind w:right="1764"/>
        <w:jc w:val="left"/>
      </w:pPr>
      <w:r>
        <w:rPr/>
        <w:t>（</w:t>
      </w:r>
      <w:r>
        <w:rPr>
          <w:rFonts w:ascii="宋体" w:hAnsi="宋体" w:cs="宋体" w:eastAsia="宋体" w:hint="default"/>
        </w:rPr>
        <w:t>1</w:t>
      </w:r>
      <w:r>
        <w:rPr/>
        <w:t>）评估减值测试方法的适当性；</w:t>
      </w:r>
    </w:p>
    <w:p>
      <w:pPr>
        <w:pStyle w:val="BodyText"/>
        <w:spacing w:line="240" w:lineRule="auto" w:before="37"/>
        <w:ind w:right="1007"/>
        <w:jc w:val="left"/>
      </w:pPr>
      <w:r>
        <w:rPr/>
        <w:t>（</w:t>
      </w:r>
      <w:r>
        <w:rPr>
          <w:rFonts w:ascii="宋体" w:hAnsi="宋体" w:cs="宋体" w:eastAsia="宋体" w:hint="default"/>
        </w:rPr>
        <w:t>2</w:t>
      </w:r>
      <w:r>
        <w:rPr/>
        <w:t>）测试管理层减值测试所依据的基础数据，评估管理层减值测试中所采用关键假设及判断的合理性；</w:t>
      </w:r>
    </w:p>
    <w:p>
      <w:pPr>
        <w:pStyle w:val="BodyText"/>
        <w:spacing w:line="240" w:lineRule="auto" w:before="37"/>
        <w:ind w:right="1764"/>
        <w:jc w:val="left"/>
      </w:pPr>
      <w:r>
        <w:rPr/>
        <w:t>（</w:t>
      </w:r>
      <w:r>
        <w:rPr>
          <w:rFonts w:ascii="宋体" w:hAnsi="宋体" w:cs="宋体" w:eastAsia="宋体" w:hint="default"/>
        </w:rPr>
        <w:t>3</w:t>
      </w:r>
      <w:r>
        <w:rPr/>
        <w:t>）复核商誉减值测试模型的计算准确性；</w:t>
      </w:r>
    </w:p>
    <w:p>
      <w:pPr>
        <w:pStyle w:val="BodyText"/>
        <w:spacing w:line="273" w:lineRule="auto" w:before="37"/>
        <w:ind w:right="1007"/>
        <w:jc w:val="left"/>
      </w:pPr>
      <w:r>
        <w:rPr>
          <w:spacing w:val="-2"/>
        </w:rPr>
        <w:t>（</w:t>
      </w:r>
      <w:r>
        <w:rPr>
          <w:rFonts w:ascii="宋体" w:hAnsi="宋体" w:cs="宋体" w:eastAsia="宋体" w:hint="default"/>
          <w:spacing w:val="-2"/>
        </w:rPr>
        <w:t>4</w:t>
      </w:r>
      <w:r>
        <w:rPr>
          <w:spacing w:val="-2"/>
        </w:rPr>
        <w:t>）利用外部评估师专家的工作，对外部评估师的资质、胜任能力、评估方法、评估中运用的各项参数</w:t>
      </w:r>
      <w:r>
        <w:rPr>
          <w:spacing w:val="-12"/>
        </w:rPr>
        <w:t> </w:t>
      </w:r>
      <w:r>
        <w:rPr>
          <w:spacing w:val="-12"/>
        </w:rPr>
      </w:r>
      <w:r>
        <w:rPr/>
        <w:t>进行综合评价。</w:t>
      </w:r>
    </w:p>
    <w:p>
      <w:pPr>
        <w:pStyle w:val="BodyText"/>
        <w:spacing w:line="273" w:lineRule="auto"/>
        <w:ind w:right="1007" w:firstLine="566"/>
        <w:jc w:val="left"/>
      </w:pPr>
      <w:r>
        <w:rPr>
          <w:spacing w:val="-2"/>
        </w:rPr>
        <w:t>基于已执行的审计工作，我们认为，管理层在商誉减值测试中采用的假设和方法是可接受的、管理</w:t>
      </w:r>
      <w:r>
        <w:rPr>
          <w:w w:val="100"/>
        </w:rPr>
        <w:t> </w:t>
      </w:r>
      <w:r>
        <w:rPr/>
        <w:t>层对商誉是否存在减值的相关判断及估计是合理的。</w:t>
      </w:r>
    </w:p>
    <w:p>
      <w:pPr>
        <w:spacing w:line="240" w:lineRule="auto" w:before="6"/>
        <w:rPr>
          <w:rFonts w:ascii="宋体" w:hAnsi="宋体" w:cs="宋体" w:eastAsia="宋体" w:hint="default"/>
          <w:sz w:val="24"/>
          <w:szCs w:val="24"/>
        </w:rPr>
      </w:pPr>
    </w:p>
    <w:p>
      <w:pPr>
        <w:pStyle w:val="Heading3"/>
        <w:spacing w:line="240" w:lineRule="auto"/>
        <w:ind w:right="1764"/>
        <w:jc w:val="left"/>
        <w:rPr>
          <w:b w:val="0"/>
          <w:bCs w:val="0"/>
        </w:rPr>
      </w:pPr>
      <w:r>
        <w:rPr/>
        <w:t>四、其他信息</w:t>
      </w:r>
      <w:r>
        <w:rPr>
          <w:b w:val="0"/>
          <w:bCs w:val="0"/>
        </w:rPr>
      </w:r>
    </w:p>
    <w:p>
      <w:pPr>
        <w:pStyle w:val="BodyText"/>
        <w:spacing w:line="273" w:lineRule="auto" w:before="37"/>
        <w:ind w:right="1007" w:firstLine="561"/>
        <w:jc w:val="left"/>
      </w:pPr>
      <w:r>
        <w:rPr>
          <w:spacing w:val="-2"/>
        </w:rPr>
        <w:t>天源迪科管理层对其他信息负责。其他信息包括</w:t>
      </w:r>
      <w:r>
        <w:rPr>
          <w:rFonts w:ascii="宋体" w:hAnsi="宋体" w:cs="宋体" w:eastAsia="宋体" w:hint="default"/>
          <w:spacing w:val="-2"/>
        </w:rPr>
        <w:t>2019</w:t>
      </w:r>
      <w:r>
        <w:rPr>
          <w:spacing w:val="-2"/>
        </w:rPr>
        <w:t>年年度报告中涵盖的信息，但不包括财务报表</w:t>
      </w:r>
      <w:r>
        <w:rPr>
          <w:w w:val="100"/>
        </w:rPr>
        <w:t> </w:t>
      </w:r>
      <w:r>
        <w:rPr/>
        <w:t>和我们的审计报告。</w:t>
      </w:r>
    </w:p>
    <w:p>
      <w:pPr>
        <w:pStyle w:val="BodyText"/>
        <w:spacing w:line="273" w:lineRule="auto"/>
        <w:ind w:left="674" w:right="1007"/>
        <w:jc w:val="left"/>
      </w:pPr>
      <w:r>
        <w:rPr>
          <w:spacing w:val="-2"/>
        </w:rPr>
        <w:t>我们对财务报表发表的审计意见不涵盖其他信息，我们也不对其他信息发表任何形式的鉴证结论。</w:t>
      </w:r>
      <w:r>
        <w:rPr>
          <w:spacing w:val="-18"/>
        </w:rPr>
        <w:t> </w:t>
      </w:r>
      <w:r>
        <w:rPr>
          <w:spacing w:val="-18"/>
        </w:rPr>
      </w:r>
      <w:r>
        <w:rPr>
          <w:spacing w:val="-2"/>
        </w:rPr>
        <w:t>结合我们对财务报表的审计，我们的责任是阅读其他信息，在此过程中，考虑其他信息是否与财务</w:t>
      </w:r>
    </w:p>
    <w:p>
      <w:pPr>
        <w:pStyle w:val="BodyText"/>
        <w:spacing w:line="273" w:lineRule="auto" w:before="8"/>
        <w:ind w:left="674" w:right="1007" w:hanging="562"/>
        <w:jc w:val="left"/>
      </w:pPr>
      <w:r>
        <w:rPr/>
        <w:t>报表或我们在审计过程中了解的情况存在重大不一致或者似乎存在重大错报。</w:t>
      </w:r>
      <w:r>
        <w:rPr>
          <w:w w:val="100"/>
        </w:rPr>
        <w:t> </w:t>
      </w:r>
      <w:r>
        <w:rPr>
          <w:spacing w:val="-2"/>
        </w:rPr>
        <w:t>基于我们已执行的工作，如果我们确定其他信息存在重大错报，我们应当报告该事实。在这方面，</w:t>
      </w:r>
    </w:p>
    <w:p>
      <w:pPr>
        <w:spacing w:line="273" w:lineRule="auto" w:before="7"/>
        <w:ind w:left="113" w:right="7167" w:firstLine="0"/>
        <w:jc w:val="left"/>
        <w:rPr>
          <w:rFonts w:ascii="宋体" w:hAnsi="宋体" w:cs="宋体" w:eastAsia="宋体" w:hint="default"/>
          <w:sz w:val="21"/>
          <w:szCs w:val="21"/>
        </w:rPr>
      </w:pPr>
      <w:r>
        <w:rPr>
          <w:rFonts w:ascii="宋体" w:hAnsi="宋体" w:cs="宋体" w:eastAsia="宋体" w:hint="default"/>
          <w:sz w:val="21"/>
          <w:szCs w:val="21"/>
        </w:rPr>
        <w:t>我们无任何事项需要报告。</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五、管理层和治理层对财务报表的责任</w:t>
      </w:r>
      <w:r>
        <w:rPr>
          <w:rFonts w:ascii="宋体" w:hAnsi="宋体" w:cs="宋体" w:eastAsia="宋体" w:hint="default"/>
          <w:sz w:val="21"/>
          <w:szCs w:val="21"/>
        </w:rPr>
      </w:r>
    </w:p>
    <w:p>
      <w:pPr>
        <w:pStyle w:val="BodyText"/>
        <w:spacing w:line="273" w:lineRule="auto"/>
        <w:ind w:right="1007" w:firstLine="561"/>
        <w:jc w:val="left"/>
      </w:pPr>
      <w:r>
        <w:rPr>
          <w:spacing w:val="-2"/>
        </w:rPr>
        <w:t>天源迪科管理层负责按照企业会计准则的规定编制财务报表，使其实现公允反映，并设计、执行和</w:t>
      </w:r>
      <w:r>
        <w:rPr>
          <w:w w:val="100"/>
        </w:rPr>
        <w:t> </w:t>
      </w:r>
      <w:r>
        <w:rPr/>
        <w:t>维护必要的内部控制，以使财务报表不存在由于舞弊或错误导致的重大错报。</w:t>
      </w:r>
    </w:p>
    <w:p>
      <w:pPr>
        <w:pStyle w:val="BodyText"/>
        <w:spacing w:line="273" w:lineRule="auto"/>
        <w:ind w:right="1007" w:firstLine="561"/>
        <w:jc w:val="left"/>
      </w:pPr>
      <w:r>
        <w:rPr>
          <w:spacing w:val="-2"/>
        </w:rPr>
        <w:t>在编制财务报表时，天源迪科管理层负责评估天源迪科的持续经营能力，披露与持续经营相关的事</w:t>
      </w:r>
      <w:r>
        <w:rPr>
          <w:w w:val="100"/>
        </w:rPr>
        <w:t> </w:t>
      </w:r>
      <w:r>
        <w:rPr>
          <w:spacing w:val="-4"/>
          <w:w w:val="100"/>
        </w:rPr>
        <w:t>项（如适用），并运用持续经营假设，除非管理层计划清算天源迪科、终止运营或别无其他现实的选择。</w:t>
      </w:r>
    </w:p>
    <w:p>
      <w:pPr>
        <w:spacing w:after="0" w:line="273"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spacing w:line="273" w:lineRule="auto" w:before="36"/>
        <w:ind w:left="113" w:right="5762" w:firstLine="561"/>
        <w:jc w:val="left"/>
        <w:rPr>
          <w:rFonts w:ascii="宋体" w:hAnsi="宋体" w:cs="宋体" w:eastAsia="宋体" w:hint="default"/>
          <w:sz w:val="21"/>
          <w:szCs w:val="21"/>
        </w:rPr>
      </w:pPr>
      <w:r>
        <w:rPr>
          <w:rFonts w:ascii="宋体" w:hAnsi="宋体" w:cs="宋体" w:eastAsia="宋体" w:hint="default"/>
          <w:spacing w:val="-2"/>
          <w:sz w:val="21"/>
          <w:szCs w:val="21"/>
        </w:rPr>
        <w:t>治理层负责监督天源迪科的财务报告过程。</w:t>
      </w:r>
      <w:r>
        <w:rPr>
          <w:rFonts w:ascii="宋体" w:hAnsi="宋体" w:cs="宋体" w:eastAsia="宋体" w:hint="default"/>
          <w:w w:val="100"/>
          <w:sz w:val="21"/>
          <w:szCs w:val="21"/>
        </w:rPr>
        <w:t> </w:t>
      </w:r>
      <w:r>
        <w:rPr>
          <w:rFonts w:ascii="宋体" w:hAnsi="宋体" w:cs="宋体" w:eastAsia="宋体" w:hint="default"/>
          <w:b/>
          <w:bCs/>
          <w:sz w:val="21"/>
          <w:szCs w:val="21"/>
        </w:rPr>
        <w:t>六、注册会计师对财务报表审计的责任</w:t>
      </w:r>
      <w:r>
        <w:rPr>
          <w:rFonts w:ascii="宋体" w:hAnsi="宋体" w:cs="宋体" w:eastAsia="宋体" w:hint="default"/>
          <w:sz w:val="21"/>
          <w:szCs w:val="21"/>
        </w:rPr>
      </w:r>
    </w:p>
    <w:p>
      <w:pPr>
        <w:pStyle w:val="BodyText"/>
        <w:spacing w:line="273" w:lineRule="auto"/>
        <w:ind w:right="1125" w:firstLine="561"/>
        <w:jc w:val="both"/>
      </w:pPr>
      <w:r>
        <w:rPr>
          <w:spacing w:val="-2"/>
        </w:rPr>
        <w:t>我们的目标是对财务报表整体是否不存在由于舞弊或错误导致的重大错报获取合理保证，并出具包</w:t>
      </w:r>
      <w:r>
        <w:rPr>
          <w:w w:val="100"/>
        </w:rPr>
        <w:t> </w:t>
      </w:r>
      <w:r>
        <w:rPr>
          <w:spacing w:val="-2"/>
        </w:rPr>
        <w:t>含审计意见的审计报告。合理保证是高水平的保证，但并不能保证按照审计准则执行的审计在某一重大错</w:t>
      </w:r>
      <w:r>
        <w:rPr>
          <w:spacing w:val="-33"/>
        </w:rPr>
        <w:t> </w:t>
      </w:r>
      <w:r>
        <w:rPr>
          <w:spacing w:val="-33"/>
        </w:rPr>
      </w:r>
      <w:r>
        <w:rPr>
          <w:spacing w:val="-2"/>
        </w:rPr>
        <w:t>报存在时总能发现。错报可能由于舞弊或错误导致，如果合理预期错报单独或汇总起来可能影响财务报表</w:t>
      </w:r>
      <w:r>
        <w:rPr>
          <w:spacing w:val="-33"/>
        </w:rPr>
        <w:t> </w:t>
      </w:r>
      <w:r>
        <w:rPr>
          <w:spacing w:val="-33"/>
        </w:rPr>
      </w:r>
      <w:r>
        <w:rPr/>
        <w:t>使用者依据财务报表作出的经济决策，则通常认为错报是重大的。</w:t>
      </w:r>
    </w:p>
    <w:p>
      <w:pPr>
        <w:pStyle w:val="BodyText"/>
        <w:spacing w:line="273" w:lineRule="auto"/>
        <w:ind w:right="1007" w:firstLine="561"/>
        <w:jc w:val="left"/>
      </w:pPr>
      <w:r>
        <w:rPr>
          <w:spacing w:val="-2"/>
        </w:rPr>
        <w:t>在按照审计准则执行审计工作的过程中，我们运用职业判断，并保持职业怀疑。同时，我们也执行</w:t>
      </w:r>
      <w:r>
        <w:rPr>
          <w:w w:val="100"/>
        </w:rPr>
        <w:t> </w:t>
      </w:r>
      <w:r>
        <w:rPr/>
        <w:t>以下工作：</w:t>
      </w:r>
      <w:r>
        <w:rPr>
          <w:spacing w:val="-99"/>
        </w:rPr>
        <w:t> </w:t>
      </w:r>
      <w:r>
        <w:rPr>
          <w:spacing w:val="-2"/>
        </w:rPr>
        <w:t>识别和评估由于舞弊或错误导致的财务报表重大错报风险，设计和实施审计程序以应对这些风险，并获取</w:t>
      </w:r>
    </w:p>
    <w:p>
      <w:pPr>
        <w:pStyle w:val="BodyText"/>
        <w:spacing w:line="273" w:lineRule="auto" w:before="8"/>
        <w:ind w:left="473" w:right="1164"/>
        <w:jc w:val="both"/>
      </w:pPr>
      <w:r>
        <w:rPr>
          <w:spacing w:val="-2"/>
        </w:rPr>
        <w:t>充分、适当的审计证据，作为发表审计意见的基础。由于舞弊可能涉及串通、伪造、故意遗漏、虚假</w:t>
      </w:r>
      <w:r>
        <w:rPr>
          <w:spacing w:val="-15"/>
        </w:rPr>
        <w:t> </w:t>
      </w:r>
      <w:r>
        <w:rPr>
          <w:spacing w:val="-15"/>
        </w:rPr>
      </w:r>
      <w:r>
        <w:rPr>
          <w:spacing w:val="-2"/>
        </w:rPr>
        <w:t>陈述或凌驾于内部控制之上，未能发现由于舞弊导致的重大错报的风险高于未能发现由于错误导致的</w:t>
      </w:r>
      <w:r>
        <w:rPr>
          <w:spacing w:val="-15"/>
        </w:rPr>
        <w:t> </w:t>
      </w:r>
      <w:r>
        <w:rPr>
          <w:spacing w:val="-15"/>
        </w:rPr>
      </w:r>
      <w:r>
        <w:rPr/>
        <w:t>重大错报的风险。</w:t>
      </w:r>
    </w:p>
    <w:p>
      <w:pPr>
        <w:pStyle w:val="BodyText"/>
        <w:spacing w:line="273" w:lineRule="auto"/>
        <w:ind w:right="1007"/>
        <w:jc w:val="left"/>
      </w:pPr>
      <w:r>
        <w:rPr/>
        <w:t>了解与审计相关的内部控制，以设计恰当的审计程序，但目的并非对内部控制的有效性发表意见。</w:t>
      </w:r>
      <w:r>
        <w:rPr>
          <w:w w:val="100"/>
        </w:rPr>
        <w:t> </w:t>
      </w:r>
      <w:r>
        <w:rPr/>
        <w:t>评价管理层选用会计政策的恰当性和作出会计估计及相关披露的合理性。</w:t>
      </w:r>
      <w:r>
        <w:rPr>
          <w:spacing w:val="-102"/>
        </w:rPr>
        <w:t> </w:t>
      </w:r>
      <w:r>
        <w:rPr>
          <w:spacing w:val="-102"/>
        </w:rPr>
      </w:r>
      <w:r>
        <w:rPr>
          <w:spacing w:val="-2"/>
        </w:rPr>
        <w:t>对管理层使用持续经营假设的恰当性得出结论。同时，根据获取的审计证据，就可能导致对天源迪科持续</w:t>
      </w:r>
    </w:p>
    <w:p>
      <w:pPr>
        <w:pStyle w:val="BodyText"/>
        <w:spacing w:line="273" w:lineRule="auto"/>
        <w:ind w:left="473" w:right="1164"/>
        <w:jc w:val="both"/>
      </w:pPr>
      <w:r>
        <w:rPr>
          <w:spacing w:val="-2"/>
        </w:rPr>
        <w:t>经营能力产生重大疑虑的事项或情况是否存在重大不确定性得出结论。如果我们得出结论认为存在重</w:t>
      </w:r>
      <w:r>
        <w:rPr>
          <w:spacing w:val="-15"/>
        </w:rPr>
        <w:t> </w:t>
      </w:r>
      <w:r>
        <w:rPr>
          <w:spacing w:val="-15"/>
        </w:rPr>
      </w:r>
      <w:r>
        <w:rPr>
          <w:spacing w:val="-2"/>
        </w:rPr>
        <w:t>大不确定性，审计准则要求我们在审计报告中提请报告使用者注意财务报表中的相关披露；如果披露</w:t>
      </w:r>
      <w:r>
        <w:rPr>
          <w:spacing w:val="-15"/>
        </w:rPr>
        <w:t> </w:t>
      </w:r>
      <w:r>
        <w:rPr>
          <w:spacing w:val="-15"/>
        </w:rPr>
      </w:r>
      <w:r>
        <w:rPr>
          <w:spacing w:val="-2"/>
        </w:rPr>
        <w:t>不充分，我们应当发表非无保留意见。我们的结论基于截至审计报告日可获得的信息。然而，未来的</w:t>
      </w:r>
      <w:r>
        <w:rPr>
          <w:spacing w:val="-15"/>
        </w:rPr>
        <w:t> </w:t>
      </w:r>
      <w:r>
        <w:rPr>
          <w:spacing w:val="-15"/>
        </w:rPr>
      </w:r>
      <w:r>
        <w:rPr/>
        <w:t>事项或情况可能导致天源迪科不能持续经营。</w:t>
      </w:r>
    </w:p>
    <w:p>
      <w:pPr>
        <w:pStyle w:val="BodyText"/>
        <w:spacing w:line="273" w:lineRule="auto" w:before="8"/>
        <w:ind w:right="1007"/>
        <w:jc w:val="left"/>
      </w:pPr>
      <w:r>
        <w:rPr/>
        <w:t>评价财务报表的总体列报、结构和内容，并评价财务报表是否公允反映相关交易和事项。</w:t>
      </w:r>
      <w:r>
        <w:rPr>
          <w:spacing w:val="-102"/>
        </w:rPr>
        <w:t> </w:t>
      </w:r>
      <w:r>
        <w:rPr>
          <w:spacing w:val="-102"/>
        </w:rPr>
      </w:r>
      <w:r>
        <w:rPr>
          <w:spacing w:val="-2"/>
        </w:rPr>
        <w:t>就天源迪科中实体或业务活动的财务信息获取充分、适当的审计证据，以对财务报表发表意见。我们负责</w:t>
      </w:r>
    </w:p>
    <w:p>
      <w:pPr>
        <w:pStyle w:val="BodyText"/>
        <w:spacing w:line="273" w:lineRule="auto"/>
        <w:ind w:left="674" w:right="1007" w:hanging="202"/>
        <w:jc w:val="left"/>
      </w:pPr>
      <w:r>
        <w:rPr/>
        <w:t>指导、监督和执行集团审计。我们对审计意见承担全部责任。</w:t>
      </w:r>
      <w:r>
        <w:rPr>
          <w:spacing w:val="-103"/>
        </w:rPr>
        <w:t> </w:t>
      </w:r>
      <w:r>
        <w:rPr>
          <w:spacing w:val="-103"/>
        </w:rPr>
      </w:r>
      <w:r>
        <w:rPr>
          <w:spacing w:val="-2"/>
        </w:rPr>
        <w:t>我们与治理层就计划的审计范围、时间安排和重大审计发现等事项进行沟通，包括沟通我们在审计</w:t>
      </w:r>
    </w:p>
    <w:p>
      <w:pPr>
        <w:pStyle w:val="BodyText"/>
        <w:spacing w:line="273" w:lineRule="auto"/>
        <w:ind w:left="674" w:right="1007" w:hanging="562"/>
        <w:jc w:val="left"/>
      </w:pPr>
      <w:r>
        <w:rPr/>
        <w:t>中识别出的值得关注的内部控制缺陷。</w:t>
      </w:r>
      <w:r>
        <w:rPr>
          <w:spacing w:val="-100"/>
        </w:rPr>
        <w:t> </w:t>
      </w:r>
      <w:r>
        <w:rPr>
          <w:spacing w:val="-100"/>
        </w:rPr>
      </w:r>
      <w:r>
        <w:rPr>
          <w:spacing w:val="-2"/>
        </w:rPr>
        <w:t>我们还就已遵守与独立性相关的职业道德要求向治理层提供声明，并与治理层沟通可能被合理认为</w:t>
      </w:r>
    </w:p>
    <w:p>
      <w:pPr>
        <w:pStyle w:val="BodyText"/>
        <w:spacing w:line="273" w:lineRule="auto" w:before="8"/>
        <w:ind w:left="674" w:right="1007" w:hanging="562"/>
        <w:jc w:val="left"/>
      </w:pPr>
      <w:r>
        <w:rPr>
          <w:spacing w:val="-5"/>
          <w:w w:val="100"/>
        </w:rPr>
        <w:t>影响我们独立性的所有关系和其他事项，以及相关的防范措施（如适用）。</w:t>
      </w:r>
      <w:r>
        <w:rPr>
          <w:spacing w:val="-82"/>
          <w:w w:val="100"/>
        </w:rPr>
        <w:t> </w:t>
      </w:r>
      <w:r>
        <w:rPr>
          <w:spacing w:val="-82"/>
          <w:w w:val="100"/>
        </w:rPr>
      </w:r>
      <w:r>
        <w:rPr>
          <w:spacing w:val="-2"/>
        </w:rPr>
        <w:t>从与治理层沟通过的事项中，我们确定哪些事项对本期财务报表审计最为重要，因而构成关键审计</w:t>
      </w:r>
    </w:p>
    <w:p>
      <w:pPr>
        <w:pStyle w:val="BodyText"/>
        <w:spacing w:line="273" w:lineRule="auto"/>
        <w:ind w:right="1126"/>
        <w:jc w:val="both"/>
      </w:pPr>
      <w:r>
        <w:rPr>
          <w:spacing w:val="-2"/>
        </w:rPr>
        <w:t>事项。我们在审计报告中描述这些事项，除非法律法规禁止公开披露这些事项，或在极少数情形下，如果</w:t>
      </w:r>
      <w:r>
        <w:rPr>
          <w:spacing w:val="-33"/>
        </w:rPr>
        <w:t> </w:t>
      </w:r>
      <w:r>
        <w:rPr>
          <w:spacing w:val="-33"/>
        </w:rPr>
      </w:r>
      <w:r>
        <w:rPr>
          <w:spacing w:val="-2"/>
        </w:rPr>
        <w:t>合理预期在审计报告中沟通某事项造成的负面后果超过在公众利益方面产生的益处，我们确定不应在审计</w:t>
      </w:r>
      <w:r>
        <w:rPr>
          <w:spacing w:val="-33"/>
        </w:rPr>
        <w:t> </w:t>
      </w:r>
      <w:r>
        <w:rPr>
          <w:spacing w:val="-33"/>
        </w:rPr>
      </w:r>
      <w:r>
        <w:rPr/>
        <w:t>报告中沟通该事项。</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tbl>
      <w:tblPr>
        <w:tblW w:w="0" w:type="auto"/>
        <w:jc w:val="left"/>
        <w:tblInd w:w="700" w:type="dxa"/>
        <w:tblLayout w:type="fixed"/>
        <w:tblCellMar>
          <w:top w:w="0" w:type="dxa"/>
          <w:left w:w="0" w:type="dxa"/>
          <w:bottom w:w="0" w:type="dxa"/>
          <w:right w:w="0" w:type="dxa"/>
        </w:tblCellMar>
        <w:tblLook w:val="01E0"/>
      </w:tblPr>
      <w:tblGrid>
        <w:gridCol w:w="3892"/>
        <w:gridCol w:w="3402"/>
      </w:tblGrid>
      <w:tr>
        <w:trPr>
          <w:trHeight w:val="427" w:hRule="exact"/>
        </w:trPr>
        <w:tc>
          <w:tcPr>
            <w:tcW w:w="3892" w:type="dxa"/>
            <w:tcBorders>
              <w:top w:val="nil" w:sz="6" w:space="0" w:color="auto"/>
              <w:left w:val="nil" w:sz="6" w:space="0" w:color="auto"/>
              <w:bottom w:val="nil" w:sz="6" w:space="0" w:color="auto"/>
              <w:right w:val="nil" w:sz="6" w:space="0" w:color="auto"/>
            </w:tcBorders>
          </w:tcPr>
          <w:p>
            <w:pPr>
              <w:pStyle w:val="TableParagraph"/>
              <w:spacing w:line="211" w:lineRule="exact"/>
              <w:ind w:right="335"/>
              <w:jc w:val="center"/>
              <w:rPr>
                <w:rFonts w:ascii="宋体" w:hAnsi="宋体" w:cs="宋体" w:eastAsia="宋体" w:hint="default"/>
                <w:sz w:val="21"/>
                <w:szCs w:val="21"/>
              </w:rPr>
            </w:pPr>
            <w:r>
              <w:rPr>
                <w:rFonts w:ascii="宋体" w:hAnsi="宋体" w:cs="宋体" w:eastAsia="宋体" w:hint="default"/>
                <w:sz w:val="21"/>
                <w:szCs w:val="21"/>
              </w:rPr>
              <w:t>大华会计师事务所</w:t>
            </w:r>
            <w:r>
              <w:rPr>
                <w:rFonts w:ascii="宋体" w:hAnsi="宋体" w:cs="宋体" w:eastAsia="宋体" w:hint="default"/>
                <w:sz w:val="21"/>
                <w:szCs w:val="21"/>
              </w:rPr>
              <w:t>(</w:t>
            </w:r>
            <w:r>
              <w:rPr>
                <w:rFonts w:ascii="宋体" w:hAnsi="宋体" w:cs="宋体" w:eastAsia="宋体" w:hint="default"/>
                <w:sz w:val="21"/>
                <w:szCs w:val="21"/>
              </w:rPr>
              <w:t>特殊普通合伙</w:t>
            </w:r>
            <w:r>
              <w:rPr>
                <w:rFonts w:ascii="宋体" w:hAnsi="宋体" w:cs="宋体" w:eastAsia="宋体" w:hint="default"/>
                <w:sz w:val="21"/>
                <w:szCs w:val="21"/>
              </w:rPr>
              <w:t>)</w:t>
            </w:r>
          </w:p>
        </w:tc>
        <w:tc>
          <w:tcPr>
            <w:tcW w:w="3402" w:type="dxa"/>
            <w:tcBorders>
              <w:top w:val="nil" w:sz="6" w:space="0" w:color="auto"/>
              <w:left w:val="nil" w:sz="6" w:space="0" w:color="auto"/>
              <w:bottom w:val="nil" w:sz="6" w:space="0" w:color="auto"/>
              <w:right w:val="nil" w:sz="6" w:space="0" w:color="auto"/>
            </w:tcBorders>
          </w:tcPr>
          <w:p>
            <w:pPr>
              <w:pStyle w:val="TableParagraph"/>
              <w:tabs>
                <w:tab w:pos="3423" w:val="left" w:leader="none"/>
              </w:tabs>
              <w:spacing w:line="211" w:lineRule="exact"/>
              <w:ind w:left="537" w:right="-22"/>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中国注册会计师：</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p>
        </w:tc>
      </w:tr>
      <w:tr>
        <w:trPr>
          <w:trHeight w:val="811" w:hRule="exact"/>
        </w:trPr>
        <w:tc>
          <w:tcPr>
            <w:tcW w:w="3892"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341"/>
              <w:jc w:val="center"/>
              <w:rPr>
                <w:rFonts w:ascii="宋体" w:hAnsi="宋体" w:cs="宋体" w:eastAsia="宋体" w:hint="default"/>
                <w:sz w:val="21"/>
                <w:szCs w:val="21"/>
              </w:rPr>
            </w:pPr>
            <w:r>
              <w:rPr>
                <w:rFonts w:ascii="宋体" w:hAnsi="宋体" w:cs="宋体" w:eastAsia="宋体" w:hint="default"/>
                <w:sz w:val="21"/>
                <w:szCs w:val="21"/>
              </w:rPr>
              <w:t>中国</w:t>
            </w:r>
            <w:r>
              <w:rPr>
                <w:rFonts w:ascii="宋体" w:hAnsi="宋体" w:cs="宋体" w:eastAsia="宋体" w:hint="default"/>
                <w:b/>
                <w:bCs/>
                <w:sz w:val="21"/>
                <w:szCs w:val="21"/>
              </w:rPr>
              <w:t>·</w:t>
            </w:r>
            <w:r>
              <w:rPr>
                <w:rFonts w:ascii="宋体" w:hAnsi="宋体" w:cs="宋体" w:eastAsia="宋体" w:hint="default"/>
                <w:sz w:val="21"/>
                <w:szCs w:val="21"/>
              </w:rPr>
              <w:t>北京</w:t>
            </w:r>
          </w:p>
        </w:tc>
        <w:tc>
          <w:tcPr>
            <w:tcW w:w="3402" w:type="dxa"/>
            <w:tcBorders>
              <w:top w:val="nil" w:sz="6" w:space="0" w:color="auto"/>
              <w:left w:val="nil" w:sz="6" w:space="0" w:color="auto"/>
              <w:bottom w:val="nil" w:sz="6" w:space="0" w:color="auto"/>
              <w:right w:val="nil" w:sz="6" w:space="0" w:color="auto"/>
            </w:tcBorders>
          </w:tcPr>
          <w:p>
            <w:pPr>
              <w:pStyle w:val="TableParagraph"/>
              <w:tabs>
                <w:tab w:pos="2612" w:val="left" w:leader="none"/>
              </w:tabs>
              <w:spacing w:line="240" w:lineRule="auto" w:before="152"/>
              <w:ind w:left="820" w:right="0"/>
              <w:jc w:val="left"/>
              <w:rPr>
                <w:rFonts w:ascii="宋体" w:hAnsi="宋体" w:cs="宋体" w:eastAsia="宋体" w:hint="default"/>
                <w:sz w:val="21"/>
                <w:szCs w:val="21"/>
              </w:rPr>
            </w:pPr>
            <w:r>
              <w:rPr>
                <w:rFonts w:ascii="宋体" w:hAnsi="宋体" w:cs="宋体" w:eastAsia="宋体" w:hint="default"/>
                <w:spacing w:val="-1"/>
                <w:sz w:val="21"/>
                <w:szCs w:val="21"/>
              </w:rPr>
              <w:t>（项目合伙人）</w:t>
              <w:tab/>
            </w:r>
            <w:r>
              <w:rPr>
                <w:rFonts w:ascii="宋体" w:hAnsi="宋体" w:cs="宋体" w:eastAsia="宋体" w:hint="default"/>
                <w:spacing w:val="-5"/>
                <w:sz w:val="21"/>
                <w:szCs w:val="21"/>
              </w:rPr>
              <w:t>陈勇</w:t>
            </w:r>
            <w:r>
              <w:rPr>
                <w:rFonts w:ascii="宋体" w:hAnsi="宋体" w:cs="宋体" w:eastAsia="宋体" w:hint="default"/>
                <w:sz w:val="21"/>
                <w:szCs w:val="21"/>
              </w:rPr>
            </w:r>
          </w:p>
        </w:tc>
      </w:tr>
      <w:tr>
        <w:trPr>
          <w:trHeight w:val="655" w:hRule="exact"/>
        </w:trPr>
        <w:tc>
          <w:tcPr>
            <w:tcW w:w="3892" w:type="dxa"/>
            <w:tcBorders>
              <w:top w:val="nil" w:sz="6" w:space="0" w:color="auto"/>
              <w:left w:val="nil" w:sz="6" w:space="0" w:color="auto"/>
              <w:bottom w:val="nil" w:sz="6" w:space="0" w:color="auto"/>
              <w:right w:val="nil" w:sz="6" w:space="0" w:color="auto"/>
            </w:tcBorders>
          </w:tcPr>
          <w:p>
            <w:pP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tabs>
                <w:tab w:pos="3619" w:val="left" w:leader="none"/>
              </w:tabs>
              <w:spacing w:line="240" w:lineRule="auto"/>
              <w:ind w:left="633" w:right="-218"/>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中国注册会计师：</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p>
        </w:tc>
      </w:tr>
      <w:tr>
        <w:trPr>
          <w:trHeight w:val="809" w:hRule="exact"/>
        </w:trPr>
        <w:tc>
          <w:tcPr>
            <w:tcW w:w="3892" w:type="dxa"/>
            <w:tcBorders>
              <w:top w:val="nil" w:sz="6" w:space="0" w:color="auto"/>
              <w:left w:val="nil" w:sz="6" w:space="0" w:color="auto"/>
              <w:bottom w:val="nil" w:sz="6" w:space="0" w:color="auto"/>
              <w:right w:val="nil" w:sz="6" w:space="0" w:color="auto"/>
            </w:tcBorders>
          </w:tcPr>
          <w:p>
            <w:pPr/>
          </w:p>
        </w:tc>
        <w:tc>
          <w:tcPr>
            <w:tcW w:w="3402" w:type="dxa"/>
            <w:tcBorders>
              <w:top w:val="nil" w:sz="6" w:space="0" w:color="auto"/>
              <w:left w:val="nil" w:sz="6" w:space="0" w:color="auto"/>
              <w:bottom w:val="nil" w:sz="6" w:space="0" w:color="auto"/>
              <w:right w:val="nil" w:sz="6" w:space="0" w:color="auto"/>
            </w:tcBorders>
          </w:tcPr>
          <w:p>
            <w:pPr>
              <w:pStyle w:val="TableParagraph"/>
              <w:spacing w:line="271" w:lineRule="exact"/>
              <w:ind w:right="198"/>
              <w:jc w:val="right"/>
              <w:rPr>
                <w:rFonts w:ascii="宋体" w:hAnsi="宋体" w:cs="宋体" w:eastAsia="宋体" w:hint="default"/>
                <w:sz w:val="21"/>
                <w:szCs w:val="21"/>
              </w:rPr>
            </w:pPr>
            <w:r>
              <w:rPr>
                <w:rFonts w:ascii="宋体" w:hAnsi="宋体" w:cs="宋体" w:eastAsia="宋体" w:hint="default"/>
                <w:spacing w:val="-2"/>
                <w:sz w:val="21"/>
                <w:szCs w:val="21"/>
              </w:rPr>
              <w:t>吕红涛</w:t>
            </w:r>
          </w:p>
        </w:tc>
      </w:tr>
      <w:tr>
        <w:trPr>
          <w:trHeight w:val="749" w:hRule="exact"/>
        </w:trPr>
        <w:tc>
          <w:tcPr>
            <w:tcW w:w="3892" w:type="dxa"/>
            <w:tcBorders>
              <w:top w:val="nil" w:sz="6" w:space="0" w:color="auto"/>
              <w:left w:val="nil" w:sz="6" w:space="0" w:color="auto"/>
              <w:bottom w:val="nil" w:sz="6" w:space="0" w:color="auto"/>
              <w:right w:val="nil" w:sz="6" w:space="0" w:color="auto"/>
            </w:tcBorders>
          </w:tcPr>
          <w:p>
            <w:pP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99" w:right="0"/>
              <w:jc w:val="left"/>
              <w:rPr>
                <w:rFonts w:ascii="宋体" w:hAnsi="宋体" w:cs="宋体" w:eastAsia="宋体" w:hint="default"/>
                <w:sz w:val="21"/>
                <w:szCs w:val="21"/>
              </w:rPr>
            </w:pPr>
            <w:r>
              <w:rPr>
                <w:rFonts w:ascii="宋体" w:hAnsi="宋体" w:cs="宋体" w:eastAsia="宋体" w:hint="default"/>
                <w:sz w:val="21"/>
                <w:szCs w:val="21"/>
              </w:rPr>
              <w:t>二〇二〇年四月二十日</w:t>
            </w:r>
          </w:p>
        </w:tc>
      </w:tr>
    </w:tbl>
    <w:p>
      <w:pPr>
        <w:spacing w:after="0" w:line="240" w:lineRule="auto"/>
        <w:jc w:val="left"/>
        <w:rPr>
          <w:rFonts w:ascii="宋体" w:hAnsi="宋体" w:cs="宋体" w:eastAsia="宋体" w:hint="default"/>
          <w:sz w:val="21"/>
          <w:szCs w:val="21"/>
        </w:rPr>
        <w:sectPr>
          <w:pgSz w:w="11910" w:h="16840"/>
          <w:pgMar w:header="906" w:footer="1022" w:top="1100" w:bottom="1220" w:left="1020" w:right="0"/>
        </w:sectPr>
      </w:pPr>
    </w:p>
    <w:p>
      <w:pPr>
        <w:spacing w:line="240" w:lineRule="auto" w:before="6"/>
        <w:rPr>
          <w:rFonts w:ascii="宋体" w:hAnsi="宋体" w:cs="宋体" w:eastAsia="宋体" w:hint="default"/>
          <w:sz w:val="20"/>
          <w:szCs w:val="20"/>
        </w:rPr>
      </w:pPr>
    </w:p>
    <w:p>
      <w:pPr>
        <w:pStyle w:val="Heading2"/>
        <w:spacing w:line="240" w:lineRule="auto" w:before="26"/>
        <w:ind w:right="1764"/>
        <w:jc w:val="left"/>
        <w:rPr>
          <w:b w:val="0"/>
          <w:bCs w:val="0"/>
        </w:rPr>
      </w:pPr>
      <w:bookmarkStart w:name="二、财务报表" w:id="157"/>
      <w:bookmarkEnd w:id="157"/>
      <w:r>
        <w:rPr>
          <w:b w:val="0"/>
          <w:bCs w:val="0"/>
        </w:rPr>
      </w:r>
      <w:r>
        <w:rPr/>
        <w:t>二、财务报表</w:t>
      </w:r>
      <w:r>
        <w:rPr>
          <w:b w:val="0"/>
          <w:bCs w:val="0"/>
        </w:rPr>
      </w:r>
    </w:p>
    <w:p>
      <w:pPr>
        <w:spacing w:line="240" w:lineRule="auto" w:before="3"/>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财务附注中报表的单位为：元</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1、合并资产负债表" w:id="158"/>
      <w:bookmarkEnd w:id="158"/>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6"/>
        <w:rPr>
          <w:rFonts w:ascii="宋体" w:hAnsi="宋体" w:cs="宋体" w:eastAsia="宋体" w:hint="default"/>
          <w:b/>
          <w:bCs/>
          <w:sz w:val="23"/>
          <w:szCs w:val="23"/>
        </w:rPr>
      </w:pPr>
    </w:p>
    <w:p>
      <w:pPr>
        <w:spacing w:before="46"/>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编制单位：深圳天源迪科信息技术股份有限公司</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476,350,307.27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303,584,918.01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2,232,720.00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w:t>
            </w:r>
            <w:r>
              <w:rPr>
                <w:rFonts w:ascii="宋体" w:hAnsi="宋体" w:cs="宋体" w:eastAsia="宋体" w:hint="default"/>
                <w:w w:val="101"/>
                <w:sz w:val="18"/>
                <w:szCs w:val="18"/>
              </w:rPr>
              <w:t> </w:t>
            </w:r>
            <w:r>
              <w:rPr>
                <w:rFonts w:ascii="宋体" w:hAnsi="宋体" w:cs="宋体" w:eastAsia="宋体" w:hint="default"/>
                <w:spacing w:val="-3"/>
                <w:sz w:val="18"/>
                <w:szCs w:val="18"/>
              </w:rPr>
              <w:t>当期损益的金融资产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1,722,384.00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101,704,296.12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115,996,492.35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1,577,124,638.39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1,535,388,635.95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43,379,836.02</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452,635,612.78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97,438,951.91</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57,129,082.85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57,073,821.42</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39" w:right="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1,213,989,143.82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862,716,944.43</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18,344,445.26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13,396,181.25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3,942,890,082.51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2,987,318,329.32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72,927,564.25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87,058,470.25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71,648,171.51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121,623,952.89</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209,238,428.69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139,855,897.27</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292,040,542.78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367,568,656.89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221,646,356.07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217,776,567.32</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103,714,428.43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103,970,627.92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653,999,913.24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653,999,913.24</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15,802,122.62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17,259,509.44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50,549,305.28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45,727,476.11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41,871,149.75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878,564.88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1,797,544,670.00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1,691,612,948.83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5,740,434,752.51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4,678,931,278.15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2,030,035,049.30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966,000,000.00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w:t>
            </w:r>
            <w:r>
              <w:rPr>
                <w:rFonts w:ascii="宋体" w:hAnsi="宋体" w:cs="宋体" w:eastAsia="宋体" w:hint="default"/>
                <w:w w:val="101"/>
                <w:sz w:val="18"/>
                <w:szCs w:val="18"/>
              </w:rPr>
              <w:t> </w:t>
            </w:r>
            <w:r>
              <w:rPr>
                <w:rFonts w:ascii="宋体" w:hAnsi="宋体" w:cs="宋体" w:eastAsia="宋体" w:hint="default"/>
                <w:spacing w:val="-3"/>
                <w:sz w:val="18"/>
                <w:szCs w:val="18"/>
              </w:rPr>
              <w:t>当期损益的金融负债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71,330,909.53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68,378,643.43</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249,398,937.83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159,508,409.71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19,636,830.37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33,550,252.27</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23,121,929.19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32,697,762.39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30,613,540.18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34,939,541.26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229,900,156.79</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2,424,137,196.40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1,524,974,765.85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14,914,184.35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18,464,548.25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4,928,938.31</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19,843,122.66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18,464,548.25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2,443,980,319.06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1,543,439,314.10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637,744,672.00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399,083,860.00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1,473,541,753.40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1,718,968,740.11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1,295,635.05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38,956,518.33</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80,247,107.16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79,005,526.29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919,468,905.35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827,938,103.09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3,149,958,956.24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3,023,700,594.44</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146,495,477.21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111,791,369.61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3,296,454,433.45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3,135,491,964.05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5,740,434,752.51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4,678,931,278.15</w:t>
            </w:r>
          </w:p>
        </w:tc>
      </w:tr>
    </w:tbl>
    <w:p>
      <w:pPr>
        <w:spacing w:line="240" w:lineRule="auto" w:before="2"/>
        <w:rPr>
          <w:rFonts w:ascii="Times New Roman" w:hAnsi="Times New Roman" w:cs="Times New Roman" w:eastAsia="Times New Roman" w:hint="default"/>
          <w:sz w:val="23"/>
          <w:szCs w:val="23"/>
        </w:rPr>
      </w:pPr>
    </w:p>
    <w:p>
      <w:pPr>
        <w:tabs>
          <w:tab w:pos="3332" w:val="left" w:leader="none"/>
          <w:tab w:pos="7567" w:val="left" w:leader="none"/>
        </w:tabs>
        <w:spacing w:before="46"/>
        <w:ind w:left="0" w:right="1218" w:firstLine="0"/>
        <w:jc w:val="right"/>
        <w:rPr>
          <w:rFonts w:ascii="宋体" w:hAnsi="宋体" w:cs="宋体" w:eastAsia="宋体" w:hint="default"/>
          <w:sz w:val="18"/>
          <w:szCs w:val="18"/>
        </w:rPr>
      </w:pPr>
      <w:r>
        <w:rPr>
          <w:rFonts w:ascii="宋体" w:hAnsi="宋体" w:cs="宋体" w:eastAsia="宋体" w:hint="default"/>
          <w:spacing w:val="-2"/>
          <w:sz w:val="18"/>
          <w:szCs w:val="18"/>
        </w:rPr>
        <w:t>法定代表人：陈友</w:t>
        <w:tab/>
      </w:r>
      <w:r>
        <w:rPr>
          <w:rFonts w:ascii="宋体" w:hAnsi="宋体" w:cs="宋体" w:eastAsia="宋体" w:hint="default"/>
          <w:spacing w:val="-3"/>
          <w:sz w:val="18"/>
          <w:szCs w:val="18"/>
        </w:rPr>
        <w:t>主管会计工作负责人：钱文胜</w:t>
        <w:tab/>
        <w:t>会计机构负责人：章菁菁</w:t>
      </w:r>
    </w:p>
    <w:p>
      <w:pPr>
        <w:spacing w:line="240" w:lineRule="auto" w:before="8"/>
        <w:rPr>
          <w:rFonts w:ascii="宋体" w:hAnsi="宋体" w:cs="宋体" w:eastAsia="宋体" w:hint="default"/>
          <w:sz w:val="26"/>
          <w:szCs w:val="26"/>
        </w:rPr>
      </w:pPr>
    </w:p>
    <w:p>
      <w:pPr>
        <w:pStyle w:val="Heading3"/>
        <w:spacing w:line="240" w:lineRule="auto"/>
        <w:ind w:right="1764"/>
        <w:jc w:val="left"/>
        <w:rPr>
          <w:b w:val="0"/>
          <w:bCs w:val="0"/>
        </w:rPr>
      </w:pPr>
      <w:bookmarkStart w:name="2、母公司资产负债表" w:id="159"/>
      <w:bookmarkEnd w:id="159"/>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266,218,229.92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131,080,251.04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w:t>
            </w:r>
            <w:r>
              <w:rPr>
                <w:rFonts w:ascii="宋体" w:hAnsi="宋体" w:cs="宋体" w:eastAsia="宋体" w:hint="default"/>
                <w:w w:val="101"/>
                <w:sz w:val="18"/>
                <w:szCs w:val="18"/>
              </w:rPr>
              <w:t> </w:t>
            </w:r>
            <w:r>
              <w:rPr>
                <w:rFonts w:ascii="宋体" w:hAnsi="宋体" w:cs="宋体" w:eastAsia="宋体" w:hint="default"/>
                <w:spacing w:val="-3"/>
                <w:sz w:val="18"/>
                <w:szCs w:val="18"/>
              </w:rPr>
              <w:t>当期损益的金融资产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80,821,594.68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9,362,799.79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774,314,185.02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725,947,989.47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35,694,812.63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24,825,081.40</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662,280,046.17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1,072,716,931.10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40,024,828.19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5,961,839.17</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6,489,022.38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6,558,019.19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1,865,842,718.99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1,976,452,911.16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47,597,564.25</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1,587,402,452.27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1,564,218,389.46</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50,646,569.79</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56,299,997.05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56,815,451.30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207,775,418.22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203,666,723.20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103,714,428.43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103,970,627.92</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5,888,401.58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5,865,167.31</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42,630,242.31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40,555,724.29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21,314,405.95</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2,075,671,915.60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2,022,689,647.73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3,941,514,634.59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3,999,142,558.89</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449,684,788.19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328,000,000.00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w:t>
            </w:r>
            <w:r>
              <w:rPr>
                <w:rFonts w:ascii="宋体" w:hAnsi="宋体" w:cs="宋体" w:eastAsia="宋体" w:hint="default"/>
                <w:w w:val="101"/>
                <w:sz w:val="18"/>
                <w:szCs w:val="18"/>
              </w:rPr>
              <w:t> </w:t>
            </w:r>
            <w:r>
              <w:rPr>
                <w:rFonts w:ascii="宋体" w:hAnsi="宋体" w:cs="宋体" w:eastAsia="宋体" w:hint="default"/>
                <w:spacing w:val="-3"/>
                <w:sz w:val="18"/>
                <w:szCs w:val="18"/>
              </w:rPr>
              <w:t>当期损益的金融负债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390,000,000.00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298,000,000.00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108,241,258.87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121,725,894.72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20,316,538.31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16,913,880.37</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10,192,468.33</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1,352,681.54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987,511.35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203,126,104.15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202,285,116.57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229,900,156.79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1,172,721,371.06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1,208,005,028.13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8,250,000.00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10,340,000.00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8,250,000.00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10,340,000.00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1,180,971,371.06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1,218,345,028.13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637,744,672.00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399,083,860.00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1,551,306,425.14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1,798,226,136.64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1,295,635.05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-1,761,926.46</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80,247,107.16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79,005,526.29</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493,006,985.69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505,777,642.88</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2,760,543,263.53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2,780,797,530.76</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3,941,514,634.59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3,999,142,558.89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764"/>
        <w:jc w:val="left"/>
        <w:rPr>
          <w:b w:val="0"/>
          <w:bCs w:val="0"/>
        </w:rPr>
      </w:pPr>
      <w:bookmarkStart w:name="3、合并利润表" w:id="160"/>
      <w:bookmarkEnd w:id="160"/>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083"/>
        <w:gridCol w:w="3208"/>
        <w:gridCol w:w="3279"/>
      </w:tblGrid>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一、营业总收入</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4,470,792,753.32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3,766,826,442.85</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其中：营业收入</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4,470,792,753.32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3,766,826,442.85</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pacing w:val="-3"/>
                <w:sz w:val="18"/>
                <w:szCs w:val="18"/>
              </w:rPr>
              <w:t>已赚保费</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pacing w:val="-3"/>
                <w:sz w:val="18"/>
                <w:szCs w:val="18"/>
              </w:rPr>
              <w:t>手续费及佣金收入</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二、营业总成本</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4,326,323,332.67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3,535,744,322.70</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其中：营业成本</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3,743,591,172.20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2,992,771,501.03</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pacing w:val="-3"/>
                <w:sz w:val="18"/>
                <w:szCs w:val="18"/>
              </w:rPr>
              <w:t>利息支出</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8" w:right="0"/>
              <w:jc w:val="left"/>
              <w:rPr>
                <w:rFonts w:ascii="宋体" w:hAnsi="宋体" w:cs="宋体" w:eastAsia="宋体" w:hint="default"/>
                <w:sz w:val="18"/>
                <w:szCs w:val="18"/>
              </w:rPr>
            </w:pPr>
            <w:r>
              <w:rPr>
                <w:rFonts w:ascii="宋体" w:hAnsi="宋体" w:cs="宋体" w:eastAsia="宋体" w:hint="default"/>
                <w:spacing w:val="-3"/>
                <w:sz w:val="18"/>
                <w:szCs w:val="18"/>
              </w:rPr>
              <w:t>手续费及佣金支出</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08"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pacing w:val="-3"/>
                <w:sz w:val="18"/>
                <w:szCs w:val="18"/>
              </w:rPr>
              <w:t>赔付支出净额</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pacing w:val="-3"/>
                <w:sz w:val="18"/>
                <w:szCs w:val="18"/>
              </w:rPr>
              <w:t>提取保险责任合同准备</w:t>
            </w:r>
          </w:p>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金净额</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pacing w:val="-3"/>
                <w:sz w:val="18"/>
                <w:szCs w:val="18"/>
              </w:rPr>
              <w:t>保单红利支出</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08" w:right="0"/>
              <w:jc w:val="left"/>
              <w:rPr>
                <w:rFonts w:ascii="宋体" w:hAnsi="宋体" w:cs="宋体" w:eastAsia="宋体" w:hint="default"/>
                <w:sz w:val="18"/>
                <w:szCs w:val="18"/>
              </w:rPr>
            </w:pPr>
            <w:r>
              <w:rPr>
                <w:rFonts w:ascii="宋体" w:hAnsi="宋体" w:cs="宋体" w:eastAsia="宋体" w:hint="default"/>
                <w:spacing w:val="-3"/>
                <w:sz w:val="18"/>
                <w:szCs w:val="18"/>
              </w:rPr>
              <w:t>分保费用</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15,200,975.84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11,300,718.00</w:t>
            </w: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pacing w:val="-3"/>
                <w:sz w:val="18"/>
                <w:szCs w:val="18"/>
              </w:rPr>
              <w:t>销售费用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130,448,862.50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141,896,765.53</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pacing w:val="-3"/>
                <w:sz w:val="18"/>
                <w:szCs w:val="18"/>
              </w:rPr>
              <w:t>管理费用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156,696,723.16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160,537,865.89</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08" w:right="0"/>
              <w:jc w:val="left"/>
              <w:rPr>
                <w:rFonts w:ascii="宋体" w:hAnsi="宋体" w:cs="宋体" w:eastAsia="宋体" w:hint="default"/>
                <w:sz w:val="18"/>
                <w:szCs w:val="18"/>
              </w:rPr>
            </w:pPr>
            <w:r>
              <w:rPr>
                <w:rFonts w:ascii="宋体" w:hAnsi="宋体" w:cs="宋体" w:eastAsia="宋体" w:hint="default"/>
                <w:spacing w:val="-3"/>
                <w:sz w:val="18"/>
                <w:szCs w:val="18"/>
              </w:rPr>
              <w:t>研发费用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213,235,820.92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185,525,225.24</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pacing w:val="-3"/>
                <w:sz w:val="18"/>
                <w:szCs w:val="18"/>
              </w:rPr>
              <w:t>财务费用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67,149,778.05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43,712,247.01</w:t>
            </w: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86" w:right="0"/>
              <w:jc w:val="lef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68,739,813.00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46,325,139.19</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728"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1,736,404.91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1,328,181.54</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46,764,791.75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53,542,828.09</w:t>
            </w: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pacing w:val="-4"/>
                <w:sz w:val="18"/>
                <w:szCs w:val="18"/>
              </w:rPr>
              <w:t>投资收益（损失以“－”号</w:t>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7,411,066.30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1,504,056.20</w:t>
            </w: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94" w:firstLine="720"/>
              <w:jc w:val="left"/>
              <w:rPr>
                <w:rFonts w:ascii="宋体" w:hAnsi="宋体" w:cs="宋体" w:eastAsia="宋体" w:hint="default"/>
                <w:sz w:val="18"/>
                <w:szCs w:val="18"/>
              </w:rPr>
            </w:pPr>
            <w:r>
              <w:rPr>
                <w:rFonts w:ascii="宋体" w:hAnsi="宋体" w:cs="宋体" w:eastAsia="宋体" w:hint="default"/>
                <w:spacing w:val="-4"/>
                <w:sz w:val="18"/>
                <w:szCs w:val="18"/>
              </w:rPr>
              <w:t>其中：对联营企业和合营企</w:t>
            </w:r>
            <w:r>
              <w:rPr>
                <w:rFonts w:ascii="宋体" w:hAnsi="宋体" w:cs="宋体" w:eastAsia="宋体" w:hint="default"/>
                <w:w w:val="101"/>
                <w:sz w:val="18"/>
                <w:szCs w:val="18"/>
              </w:rPr>
              <w:t> </w:t>
            </w:r>
            <w:r>
              <w:rPr>
                <w:rFonts w:ascii="宋体" w:hAnsi="宋体" w:cs="宋体" w:eastAsia="宋体" w:hint="default"/>
                <w:sz w:val="18"/>
                <w:szCs w:val="18"/>
              </w:rPr>
              <w:t>业的投资收益</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5,810,298.74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1,479,266.20</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186" w:right="0"/>
              <w:jc w:val="left"/>
              <w:rPr>
                <w:rFonts w:ascii="宋体" w:hAnsi="宋体" w:cs="宋体" w:eastAsia="宋体" w:hint="default"/>
                <w:sz w:val="18"/>
                <w:szCs w:val="18"/>
              </w:rPr>
            </w:pPr>
            <w:r>
              <w:rPr>
                <w:rFonts w:ascii="宋体" w:hAnsi="宋体" w:cs="宋体" w:eastAsia="宋体" w:hint="default"/>
                <w:spacing w:val="-3"/>
                <w:sz w:val="18"/>
                <w:szCs w:val="18"/>
              </w:rPr>
              <w:t>以摊余成本计量的金</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083"/>
        <w:gridCol w:w="3208"/>
        <w:gridCol w:w="3279"/>
      </w:tblGrid>
      <w:tr>
        <w:trPr>
          <w:trHeight w:val="360"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pacing w:val="-3"/>
                <w:sz w:val="18"/>
                <w:szCs w:val="18"/>
              </w:rPr>
              <w:t>融资产终止确认收益</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pacing w:val="-8"/>
                <w:sz w:val="18"/>
                <w:szCs w:val="18"/>
              </w:rPr>
              <w:t>汇兑收益（损失以“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”号填</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262" w:firstLine="720"/>
              <w:jc w:val="left"/>
              <w:rPr>
                <w:rFonts w:ascii="宋体" w:hAnsi="宋体" w:cs="宋体" w:eastAsia="宋体" w:hint="default"/>
                <w:sz w:val="18"/>
                <w:szCs w:val="18"/>
              </w:rPr>
            </w:pPr>
            <w:r>
              <w:rPr>
                <w:rFonts w:ascii="宋体" w:hAnsi="宋体" w:cs="宋体" w:eastAsia="宋体" w:hint="default"/>
                <w:spacing w:val="-3"/>
                <w:sz w:val="18"/>
                <w:szCs w:val="18"/>
              </w:rPr>
              <w:t>净敞口套期收益（损失以</w:t>
            </w:r>
            <w:r>
              <w:rPr>
                <w:rFonts w:ascii="宋体" w:hAnsi="宋体" w:cs="宋体" w:eastAsia="宋体" w:hint="default"/>
                <w:w w:val="101"/>
                <w:sz w:val="18"/>
                <w:szCs w:val="18"/>
              </w:rPr>
              <w:t> </w:t>
            </w:r>
            <w:r>
              <w:rPr>
                <w:rFonts w:ascii="宋体" w:hAnsi="宋体" w:cs="宋体" w:eastAsia="宋体" w:hint="default"/>
                <w:spacing w:val="-3"/>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94" w:firstLine="720"/>
              <w:jc w:val="left"/>
              <w:rPr>
                <w:rFonts w:ascii="宋体" w:hAnsi="宋体" w:cs="宋体" w:eastAsia="宋体" w:hint="default"/>
                <w:sz w:val="18"/>
                <w:szCs w:val="18"/>
              </w:rPr>
            </w:pPr>
            <w:r>
              <w:rPr>
                <w:rFonts w:ascii="宋体" w:hAnsi="宋体" w:cs="宋体" w:eastAsia="宋体" w:hint="default"/>
                <w:spacing w:val="-4"/>
                <w:sz w:val="18"/>
                <w:szCs w:val="18"/>
              </w:rPr>
              <w:t>公允价值变动收益（损失以</w:t>
            </w:r>
            <w:r>
              <w:rPr>
                <w:rFonts w:ascii="宋体" w:hAnsi="宋体" w:cs="宋体" w:eastAsia="宋体" w:hint="default"/>
                <w:w w:val="101"/>
                <w:sz w:val="18"/>
                <w:szCs w:val="18"/>
              </w:rPr>
              <w:t> </w:t>
            </w:r>
            <w:r>
              <w:rPr>
                <w:rFonts w:ascii="宋体" w:hAnsi="宋体" w:cs="宋体" w:eastAsia="宋体" w:hint="default"/>
                <w:spacing w:val="-3"/>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510,336.00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-1,387,476.00</w:t>
            </w:r>
          </w:p>
        </w:tc>
      </w:tr>
      <w:tr>
        <w:trPr>
          <w:trHeight w:val="71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105" w:right="23" w:firstLine="720"/>
              <w:jc w:val="left"/>
              <w:rPr>
                <w:rFonts w:ascii="宋体" w:hAnsi="宋体" w:cs="宋体" w:eastAsia="宋体" w:hint="default"/>
                <w:sz w:val="18"/>
                <w:szCs w:val="18"/>
              </w:rPr>
            </w:pPr>
            <w:r>
              <w:rPr>
                <w:rFonts w:ascii="宋体" w:hAnsi="宋体" w:cs="宋体" w:eastAsia="宋体" w:hint="default"/>
                <w:spacing w:val="-3"/>
                <w:sz w:val="18"/>
                <w:szCs w:val="18"/>
              </w:rPr>
              <w:t>信用减值损失（损失以“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-26,805,087.22</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23" w:firstLine="720"/>
              <w:jc w:val="left"/>
              <w:rPr>
                <w:rFonts w:ascii="宋体" w:hAnsi="宋体" w:cs="宋体" w:eastAsia="宋体" w:hint="default"/>
                <w:sz w:val="18"/>
                <w:szCs w:val="18"/>
              </w:rPr>
            </w:pPr>
            <w:r>
              <w:rPr>
                <w:rFonts w:ascii="宋体" w:hAnsi="宋体" w:cs="宋体" w:eastAsia="宋体" w:hint="default"/>
                <w:spacing w:val="-3"/>
                <w:sz w:val="18"/>
                <w:szCs w:val="18"/>
              </w:rPr>
              <w:t>资产减值损失（损失以“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-22,302,621.59</w:t>
            </w: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23" w:firstLine="720"/>
              <w:jc w:val="left"/>
              <w:rPr>
                <w:rFonts w:ascii="宋体" w:hAnsi="宋体" w:cs="宋体" w:eastAsia="宋体" w:hint="default"/>
                <w:sz w:val="18"/>
                <w:szCs w:val="18"/>
              </w:rPr>
            </w:pPr>
            <w:r>
              <w:rPr>
                <w:rFonts w:ascii="宋体" w:hAnsi="宋体" w:cs="宋体" w:eastAsia="宋体" w:hint="default"/>
                <w:spacing w:val="-3"/>
                <w:sz w:val="18"/>
                <w:szCs w:val="18"/>
              </w:rPr>
              <w:t>资产处置收益（损失以“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-2,478.47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-8,992.48</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9"/>
                <w:sz w:val="18"/>
                <w:szCs w:val="18"/>
              </w:rPr>
              <w:t>三、营业利润（亏损以“－”号填列）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172,348,049.01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262,429,914.37</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153,675.77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3,555,984.28</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785,282.64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394,700.37</w:t>
            </w: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05" w:right="94"/>
              <w:jc w:val="left"/>
              <w:rPr>
                <w:rFonts w:ascii="宋体" w:hAnsi="宋体" w:cs="宋体" w:eastAsia="宋体" w:hint="default"/>
                <w:sz w:val="18"/>
                <w:szCs w:val="18"/>
              </w:rPr>
            </w:pPr>
            <w:r>
              <w:rPr>
                <w:rFonts w:ascii="宋体" w:hAnsi="宋体" w:cs="宋体" w:eastAsia="宋体" w:hint="default"/>
                <w:spacing w:val="-4"/>
                <w:sz w:val="18"/>
                <w:szCs w:val="18"/>
              </w:rPr>
              <w:t>四、利润总额（亏损总额以“－”号</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填列）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171,716,442.14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265,591,198.28</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18,993,997.75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21,153,010.52</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9"/>
                <w:sz w:val="18"/>
                <w:szCs w:val="18"/>
              </w:rPr>
              <w:t>五、净利润（净亏损以“－”号填列）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152,722,444.39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244,438,187.76</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pacing w:val="-3"/>
                <w:sz w:val="18"/>
                <w:szCs w:val="18"/>
              </w:rPr>
              <w:t>（一）按经营持续性分类</w:t>
            </w:r>
          </w:p>
        </w:tc>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105" w:right="305"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持续经营净利润（净亏损以</w:t>
            </w:r>
            <w:r>
              <w:rPr>
                <w:rFonts w:ascii="宋体" w:hAnsi="宋体" w:cs="宋体" w:eastAsia="宋体" w:hint="default"/>
                <w:w w:val="101"/>
                <w:sz w:val="18"/>
                <w:szCs w:val="18"/>
              </w:rPr>
              <w:t> </w:t>
            </w:r>
            <w:r>
              <w:rPr>
                <w:rFonts w:ascii="宋体" w:hAnsi="宋体" w:cs="宋体" w:eastAsia="宋体" w:hint="default"/>
                <w:spacing w:val="-3"/>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152,722,444.39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244,438,187.76</w:t>
            </w: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305"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终止经营净利润（净亏损以</w:t>
            </w:r>
            <w:r>
              <w:rPr>
                <w:rFonts w:ascii="宋体" w:hAnsi="宋体" w:cs="宋体" w:eastAsia="宋体" w:hint="default"/>
                <w:w w:val="101"/>
                <w:sz w:val="18"/>
                <w:szCs w:val="18"/>
              </w:rPr>
              <w:t> </w:t>
            </w:r>
            <w:r>
              <w:rPr>
                <w:rFonts w:ascii="宋体" w:hAnsi="宋体" w:cs="宋体" w:eastAsia="宋体" w:hint="default"/>
                <w:spacing w:val="-3"/>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pacing w:val="-3"/>
                <w:sz w:val="18"/>
                <w:szCs w:val="18"/>
              </w:rPr>
              <w:t>（二）按所有权归属分类</w:t>
            </w:r>
          </w:p>
        </w:tc>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归属于母公司所有者的净利润</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116,717,268.15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215,542,694.97</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少数股东损益</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36,005,176.24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28,895,492.79</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六、其他综合收益的税后净额</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12,342,106.68</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262" w:firstLine="182"/>
              <w:jc w:val="left"/>
              <w:rPr>
                <w:rFonts w:ascii="宋体" w:hAnsi="宋体" w:cs="宋体" w:eastAsia="宋体" w:hint="default"/>
                <w:sz w:val="18"/>
                <w:szCs w:val="18"/>
              </w:rPr>
            </w:pPr>
            <w:r>
              <w:rPr>
                <w:rFonts w:ascii="宋体" w:hAnsi="宋体" w:cs="宋体" w:eastAsia="宋体" w:hint="default"/>
                <w:spacing w:val="-3"/>
                <w:sz w:val="18"/>
                <w:szCs w:val="18"/>
              </w:rPr>
              <w:t>归属母公司所有者的其他综合收</w:t>
            </w:r>
            <w:r>
              <w:rPr>
                <w:rFonts w:ascii="宋体" w:hAnsi="宋体" w:cs="宋体" w:eastAsia="宋体" w:hint="default"/>
                <w:w w:val="101"/>
                <w:sz w:val="18"/>
                <w:szCs w:val="18"/>
              </w:rPr>
              <w:t> </w:t>
            </w:r>
            <w:r>
              <w:rPr>
                <w:rFonts w:ascii="宋体" w:hAnsi="宋体" w:cs="宋体" w:eastAsia="宋体" w:hint="default"/>
                <w:sz w:val="18"/>
                <w:szCs w:val="18"/>
              </w:rPr>
              <w:t>益的税后净额</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12,342,106.68</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94" w:firstLine="355"/>
              <w:jc w:val="left"/>
              <w:rPr>
                <w:rFonts w:ascii="宋体" w:hAnsi="宋体" w:cs="宋体" w:eastAsia="宋体" w:hint="default"/>
                <w:sz w:val="18"/>
                <w:szCs w:val="18"/>
              </w:rPr>
            </w:pPr>
            <w:r>
              <w:rPr>
                <w:rFonts w:ascii="宋体" w:hAnsi="宋体" w:cs="宋体" w:eastAsia="宋体" w:hint="default"/>
                <w:spacing w:val="-3"/>
                <w:sz w:val="18"/>
                <w:szCs w:val="18"/>
              </w:rPr>
              <w:t>（一）不能重分类进损益的其他</w:t>
            </w:r>
            <w:r>
              <w:rPr>
                <w:rFonts w:ascii="宋体" w:hAnsi="宋体" w:cs="宋体" w:eastAsia="宋体" w:hint="default"/>
                <w:w w:val="101"/>
                <w:sz w:val="18"/>
                <w:szCs w:val="18"/>
              </w:rPr>
              <w:t> </w:t>
            </w:r>
            <w:r>
              <w:rPr>
                <w:rFonts w:ascii="宋体" w:hAnsi="宋体" w:cs="宋体" w:eastAsia="宋体" w:hint="default"/>
                <w:sz w:val="18"/>
                <w:szCs w:val="18"/>
              </w:rPr>
              <w:t>综合收益</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12,342,106.68</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22"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权益法下不能转损益的</w:t>
            </w:r>
            <w:r>
              <w:rPr>
                <w:rFonts w:ascii="宋体" w:hAnsi="宋体" w:cs="宋体" w:eastAsia="宋体" w:hint="default"/>
                <w:w w:val="101"/>
                <w:sz w:val="18"/>
                <w:szCs w:val="18"/>
              </w:rPr>
              <w:t> </w:t>
            </w:r>
            <w:r>
              <w:rPr>
                <w:rFonts w:ascii="宋体" w:hAnsi="宋体" w:cs="宋体" w:eastAsia="宋体" w:hint="default"/>
                <w:sz w:val="18"/>
                <w:szCs w:val="18"/>
              </w:rPr>
              <w:t>其他综合收益</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4"/>
          <w:pgSz w:w="11910" w:h="16840"/>
          <w:pgMar w:footer="1022" w:header="906" w:top="1100" w:bottom="1220" w:left="1020" w:right="0"/>
          <w:pgNumType w:start="10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083"/>
        <w:gridCol w:w="3208"/>
        <w:gridCol w:w="3279"/>
      </w:tblGrid>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12,342,106.68</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94" w:firstLine="355"/>
              <w:jc w:val="left"/>
              <w:rPr>
                <w:rFonts w:ascii="宋体" w:hAnsi="宋体" w:cs="宋体" w:eastAsia="宋体" w:hint="default"/>
                <w:sz w:val="18"/>
                <w:szCs w:val="18"/>
              </w:rPr>
            </w:pPr>
            <w:r>
              <w:rPr>
                <w:rFonts w:ascii="宋体" w:hAnsi="宋体" w:cs="宋体" w:eastAsia="宋体" w:hint="default"/>
                <w:spacing w:val="-3"/>
                <w:sz w:val="18"/>
                <w:szCs w:val="18"/>
              </w:rPr>
              <w:t>（二）将重分类进损益的其他综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05" w:right="122"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可供出售金融资产公允</w:t>
            </w:r>
            <w:r>
              <w:rPr>
                <w:rFonts w:ascii="宋体" w:hAnsi="宋体" w:cs="宋体" w:eastAsia="宋体" w:hint="default"/>
                <w:w w:val="101"/>
                <w:sz w:val="18"/>
                <w:szCs w:val="18"/>
              </w:rPr>
              <w:t> </w:t>
            </w:r>
            <w:r>
              <w:rPr>
                <w:rFonts w:ascii="宋体" w:hAnsi="宋体" w:cs="宋体" w:eastAsia="宋体" w:hint="default"/>
                <w:sz w:val="18"/>
                <w:szCs w:val="18"/>
              </w:rPr>
              <w:t>价值变动损益</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122"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金融资产重分类计入其</w:t>
            </w:r>
            <w:r>
              <w:rPr>
                <w:rFonts w:ascii="宋体" w:hAnsi="宋体" w:cs="宋体" w:eastAsia="宋体" w:hint="default"/>
                <w:w w:val="101"/>
                <w:sz w:val="18"/>
                <w:szCs w:val="18"/>
              </w:rPr>
              <w:t> </w:t>
            </w:r>
            <w:r>
              <w:rPr>
                <w:rFonts w:ascii="宋体" w:hAnsi="宋体" w:cs="宋体" w:eastAsia="宋体" w:hint="default"/>
                <w:sz w:val="18"/>
                <w:szCs w:val="18"/>
              </w:rPr>
              <w:t>他综合收益的金额</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22"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持有至到期投资重分类</w:t>
            </w:r>
            <w:r>
              <w:rPr>
                <w:rFonts w:ascii="宋体" w:hAnsi="宋体" w:cs="宋体" w:eastAsia="宋体" w:hint="default"/>
                <w:w w:val="101"/>
                <w:sz w:val="18"/>
                <w:szCs w:val="18"/>
              </w:rPr>
              <w:t> </w:t>
            </w:r>
            <w:r>
              <w:rPr>
                <w:rFonts w:ascii="宋体" w:hAnsi="宋体" w:cs="宋体" w:eastAsia="宋体" w:hint="default"/>
                <w:spacing w:val="-3"/>
                <w:sz w:val="18"/>
                <w:szCs w:val="18"/>
              </w:rPr>
              <w:t>为可供出售金融资产损益</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262" w:firstLine="182"/>
              <w:jc w:val="left"/>
              <w:rPr>
                <w:rFonts w:ascii="宋体" w:hAnsi="宋体" w:cs="宋体" w:eastAsia="宋体" w:hint="default"/>
                <w:sz w:val="18"/>
                <w:szCs w:val="18"/>
              </w:rPr>
            </w:pPr>
            <w:r>
              <w:rPr>
                <w:rFonts w:ascii="宋体" w:hAnsi="宋体" w:cs="宋体" w:eastAsia="宋体" w:hint="default"/>
                <w:spacing w:val="-3"/>
                <w:sz w:val="18"/>
                <w:szCs w:val="18"/>
              </w:rPr>
              <w:t>归属于少数股东的其他综合收益</w:t>
            </w:r>
            <w:r>
              <w:rPr>
                <w:rFonts w:ascii="宋体" w:hAnsi="宋体" w:cs="宋体" w:eastAsia="宋体" w:hint="default"/>
                <w:w w:val="101"/>
                <w:sz w:val="18"/>
                <w:szCs w:val="18"/>
              </w:rPr>
              <w:t> </w:t>
            </w:r>
            <w:r>
              <w:rPr>
                <w:rFonts w:ascii="宋体" w:hAnsi="宋体" w:cs="宋体" w:eastAsia="宋体" w:hint="default"/>
                <w:sz w:val="18"/>
                <w:szCs w:val="18"/>
              </w:rPr>
              <w:t>的税后净额</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165,064,551.07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244,438,187.76</w:t>
            </w: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05" w:right="262" w:firstLine="36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归属于母公司所有者的综合收</w:t>
            </w:r>
            <w:r>
              <w:rPr>
                <w:rFonts w:ascii="宋体" w:hAnsi="宋体" w:cs="宋体" w:eastAsia="宋体" w:hint="default"/>
                <w:w w:val="101"/>
                <w:sz w:val="18"/>
                <w:szCs w:val="18"/>
              </w:rPr>
              <w:t> </w:t>
            </w:r>
            <w:r>
              <w:rPr>
                <w:rFonts w:ascii="宋体" w:hAnsi="宋体" w:cs="宋体" w:eastAsia="宋体" w:hint="default"/>
                <w:sz w:val="18"/>
                <w:szCs w:val="18"/>
              </w:rPr>
              <w:t>益总额</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129,059,374.83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215,542,694.97</w:t>
            </w: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归属于少数股东的综合收益总</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36,005,176.24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28,895,492.79</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八、每股收益：</w:t>
            </w:r>
          </w:p>
        </w:tc>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z w:val="18"/>
              </w:rPr>
              <w:t>0.18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z w:val="18"/>
              </w:rPr>
              <w:t>0.34</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0.18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0.34</w:t>
            </w:r>
          </w:p>
        </w:tc>
      </w:tr>
    </w:tbl>
    <w:p>
      <w:pPr>
        <w:tabs>
          <w:tab w:pos="3445" w:val="left" w:leader="none"/>
          <w:tab w:pos="7680" w:val="left" w:leader="none"/>
        </w:tabs>
        <w:spacing w:line="609" w:lineRule="auto" w:before="53"/>
        <w:ind w:left="113" w:right="1218" w:firstLine="0"/>
        <w:jc w:val="left"/>
        <w:rPr>
          <w:rFonts w:ascii="宋体" w:hAnsi="宋体" w:cs="宋体" w:eastAsia="宋体" w:hint="default"/>
          <w:sz w:val="21"/>
          <w:szCs w:val="21"/>
        </w:rPr>
      </w:pPr>
      <w:r>
        <w:rPr>
          <w:rFonts w:ascii="宋体" w:hAnsi="宋体" w:cs="宋体" w:eastAsia="宋体" w:hint="default"/>
          <w:spacing w:val="-3"/>
          <w:sz w:val="18"/>
          <w:szCs w:val="18"/>
        </w:rPr>
        <w:t>本期发生同一控制下企业合并的，被合并方在合并前实现的净利润为：元，上期被合并方实现的净利润为：元。</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2"/>
          <w:sz w:val="18"/>
          <w:szCs w:val="18"/>
        </w:rPr>
        <w:t>法定代表人：陈友</w:t>
        <w:tab/>
      </w:r>
      <w:r>
        <w:rPr>
          <w:rFonts w:ascii="宋体" w:hAnsi="宋体" w:cs="宋体" w:eastAsia="宋体" w:hint="default"/>
          <w:spacing w:val="-3"/>
          <w:sz w:val="18"/>
          <w:szCs w:val="18"/>
        </w:rPr>
        <w:t>主管会计工作负责人：钱文胜</w:t>
        <w:tab/>
        <w:t>会计机构负责人：章菁菁</w:t>
      </w:r>
      <w:r>
        <w:rPr>
          <w:rFonts w:ascii="宋体" w:hAnsi="宋体" w:cs="宋体" w:eastAsia="宋体" w:hint="default"/>
          <w:spacing w:val="-56"/>
          <w:sz w:val="18"/>
          <w:szCs w:val="18"/>
        </w:rPr>
        <w:t> </w:t>
      </w:r>
      <w:r>
        <w:rPr>
          <w:rFonts w:ascii="宋体" w:hAnsi="宋体" w:cs="宋体" w:eastAsia="宋体" w:hint="default"/>
          <w:spacing w:val="-56"/>
          <w:sz w:val="18"/>
          <w:szCs w:val="18"/>
        </w:rPr>
      </w:r>
      <w:bookmarkStart w:name="4、母公司利润表" w:id="161"/>
      <w:bookmarkEnd w:id="161"/>
      <w:r>
        <w:rPr>
          <w:rFonts w:ascii="宋体" w:hAnsi="宋体" w:cs="宋体" w:eastAsia="宋体" w:hint="default"/>
          <w:spacing w:val="-56"/>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line="231" w:lineRule="exact" w:before="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after="0" w:line="231" w:lineRule="exact"/>
        <w:jc w:val="righ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864,432,456.32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861,921,693.47</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688,895,686.30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647,708,835.85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691,099.15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897,327.14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44,584,256.55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60,974,947.83</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42,079,080.82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41,006,740.67</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826"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62,528,899.91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58,846,590.28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14,794,977.00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3,389,435.04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84"/>
              <w:jc w:val="righ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37,537,889.45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33,497,513.29</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84"/>
              <w:jc w:val="right"/>
              <w:rPr>
                <w:rFonts w:ascii="宋体" w:hAnsi="宋体" w:cs="宋体" w:eastAsia="宋体" w:hint="default"/>
                <w:sz w:val="18"/>
                <w:szCs w:val="18"/>
              </w:rPr>
            </w:pPr>
            <w:r>
              <w:rPr>
                <w:rFonts w:ascii="宋体" w:hAnsi="宋体" w:cs="宋体" w:eastAsia="宋体" w:hint="default"/>
                <w:spacing w:val="-2"/>
                <w:sz w:val="18"/>
                <w:szCs w:val="18"/>
              </w:rPr>
              <w:t>利息收入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22,433,209.85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30,404,353.82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11,509,509.29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12,586,840.75</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05" w:right="146" w:firstLine="720"/>
              <w:jc w:val="left"/>
              <w:rPr>
                <w:rFonts w:ascii="宋体" w:hAnsi="宋体" w:cs="宋体" w:eastAsia="宋体" w:hint="default"/>
                <w:sz w:val="18"/>
                <w:szCs w:val="18"/>
              </w:rPr>
            </w:pPr>
            <w:r>
              <w:rPr>
                <w:rFonts w:ascii="宋体" w:hAnsi="宋体" w:cs="宋体" w:eastAsia="宋体" w:hint="default"/>
                <w:spacing w:val="-3"/>
                <w:sz w:val="18"/>
                <w:szCs w:val="18"/>
              </w:rPr>
              <w:t>投资收益（损失以“－”</w:t>
            </w:r>
            <w:r>
              <w:rPr>
                <w:rFonts w:ascii="宋体" w:hAnsi="宋体" w:cs="宋体" w:eastAsia="宋体" w:hint="default"/>
                <w:w w:val="101"/>
                <w:sz w:val="18"/>
                <w:szCs w:val="18"/>
              </w:rPr>
              <w:t> </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7,426,421.36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39,980,719.69</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6"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w:t>
            </w:r>
            <w:r>
              <w:rPr>
                <w:rFonts w:ascii="宋体" w:hAnsi="宋体" w:cs="宋体" w:eastAsia="宋体" w:hint="default"/>
                <w:w w:val="101"/>
                <w:sz w:val="18"/>
                <w:szCs w:val="18"/>
              </w:rPr>
              <w:t> </w:t>
            </w:r>
            <w:r>
              <w:rPr>
                <w:rFonts w:ascii="宋体" w:hAnsi="宋体" w:cs="宋体" w:eastAsia="宋体" w:hint="default"/>
                <w:spacing w:val="-3"/>
                <w:sz w:val="18"/>
                <w:szCs w:val="18"/>
              </w:rPr>
              <w:t>企业的投资收益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3"/>
                <w:sz w:val="18"/>
              </w:rPr>
              <w:t>6,111,719.75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1,479,266.20</w:t>
            </w:r>
          </w:p>
        </w:tc>
      </w:tr>
      <w:tr>
        <w:trPr>
          <w:trHeight w:val="10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05" w:right="84" w:firstLine="1080"/>
              <w:jc w:val="left"/>
              <w:rPr>
                <w:rFonts w:ascii="宋体" w:hAnsi="宋体" w:cs="宋体" w:eastAsia="宋体" w:hint="default"/>
                <w:sz w:val="18"/>
                <w:szCs w:val="18"/>
              </w:rPr>
            </w:pPr>
            <w:r>
              <w:rPr>
                <w:rFonts w:ascii="宋体" w:hAnsi="宋体" w:cs="宋体" w:eastAsia="宋体" w:hint="default"/>
                <w:spacing w:val="-3"/>
                <w:sz w:val="18"/>
                <w:szCs w:val="18"/>
              </w:rPr>
              <w:t>以摊余成本计量的金</w:t>
            </w:r>
            <w:r>
              <w:rPr>
                <w:rFonts w:ascii="宋体" w:hAnsi="宋体" w:cs="宋体" w:eastAsia="宋体" w:hint="default"/>
                <w:w w:val="101"/>
                <w:sz w:val="18"/>
                <w:szCs w:val="18"/>
              </w:rPr>
              <w:t> </w:t>
            </w:r>
            <w:r>
              <w:rPr>
                <w:rFonts w:ascii="宋体" w:hAnsi="宋体" w:cs="宋体" w:eastAsia="宋体" w:hint="default"/>
                <w:spacing w:val="-3"/>
                <w:sz w:val="18"/>
                <w:szCs w:val="18"/>
              </w:rPr>
              <w:t>融资产终止确认收益（损失以“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40"/>
                <w:sz w:val="18"/>
                <w:szCs w:val="18"/>
              </w:rPr>
              <w:t> </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146" w:firstLine="720"/>
              <w:jc w:val="left"/>
              <w:rPr>
                <w:rFonts w:ascii="宋体" w:hAnsi="宋体" w:cs="宋体" w:eastAsia="宋体" w:hint="default"/>
                <w:sz w:val="18"/>
                <w:szCs w:val="18"/>
              </w:rPr>
            </w:pPr>
            <w:r>
              <w:rPr>
                <w:rFonts w:ascii="宋体" w:hAnsi="宋体" w:cs="宋体" w:eastAsia="宋体" w:hint="default"/>
                <w:spacing w:val="-3"/>
                <w:sz w:val="18"/>
                <w:szCs w:val="18"/>
              </w:rPr>
              <w:t>净敞口套期收益（损失以</w:t>
            </w:r>
            <w:r>
              <w:rPr>
                <w:rFonts w:ascii="宋体" w:hAnsi="宋体" w:cs="宋体" w:eastAsia="宋体" w:hint="default"/>
                <w:w w:val="101"/>
                <w:sz w:val="18"/>
                <w:szCs w:val="18"/>
              </w:rPr>
              <w:t> </w:t>
            </w:r>
            <w:r>
              <w:rPr>
                <w:rFonts w:ascii="宋体" w:hAnsi="宋体" w:cs="宋体" w:eastAsia="宋体" w:hint="default"/>
                <w:spacing w:val="-3"/>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05" w:right="146" w:firstLine="72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w:t>
            </w:r>
            <w:r>
              <w:rPr>
                <w:rFonts w:ascii="宋体" w:hAnsi="宋体" w:cs="宋体" w:eastAsia="宋体" w:hint="default"/>
                <w:w w:val="101"/>
                <w:sz w:val="18"/>
                <w:szCs w:val="18"/>
              </w:rPr>
              <w:t> </w:t>
            </w:r>
            <w:r>
              <w:rPr>
                <w:rFonts w:ascii="宋体" w:hAnsi="宋体" w:cs="宋体" w:eastAsia="宋体" w:hint="default"/>
                <w:sz w:val="18"/>
                <w:szCs w:val="18"/>
              </w:rPr>
              <w:t>以“－”号填列）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 w:firstLine="720"/>
              <w:jc w:val="left"/>
              <w:rPr>
                <w:rFonts w:ascii="宋体" w:hAnsi="宋体" w:cs="宋体" w:eastAsia="宋体" w:hint="default"/>
                <w:sz w:val="18"/>
                <w:szCs w:val="18"/>
              </w:rPr>
            </w:pPr>
            <w:r>
              <w:rPr>
                <w:rFonts w:ascii="宋体" w:hAnsi="宋体" w:cs="宋体" w:eastAsia="宋体" w:hint="default"/>
                <w:spacing w:val="-10"/>
                <w:sz w:val="18"/>
                <w:szCs w:val="18"/>
              </w:rPr>
              <w:t>信用减值损失（损失以“</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-19,118,397.10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 w:firstLine="720"/>
              <w:jc w:val="left"/>
              <w:rPr>
                <w:rFonts w:ascii="宋体" w:hAnsi="宋体" w:cs="宋体" w:eastAsia="宋体" w:hint="default"/>
                <w:sz w:val="18"/>
                <w:szCs w:val="18"/>
              </w:rPr>
            </w:pPr>
            <w:r>
              <w:rPr>
                <w:rFonts w:ascii="宋体" w:hAnsi="宋体" w:cs="宋体" w:eastAsia="宋体" w:hint="default"/>
                <w:spacing w:val="-10"/>
                <w:sz w:val="18"/>
                <w:szCs w:val="18"/>
              </w:rPr>
              <w:t>资产减值损失（损失以“</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-9,329,747.35</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05" w:right="2" w:firstLine="720"/>
              <w:jc w:val="left"/>
              <w:rPr>
                <w:rFonts w:ascii="宋体" w:hAnsi="宋体" w:cs="宋体" w:eastAsia="宋体" w:hint="default"/>
                <w:sz w:val="18"/>
                <w:szCs w:val="18"/>
              </w:rPr>
            </w:pPr>
            <w:r>
              <w:rPr>
                <w:rFonts w:ascii="宋体" w:hAnsi="宋体" w:cs="宋体" w:eastAsia="宋体" w:hint="default"/>
                <w:spacing w:val="-10"/>
                <w:sz w:val="18"/>
                <w:szCs w:val="18"/>
              </w:rPr>
              <w:t>资产处置收益（损失以“</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2,607.94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2,230.00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47"/>
              <w:jc w:val="left"/>
              <w:rPr>
                <w:rFonts w:ascii="宋体" w:hAnsi="宋体" w:cs="宋体" w:eastAsia="宋体" w:hint="default"/>
                <w:sz w:val="18"/>
                <w:szCs w:val="18"/>
              </w:rPr>
            </w:pPr>
            <w:r>
              <w:rPr>
                <w:rFonts w:ascii="宋体" w:hAnsi="宋体" w:cs="宋体" w:eastAsia="宋体" w:hint="default"/>
                <w:spacing w:val="-3"/>
                <w:sz w:val="18"/>
                <w:szCs w:val="18"/>
              </w:rPr>
              <w:t>二、营业利润（亏损以“－”号填</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10,678,598.08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92,337,859.75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19,302.31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1,067,502.80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346,282.71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373,044.71</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147"/>
              <w:jc w:val="left"/>
              <w:rPr>
                <w:rFonts w:ascii="宋体" w:hAnsi="宋体" w:cs="宋体" w:eastAsia="宋体" w:hint="default"/>
                <w:sz w:val="18"/>
                <w:szCs w:val="18"/>
              </w:rPr>
            </w:pPr>
            <w:r>
              <w:rPr>
                <w:rFonts w:ascii="宋体" w:hAnsi="宋体" w:cs="宋体" w:eastAsia="宋体" w:hint="default"/>
                <w:spacing w:val="-3"/>
                <w:sz w:val="18"/>
                <w:szCs w:val="18"/>
              </w:rPr>
              <w:t>三、利润总额（亏损总额以“－”</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10,351,617.68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93,032,317.84</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-2,064,191.02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-611,495.14</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7"/>
              <w:jc w:val="left"/>
              <w:rPr>
                <w:rFonts w:ascii="宋体" w:hAnsi="宋体" w:cs="宋体" w:eastAsia="宋体" w:hint="default"/>
                <w:sz w:val="18"/>
                <w:szCs w:val="18"/>
              </w:rPr>
            </w:pPr>
            <w:r>
              <w:rPr>
                <w:rFonts w:ascii="宋体" w:hAnsi="宋体" w:cs="宋体" w:eastAsia="宋体" w:hint="default"/>
                <w:spacing w:val="-3"/>
                <w:sz w:val="18"/>
                <w:szCs w:val="18"/>
              </w:rPr>
              <w:t>四、净利润（净亏损以“－”号填</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12,415,808.70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93,643,812.98</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（一）持续经营净利润（净亏</w:t>
            </w:r>
            <w:r>
              <w:rPr>
                <w:rFonts w:ascii="宋体" w:hAnsi="宋体" w:cs="宋体" w:eastAsia="宋体" w:hint="default"/>
                <w:w w:val="101"/>
                <w:sz w:val="18"/>
                <w:szCs w:val="18"/>
              </w:rPr>
              <w:t> </w:t>
            </w:r>
            <w:r>
              <w:rPr>
                <w:rFonts w:ascii="宋体" w:hAnsi="宋体" w:cs="宋体" w:eastAsia="宋体" w:hint="default"/>
                <w:spacing w:val="-3"/>
                <w:sz w:val="18"/>
                <w:szCs w:val="18"/>
              </w:rPr>
              <w:t>损以“－”号填列）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12,415,808.70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93,643,812.98</w:t>
            </w: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（二）终止经营净利润（净亏</w:t>
            </w:r>
            <w:r>
              <w:rPr>
                <w:rFonts w:ascii="宋体" w:hAnsi="宋体" w:cs="宋体" w:eastAsia="宋体" w:hint="default"/>
                <w:w w:val="101"/>
                <w:sz w:val="18"/>
                <w:szCs w:val="18"/>
              </w:rPr>
              <w:t> </w:t>
            </w:r>
            <w:r>
              <w:rPr>
                <w:rFonts w:ascii="宋体" w:hAnsi="宋体" w:cs="宋体" w:eastAsia="宋体" w:hint="default"/>
                <w:spacing w:val="-3"/>
                <w:sz w:val="18"/>
                <w:szCs w:val="18"/>
              </w:rPr>
              <w:t>损以“－”号填列）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五、其他综合收益的税后净额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（一）不能重分类进损益的其</w:t>
            </w:r>
            <w:r>
              <w:rPr>
                <w:rFonts w:ascii="宋体" w:hAnsi="宋体" w:cs="宋体" w:eastAsia="宋体" w:hint="default"/>
                <w:w w:val="101"/>
                <w:sz w:val="18"/>
                <w:szCs w:val="18"/>
              </w:rPr>
              <w:t> </w:t>
            </w:r>
            <w:r>
              <w:rPr>
                <w:rFonts w:ascii="宋体" w:hAnsi="宋体" w:cs="宋体" w:eastAsia="宋体" w:hint="default"/>
                <w:sz w:val="18"/>
                <w:szCs w:val="18"/>
              </w:rPr>
              <w:t>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重新计量设定受益计</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划变动额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90"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权益法下不能转损益</w:t>
            </w:r>
            <w:r>
              <w:rPr>
                <w:rFonts w:ascii="宋体" w:hAnsi="宋体" w:cs="宋体" w:eastAsia="宋体" w:hint="default"/>
                <w:w w:val="101"/>
                <w:sz w:val="18"/>
                <w:szCs w:val="18"/>
              </w:rPr>
              <w:t> </w:t>
            </w:r>
            <w:r>
              <w:rPr>
                <w:rFonts w:ascii="宋体" w:hAnsi="宋体" w:cs="宋体" w:eastAsia="宋体" w:hint="default"/>
                <w:spacing w:val="-3"/>
                <w:sz w:val="18"/>
                <w:szCs w:val="18"/>
              </w:rPr>
              <w:t>的其他综合收益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0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其他权益工具投资公</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允价值变动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企业自身信用风险公</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允价值变动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39"/>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（二）将重分类进损益的其他</w:t>
            </w:r>
            <w:r>
              <w:rPr>
                <w:rFonts w:ascii="宋体" w:hAnsi="宋体" w:cs="宋体" w:eastAsia="宋体" w:hint="default"/>
                <w:w w:val="101"/>
                <w:sz w:val="18"/>
                <w:szCs w:val="18"/>
              </w:rPr>
              <w:t> </w:t>
            </w:r>
            <w:r>
              <w:rPr>
                <w:rFonts w:ascii="宋体" w:hAnsi="宋体" w:cs="宋体" w:eastAsia="宋体" w:hint="default"/>
                <w:sz w:val="18"/>
                <w:szCs w:val="18"/>
              </w:rPr>
              <w:t>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05" w:right="190"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权益法下可转损益的</w:t>
            </w:r>
            <w:r>
              <w:rPr>
                <w:rFonts w:ascii="宋体" w:hAnsi="宋体" w:cs="宋体" w:eastAsia="宋体" w:hint="default"/>
                <w:w w:val="101"/>
                <w:sz w:val="18"/>
                <w:szCs w:val="18"/>
              </w:rPr>
              <w:t> </w:t>
            </w:r>
            <w:r>
              <w:rPr>
                <w:rFonts w:ascii="宋体" w:hAnsi="宋体" w:cs="宋体" w:eastAsia="宋体" w:hint="default"/>
                <w:sz w:val="18"/>
                <w:szCs w:val="18"/>
              </w:rPr>
              <w:t>其他综合收益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其他债权投资公允价</w:t>
            </w:r>
          </w:p>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90"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可供出售金融资产公</w:t>
            </w:r>
            <w:r>
              <w:rPr>
                <w:rFonts w:ascii="宋体" w:hAnsi="宋体" w:cs="宋体" w:eastAsia="宋体" w:hint="default"/>
                <w:w w:val="101"/>
                <w:sz w:val="18"/>
                <w:szCs w:val="18"/>
              </w:rPr>
              <w:t> </w:t>
            </w:r>
            <w:r>
              <w:rPr>
                <w:rFonts w:ascii="宋体" w:hAnsi="宋体" w:cs="宋体" w:eastAsia="宋体" w:hint="default"/>
                <w:spacing w:val="-3"/>
                <w:sz w:val="18"/>
                <w:szCs w:val="18"/>
              </w:rPr>
              <w:t>允价值变动损益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90"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金融资产重分类计入</w:t>
            </w:r>
            <w:r>
              <w:rPr>
                <w:rFonts w:ascii="宋体" w:hAnsi="宋体" w:cs="宋体" w:eastAsia="宋体" w:hint="default"/>
                <w:w w:val="101"/>
                <w:sz w:val="18"/>
                <w:szCs w:val="18"/>
              </w:rPr>
              <w:t> </w:t>
            </w:r>
            <w:r>
              <w:rPr>
                <w:rFonts w:ascii="宋体" w:hAnsi="宋体" w:cs="宋体" w:eastAsia="宋体" w:hint="default"/>
                <w:spacing w:val="-3"/>
                <w:sz w:val="18"/>
                <w:szCs w:val="18"/>
              </w:rPr>
              <w:t>其他综合收益的金额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9"/>
              <w:ind w:left="105" w:right="190"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持有至到期投资重分</w:t>
            </w:r>
            <w:r>
              <w:rPr>
                <w:rFonts w:ascii="宋体" w:hAnsi="宋体" w:cs="宋体" w:eastAsia="宋体" w:hint="default"/>
                <w:w w:val="101"/>
                <w:sz w:val="18"/>
                <w:szCs w:val="18"/>
              </w:rPr>
              <w:t> </w:t>
            </w:r>
            <w:r>
              <w:rPr>
                <w:rFonts w:ascii="宋体" w:hAnsi="宋体" w:cs="宋体" w:eastAsia="宋体" w:hint="default"/>
                <w:spacing w:val="-3"/>
                <w:sz w:val="18"/>
                <w:szCs w:val="18"/>
              </w:rPr>
              <w:t>类为可供出售金融资产损益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其他债权投资信用减</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值准备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外币财务报表折算差</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439"/>
              <w:jc w:val="center"/>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12,415,808.70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93,643,812.98</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七、每股收益：</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0"/>
        <w:rPr>
          <w:rFonts w:ascii="Times New Roman" w:hAnsi="Times New Roman" w:cs="Times New Roman" w:eastAsia="Times New Roman" w:hint="default"/>
          <w:sz w:val="25"/>
          <w:szCs w:val="25"/>
        </w:rPr>
      </w:pPr>
    </w:p>
    <w:p>
      <w:pPr>
        <w:pStyle w:val="Heading3"/>
        <w:spacing w:line="240" w:lineRule="auto" w:before="36"/>
        <w:ind w:right="1764"/>
        <w:jc w:val="left"/>
        <w:rPr>
          <w:b w:val="0"/>
          <w:bCs w:val="0"/>
        </w:rPr>
      </w:pPr>
      <w:bookmarkStart w:name="5、合并现金流量表" w:id="162"/>
      <w:bookmarkEnd w:id="162"/>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销售商品、提供劳务收到的现</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4,892,919,826.21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4,039,312,621.37</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客户存款和同业存放款项净增</w:t>
            </w:r>
            <w:r>
              <w:rPr>
                <w:rFonts w:ascii="宋体" w:hAnsi="宋体" w:cs="宋体" w:eastAsia="宋体" w:hint="default"/>
                <w:w w:val="101"/>
                <w:sz w:val="18"/>
                <w:szCs w:val="18"/>
              </w:rPr>
              <w:t> </w:t>
            </w:r>
            <w:r>
              <w:rPr>
                <w:rFonts w:ascii="宋体" w:hAnsi="宋体" w:cs="宋体" w:eastAsia="宋体" w:hint="default"/>
                <w:sz w:val="18"/>
                <w:szCs w:val="18"/>
              </w:rPr>
              <w:t>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向其他金融机构拆入资金净增</w:t>
            </w:r>
            <w:r>
              <w:rPr>
                <w:rFonts w:ascii="宋体" w:hAnsi="宋体" w:cs="宋体" w:eastAsia="宋体" w:hint="default"/>
                <w:w w:val="101"/>
                <w:sz w:val="18"/>
                <w:szCs w:val="18"/>
              </w:rPr>
              <w:t> </w:t>
            </w:r>
            <w:r>
              <w:rPr>
                <w:rFonts w:ascii="宋体" w:hAnsi="宋体" w:cs="宋体" w:eastAsia="宋体" w:hint="default"/>
                <w:sz w:val="18"/>
                <w:szCs w:val="18"/>
              </w:rPr>
              <w:t>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收到原保险合同保费取得的现</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保户储金及投资款净增加额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收取利息、手续费及佣金的现</w:t>
            </w:r>
          </w:p>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7"/>
              <w:jc w:val="right"/>
              <w:rPr>
                <w:rFonts w:ascii="宋体" w:hAnsi="宋体" w:cs="宋体" w:eastAsia="宋体" w:hint="default"/>
                <w:sz w:val="18"/>
                <w:szCs w:val="18"/>
              </w:rPr>
            </w:pPr>
            <w:r>
              <w:rPr>
                <w:rFonts w:ascii="宋体" w:hAnsi="宋体" w:cs="宋体" w:eastAsia="宋体" w:hint="default"/>
                <w:spacing w:val="-3"/>
                <w:sz w:val="18"/>
                <w:szCs w:val="18"/>
              </w:rPr>
              <w:t>代理买卖证券收到的现金净额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25,946,201.86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27,481,698.36</w:t>
            </w: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146,107,857.66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68,293,474.94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5,064,973,885.73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4,135,087,794.67</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购买商品、接受劳务支付的现</w:t>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3,974,803,188.23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3,172,653,558.01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客户贷款及垫款净增加额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存放中央银行和同业款项净增</w:t>
            </w:r>
            <w:r>
              <w:rPr>
                <w:rFonts w:ascii="宋体" w:hAnsi="宋体" w:cs="宋体" w:eastAsia="宋体" w:hint="default"/>
                <w:w w:val="101"/>
                <w:sz w:val="18"/>
                <w:szCs w:val="18"/>
              </w:rPr>
              <w:t> </w:t>
            </w:r>
            <w:r>
              <w:rPr>
                <w:rFonts w:ascii="宋体" w:hAnsi="宋体" w:cs="宋体" w:eastAsia="宋体" w:hint="default"/>
                <w:sz w:val="18"/>
                <w:szCs w:val="18"/>
              </w:rPr>
              <w:t>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支付原保险合同赔付款项的现</w:t>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支付利息、手续费及佣金的现</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支付保单红利的现金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147"/>
              <w:jc w:val="righ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981,944,971.18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776,086,017.88</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36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115,266,821.63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88,764,138.54</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w:t>
            </w:r>
          </w:p>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355,441,970.29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191,586,359.45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5,427,456,951.33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4,229,090,073.88</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-362,483,065.60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-94,002,279.21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1,034,091.70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407,974.00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13,290.00</w:t>
            </w: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w:t>
            </w:r>
            <w:r>
              <w:rPr>
                <w:rFonts w:ascii="宋体" w:hAnsi="宋体" w:cs="宋体" w:eastAsia="宋体" w:hint="default"/>
                <w:w w:val="101"/>
                <w:sz w:val="18"/>
                <w:szCs w:val="18"/>
              </w:rPr>
              <w:t> </w:t>
            </w:r>
            <w:r>
              <w:rPr>
                <w:rFonts w:ascii="宋体" w:hAnsi="宋体" w:cs="宋体" w:eastAsia="宋体" w:hint="default"/>
                <w:spacing w:val="-3"/>
                <w:sz w:val="18"/>
                <w:szCs w:val="18"/>
              </w:rPr>
              <w:t>他长期资产收回的现金净额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204,950.62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44,967.00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w:t>
            </w:r>
            <w:r>
              <w:rPr>
                <w:rFonts w:ascii="宋体" w:hAnsi="宋体" w:cs="宋体" w:eastAsia="宋体" w:hint="default"/>
                <w:w w:val="101"/>
                <w:sz w:val="18"/>
                <w:szCs w:val="18"/>
              </w:rPr>
              <w:t> </w:t>
            </w:r>
            <w:r>
              <w:rPr>
                <w:rFonts w:ascii="宋体" w:hAnsi="宋体" w:cs="宋体" w:eastAsia="宋体" w:hint="default"/>
                <w:sz w:val="18"/>
                <w:szCs w:val="18"/>
              </w:rPr>
              <w:t>到的现金净额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2,957,181.78</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w:t>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4,604,198.10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58,257.00</w:t>
            </w: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w:t>
            </w:r>
            <w:r>
              <w:rPr>
                <w:rFonts w:ascii="宋体" w:hAnsi="宋体" w:cs="宋体" w:eastAsia="宋体" w:hint="default"/>
                <w:w w:val="101"/>
                <w:sz w:val="18"/>
                <w:szCs w:val="18"/>
              </w:rPr>
              <w:t> </w:t>
            </w:r>
            <w:r>
              <w:rPr>
                <w:rFonts w:ascii="宋体" w:hAnsi="宋体" w:cs="宋体" w:eastAsia="宋体" w:hint="default"/>
                <w:sz w:val="18"/>
                <w:szCs w:val="18"/>
              </w:rPr>
              <w:t>他长期资产支付的现金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142,978,522.77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155,596,078.49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8,557,600.00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22,113,043.08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w:t>
            </w:r>
            <w:r>
              <w:rPr>
                <w:rFonts w:ascii="宋体" w:hAnsi="宋体" w:cs="宋体" w:eastAsia="宋体" w:hint="default"/>
                <w:w w:val="101"/>
                <w:sz w:val="18"/>
                <w:szCs w:val="18"/>
              </w:rPr>
              <w:t> </w:t>
            </w:r>
            <w:r>
              <w:rPr>
                <w:rFonts w:ascii="宋体" w:hAnsi="宋体" w:cs="宋体" w:eastAsia="宋体" w:hint="default"/>
                <w:sz w:val="18"/>
                <w:szCs w:val="18"/>
              </w:rPr>
              <w:t>付的现金净额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151,536,122.77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177,709,121.57</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-146,931,924.67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-177,650,864.57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31,500,000.00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其中：子公司吸收少数股东投</w:t>
            </w:r>
            <w:r>
              <w:rPr>
                <w:rFonts w:ascii="宋体" w:hAnsi="宋体" w:cs="宋体" w:eastAsia="宋体" w:hint="default"/>
                <w:w w:val="101"/>
                <w:sz w:val="18"/>
                <w:szCs w:val="18"/>
              </w:rPr>
              <w:t> </w:t>
            </w:r>
            <w:r>
              <w:rPr>
                <w:rFonts w:ascii="宋体" w:hAnsi="宋体" w:cs="宋体" w:eastAsia="宋体" w:hint="default"/>
                <w:sz w:val="18"/>
                <w:szCs w:val="18"/>
              </w:rPr>
              <w:t>资收到的现金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31,500,000.00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2,241,710,000.00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1,137,812,450.00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2,243,710,000.00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1,169,312,450.00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1,393,445,400.00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827,200,000.00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w:t>
            </w:r>
            <w:r>
              <w:rPr>
                <w:rFonts w:ascii="宋体" w:hAnsi="宋体" w:cs="宋体" w:eastAsia="宋体" w:hint="default"/>
                <w:w w:val="101"/>
                <w:sz w:val="18"/>
                <w:szCs w:val="18"/>
              </w:rPr>
              <w:t> </w:t>
            </w:r>
            <w:r>
              <w:rPr>
                <w:rFonts w:ascii="宋体" w:hAnsi="宋体" w:cs="宋体" w:eastAsia="宋体" w:hint="default"/>
                <w:sz w:val="18"/>
                <w:szCs w:val="18"/>
              </w:rPr>
              <w:t>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103,698,251.94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98,448,730.45</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其中：子公司支付给少数股东</w:t>
            </w:r>
            <w:r>
              <w:rPr>
                <w:rFonts w:ascii="宋体" w:hAnsi="宋体" w:cs="宋体" w:eastAsia="宋体" w:hint="default"/>
                <w:w w:val="101"/>
                <w:sz w:val="18"/>
                <w:szCs w:val="18"/>
              </w:rPr>
              <w:t> </w:t>
            </w:r>
            <w:r>
              <w:rPr>
                <w:rFonts w:ascii="宋体" w:hAnsi="宋体" w:cs="宋体" w:eastAsia="宋体" w:hint="default"/>
                <w:sz w:val="18"/>
                <w:szCs w:val="18"/>
              </w:rPr>
              <w:t>的股利、利润</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1,572,000.00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31,500,000.00</w:t>
            </w: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w:t>
            </w:r>
          </w:p>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157,092,913.28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58,908,239.37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1,654,236,565.22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984,556,969.82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589,473,434.78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184,755,480.18</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47"/>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的影响</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-375,381.97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1,033,955.93</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79,683,062.54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-85,863,707.67</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加：期初现金及现金等价物余</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241,324,422.44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327,188,130.11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321,007,484.98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241,324,422.44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764"/>
        <w:jc w:val="left"/>
        <w:rPr>
          <w:b w:val="0"/>
          <w:bCs w:val="0"/>
        </w:rPr>
      </w:pPr>
      <w:bookmarkStart w:name="6、母公司现金流量表" w:id="163"/>
      <w:bookmarkEnd w:id="163"/>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销售商品、提供劳务收到的现</w:t>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822,439,877.30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867,282,470.71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1,879,427.81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3,983,063.78</w:t>
            </w: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537,650,751.79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293,439,384.04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1,361,970,056.90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1,164,704,918.53</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购买商品、接受劳务支付的现</w:t>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469,577,968.56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473,759,330.47</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w:t>
            </w:r>
            <w:r>
              <w:rPr>
                <w:rFonts w:ascii="宋体" w:hAnsi="宋体" w:cs="宋体" w:eastAsia="宋体" w:hint="default"/>
                <w:w w:val="101"/>
                <w:sz w:val="18"/>
                <w:szCs w:val="18"/>
              </w:rPr>
              <w:t> </w:t>
            </w:r>
            <w:r>
              <w:rPr>
                <w:rFonts w:ascii="宋体" w:hAnsi="宋体" w:cs="宋体" w:eastAsia="宋体" w:hint="default"/>
                <w:sz w:val="18"/>
                <w:szCs w:val="18"/>
              </w:rPr>
              <w:t>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312,227,474.93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233,199,916.14</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2,596,968.10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3,875,900.73</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w:t>
            </w:r>
          </w:p>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648,135,465.83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111,709,142.49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1,432,537,877.42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822,544,289.83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-70,567,820.52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342,160,628.70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1,034,091.70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1,628,000.00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38,500,000.00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465"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201,825.63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2,230.00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36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pacing w:val="-3"/>
                <w:sz w:val="18"/>
                <w:szCs w:val="18"/>
              </w:rPr>
              <w:t>他长期资产收回的现金净额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w:t>
            </w:r>
            <w:r>
              <w:rPr>
                <w:rFonts w:ascii="宋体" w:hAnsi="宋体" w:cs="宋体" w:eastAsia="宋体" w:hint="default"/>
                <w:w w:val="101"/>
                <w:sz w:val="18"/>
                <w:szCs w:val="18"/>
              </w:rPr>
              <w:t> </w:t>
            </w:r>
            <w:r>
              <w:rPr>
                <w:rFonts w:ascii="宋体" w:hAnsi="宋体" w:cs="宋体" w:eastAsia="宋体" w:hint="default"/>
                <w:sz w:val="18"/>
                <w:szCs w:val="18"/>
              </w:rPr>
              <w:t>到的现金净额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w:t>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1,197,346,972.00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32,578,818.05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1,200,210,889.33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71,081,048.05</w:t>
            </w: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w:t>
            </w:r>
            <w:r>
              <w:rPr>
                <w:rFonts w:ascii="宋体" w:hAnsi="宋体" w:cs="宋体" w:eastAsia="宋体" w:hint="default"/>
                <w:w w:val="101"/>
                <w:sz w:val="18"/>
                <w:szCs w:val="18"/>
              </w:rPr>
              <w:t> </w:t>
            </w:r>
            <w:r>
              <w:rPr>
                <w:rFonts w:ascii="宋体" w:hAnsi="宋体" w:cs="宋体" w:eastAsia="宋体" w:hint="default"/>
                <w:sz w:val="18"/>
                <w:szCs w:val="18"/>
              </w:rPr>
              <w:t>他长期资产支付的现金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106,873,743.50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111,516,498.21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19,706,897.60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54,613,043.08</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w:t>
            </w:r>
            <w:r>
              <w:rPr>
                <w:rFonts w:ascii="宋体" w:hAnsi="宋体" w:cs="宋体" w:eastAsia="宋体" w:hint="default"/>
                <w:w w:val="101"/>
                <w:sz w:val="18"/>
                <w:szCs w:val="18"/>
              </w:rPr>
              <w:t> </w:t>
            </w:r>
            <w:r>
              <w:rPr>
                <w:rFonts w:ascii="宋体" w:hAnsi="宋体" w:cs="宋体" w:eastAsia="宋体" w:hint="default"/>
                <w:sz w:val="18"/>
                <w:szCs w:val="18"/>
              </w:rPr>
              <w:t>付的现金净额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w:t>
            </w:r>
          </w:p>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371,000,000.00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167,800,000.00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497,580,641.10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333,929,541.29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702,630,248.23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-262,848,493.24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509,000,000.00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368,000,000.00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w:t>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509,000,000.00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368,000,000.00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875,445,400.00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467,000,000.00</w:t>
            </w: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w:t>
            </w:r>
            <w:r>
              <w:rPr>
                <w:rFonts w:ascii="宋体" w:hAnsi="宋体" w:cs="宋体" w:eastAsia="宋体" w:hint="default"/>
                <w:w w:val="101"/>
                <w:sz w:val="18"/>
                <w:szCs w:val="18"/>
              </w:rPr>
              <w:t> </w:t>
            </w:r>
            <w:r>
              <w:rPr>
                <w:rFonts w:ascii="宋体" w:hAnsi="宋体" w:cs="宋体" w:eastAsia="宋体" w:hint="default"/>
                <w:sz w:val="18"/>
                <w:szCs w:val="18"/>
              </w:rPr>
              <w:t>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63,267,915.43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51,403,560.06</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w:t>
            </w:r>
          </w:p>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113,981,913.28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58,908,239.37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1,052,695,228.71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577,311,799.43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-543,695,228.71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-209,311,799.43</w:t>
            </w: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7"/>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的影响</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88,367,199.00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-129,999,663.97</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加：期初现金及现金等价物余</w:t>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69,619,755.47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199,619,419.44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157,986,954.47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69,619,755.47</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7、合并所有者权益变动表" w:id="164"/>
      <w:bookmarkEnd w:id="164"/>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9"/>
        <w:rPr>
          <w:rFonts w:ascii="宋体" w:hAnsi="宋体" w:cs="宋体" w:eastAsia="宋体" w:hint="default"/>
          <w:b/>
          <w:bCs/>
          <w:sz w:val="26"/>
          <w:szCs w:val="26"/>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2"/>
        <w:rPr>
          <w:rFonts w:ascii="宋体" w:hAnsi="宋体" w:cs="宋体" w:eastAsia="宋体" w:hint="default"/>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253"/>
        <w:gridCol w:w="494"/>
        <w:gridCol w:w="466"/>
        <w:gridCol w:w="466"/>
        <w:gridCol w:w="470"/>
        <w:gridCol w:w="581"/>
        <w:gridCol w:w="586"/>
        <w:gridCol w:w="581"/>
        <w:gridCol w:w="586"/>
        <w:gridCol w:w="586"/>
        <w:gridCol w:w="581"/>
        <w:gridCol w:w="586"/>
        <w:gridCol w:w="586"/>
        <w:gridCol w:w="581"/>
        <w:gridCol w:w="586"/>
        <w:gridCol w:w="576"/>
      </w:tblGrid>
      <w:tr>
        <w:trPr>
          <w:trHeight w:val="403" w:hRule="exact"/>
        </w:trPr>
        <w:tc>
          <w:tcPr>
            <w:tcW w:w="12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2"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4" w:hRule="exact"/>
        </w:trPr>
        <w:tc>
          <w:tcPr>
            <w:tcW w:w="1253" w:type="dxa"/>
            <w:vMerge/>
            <w:tcBorders>
              <w:left w:val="single" w:sz="4" w:space="0" w:color="000000"/>
              <w:right w:val="single" w:sz="4" w:space="0" w:color="000000"/>
            </w:tcBorders>
            <w:shd w:val="clear" w:color="auto" w:fill="D2D2D2"/>
          </w:tcPr>
          <w:p>
            <w:pPr/>
          </w:p>
        </w:tc>
        <w:tc>
          <w:tcPr>
            <w:tcW w:w="7150"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316" w:lineRule="auto"/>
              <w:ind w:left="110" w:right="98"/>
              <w:jc w:val="both"/>
              <w:rPr>
                <w:rFonts w:ascii="宋体" w:hAnsi="宋体" w:cs="宋体" w:eastAsia="宋体" w:hint="default"/>
                <w:sz w:val="18"/>
                <w:szCs w:val="18"/>
              </w:rPr>
            </w:pPr>
            <w:r>
              <w:rPr>
                <w:rFonts w:ascii="宋体" w:hAnsi="宋体" w:cs="宋体" w:eastAsia="宋体" w:hint="default"/>
                <w:sz w:val="18"/>
                <w:szCs w:val="18"/>
              </w:rPr>
              <w:t>少数</w:t>
            </w:r>
            <w:r>
              <w:rPr>
                <w:rFonts w:ascii="宋体" w:hAnsi="宋体" w:cs="宋体" w:eastAsia="宋体" w:hint="default"/>
                <w:spacing w:val="-86"/>
                <w:sz w:val="18"/>
                <w:szCs w:val="18"/>
              </w:rPr>
              <w:t> </w:t>
            </w:r>
            <w:r>
              <w:rPr>
                <w:rFonts w:ascii="宋体" w:hAnsi="宋体" w:cs="宋体" w:eastAsia="宋体" w:hint="default"/>
                <w:sz w:val="18"/>
                <w:szCs w:val="18"/>
              </w:rPr>
              <w:t>股东</w:t>
            </w:r>
            <w:r>
              <w:rPr>
                <w:rFonts w:ascii="宋体" w:hAnsi="宋体" w:cs="宋体" w:eastAsia="宋体" w:hint="default"/>
                <w:spacing w:val="-86"/>
                <w:sz w:val="18"/>
                <w:szCs w:val="18"/>
              </w:rPr>
              <w:t> </w:t>
            </w:r>
            <w:r>
              <w:rPr>
                <w:rFonts w:ascii="宋体" w:hAnsi="宋体" w:cs="宋体" w:eastAsia="宋体" w:hint="default"/>
                <w:sz w:val="18"/>
                <w:szCs w:val="18"/>
              </w:rPr>
              <w:t>权益</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9" w:lineRule="auto"/>
              <w:ind w:left="105" w:right="95"/>
              <w:jc w:val="both"/>
              <w:rPr>
                <w:rFonts w:ascii="宋体" w:hAnsi="宋体" w:cs="宋体" w:eastAsia="宋体" w:hint="default"/>
                <w:sz w:val="18"/>
                <w:szCs w:val="18"/>
              </w:rPr>
            </w:pPr>
            <w:r>
              <w:rPr>
                <w:rFonts w:ascii="宋体" w:hAnsi="宋体" w:cs="宋体" w:eastAsia="宋体" w:hint="default"/>
                <w:sz w:val="18"/>
                <w:szCs w:val="18"/>
              </w:rPr>
              <w:t>所有</w:t>
            </w:r>
            <w:r>
              <w:rPr>
                <w:rFonts w:ascii="宋体" w:hAnsi="宋体" w:cs="宋体" w:eastAsia="宋体" w:hint="default"/>
                <w:spacing w:val="-86"/>
                <w:sz w:val="18"/>
                <w:szCs w:val="18"/>
              </w:rPr>
              <w:t> </w:t>
            </w:r>
            <w:r>
              <w:rPr>
                <w:rFonts w:ascii="宋体" w:hAnsi="宋体" w:cs="宋体" w:eastAsia="宋体" w:hint="default"/>
                <w:sz w:val="18"/>
                <w:szCs w:val="18"/>
              </w:rPr>
              <w:t>者权</w:t>
            </w:r>
            <w:r>
              <w:rPr>
                <w:rFonts w:ascii="宋体" w:hAnsi="宋体" w:cs="宋体" w:eastAsia="宋体" w:hint="default"/>
                <w:spacing w:val="-86"/>
                <w:sz w:val="18"/>
                <w:szCs w:val="18"/>
              </w:rPr>
              <w:t> </w:t>
            </w:r>
            <w:r>
              <w:rPr>
                <w:rFonts w:ascii="宋体" w:hAnsi="宋体" w:cs="宋体" w:eastAsia="宋体" w:hint="default"/>
                <w:sz w:val="18"/>
                <w:szCs w:val="18"/>
              </w:rPr>
              <w:t>益合</w:t>
            </w:r>
            <w:r>
              <w:rPr>
                <w:rFonts w:ascii="宋体" w:hAnsi="宋体" w:cs="宋体" w:eastAsia="宋体" w:hint="default"/>
                <w:spacing w:val="-86"/>
                <w:sz w:val="18"/>
                <w:szCs w:val="18"/>
              </w:rPr>
              <w:t> </w:t>
            </w:r>
            <w:r>
              <w:rPr>
                <w:rFonts w:ascii="宋体" w:hAnsi="宋体" w:cs="宋体" w:eastAsia="宋体" w:hint="default"/>
                <w:sz w:val="18"/>
                <w:szCs w:val="18"/>
              </w:rPr>
              <w:t>计</w:t>
            </w:r>
          </w:p>
        </w:tc>
      </w:tr>
      <w:tr>
        <w:trPr>
          <w:trHeight w:val="403" w:hRule="exact"/>
        </w:trPr>
        <w:tc>
          <w:tcPr>
            <w:tcW w:w="1253" w:type="dxa"/>
            <w:vMerge/>
            <w:tcBorders>
              <w:left w:val="single" w:sz="4" w:space="0" w:color="000000"/>
              <w:right w:val="single" w:sz="4" w:space="0" w:color="000000"/>
            </w:tcBorders>
            <w:shd w:val="clear" w:color="auto" w:fill="D2D2D2"/>
          </w:tcPr>
          <w:p>
            <w:pPr/>
          </w:p>
        </w:tc>
        <w:tc>
          <w:tcPr>
            <w:tcW w:w="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21" w:lineRule="auto"/>
              <w:ind w:left="153" w:right="146"/>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88"/>
                <w:sz w:val="18"/>
                <w:szCs w:val="18"/>
              </w:rPr>
              <w:t> </w:t>
            </w:r>
            <w:r>
              <w:rPr>
                <w:rFonts w:ascii="宋体" w:hAnsi="宋体" w:cs="宋体" w:eastAsia="宋体" w:hint="default"/>
                <w:sz w:val="18"/>
                <w:szCs w:val="18"/>
              </w:rPr>
              <w:t>本</w:t>
            </w:r>
          </w:p>
        </w:tc>
        <w:tc>
          <w:tcPr>
            <w:tcW w:w="14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21" w:lineRule="auto"/>
              <w:ind w:left="100" w:right="104"/>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10" w:right="98"/>
              <w:jc w:val="both"/>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86"/>
                <w:sz w:val="18"/>
                <w:szCs w:val="18"/>
              </w:rPr>
              <w:t> </w:t>
            </w:r>
            <w:r>
              <w:rPr>
                <w:rFonts w:ascii="宋体" w:hAnsi="宋体" w:cs="宋体" w:eastAsia="宋体" w:hint="default"/>
                <w:sz w:val="18"/>
                <w:szCs w:val="18"/>
              </w:rPr>
              <w:t>库存</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05" w:right="99"/>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21" w:lineRule="auto"/>
              <w:ind w:left="110" w:right="98"/>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21" w:lineRule="auto"/>
              <w:ind w:left="105" w:right="105"/>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05" w:right="98"/>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10" w:right="99"/>
              <w:jc w:val="both"/>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pacing w:val="-86"/>
                <w:sz w:val="18"/>
                <w:szCs w:val="18"/>
              </w:rPr>
              <w:t> </w:t>
            </w:r>
            <w:r>
              <w:rPr>
                <w:rFonts w:ascii="宋体" w:hAnsi="宋体" w:cs="宋体" w:eastAsia="宋体" w:hint="default"/>
                <w:sz w:val="18"/>
                <w:szCs w:val="18"/>
              </w:rPr>
              <w:t>配利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022"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34" w:right="137"/>
              <w:jc w:val="both"/>
              <w:rPr>
                <w:rFonts w:ascii="宋体" w:hAnsi="宋体" w:cs="宋体" w:eastAsia="宋体" w:hint="default"/>
                <w:sz w:val="18"/>
                <w:szCs w:val="18"/>
              </w:rPr>
            </w:pPr>
            <w:r>
              <w:rPr>
                <w:rFonts w:ascii="宋体" w:hAnsi="宋体" w:cs="宋体" w:eastAsia="宋体" w:hint="default"/>
                <w:sz w:val="18"/>
                <w:szCs w:val="18"/>
              </w:rPr>
              <w:t>优</w:t>
            </w:r>
            <w:r>
              <w:rPr>
                <w:rFonts w:ascii="宋体" w:hAnsi="宋体" w:cs="宋体" w:eastAsia="宋体" w:hint="default"/>
                <w:spacing w:val="-88"/>
                <w:sz w:val="18"/>
                <w:szCs w:val="18"/>
              </w:rPr>
              <w:t> </w:t>
            </w:r>
            <w:r>
              <w:rPr>
                <w:rFonts w:ascii="宋体" w:hAnsi="宋体" w:cs="宋体" w:eastAsia="宋体" w:hint="default"/>
                <w:sz w:val="18"/>
                <w:szCs w:val="18"/>
              </w:rPr>
              <w:t>先</w:t>
            </w:r>
            <w:r>
              <w:rPr>
                <w:rFonts w:ascii="宋体" w:hAnsi="宋体" w:cs="宋体" w:eastAsia="宋体" w:hint="default"/>
                <w:spacing w:val="-88"/>
                <w:sz w:val="18"/>
                <w:szCs w:val="18"/>
              </w:rPr>
              <w:t> </w:t>
            </w:r>
            <w:r>
              <w:rPr>
                <w:rFonts w:ascii="宋体" w:hAnsi="宋体" w:cs="宋体" w:eastAsia="宋体" w:hint="default"/>
                <w:sz w:val="18"/>
                <w:szCs w:val="18"/>
              </w:rPr>
              <w:t>股</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39" w:right="132"/>
              <w:jc w:val="both"/>
              <w:rPr>
                <w:rFonts w:ascii="宋体" w:hAnsi="宋体" w:cs="宋体" w:eastAsia="宋体" w:hint="default"/>
                <w:sz w:val="18"/>
                <w:szCs w:val="18"/>
              </w:rPr>
            </w:pPr>
            <w:r>
              <w:rPr>
                <w:rFonts w:ascii="宋体" w:hAnsi="宋体" w:cs="宋体" w:eastAsia="宋体" w:hint="default"/>
                <w:sz w:val="18"/>
                <w:szCs w:val="18"/>
              </w:rPr>
              <w:t>永</w:t>
            </w:r>
            <w:r>
              <w:rPr>
                <w:rFonts w:ascii="宋体" w:hAnsi="宋体" w:cs="宋体" w:eastAsia="宋体" w:hint="default"/>
                <w:spacing w:val="-88"/>
                <w:sz w:val="18"/>
                <w:szCs w:val="18"/>
              </w:rPr>
              <w:t> </w:t>
            </w:r>
            <w:r>
              <w:rPr>
                <w:rFonts w:ascii="宋体" w:hAnsi="宋体" w:cs="宋体" w:eastAsia="宋体" w:hint="default"/>
                <w:sz w:val="18"/>
                <w:szCs w:val="18"/>
              </w:rPr>
              <w:t>续</w:t>
            </w:r>
            <w:r>
              <w:rPr>
                <w:rFonts w:ascii="宋体" w:hAnsi="宋体" w:cs="宋体" w:eastAsia="宋体" w:hint="default"/>
                <w:spacing w:val="-88"/>
                <w:sz w:val="18"/>
                <w:szCs w:val="18"/>
              </w:rPr>
              <w:t> </w:t>
            </w:r>
            <w:r>
              <w:rPr>
                <w:rFonts w:ascii="宋体" w:hAnsi="宋体" w:cs="宋体" w:eastAsia="宋体" w:hint="default"/>
                <w:sz w:val="18"/>
                <w:szCs w:val="18"/>
              </w:rPr>
              <w:t>债</w:t>
            </w:r>
          </w:p>
        </w:tc>
        <w:tc>
          <w:tcPr>
            <w:tcW w:w="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43" w:right="132"/>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88"/>
                <w:sz w:val="18"/>
                <w:szCs w:val="18"/>
              </w:rPr>
              <w:t> </w:t>
            </w:r>
            <w:r>
              <w:rPr>
                <w:rFonts w:ascii="宋体" w:hAnsi="宋体" w:cs="宋体" w:eastAsia="宋体" w:hint="default"/>
                <w:sz w:val="18"/>
                <w:szCs w:val="18"/>
              </w:rPr>
              <w:t>他</w:t>
            </w: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r>
      <w:tr>
        <w:trPr>
          <w:trHeight w:val="165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105" w:right="94"/>
              <w:jc w:val="left"/>
              <w:rPr>
                <w:rFonts w:ascii="宋体" w:hAnsi="宋体" w:cs="宋体" w:eastAsia="宋体" w:hint="default"/>
                <w:sz w:val="18"/>
                <w:szCs w:val="18"/>
              </w:rPr>
            </w:pPr>
            <w:r>
              <w:rPr>
                <w:rFonts w:ascii="宋体" w:hAnsi="宋体" w:cs="宋体" w:eastAsia="宋体" w:hint="default"/>
                <w:spacing w:val="-9"/>
                <w:sz w:val="18"/>
                <w:szCs w:val="18"/>
              </w:rPr>
              <w:t>一、上年期末</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余额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5" w:right="0"/>
              <w:jc w:val="left"/>
              <w:rPr>
                <w:rFonts w:ascii="Times New Roman" w:hAnsi="Times New Roman" w:cs="Times New Roman" w:eastAsia="Times New Roman" w:hint="default"/>
                <w:sz w:val="18"/>
                <w:szCs w:val="18"/>
              </w:rPr>
            </w:pPr>
            <w:r>
              <w:rPr>
                <w:rFonts w:ascii="Times New Roman"/>
                <w:sz w:val="18"/>
              </w:rPr>
              <w:t>399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60.</w:t>
            </w:r>
          </w:p>
          <w:p>
            <w:pPr>
              <w:pStyle w:val="TableParagraph"/>
              <w:spacing w:line="240" w:lineRule="auto" w:before="110"/>
              <w:ind w:left="206"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1,71</w:t>
            </w:r>
          </w:p>
          <w:p>
            <w:pPr>
              <w:pStyle w:val="TableParagraph"/>
              <w:spacing w:line="240" w:lineRule="auto" w:before="100"/>
              <w:ind w:left="149" w:right="0"/>
              <w:jc w:val="left"/>
              <w:rPr>
                <w:rFonts w:ascii="Times New Roman" w:hAnsi="Times New Roman" w:cs="Times New Roman" w:eastAsia="Times New Roman" w:hint="default"/>
                <w:sz w:val="18"/>
                <w:szCs w:val="18"/>
              </w:rPr>
            </w:pPr>
            <w:r>
              <w:rPr>
                <w:rFonts w:ascii="Times New Roman"/>
                <w:sz w:val="18"/>
              </w:rPr>
              <w:t>8,96</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8,74</w:t>
            </w:r>
          </w:p>
          <w:p>
            <w:pPr>
              <w:pStyle w:val="TableParagraph"/>
              <w:spacing w:line="240" w:lineRule="auto" w:before="110"/>
              <w:ind w:left="159" w:right="0"/>
              <w:jc w:val="left"/>
              <w:rPr>
                <w:rFonts w:ascii="Times New Roman" w:hAnsi="Times New Roman" w:cs="Times New Roman" w:eastAsia="Times New Roman" w:hint="default"/>
                <w:sz w:val="18"/>
                <w:szCs w:val="18"/>
              </w:rPr>
            </w:pPr>
            <w:r>
              <w:rPr>
                <w:rFonts w:ascii="Times New Roman"/>
                <w:sz w:val="18"/>
              </w:rPr>
              <w:t>0.11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1,29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5,63</w:t>
            </w:r>
          </w:p>
          <w:p>
            <w:pPr>
              <w:pStyle w:val="TableParagraph"/>
              <w:spacing w:line="240" w:lineRule="auto" w:before="110"/>
              <w:ind w:left="158" w:right="0"/>
              <w:jc w:val="left"/>
              <w:rPr>
                <w:rFonts w:ascii="Times New Roman" w:hAnsi="Times New Roman" w:cs="Times New Roman" w:eastAsia="Times New Roman" w:hint="default"/>
                <w:sz w:val="18"/>
                <w:szCs w:val="18"/>
              </w:rPr>
            </w:pPr>
            <w:r>
              <w:rPr>
                <w:rFonts w:ascii="Times New Roman"/>
                <w:sz w:val="18"/>
              </w:rPr>
              <w:t>5.05</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79,0</w:t>
            </w:r>
          </w:p>
          <w:p>
            <w:pPr>
              <w:pStyle w:val="TableParagraph"/>
              <w:spacing w:line="240" w:lineRule="auto" w:before="100"/>
              <w:ind w:left="153" w:right="0"/>
              <w:jc w:val="left"/>
              <w:rPr>
                <w:rFonts w:ascii="Times New Roman" w:hAnsi="Times New Roman" w:cs="Times New Roman" w:eastAsia="Times New Roman" w:hint="default"/>
                <w:sz w:val="18"/>
                <w:szCs w:val="18"/>
              </w:rPr>
            </w:pPr>
            <w:r>
              <w:rPr>
                <w:rFonts w:ascii="Times New Roman"/>
                <w:sz w:val="18"/>
              </w:rPr>
              <w:t>05,5</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26.2</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827,</w:t>
            </w:r>
          </w:p>
          <w:p>
            <w:pPr>
              <w:pStyle w:val="TableParagraph"/>
              <w:spacing w:line="240" w:lineRule="auto" w:before="100"/>
              <w:ind w:left="59" w:right="0"/>
              <w:jc w:val="center"/>
              <w:rPr>
                <w:rFonts w:ascii="Times New Roman" w:hAnsi="Times New Roman" w:cs="Times New Roman" w:eastAsia="Times New Roman" w:hint="default"/>
                <w:sz w:val="18"/>
                <w:szCs w:val="18"/>
              </w:rPr>
            </w:pPr>
            <w:r>
              <w:rPr>
                <w:rFonts w:ascii="Times New Roman"/>
                <w:sz w:val="18"/>
              </w:rPr>
              <w:t>938,</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103.</w:t>
            </w:r>
          </w:p>
          <w:p>
            <w:pPr>
              <w:pStyle w:val="TableParagraph"/>
              <w:spacing w:line="240" w:lineRule="auto" w:before="110"/>
              <w:ind w:left="200" w:right="0"/>
              <w:jc w:val="center"/>
              <w:rPr>
                <w:rFonts w:ascii="Times New Roman" w:hAnsi="Times New Roman" w:cs="Times New Roman" w:eastAsia="Times New Roman" w:hint="default"/>
                <w:sz w:val="18"/>
                <w:szCs w:val="18"/>
              </w:rPr>
            </w:pPr>
            <w:r>
              <w:rPr>
                <w:rFonts w:ascii="Times New Roman"/>
                <w:sz w:val="18"/>
              </w:rPr>
              <w:t>09</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3,02</w:t>
            </w:r>
          </w:p>
          <w:p>
            <w:pPr>
              <w:pStyle w:val="TableParagraph"/>
              <w:spacing w:line="240" w:lineRule="auto" w:before="100"/>
              <w:ind w:left="153" w:right="0"/>
              <w:jc w:val="left"/>
              <w:rPr>
                <w:rFonts w:ascii="Times New Roman" w:hAnsi="Times New Roman" w:cs="Times New Roman" w:eastAsia="Times New Roman" w:hint="default"/>
                <w:sz w:val="18"/>
                <w:szCs w:val="18"/>
              </w:rPr>
            </w:pPr>
            <w:r>
              <w:rPr>
                <w:rFonts w:ascii="Times New Roman"/>
                <w:sz w:val="18"/>
              </w:rPr>
              <w:t>3,70</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0,59</w:t>
            </w:r>
          </w:p>
          <w:p>
            <w:pPr>
              <w:pStyle w:val="TableParagraph"/>
              <w:spacing w:line="240" w:lineRule="auto" w:before="110"/>
              <w:ind w:left="153" w:right="0"/>
              <w:jc w:val="left"/>
              <w:rPr>
                <w:rFonts w:ascii="Times New Roman" w:hAnsi="Times New Roman" w:cs="Times New Roman" w:eastAsia="Times New Roman" w:hint="default"/>
                <w:sz w:val="18"/>
                <w:szCs w:val="18"/>
              </w:rPr>
            </w:pPr>
            <w:r>
              <w:rPr>
                <w:rFonts w:ascii="Times New Roman"/>
                <w:sz w:val="18"/>
              </w:rPr>
              <w:t>4.44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pacing w:val="-4"/>
                <w:sz w:val="18"/>
              </w:rPr>
              <w:t>111,</w:t>
            </w:r>
          </w:p>
          <w:p>
            <w:pPr>
              <w:pStyle w:val="TableParagraph"/>
              <w:spacing w:line="240" w:lineRule="auto" w:before="100"/>
              <w:ind w:left="60" w:right="0"/>
              <w:jc w:val="center"/>
              <w:rPr>
                <w:rFonts w:ascii="Times New Roman" w:hAnsi="Times New Roman" w:cs="Times New Roman" w:eastAsia="Times New Roman" w:hint="default"/>
                <w:sz w:val="18"/>
                <w:szCs w:val="18"/>
              </w:rPr>
            </w:pPr>
            <w:r>
              <w:rPr>
                <w:rFonts w:ascii="Times New Roman"/>
                <w:sz w:val="18"/>
              </w:rPr>
              <w:t>791,</w:t>
            </w:r>
          </w:p>
          <w:p>
            <w:pPr>
              <w:pStyle w:val="TableParagraph"/>
              <w:spacing w:line="240" w:lineRule="auto" w:before="105"/>
              <w:ind w:left="60" w:right="0"/>
              <w:jc w:val="center"/>
              <w:rPr>
                <w:rFonts w:ascii="Times New Roman" w:hAnsi="Times New Roman" w:cs="Times New Roman" w:eastAsia="Times New Roman" w:hint="default"/>
                <w:sz w:val="18"/>
                <w:szCs w:val="18"/>
              </w:rPr>
            </w:pPr>
            <w:r>
              <w:rPr>
                <w:rFonts w:ascii="Times New Roman"/>
                <w:sz w:val="18"/>
              </w:rPr>
              <w:t>369.</w:t>
            </w:r>
          </w:p>
          <w:p>
            <w:pPr>
              <w:pStyle w:val="TableParagraph"/>
              <w:spacing w:line="240" w:lineRule="auto" w:before="110"/>
              <w:ind w:left="201" w:right="0"/>
              <w:jc w:val="center"/>
              <w:rPr>
                <w:rFonts w:ascii="Times New Roman" w:hAnsi="Times New Roman" w:cs="Times New Roman" w:eastAsia="Times New Roman" w:hint="default"/>
                <w:sz w:val="18"/>
                <w:szCs w:val="18"/>
              </w:rPr>
            </w:pPr>
            <w:r>
              <w:rPr>
                <w:rFonts w:ascii="Times New Roman"/>
                <w:sz w:val="18"/>
              </w:rPr>
              <w:t>61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3,13</w:t>
            </w:r>
          </w:p>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5,49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1,96</w:t>
            </w:r>
          </w:p>
          <w:p>
            <w:pPr>
              <w:pStyle w:val="TableParagraph"/>
              <w:spacing w:line="240" w:lineRule="auto" w:before="110"/>
              <w:ind w:left="148" w:right="0"/>
              <w:jc w:val="left"/>
              <w:rPr>
                <w:rFonts w:ascii="Times New Roman" w:hAnsi="Times New Roman" w:cs="Times New Roman" w:eastAsia="Times New Roman" w:hint="default"/>
                <w:sz w:val="18"/>
                <w:szCs w:val="18"/>
              </w:rPr>
            </w:pPr>
            <w:r>
              <w:rPr>
                <w:rFonts w:ascii="Times New Roman"/>
                <w:sz w:val="18"/>
              </w:rPr>
              <w:t>4.05</w:t>
            </w:r>
          </w:p>
        </w:tc>
      </w:tr>
      <w:tr>
        <w:trPr>
          <w:trHeight w:val="134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105" w:right="95" w:firstLine="360"/>
              <w:jc w:val="left"/>
              <w:rPr>
                <w:rFonts w:ascii="宋体" w:hAnsi="宋体" w:cs="宋体" w:eastAsia="宋体" w:hint="default"/>
                <w:sz w:val="18"/>
                <w:szCs w:val="18"/>
              </w:rPr>
            </w:pPr>
            <w:r>
              <w:rPr>
                <w:rFonts w:ascii="宋体" w:hAnsi="宋体" w:cs="宋体" w:eastAsia="宋体" w:hint="default"/>
                <w:spacing w:val="-13"/>
                <w:sz w:val="18"/>
                <w:szCs w:val="18"/>
              </w:rPr>
              <w:t>加：会计</w:t>
            </w:r>
            <w:r>
              <w:rPr>
                <w:rFonts w:ascii="宋体" w:hAnsi="宋体" w:cs="宋体" w:eastAsia="宋体" w:hint="default"/>
                <w:w w:val="101"/>
                <w:sz w:val="18"/>
                <w:szCs w:val="18"/>
              </w:rPr>
              <w:t> </w:t>
            </w:r>
            <w:r>
              <w:rPr>
                <w:rFonts w:ascii="宋体" w:hAnsi="宋体" w:cs="宋体" w:eastAsia="宋体" w:hint="default"/>
                <w:sz w:val="18"/>
                <w:szCs w:val="18"/>
              </w:rPr>
              <w:t>政策变更</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3" w:right="0"/>
              <w:jc w:val="left"/>
              <w:rPr>
                <w:rFonts w:ascii="Times New Roman" w:hAnsi="Times New Roman" w:cs="Times New Roman" w:eastAsia="Times New Roman" w:hint="default"/>
                <w:sz w:val="18"/>
                <w:szCs w:val="18"/>
              </w:rPr>
            </w:pPr>
            <w:r>
              <w:rPr>
                <w:rFonts w:ascii="Times New Roman"/>
                <w:sz w:val="18"/>
              </w:rPr>
              <w:t>26,6</w:t>
            </w:r>
          </w:p>
          <w:p>
            <w:pPr>
              <w:pStyle w:val="TableParagraph"/>
              <w:spacing w:line="240" w:lineRule="auto" w:before="100"/>
              <w:ind w:left="153" w:right="0"/>
              <w:jc w:val="left"/>
              <w:rPr>
                <w:rFonts w:ascii="Times New Roman" w:hAnsi="Times New Roman" w:cs="Times New Roman" w:eastAsia="Times New Roman" w:hint="default"/>
                <w:sz w:val="18"/>
                <w:szCs w:val="18"/>
              </w:rPr>
            </w:pPr>
            <w:r>
              <w:rPr>
                <w:rFonts w:ascii="Times New Roman"/>
                <w:sz w:val="18"/>
              </w:rPr>
              <w:t>14,4</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pacing w:val="-3"/>
                <w:sz w:val="18"/>
              </w:rPr>
              <w:t>11.6</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3" w:right="0"/>
              <w:jc w:val="left"/>
              <w:rPr>
                <w:rFonts w:ascii="Times New Roman" w:hAnsi="Times New Roman" w:cs="Times New Roman" w:eastAsia="Times New Roman" w:hint="default"/>
                <w:sz w:val="18"/>
                <w:szCs w:val="18"/>
              </w:rPr>
            </w:pPr>
            <w:r>
              <w:rPr>
                <w:rFonts w:ascii="Times New Roman"/>
                <w:sz w:val="18"/>
              </w:rPr>
              <w:t>26,6</w:t>
            </w:r>
          </w:p>
          <w:p>
            <w:pPr>
              <w:pStyle w:val="TableParagraph"/>
              <w:spacing w:line="240" w:lineRule="auto" w:before="100"/>
              <w:ind w:left="153" w:right="0"/>
              <w:jc w:val="left"/>
              <w:rPr>
                <w:rFonts w:ascii="Times New Roman" w:hAnsi="Times New Roman" w:cs="Times New Roman" w:eastAsia="Times New Roman" w:hint="default"/>
                <w:sz w:val="18"/>
                <w:szCs w:val="18"/>
              </w:rPr>
            </w:pPr>
            <w:r>
              <w:rPr>
                <w:rFonts w:ascii="Times New Roman"/>
                <w:sz w:val="18"/>
              </w:rPr>
              <w:t>14,4</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pacing w:val="-3"/>
                <w:sz w:val="18"/>
              </w:rPr>
              <w:t>11.6</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26,6</w:t>
            </w:r>
          </w:p>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14,4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pacing w:val="-3"/>
                <w:sz w:val="18"/>
              </w:rPr>
              <w:t>11.6</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r>
      <w:tr>
        <w:trPr>
          <w:trHeight w:val="71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233" w:firstLine="72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w w:val="101"/>
                <w:sz w:val="18"/>
                <w:szCs w:val="18"/>
              </w:rPr>
              <w:t> </w:t>
            </w:r>
            <w:r>
              <w:rPr>
                <w:rFonts w:ascii="宋体" w:hAnsi="宋体" w:cs="宋体" w:eastAsia="宋体" w:hint="default"/>
                <w:spacing w:val="-2"/>
                <w:sz w:val="18"/>
                <w:szCs w:val="18"/>
              </w:rPr>
              <w:t>期差错更正</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233" w:firstLine="720"/>
              <w:jc w:val="both"/>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w w:val="101"/>
                <w:sz w:val="18"/>
                <w:szCs w:val="18"/>
              </w:rPr>
              <w:t> </w:t>
            </w:r>
            <w:r>
              <w:rPr>
                <w:rFonts w:ascii="宋体" w:hAnsi="宋体" w:cs="宋体" w:eastAsia="宋体" w:hint="default"/>
                <w:spacing w:val="-2"/>
                <w:sz w:val="18"/>
                <w:szCs w:val="18"/>
              </w:rPr>
              <w:t>一控制下企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业合并</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w w:val="101"/>
                <w:sz w:val="18"/>
                <w:szCs w:val="18"/>
              </w:rPr>
              <w:t>其</w:t>
            </w:r>
            <w:r>
              <w:rPr>
                <w:rFonts w:ascii="宋体" w:hAnsi="宋体" w:cs="宋体" w:eastAsia="宋体" w:hint="default"/>
                <w:sz w:val="18"/>
                <w:szCs w:val="18"/>
              </w:rPr>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w w:val="101"/>
                <w:sz w:val="18"/>
                <w:szCs w:val="18"/>
              </w:rPr>
              <w:t>他</w:t>
            </w:r>
            <w:r>
              <w:rPr>
                <w:rFonts w:ascii="宋体" w:hAnsi="宋体" w:cs="宋体" w:eastAsia="宋体" w:hint="default"/>
                <w:sz w:val="18"/>
                <w:szCs w:val="18"/>
              </w:rPr>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105" w:right="95"/>
              <w:jc w:val="left"/>
              <w:rPr>
                <w:rFonts w:ascii="宋体" w:hAnsi="宋体" w:cs="宋体" w:eastAsia="宋体" w:hint="default"/>
                <w:sz w:val="18"/>
                <w:szCs w:val="18"/>
              </w:rPr>
            </w:pPr>
            <w:r>
              <w:rPr>
                <w:rFonts w:ascii="宋体" w:hAnsi="宋体" w:cs="宋体" w:eastAsia="宋体" w:hint="default"/>
                <w:spacing w:val="-9"/>
                <w:sz w:val="18"/>
                <w:szCs w:val="18"/>
              </w:rPr>
              <w:t>二、本年期初</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余额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5" w:right="0"/>
              <w:jc w:val="left"/>
              <w:rPr>
                <w:rFonts w:ascii="Times New Roman" w:hAnsi="Times New Roman" w:cs="Times New Roman" w:eastAsia="Times New Roman" w:hint="default"/>
                <w:sz w:val="18"/>
                <w:szCs w:val="18"/>
              </w:rPr>
            </w:pPr>
            <w:r>
              <w:rPr>
                <w:rFonts w:ascii="Times New Roman"/>
                <w:sz w:val="18"/>
              </w:rPr>
              <w:t>399</w:t>
            </w:r>
          </w:p>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60.</w:t>
            </w:r>
          </w:p>
          <w:p>
            <w:pPr>
              <w:pStyle w:val="TableParagraph"/>
              <w:spacing w:line="240" w:lineRule="auto" w:before="110"/>
              <w:ind w:left="206"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1,71</w:t>
            </w:r>
          </w:p>
          <w:p>
            <w:pPr>
              <w:pStyle w:val="TableParagraph"/>
              <w:spacing w:line="240" w:lineRule="auto" w:before="100"/>
              <w:ind w:left="149" w:right="0"/>
              <w:jc w:val="left"/>
              <w:rPr>
                <w:rFonts w:ascii="Times New Roman" w:hAnsi="Times New Roman" w:cs="Times New Roman" w:eastAsia="Times New Roman" w:hint="default"/>
                <w:sz w:val="18"/>
                <w:szCs w:val="18"/>
              </w:rPr>
            </w:pPr>
            <w:r>
              <w:rPr>
                <w:rFonts w:ascii="Times New Roman"/>
                <w:sz w:val="18"/>
              </w:rPr>
              <w:t>8,96</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8,74</w:t>
            </w:r>
          </w:p>
          <w:p>
            <w:pPr>
              <w:pStyle w:val="TableParagraph"/>
              <w:spacing w:line="240" w:lineRule="auto" w:before="110"/>
              <w:ind w:left="159" w:right="0"/>
              <w:jc w:val="left"/>
              <w:rPr>
                <w:rFonts w:ascii="Times New Roman" w:hAnsi="Times New Roman" w:cs="Times New Roman" w:eastAsia="Times New Roman" w:hint="default"/>
                <w:sz w:val="18"/>
                <w:szCs w:val="18"/>
              </w:rPr>
            </w:pPr>
            <w:r>
              <w:rPr>
                <w:rFonts w:ascii="Times New Roman"/>
                <w:sz w:val="18"/>
              </w:rPr>
              <w:t>0.11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1,29</w:t>
            </w:r>
          </w:p>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5,63</w:t>
            </w:r>
          </w:p>
          <w:p>
            <w:pPr>
              <w:pStyle w:val="TableParagraph"/>
              <w:spacing w:line="240" w:lineRule="auto" w:before="110"/>
              <w:ind w:left="158" w:right="0"/>
              <w:jc w:val="left"/>
              <w:rPr>
                <w:rFonts w:ascii="Times New Roman" w:hAnsi="Times New Roman" w:cs="Times New Roman" w:eastAsia="Times New Roman" w:hint="default"/>
                <w:sz w:val="18"/>
                <w:szCs w:val="18"/>
              </w:rPr>
            </w:pPr>
            <w:r>
              <w:rPr>
                <w:rFonts w:ascii="Times New Roman"/>
                <w:sz w:val="18"/>
              </w:rPr>
              <w:t>5.05</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26,6</w:t>
            </w:r>
          </w:p>
          <w:p>
            <w:pPr>
              <w:pStyle w:val="TableParagraph"/>
              <w:spacing w:line="240" w:lineRule="auto" w:before="100"/>
              <w:ind w:left="153" w:right="0"/>
              <w:jc w:val="left"/>
              <w:rPr>
                <w:rFonts w:ascii="Times New Roman" w:hAnsi="Times New Roman" w:cs="Times New Roman" w:eastAsia="Times New Roman" w:hint="default"/>
                <w:sz w:val="18"/>
                <w:szCs w:val="18"/>
              </w:rPr>
            </w:pPr>
            <w:r>
              <w:rPr>
                <w:rFonts w:ascii="Times New Roman"/>
                <w:sz w:val="18"/>
              </w:rPr>
              <w:t>14,4</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pacing w:val="-3"/>
                <w:sz w:val="18"/>
              </w:rPr>
              <w:t>11.6</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79,0</w:t>
            </w:r>
          </w:p>
          <w:p>
            <w:pPr>
              <w:pStyle w:val="TableParagraph"/>
              <w:spacing w:line="240" w:lineRule="auto" w:before="100"/>
              <w:ind w:left="153" w:right="0"/>
              <w:jc w:val="left"/>
              <w:rPr>
                <w:rFonts w:ascii="Times New Roman" w:hAnsi="Times New Roman" w:cs="Times New Roman" w:eastAsia="Times New Roman" w:hint="default"/>
                <w:sz w:val="18"/>
                <w:szCs w:val="18"/>
              </w:rPr>
            </w:pPr>
            <w:r>
              <w:rPr>
                <w:rFonts w:ascii="Times New Roman"/>
                <w:sz w:val="18"/>
              </w:rPr>
              <w:t>05,5</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26.2</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827,</w:t>
            </w:r>
          </w:p>
          <w:p>
            <w:pPr>
              <w:pStyle w:val="TableParagraph"/>
              <w:spacing w:line="240" w:lineRule="auto" w:before="100"/>
              <w:ind w:left="59" w:right="0"/>
              <w:jc w:val="center"/>
              <w:rPr>
                <w:rFonts w:ascii="Times New Roman" w:hAnsi="Times New Roman" w:cs="Times New Roman" w:eastAsia="Times New Roman" w:hint="default"/>
                <w:sz w:val="18"/>
                <w:szCs w:val="18"/>
              </w:rPr>
            </w:pPr>
            <w:r>
              <w:rPr>
                <w:rFonts w:ascii="Times New Roman"/>
                <w:sz w:val="18"/>
              </w:rPr>
              <w:t>938,</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103.</w:t>
            </w:r>
          </w:p>
          <w:p>
            <w:pPr>
              <w:pStyle w:val="TableParagraph"/>
              <w:spacing w:line="240" w:lineRule="auto" w:before="110"/>
              <w:ind w:left="200" w:right="0"/>
              <w:jc w:val="center"/>
              <w:rPr>
                <w:rFonts w:ascii="Times New Roman" w:hAnsi="Times New Roman" w:cs="Times New Roman" w:eastAsia="Times New Roman" w:hint="default"/>
                <w:sz w:val="18"/>
                <w:szCs w:val="18"/>
              </w:rPr>
            </w:pPr>
            <w:r>
              <w:rPr>
                <w:rFonts w:ascii="Times New Roman"/>
                <w:sz w:val="18"/>
              </w:rPr>
              <w:t>09</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3,05</w:t>
            </w:r>
          </w:p>
          <w:p>
            <w:pPr>
              <w:pStyle w:val="TableParagraph"/>
              <w:spacing w:line="240" w:lineRule="auto" w:before="100"/>
              <w:ind w:left="153" w:right="0"/>
              <w:jc w:val="left"/>
              <w:rPr>
                <w:rFonts w:ascii="Times New Roman" w:hAnsi="Times New Roman" w:cs="Times New Roman" w:eastAsia="Times New Roman" w:hint="default"/>
                <w:sz w:val="18"/>
                <w:szCs w:val="18"/>
              </w:rPr>
            </w:pPr>
            <w:r>
              <w:rPr>
                <w:rFonts w:ascii="Times New Roman"/>
                <w:sz w:val="18"/>
              </w:rPr>
              <w:t>0,31</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5,00</w:t>
            </w:r>
          </w:p>
          <w:p>
            <w:pPr>
              <w:pStyle w:val="TableParagraph"/>
              <w:spacing w:line="240" w:lineRule="auto" w:before="110"/>
              <w:ind w:left="153" w:right="0"/>
              <w:jc w:val="left"/>
              <w:rPr>
                <w:rFonts w:ascii="Times New Roman" w:hAnsi="Times New Roman" w:cs="Times New Roman" w:eastAsia="Times New Roman" w:hint="default"/>
                <w:sz w:val="18"/>
                <w:szCs w:val="18"/>
              </w:rPr>
            </w:pPr>
            <w:r>
              <w:rPr>
                <w:rFonts w:ascii="Times New Roman"/>
                <w:sz w:val="18"/>
              </w:rPr>
              <w:t>6.09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pacing w:val="-4"/>
                <w:sz w:val="18"/>
              </w:rPr>
              <w:t>111,</w:t>
            </w:r>
          </w:p>
          <w:p>
            <w:pPr>
              <w:pStyle w:val="TableParagraph"/>
              <w:spacing w:line="240" w:lineRule="auto" w:before="100"/>
              <w:ind w:left="60" w:right="0"/>
              <w:jc w:val="center"/>
              <w:rPr>
                <w:rFonts w:ascii="Times New Roman" w:hAnsi="Times New Roman" w:cs="Times New Roman" w:eastAsia="Times New Roman" w:hint="default"/>
                <w:sz w:val="18"/>
                <w:szCs w:val="18"/>
              </w:rPr>
            </w:pPr>
            <w:r>
              <w:rPr>
                <w:rFonts w:ascii="Times New Roman"/>
                <w:sz w:val="18"/>
              </w:rPr>
              <w:t>791,</w:t>
            </w:r>
          </w:p>
          <w:p>
            <w:pPr>
              <w:pStyle w:val="TableParagraph"/>
              <w:spacing w:line="240" w:lineRule="auto" w:before="105"/>
              <w:ind w:left="60" w:right="0"/>
              <w:jc w:val="center"/>
              <w:rPr>
                <w:rFonts w:ascii="Times New Roman" w:hAnsi="Times New Roman" w:cs="Times New Roman" w:eastAsia="Times New Roman" w:hint="default"/>
                <w:sz w:val="18"/>
                <w:szCs w:val="18"/>
              </w:rPr>
            </w:pPr>
            <w:r>
              <w:rPr>
                <w:rFonts w:ascii="Times New Roman"/>
                <w:sz w:val="18"/>
              </w:rPr>
              <w:t>369.</w:t>
            </w:r>
          </w:p>
          <w:p>
            <w:pPr>
              <w:pStyle w:val="TableParagraph"/>
              <w:spacing w:line="240" w:lineRule="auto" w:before="110"/>
              <w:ind w:left="201" w:right="0"/>
              <w:jc w:val="center"/>
              <w:rPr>
                <w:rFonts w:ascii="Times New Roman" w:hAnsi="Times New Roman" w:cs="Times New Roman" w:eastAsia="Times New Roman" w:hint="default"/>
                <w:sz w:val="18"/>
                <w:szCs w:val="18"/>
              </w:rPr>
            </w:pPr>
            <w:r>
              <w:rPr>
                <w:rFonts w:ascii="Times New Roman"/>
                <w:sz w:val="18"/>
              </w:rPr>
              <w:t>61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3,16</w:t>
            </w:r>
          </w:p>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2,10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6,37</w:t>
            </w:r>
          </w:p>
          <w:p>
            <w:pPr>
              <w:pStyle w:val="TableParagraph"/>
              <w:spacing w:line="240" w:lineRule="auto" w:before="110"/>
              <w:ind w:left="148" w:right="0"/>
              <w:jc w:val="left"/>
              <w:rPr>
                <w:rFonts w:ascii="Times New Roman" w:hAnsi="Times New Roman" w:cs="Times New Roman" w:eastAsia="Times New Roman" w:hint="default"/>
                <w:sz w:val="18"/>
                <w:szCs w:val="18"/>
              </w:rPr>
            </w:pPr>
            <w:r>
              <w:rPr>
                <w:rFonts w:ascii="Times New Roman"/>
                <w:sz w:val="18"/>
              </w:rPr>
              <w:t>5.70</w:t>
            </w:r>
          </w:p>
        </w:tc>
      </w:tr>
      <w:tr>
        <w:trPr>
          <w:trHeight w:val="165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5" w:right="95"/>
              <w:jc w:val="both"/>
              <w:rPr>
                <w:rFonts w:ascii="宋体" w:hAnsi="宋体" w:cs="宋体" w:eastAsia="宋体" w:hint="default"/>
                <w:sz w:val="18"/>
                <w:szCs w:val="18"/>
              </w:rPr>
            </w:pPr>
            <w:r>
              <w:rPr>
                <w:rFonts w:ascii="宋体" w:hAnsi="宋体" w:cs="宋体" w:eastAsia="宋体" w:hint="default"/>
                <w:spacing w:val="-9"/>
                <w:sz w:val="18"/>
                <w:szCs w:val="18"/>
              </w:rPr>
              <w:t>三、本期增减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9"/>
                <w:sz w:val="18"/>
                <w:szCs w:val="18"/>
              </w:rPr>
              <w:t>变动金额（减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0"/>
                <w:sz w:val="18"/>
                <w:szCs w:val="18"/>
              </w:rPr>
              <w:t>少以“－”号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填列）</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5" w:right="0"/>
              <w:jc w:val="left"/>
              <w:rPr>
                <w:rFonts w:ascii="Times New Roman" w:hAnsi="Times New Roman" w:cs="Times New Roman" w:eastAsia="Times New Roman" w:hint="default"/>
                <w:sz w:val="18"/>
                <w:szCs w:val="18"/>
              </w:rPr>
            </w:pPr>
            <w:r>
              <w:rPr>
                <w:rFonts w:ascii="Times New Roman"/>
                <w:sz w:val="18"/>
              </w:rPr>
              <w:t>238</w:t>
            </w:r>
          </w:p>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,66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10"/>
              <w:ind w:left="206"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-245</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,426,</w:t>
            </w:r>
          </w:p>
          <w:p>
            <w:pPr>
              <w:pStyle w:val="TableParagraph"/>
              <w:spacing w:line="240" w:lineRule="auto" w:before="105"/>
              <w:ind w:left="46" w:right="0"/>
              <w:jc w:val="center"/>
              <w:rPr>
                <w:rFonts w:ascii="Times New Roman" w:hAnsi="Times New Roman" w:cs="Times New Roman" w:eastAsia="Times New Roman" w:hint="default"/>
                <w:sz w:val="18"/>
                <w:szCs w:val="18"/>
              </w:rPr>
            </w:pPr>
            <w:r>
              <w:rPr>
                <w:rFonts w:ascii="Times New Roman"/>
                <w:sz w:val="18"/>
              </w:rPr>
              <w:t>986.</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71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95,6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35.0</w:t>
            </w:r>
          </w:p>
          <w:p>
            <w:pPr>
              <w:pStyle w:val="TableParagraph"/>
              <w:spacing w:line="240" w:lineRule="auto" w:before="110"/>
              <w:ind w:left="283"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12,3</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42,1</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06.6</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1,24</w:t>
            </w:r>
          </w:p>
          <w:p>
            <w:pPr>
              <w:pStyle w:val="TableParagraph"/>
              <w:spacing w:line="240" w:lineRule="auto" w:before="100"/>
              <w:ind w:left="153" w:right="0"/>
              <w:jc w:val="left"/>
              <w:rPr>
                <w:rFonts w:ascii="Times New Roman" w:hAnsi="Times New Roman" w:cs="Times New Roman" w:eastAsia="Times New Roman" w:hint="default"/>
                <w:sz w:val="18"/>
                <w:szCs w:val="18"/>
              </w:rPr>
            </w:pPr>
            <w:r>
              <w:rPr>
                <w:rFonts w:ascii="Times New Roman"/>
                <w:sz w:val="18"/>
              </w:rPr>
              <w:t>1,58</w:t>
            </w:r>
          </w:p>
          <w:p>
            <w:pPr>
              <w:pStyle w:val="TableParagraph"/>
              <w:spacing w:line="240" w:lineRule="auto" w:before="110"/>
              <w:ind w:left="153" w:right="0"/>
              <w:jc w:val="left"/>
              <w:rPr>
                <w:rFonts w:ascii="Times New Roman" w:hAnsi="Times New Roman" w:cs="Times New Roman" w:eastAsia="Times New Roman" w:hint="default"/>
                <w:sz w:val="18"/>
                <w:szCs w:val="18"/>
              </w:rPr>
            </w:pPr>
            <w:r>
              <w:rPr>
                <w:rFonts w:ascii="Times New Roman"/>
                <w:sz w:val="18"/>
              </w:rPr>
              <w:t>0.87</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91,5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30,8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02.2</w:t>
            </w:r>
          </w:p>
          <w:p>
            <w:pPr>
              <w:pStyle w:val="TableParagraph"/>
              <w:spacing w:line="240" w:lineRule="auto" w:before="110"/>
              <w:ind w:left="383"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99,6</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43,9</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50.1</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34,7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04,1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07.6</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134,</w:t>
            </w:r>
          </w:p>
          <w:p>
            <w:pPr>
              <w:pStyle w:val="TableParagraph"/>
              <w:spacing w:line="240" w:lineRule="auto" w:before="105"/>
              <w:ind w:left="50" w:right="0"/>
              <w:jc w:val="center"/>
              <w:rPr>
                <w:rFonts w:ascii="Times New Roman" w:hAnsi="Times New Roman" w:cs="Times New Roman" w:eastAsia="Times New Roman" w:hint="default"/>
                <w:sz w:val="18"/>
                <w:szCs w:val="18"/>
              </w:rPr>
            </w:pPr>
            <w:r>
              <w:rPr>
                <w:rFonts w:ascii="Times New Roman"/>
                <w:sz w:val="18"/>
              </w:rPr>
              <w:t>348,</w:t>
            </w:r>
          </w:p>
          <w:p>
            <w:pPr>
              <w:pStyle w:val="TableParagraph"/>
              <w:spacing w:line="240" w:lineRule="auto" w:before="105"/>
              <w:ind w:left="50" w:right="0"/>
              <w:jc w:val="center"/>
              <w:rPr>
                <w:rFonts w:ascii="Times New Roman" w:hAnsi="Times New Roman" w:cs="Times New Roman" w:eastAsia="Times New Roman" w:hint="default"/>
                <w:sz w:val="18"/>
                <w:szCs w:val="18"/>
              </w:rPr>
            </w:pPr>
            <w:r>
              <w:rPr>
                <w:rFonts w:ascii="Times New Roman"/>
                <w:sz w:val="18"/>
              </w:rPr>
              <w:t>057.</w:t>
            </w:r>
          </w:p>
          <w:p>
            <w:pPr>
              <w:pStyle w:val="TableParagraph"/>
              <w:spacing w:line="240" w:lineRule="auto" w:before="110"/>
              <w:ind w:left="192" w:right="0"/>
              <w:jc w:val="center"/>
              <w:rPr>
                <w:rFonts w:ascii="Times New Roman" w:hAnsi="Times New Roman" w:cs="Times New Roman" w:eastAsia="Times New Roman" w:hint="default"/>
                <w:sz w:val="18"/>
                <w:szCs w:val="18"/>
              </w:rPr>
            </w:pPr>
            <w:r>
              <w:rPr>
                <w:rFonts w:ascii="Times New Roman"/>
                <w:sz w:val="18"/>
              </w:rPr>
              <w:t>75</w:t>
            </w:r>
          </w:p>
        </w:tc>
      </w:tr>
      <w:tr>
        <w:trPr>
          <w:trHeight w:val="133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05" w:right="94"/>
              <w:jc w:val="left"/>
              <w:rPr>
                <w:rFonts w:ascii="宋体" w:hAnsi="宋体" w:cs="宋体" w:eastAsia="宋体" w:hint="default"/>
                <w:sz w:val="18"/>
                <w:szCs w:val="18"/>
              </w:rPr>
            </w:pPr>
            <w:r>
              <w:rPr>
                <w:rFonts w:ascii="宋体" w:hAnsi="宋体" w:cs="宋体" w:eastAsia="宋体" w:hint="default"/>
                <w:spacing w:val="-9"/>
                <w:sz w:val="18"/>
                <w:szCs w:val="18"/>
              </w:rPr>
              <w:t>（一）综合收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益总额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3" w:right="0"/>
              <w:jc w:val="left"/>
              <w:rPr>
                <w:rFonts w:ascii="Times New Roman" w:hAnsi="Times New Roman" w:cs="Times New Roman" w:eastAsia="Times New Roman" w:hint="default"/>
                <w:sz w:val="18"/>
                <w:szCs w:val="18"/>
              </w:rPr>
            </w:pPr>
            <w:r>
              <w:rPr>
                <w:rFonts w:ascii="Times New Roman"/>
                <w:sz w:val="18"/>
              </w:rPr>
              <w:t>12,3</w:t>
            </w:r>
          </w:p>
          <w:p>
            <w:pPr>
              <w:pStyle w:val="TableParagraph"/>
              <w:spacing w:line="240" w:lineRule="auto" w:before="100"/>
              <w:ind w:left="153" w:right="0"/>
              <w:jc w:val="left"/>
              <w:rPr>
                <w:rFonts w:ascii="Times New Roman" w:hAnsi="Times New Roman" w:cs="Times New Roman" w:eastAsia="Times New Roman" w:hint="default"/>
                <w:sz w:val="18"/>
                <w:szCs w:val="18"/>
              </w:rPr>
            </w:pPr>
            <w:r>
              <w:rPr>
                <w:rFonts w:ascii="Times New Roman"/>
                <w:sz w:val="18"/>
              </w:rPr>
              <w:t>42,1</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06.6</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9" w:right="0"/>
              <w:jc w:val="center"/>
              <w:rPr>
                <w:rFonts w:ascii="Times New Roman" w:hAnsi="Times New Roman" w:cs="Times New Roman" w:eastAsia="Times New Roman" w:hint="default"/>
                <w:sz w:val="18"/>
                <w:szCs w:val="18"/>
              </w:rPr>
            </w:pPr>
            <w:r>
              <w:rPr>
                <w:rFonts w:ascii="Times New Roman"/>
                <w:spacing w:val="-3"/>
                <w:sz w:val="18"/>
              </w:rPr>
              <w:t>116,</w:t>
            </w:r>
          </w:p>
          <w:p>
            <w:pPr>
              <w:pStyle w:val="TableParagraph"/>
              <w:spacing w:line="240" w:lineRule="auto" w:before="100"/>
              <w:ind w:left="59" w:right="0"/>
              <w:jc w:val="center"/>
              <w:rPr>
                <w:rFonts w:ascii="Times New Roman" w:hAnsi="Times New Roman" w:cs="Times New Roman" w:eastAsia="Times New Roman" w:hint="default"/>
                <w:sz w:val="18"/>
                <w:szCs w:val="18"/>
              </w:rPr>
            </w:pPr>
            <w:r>
              <w:rPr>
                <w:rFonts w:ascii="Times New Roman"/>
                <w:sz w:val="18"/>
              </w:rPr>
              <w:t>717,</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268.</w:t>
            </w:r>
          </w:p>
          <w:p>
            <w:pPr>
              <w:pStyle w:val="TableParagraph"/>
              <w:spacing w:line="240" w:lineRule="auto" w:before="110"/>
              <w:ind w:left="200" w:right="0"/>
              <w:jc w:val="center"/>
              <w:rPr>
                <w:rFonts w:ascii="Times New Roman" w:hAnsi="Times New Roman" w:cs="Times New Roman" w:eastAsia="Times New Roman" w:hint="default"/>
                <w:sz w:val="18"/>
                <w:szCs w:val="18"/>
              </w:rPr>
            </w:pPr>
            <w:r>
              <w:rPr>
                <w:rFonts w:ascii="Times New Roman"/>
                <w:sz w:val="18"/>
              </w:rPr>
              <w:t>15</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4" w:right="0"/>
              <w:jc w:val="center"/>
              <w:rPr>
                <w:rFonts w:ascii="Times New Roman" w:hAnsi="Times New Roman" w:cs="Times New Roman" w:eastAsia="Times New Roman" w:hint="default"/>
                <w:sz w:val="18"/>
                <w:szCs w:val="18"/>
              </w:rPr>
            </w:pPr>
            <w:r>
              <w:rPr>
                <w:rFonts w:ascii="Times New Roman"/>
                <w:sz w:val="18"/>
              </w:rPr>
              <w:t>129,</w:t>
            </w:r>
          </w:p>
          <w:p>
            <w:pPr>
              <w:pStyle w:val="TableParagraph"/>
              <w:spacing w:line="240" w:lineRule="auto" w:before="100"/>
              <w:ind w:left="54" w:right="0"/>
              <w:jc w:val="center"/>
              <w:rPr>
                <w:rFonts w:ascii="Times New Roman" w:hAnsi="Times New Roman" w:cs="Times New Roman" w:eastAsia="Times New Roman" w:hint="default"/>
                <w:sz w:val="18"/>
                <w:szCs w:val="18"/>
              </w:rPr>
            </w:pPr>
            <w:r>
              <w:rPr>
                <w:rFonts w:ascii="Times New Roman"/>
                <w:sz w:val="18"/>
              </w:rPr>
              <w:t>059,</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374.</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83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8" w:right="0"/>
              <w:jc w:val="left"/>
              <w:rPr>
                <w:rFonts w:ascii="Times New Roman" w:hAnsi="Times New Roman" w:cs="Times New Roman" w:eastAsia="Times New Roman" w:hint="default"/>
                <w:sz w:val="18"/>
                <w:szCs w:val="18"/>
              </w:rPr>
            </w:pPr>
            <w:r>
              <w:rPr>
                <w:rFonts w:ascii="Times New Roman"/>
                <w:sz w:val="18"/>
              </w:rPr>
              <w:t>36,0</w:t>
            </w:r>
          </w:p>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05,1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76.2</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0" w:right="0"/>
              <w:jc w:val="center"/>
              <w:rPr>
                <w:rFonts w:ascii="Times New Roman" w:hAnsi="Times New Roman" w:cs="Times New Roman" w:eastAsia="Times New Roman" w:hint="default"/>
                <w:sz w:val="18"/>
                <w:szCs w:val="18"/>
              </w:rPr>
            </w:pPr>
            <w:r>
              <w:rPr>
                <w:rFonts w:ascii="Times New Roman"/>
                <w:sz w:val="18"/>
              </w:rPr>
              <w:t>165,</w:t>
            </w:r>
          </w:p>
          <w:p>
            <w:pPr>
              <w:pStyle w:val="TableParagraph"/>
              <w:spacing w:line="240" w:lineRule="auto" w:before="100"/>
              <w:ind w:left="50" w:right="0"/>
              <w:jc w:val="center"/>
              <w:rPr>
                <w:rFonts w:ascii="Times New Roman" w:hAnsi="Times New Roman" w:cs="Times New Roman" w:eastAsia="Times New Roman" w:hint="default"/>
                <w:sz w:val="18"/>
                <w:szCs w:val="18"/>
              </w:rPr>
            </w:pPr>
            <w:r>
              <w:rPr>
                <w:rFonts w:ascii="Times New Roman"/>
                <w:sz w:val="18"/>
              </w:rPr>
              <w:t>064,</w:t>
            </w:r>
          </w:p>
          <w:p>
            <w:pPr>
              <w:pStyle w:val="TableParagraph"/>
              <w:spacing w:line="240" w:lineRule="auto" w:before="105"/>
              <w:ind w:left="50" w:right="0"/>
              <w:jc w:val="center"/>
              <w:rPr>
                <w:rFonts w:ascii="Times New Roman" w:hAnsi="Times New Roman" w:cs="Times New Roman" w:eastAsia="Times New Roman" w:hint="default"/>
                <w:sz w:val="18"/>
                <w:szCs w:val="18"/>
              </w:rPr>
            </w:pPr>
            <w:r>
              <w:rPr>
                <w:rFonts w:ascii="Times New Roman"/>
                <w:sz w:val="18"/>
              </w:rPr>
              <w:t>551.</w:t>
            </w:r>
          </w:p>
          <w:p>
            <w:pPr>
              <w:pStyle w:val="TableParagraph"/>
              <w:spacing w:line="240" w:lineRule="auto" w:before="110"/>
              <w:ind w:left="192" w:right="0"/>
              <w:jc w:val="center"/>
              <w:rPr>
                <w:rFonts w:ascii="Times New Roman" w:hAnsi="Times New Roman" w:cs="Times New Roman" w:eastAsia="Times New Roman" w:hint="default"/>
                <w:sz w:val="18"/>
                <w:szCs w:val="18"/>
              </w:rPr>
            </w:pPr>
            <w:r>
              <w:rPr>
                <w:rFonts w:ascii="Times New Roman"/>
                <w:sz w:val="18"/>
              </w:rPr>
              <w:t>07</w:t>
            </w: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105" w:right="95"/>
              <w:jc w:val="left"/>
              <w:rPr>
                <w:rFonts w:ascii="宋体" w:hAnsi="宋体" w:cs="宋体" w:eastAsia="宋体" w:hint="default"/>
                <w:sz w:val="18"/>
                <w:szCs w:val="18"/>
              </w:rPr>
            </w:pPr>
            <w:r>
              <w:rPr>
                <w:rFonts w:ascii="宋体" w:hAnsi="宋体" w:cs="宋体" w:eastAsia="宋体" w:hint="default"/>
                <w:spacing w:val="-9"/>
                <w:sz w:val="18"/>
                <w:szCs w:val="18"/>
              </w:rPr>
              <w:t>（二）所有者</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投入和减少</w:t>
            </w:r>
            <w:r>
              <w:rPr>
                <w:rFonts w:ascii="宋体" w:hAnsi="宋体" w:cs="宋体" w:eastAsia="宋体" w:hint="default"/>
                <w:w w:val="101"/>
                <w:sz w:val="18"/>
                <w:szCs w:val="18"/>
              </w:rPr>
              <w:t> </w:t>
            </w:r>
            <w:r>
              <w:rPr>
                <w:rFonts w:ascii="宋体" w:hAnsi="宋体" w:cs="宋体" w:eastAsia="宋体" w:hint="default"/>
                <w:sz w:val="18"/>
                <w:szCs w:val="18"/>
              </w:rPr>
              <w:t>资本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43" w:right="0"/>
              <w:jc w:val="left"/>
              <w:rPr>
                <w:rFonts w:ascii="Times New Roman" w:hAnsi="Times New Roman" w:cs="Times New Roman" w:eastAsia="Times New Roman" w:hint="default"/>
                <w:sz w:val="18"/>
                <w:szCs w:val="18"/>
              </w:rPr>
            </w:pPr>
            <w:r>
              <w:rPr>
                <w:rFonts w:ascii="Times New Roman"/>
                <w:sz w:val="18"/>
              </w:rPr>
              <w:t>-78</w:t>
            </w:r>
          </w:p>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9,4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72.</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83" w:right="0"/>
              <w:jc w:val="left"/>
              <w:rPr>
                <w:rFonts w:ascii="Times New Roman" w:hAnsi="Times New Roman" w:cs="Times New Roman" w:eastAsia="Times New Roman" w:hint="default"/>
                <w:sz w:val="18"/>
                <w:szCs w:val="18"/>
              </w:rPr>
            </w:pPr>
            <w:r>
              <w:rPr>
                <w:rFonts w:ascii="Times New Roman"/>
                <w:sz w:val="18"/>
              </w:rPr>
              <w:t>-5,9</w:t>
            </w:r>
          </w:p>
          <w:p>
            <w:pPr>
              <w:pStyle w:val="TableParagraph"/>
              <w:spacing w:line="240" w:lineRule="auto" w:before="100"/>
              <w:ind w:left="149" w:right="0"/>
              <w:jc w:val="left"/>
              <w:rPr>
                <w:rFonts w:ascii="Times New Roman" w:hAnsi="Times New Roman" w:cs="Times New Roman" w:eastAsia="Times New Roman" w:hint="default"/>
                <w:sz w:val="18"/>
                <w:szCs w:val="18"/>
              </w:rPr>
            </w:pPr>
            <w:r>
              <w:rPr>
                <w:rFonts w:ascii="Times New Roman"/>
                <w:sz w:val="18"/>
              </w:rPr>
              <w:t>76,7</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02.7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91"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95,6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35.0</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87" w:right="0"/>
              <w:jc w:val="left"/>
              <w:rPr>
                <w:rFonts w:ascii="Times New Roman" w:hAnsi="Times New Roman" w:cs="Times New Roman" w:eastAsia="Times New Roman" w:hint="default"/>
                <w:sz w:val="18"/>
                <w:szCs w:val="18"/>
              </w:rPr>
            </w:pPr>
            <w:r>
              <w:rPr>
                <w:rFonts w:ascii="Times New Roman"/>
                <w:sz w:val="18"/>
              </w:rPr>
              <w:t>-5,4</w:t>
            </w:r>
          </w:p>
          <w:p>
            <w:pPr>
              <w:pStyle w:val="TableParagraph"/>
              <w:spacing w:line="240" w:lineRule="auto" w:before="100"/>
              <w:ind w:left="153" w:right="0"/>
              <w:jc w:val="left"/>
              <w:rPr>
                <w:rFonts w:ascii="Times New Roman" w:hAnsi="Times New Roman" w:cs="Times New Roman" w:eastAsia="Times New Roman" w:hint="default"/>
                <w:sz w:val="18"/>
                <w:szCs w:val="18"/>
              </w:rPr>
            </w:pPr>
            <w:r>
              <w:rPr>
                <w:rFonts w:ascii="Times New Roman"/>
                <w:sz w:val="18"/>
              </w:rPr>
              <w:t>70,5</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39.6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0" w:right="0"/>
              <w:jc w:val="center"/>
              <w:rPr>
                <w:rFonts w:ascii="Times New Roman" w:hAnsi="Times New Roman" w:cs="Times New Roman" w:eastAsia="Times New Roman" w:hint="default"/>
                <w:sz w:val="18"/>
                <w:szCs w:val="18"/>
              </w:rPr>
            </w:pPr>
            <w:r>
              <w:rPr>
                <w:rFonts w:ascii="Times New Roman"/>
                <w:sz w:val="18"/>
              </w:rPr>
              <w:t>270,</w:t>
            </w:r>
          </w:p>
          <w:p>
            <w:pPr>
              <w:pStyle w:val="TableParagraph"/>
              <w:spacing w:line="240" w:lineRule="auto" w:before="105"/>
              <w:ind w:left="60" w:right="0"/>
              <w:jc w:val="center"/>
              <w:rPr>
                <w:rFonts w:ascii="Times New Roman" w:hAnsi="Times New Roman" w:cs="Times New Roman" w:eastAsia="Times New Roman" w:hint="default"/>
                <w:sz w:val="18"/>
                <w:szCs w:val="18"/>
              </w:rPr>
            </w:pPr>
            <w:r>
              <w:rPr>
                <w:rFonts w:ascii="Times New Roman"/>
                <w:sz w:val="18"/>
              </w:rPr>
              <w:t>931.</w:t>
            </w:r>
          </w:p>
          <w:p>
            <w:pPr>
              <w:pStyle w:val="TableParagraph"/>
              <w:spacing w:line="240" w:lineRule="auto" w:before="109"/>
              <w:ind w:left="201" w:right="0"/>
              <w:jc w:val="center"/>
              <w:rPr>
                <w:rFonts w:ascii="Times New Roman" w:hAnsi="Times New Roman" w:cs="Times New Roman" w:eastAsia="Times New Roman" w:hint="default"/>
                <w:sz w:val="18"/>
                <w:szCs w:val="18"/>
              </w:rPr>
            </w:pPr>
            <w:r>
              <w:rPr>
                <w:rFonts w:ascii="Times New Roman"/>
                <w:sz w:val="18"/>
              </w:rPr>
              <w:t>36</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82" w:right="0"/>
              <w:jc w:val="left"/>
              <w:rPr>
                <w:rFonts w:ascii="Times New Roman" w:hAnsi="Times New Roman" w:cs="Times New Roman" w:eastAsia="Times New Roman" w:hint="default"/>
                <w:sz w:val="18"/>
                <w:szCs w:val="18"/>
              </w:rPr>
            </w:pPr>
            <w:r>
              <w:rPr>
                <w:rFonts w:ascii="Times New Roman"/>
                <w:sz w:val="18"/>
              </w:rPr>
              <w:t>-5,1</w:t>
            </w:r>
          </w:p>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99,6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08.3</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53"/>
        <w:gridCol w:w="494"/>
        <w:gridCol w:w="466"/>
        <w:gridCol w:w="466"/>
        <w:gridCol w:w="470"/>
        <w:gridCol w:w="581"/>
        <w:gridCol w:w="586"/>
        <w:gridCol w:w="581"/>
        <w:gridCol w:w="586"/>
        <w:gridCol w:w="586"/>
        <w:gridCol w:w="581"/>
        <w:gridCol w:w="586"/>
        <w:gridCol w:w="586"/>
        <w:gridCol w:w="581"/>
        <w:gridCol w:w="586"/>
        <w:gridCol w:w="576"/>
      </w:tblGrid>
      <w:tr>
        <w:trPr>
          <w:trHeight w:val="36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06"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75"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83"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79"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74"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34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58"/>
              <w:ind w:left="105" w:right="143"/>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入的普通股</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3" w:right="0"/>
              <w:jc w:val="left"/>
              <w:rPr>
                <w:rFonts w:ascii="Times New Roman" w:hAnsi="Times New Roman" w:cs="Times New Roman" w:eastAsia="Times New Roman" w:hint="default"/>
                <w:sz w:val="18"/>
                <w:szCs w:val="18"/>
              </w:rPr>
            </w:pPr>
            <w:r>
              <w:rPr>
                <w:rFonts w:ascii="Times New Roman"/>
                <w:sz w:val="18"/>
              </w:rPr>
              <w:t>-78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72.</w:t>
            </w:r>
          </w:p>
          <w:p>
            <w:pPr>
              <w:pStyle w:val="TableParagraph"/>
              <w:spacing w:line="240" w:lineRule="auto" w:before="110"/>
              <w:ind w:left="206"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center"/>
              <w:rPr>
                <w:rFonts w:ascii="Times New Roman" w:hAnsi="Times New Roman" w:cs="Times New Roman" w:eastAsia="Times New Roman" w:hint="default"/>
                <w:sz w:val="18"/>
                <w:szCs w:val="18"/>
              </w:rPr>
            </w:pPr>
            <w:r>
              <w:rPr>
                <w:rFonts w:ascii="Times New Roman"/>
                <w:sz w:val="18"/>
              </w:rPr>
              <w:t>-5,9</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88,0</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76.3</w:t>
            </w:r>
          </w:p>
          <w:p>
            <w:pPr>
              <w:pStyle w:val="TableParagraph"/>
              <w:spacing w:line="240" w:lineRule="auto" w:before="110"/>
              <w:ind w:left="269"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5" w:right="0"/>
              <w:jc w:val="center"/>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95,6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35.0</w:t>
            </w:r>
          </w:p>
          <w:p>
            <w:pPr>
              <w:pStyle w:val="TableParagraph"/>
              <w:spacing w:line="240" w:lineRule="auto" w:before="110"/>
              <w:ind w:left="283"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0" w:right="0"/>
              <w:jc w:val="center"/>
              <w:rPr>
                <w:rFonts w:ascii="Times New Roman" w:hAnsi="Times New Roman" w:cs="Times New Roman" w:eastAsia="Times New Roman" w:hint="default"/>
                <w:sz w:val="18"/>
                <w:szCs w:val="18"/>
              </w:rPr>
            </w:pPr>
            <w:r>
              <w:rPr>
                <w:rFonts w:ascii="Times New Roman"/>
                <w:sz w:val="18"/>
              </w:rPr>
              <w:t>-5,4</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81,9</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13.2</w:t>
            </w:r>
          </w:p>
          <w:p>
            <w:pPr>
              <w:pStyle w:val="TableParagraph"/>
              <w:spacing w:line="240" w:lineRule="auto" w:before="110"/>
              <w:ind w:left="278" w:right="0"/>
              <w:jc w:val="center"/>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center"/>
              <w:rPr>
                <w:rFonts w:ascii="Times New Roman" w:hAnsi="Times New Roman" w:cs="Times New Roman" w:eastAsia="Times New Roman" w:hint="default"/>
                <w:sz w:val="18"/>
                <w:szCs w:val="18"/>
              </w:rPr>
            </w:pPr>
            <w:r>
              <w:rPr>
                <w:rFonts w:ascii="Times New Roman"/>
                <w:sz w:val="18"/>
              </w:rPr>
              <w:t>-5,4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81,9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13.2</w:t>
            </w:r>
          </w:p>
          <w:p>
            <w:pPr>
              <w:pStyle w:val="TableParagraph"/>
              <w:spacing w:line="240" w:lineRule="auto" w:before="110"/>
              <w:ind w:left="273" w:right="0"/>
              <w:jc w:val="center"/>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05" w:right="14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工具持有者</w:t>
            </w:r>
            <w:r>
              <w:rPr>
                <w:rFonts w:ascii="宋体" w:hAnsi="宋体" w:cs="宋体" w:eastAsia="宋体" w:hint="default"/>
                <w:w w:val="101"/>
                <w:sz w:val="18"/>
                <w:szCs w:val="18"/>
              </w:rPr>
              <w:t> </w:t>
            </w:r>
            <w:r>
              <w:rPr>
                <w:rFonts w:ascii="宋体" w:hAnsi="宋体" w:cs="宋体" w:eastAsia="宋体" w:hint="default"/>
                <w:sz w:val="18"/>
                <w:szCs w:val="18"/>
              </w:rPr>
              <w:t>投入资本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105" w:right="14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计入所有者</w:t>
            </w:r>
            <w:r>
              <w:rPr>
                <w:rFonts w:ascii="宋体" w:hAnsi="宋体" w:cs="宋体" w:eastAsia="宋体" w:hint="default"/>
                <w:w w:val="101"/>
                <w:sz w:val="18"/>
                <w:szCs w:val="18"/>
              </w:rPr>
              <w:t> </w:t>
            </w:r>
            <w:r>
              <w:rPr>
                <w:rFonts w:ascii="宋体" w:hAnsi="宋体" w:cs="宋体" w:eastAsia="宋体" w:hint="default"/>
                <w:sz w:val="18"/>
                <w:szCs w:val="18"/>
              </w:rPr>
              <w:t>权益的金额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9" w:right="0"/>
              <w:jc w:val="center"/>
              <w:rPr>
                <w:rFonts w:ascii="Times New Roman" w:hAnsi="Times New Roman" w:cs="Times New Roman" w:eastAsia="Times New Roman" w:hint="default"/>
                <w:sz w:val="18"/>
                <w:szCs w:val="18"/>
              </w:rPr>
            </w:pPr>
            <w:r>
              <w:rPr>
                <w:rFonts w:ascii="Times New Roman"/>
                <w:sz w:val="18"/>
              </w:rPr>
              <w:t>-194</w:t>
            </w:r>
          </w:p>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,186.</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72</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-194</w:t>
            </w:r>
          </w:p>
          <w:p>
            <w:pPr>
              <w:pStyle w:val="TableParagraph"/>
              <w:spacing w:line="240" w:lineRule="auto" w:before="100"/>
              <w:ind w:left="11" w:right="0"/>
              <w:jc w:val="center"/>
              <w:rPr>
                <w:rFonts w:ascii="Times New Roman" w:hAnsi="Times New Roman" w:cs="Times New Roman" w:eastAsia="Times New Roman" w:hint="default"/>
                <w:sz w:val="18"/>
                <w:szCs w:val="18"/>
              </w:rPr>
            </w:pPr>
            <w:r>
              <w:rPr>
                <w:rFonts w:ascii="Times New Roman"/>
                <w:sz w:val="18"/>
              </w:rPr>
              <w:t>,186.</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72</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center"/>
              <w:rPr>
                <w:rFonts w:ascii="Times New Roman" w:hAnsi="Times New Roman" w:cs="Times New Roman" w:eastAsia="Times New Roman" w:hint="default"/>
                <w:sz w:val="18"/>
                <w:szCs w:val="18"/>
              </w:rPr>
            </w:pPr>
            <w:r>
              <w:rPr>
                <w:rFonts w:ascii="Times New Roman"/>
                <w:sz w:val="18"/>
              </w:rPr>
              <w:t>-194</w:t>
            </w:r>
          </w:p>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,186.</w:t>
            </w:r>
          </w:p>
          <w:p>
            <w:pPr>
              <w:pStyle w:val="TableParagraph"/>
              <w:spacing w:line="240" w:lineRule="auto" w:before="110"/>
              <w:ind w:left="192" w:right="0"/>
              <w:jc w:val="center"/>
              <w:rPr>
                <w:rFonts w:ascii="Times New Roman" w:hAnsi="Times New Roman" w:cs="Times New Roman" w:eastAsia="Times New Roman" w:hint="default"/>
                <w:sz w:val="18"/>
                <w:szCs w:val="18"/>
              </w:rPr>
            </w:pPr>
            <w:r>
              <w:rPr>
                <w:rFonts w:ascii="Times New Roman"/>
                <w:sz w:val="18"/>
              </w:rPr>
              <w:t>72</w:t>
            </w:r>
          </w:p>
        </w:tc>
      </w:tr>
      <w:tr>
        <w:trPr>
          <w:trHeight w:val="102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6" w:right="0"/>
              <w:jc w:val="center"/>
              <w:rPr>
                <w:rFonts w:ascii="Times New Roman" w:hAnsi="Times New Roman" w:cs="Times New Roman" w:eastAsia="Times New Roman" w:hint="default"/>
                <w:sz w:val="18"/>
                <w:szCs w:val="18"/>
              </w:rPr>
            </w:pPr>
            <w:r>
              <w:rPr>
                <w:rFonts w:ascii="Times New Roman"/>
                <w:sz w:val="18"/>
              </w:rPr>
              <w:t>205,</w:t>
            </w:r>
          </w:p>
          <w:p>
            <w:pPr>
              <w:pStyle w:val="TableParagraph"/>
              <w:spacing w:line="240" w:lineRule="auto" w:before="100"/>
              <w:ind w:left="46" w:right="0"/>
              <w:jc w:val="center"/>
              <w:rPr>
                <w:rFonts w:ascii="Times New Roman" w:hAnsi="Times New Roman" w:cs="Times New Roman" w:eastAsia="Times New Roman" w:hint="default"/>
                <w:sz w:val="18"/>
                <w:szCs w:val="18"/>
              </w:rPr>
            </w:pPr>
            <w:r>
              <w:rPr>
                <w:rFonts w:ascii="Times New Roman"/>
                <w:sz w:val="18"/>
              </w:rPr>
              <w:t>560.</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34</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4" w:right="0"/>
              <w:jc w:val="center"/>
              <w:rPr>
                <w:rFonts w:ascii="Times New Roman" w:hAnsi="Times New Roman" w:cs="Times New Roman" w:eastAsia="Times New Roman" w:hint="default"/>
                <w:sz w:val="18"/>
                <w:szCs w:val="18"/>
              </w:rPr>
            </w:pPr>
            <w:r>
              <w:rPr>
                <w:rFonts w:ascii="Times New Roman"/>
                <w:sz w:val="18"/>
              </w:rPr>
              <w:t>205,</w:t>
            </w:r>
          </w:p>
          <w:p>
            <w:pPr>
              <w:pStyle w:val="TableParagraph"/>
              <w:spacing w:line="240" w:lineRule="auto" w:before="100"/>
              <w:ind w:left="54" w:right="0"/>
              <w:jc w:val="center"/>
              <w:rPr>
                <w:rFonts w:ascii="Times New Roman" w:hAnsi="Times New Roman" w:cs="Times New Roman" w:eastAsia="Times New Roman" w:hint="default"/>
                <w:sz w:val="18"/>
                <w:szCs w:val="18"/>
              </w:rPr>
            </w:pPr>
            <w:r>
              <w:rPr>
                <w:rFonts w:ascii="Times New Roman"/>
                <w:sz w:val="18"/>
              </w:rPr>
              <w:t>560.</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34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0" w:right="0"/>
              <w:jc w:val="center"/>
              <w:rPr>
                <w:rFonts w:ascii="Times New Roman" w:hAnsi="Times New Roman" w:cs="Times New Roman" w:eastAsia="Times New Roman" w:hint="default"/>
                <w:sz w:val="18"/>
                <w:szCs w:val="18"/>
              </w:rPr>
            </w:pPr>
            <w:r>
              <w:rPr>
                <w:rFonts w:ascii="Times New Roman"/>
                <w:sz w:val="18"/>
              </w:rPr>
              <w:t>270,</w:t>
            </w:r>
          </w:p>
          <w:p>
            <w:pPr>
              <w:pStyle w:val="TableParagraph"/>
              <w:spacing w:line="240" w:lineRule="auto" w:before="100"/>
              <w:ind w:left="60" w:right="0"/>
              <w:jc w:val="center"/>
              <w:rPr>
                <w:rFonts w:ascii="Times New Roman" w:hAnsi="Times New Roman" w:cs="Times New Roman" w:eastAsia="Times New Roman" w:hint="default"/>
                <w:sz w:val="18"/>
                <w:szCs w:val="18"/>
              </w:rPr>
            </w:pPr>
            <w:r>
              <w:rPr>
                <w:rFonts w:ascii="Times New Roman"/>
                <w:sz w:val="18"/>
              </w:rPr>
              <w:t>931.</w:t>
            </w:r>
          </w:p>
          <w:p>
            <w:pPr>
              <w:pStyle w:val="TableParagraph"/>
              <w:spacing w:line="240" w:lineRule="auto" w:before="110"/>
              <w:ind w:left="201" w:right="0"/>
              <w:jc w:val="center"/>
              <w:rPr>
                <w:rFonts w:ascii="Times New Roman" w:hAnsi="Times New Roman" w:cs="Times New Roman" w:eastAsia="Times New Roman" w:hint="default"/>
                <w:sz w:val="18"/>
                <w:szCs w:val="18"/>
              </w:rPr>
            </w:pPr>
            <w:r>
              <w:rPr>
                <w:rFonts w:ascii="Times New Roman"/>
                <w:sz w:val="18"/>
              </w:rPr>
              <w:t>36</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0" w:right="0"/>
              <w:jc w:val="center"/>
              <w:rPr>
                <w:rFonts w:ascii="Times New Roman" w:hAnsi="Times New Roman" w:cs="Times New Roman" w:eastAsia="Times New Roman" w:hint="default"/>
                <w:sz w:val="18"/>
                <w:szCs w:val="18"/>
              </w:rPr>
            </w:pPr>
            <w:r>
              <w:rPr>
                <w:rFonts w:ascii="Times New Roman"/>
                <w:sz w:val="18"/>
              </w:rPr>
              <w:t>476,</w:t>
            </w:r>
          </w:p>
          <w:p>
            <w:pPr>
              <w:pStyle w:val="TableParagraph"/>
              <w:spacing w:line="240" w:lineRule="auto" w:before="100"/>
              <w:ind w:left="50" w:right="0"/>
              <w:jc w:val="center"/>
              <w:rPr>
                <w:rFonts w:ascii="Times New Roman" w:hAnsi="Times New Roman" w:cs="Times New Roman" w:eastAsia="Times New Roman" w:hint="default"/>
                <w:sz w:val="18"/>
                <w:szCs w:val="18"/>
              </w:rPr>
            </w:pPr>
            <w:r>
              <w:rPr>
                <w:rFonts w:ascii="Times New Roman"/>
                <w:sz w:val="18"/>
              </w:rPr>
              <w:t>491.</w:t>
            </w:r>
          </w:p>
          <w:p>
            <w:pPr>
              <w:pStyle w:val="TableParagraph"/>
              <w:spacing w:line="240" w:lineRule="auto" w:before="110"/>
              <w:ind w:left="192" w:right="0"/>
              <w:jc w:val="center"/>
              <w:rPr>
                <w:rFonts w:ascii="Times New Roman" w:hAnsi="Times New Roman" w:cs="Times New Roman" w:eastAsia="Times New Roman" w:hint="default"/>
                <w:sz w:val="18"/>
                <w:szCs w:val="18"/>
              </w:rPr>
            </w:pPr>
            <w:r>
              <w:rPr>
                <w:rFonts w:ascii="Times New Roman"/>
                <w:sz w:val="18"/>
              </w:rPr>
              <w:t>70</w:t>
            </w:r>
          </w:p>
        </w:tc>
      </w:tr>
      <w:tr>
        <w:trPr>
          <w:trHeight w:val="1339"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105" w:right="94"/>
              <w:jc w:val="left"/>
              <w:rPr>
                <w:rFonts w:ascii="宋体" w:hAnsi="宋体" w:cs="宋体" w:eastAsia="宋体" w:hint="default"/>
                <w:sz w:val="18"/>
                <w:szCs w:val="18"/>
              </w:rPr>
            </w:pPr>
            <w:r>
              <w:rPr>
                <w:rFonts w:ascii="宋体" w:hAnsi="宋体" w:cs="宋体" w:eastAsia="宋体" w:hint="default"/>
                <w:spacing w:val="-9"/>
                <w:sz w:val="18"/>
                <w:szCs w:val="18"/>
              </w:rPr>
              <w:t>（三）利润分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1,24</w:t>
            </w:r>
          </w:p>
          <w:p>
            <w:pPr>
              <w:pStyle w:val="TableParagraph"/>
              <w:spacing w:line="240" w:lineRule="auto" w:before="100"/>
              <w:ind w:left="153" w:right="0"/>
              <w:jc w:val="left"/>
              <w:rPr>
                <w:rFonts w:ascii="Times New Roman" w:hAnsi="Times New Roman" w:cs="Times New Roman" w:eastAsia="Times New Roman" w:hint="default"/>
                <w:sz w:val="18"/>
                <w:szCs w:val="18"/>
              </w:rPr>
            </w:pPr>
            <w:r>
              <w:rPr>
                <w:rFonts w:ascii="Times New Roman"/>
                <w:sz w:val="18"/>
              </w:rPr>
              <w:t>1,58</w:t>
            </w:r>
          </w:p>
          <w:p>
            <w:pPr>
              <w:pStyle w:val="TableParagraph"/>
              <w:spacing w:line="240" w:lineRule="auto" w:before="110"/>
              <w:ind w:left="153" w:right="0"/>
              <w:jc w:val="left"/>
              <w:rPr>
                <w:rFonts w:ascii="Times New Roman" w:hAnsi="Times New Roman" w:cs="Times New Roman" w:eastAsia="Times New Roman" w:hint="default"/>
                <w:sz w:val="18"/>
                <w:szCs w:val="18"/>
              </w:rPr>
            </w:pPr>
            <w:r>
              <w:rPr>
                <w:rFonts w:ascii="Times New Roman"/>
                <w:sz w:val="18"/>
              </w:rPr>
              <w:t>0.87</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2" w:right="0"/>
              <w:jc w:val="center"/>
              <w:rPr>
                <w:rFonts w:ascii="Times New Roman" w:hAnsi="Times New Roman" w:cs="Times New Roman" w:eastAsia="Times New Roman" w:hint="default"/>
                <w:sz w:val="18"/>
                <w:szCs w:val="18"/>
              </w:rPr>
            </w:pPr>
            <w:r>
              <w:rPr>
                <w:rFonts w:ascii="Times New Roman"/>
                <w:sz w:val="18"/>
              </w:rPr>
              <w:t>-25,</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186,</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465.</w:t>
            </w:r>
          </w:p>
          <w:p>
            <w:pPr>
              <w:pStyle w:val="TableParagraph"/>
              <w:spacing w:line="240" w:lineRule="auto" w:before="110"/>
              <w:ind w:left="200" w:right="0"/>
              <w:jc w:val="center"/>
              <w:rPr>
                <w:rFonts w:ascii="Times New Roman" w:hAnsi="Times New Roman" w:cs="Times New Roman" w:eastAsia="Times New Roman" w:hint="default"/>
                <w:sz w:val="18"/>
                <w:szCs w:val="18"/>
              </w:rPr>
            </w:pPr>
            <w:r>
              <w:rPr>
                <w:rFonts w:ascii="Times New Roman"/>
                <w:sz w:val="18"/>
              </w:rPr>
              <w:t>89</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8" w:right="0"/>
              <w:jc w:val="center"/>
              <w:rPr>
                <w:rFonts w:ascii="Times New Roman" w:hAnsi="Times New Roman" w:cs="Times New Roman" w:eastAsia="Times New Roman" w:hint="default"/>
                <w:sz w:val="18"/>
                <w:szCs w:val="18"/>
              </w:rPr>
            </w:pPr>
            <w:r>
              <w:rPr>
                <w:rFonts w:ascii="Times New Roman"/>
                <w:sz w:val="18"/>
              </w:rPr>
              <w:t>-23,</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944,</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885.</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02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5" w:right="0"/>
              <w:jc w:val="center"/>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72,0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4" w:right="0"/>
              <w:jc w:val="center"/>
              <w:rPr>
                <w:rFonts w:ascii="Times New Roman" w:hAnsi="Times New Roman" w:cs="Times New Roman" w:eastAsia="Times New Roman" w:hint="default"/>
                <w:sz w:val="18"/>
                <w:szCs w:val="18"/>
              </w:rPr>
            </w:pPr>
            <w:r>
              <w:rPr>
                <w:rFonts w:ascii="Times New Roman"/>
                <w:sz w:val="18"/>
              </w:rPr>
              <w:t>-25,</w:t>
            </w:r>
          </w:p>
          <w:p>
            <w:pPr>
              <w:pStyle w:val="TableParagraph"/>
              <w:spacing w:line="240" w:lineRule="auto" w:before="105"/>
              <w:ind w:left="50" w:right="0"/>
              <w:jc w:val="center"/>
              <w:rPr>
                <w:rFonts w:ascii="Times New Roman" w:hAnsi="Times New Roman" w:cs="Times New Roman" w:eastAsia="Times New Roman" w:hint="default"/>
                <w:sz w:val="18"/>
                <w:szCs w:val="18"/>
              </w:rPr>
            </w:pPr>
            <w:r>
              <w:rPr>
                <w:rFonts w:ascii="Times New Roman"/>
                <w:sz w:val="18"/>
              </w:rPr>
              <w:t>516,</w:t>
            </w:r>
          </w:p>
          <w:p>
            <w:pPr>
              <w:pStyle w:val="TableParagraph"/>
              <w:spacing w:line="240" w:lineRule="auto" w:before="105"/>
              <w:ind w:left="50" w:right="0"/>
              <w:jc w:val="center"/>
              <w:rPr>
                <w:rFonts w:ascii="Times New Roman" w:hAnsi="Times New Roman" w:cs="Times New Roman" w:eastAsia="Times New Roman" w:hint="default"/>
                <w:sz w:val="18"/>
                <w:szCs w:val="18"/>
              </w:rPr>
            </w:pPr>
            <w:r>
              <w:rPr>
                <w:rFonts w:ascii="Times New Roman"/>
                <w:sz w:val="18"/>
              </w:rPr>
              <w:t>885.</w:t>
            </w:r>
          </w:p>
          <w:p>
            <w:pPr>
              <w:pStyle w:val="TableParagraph"/>
              <w:spacing w:line="240" w:lineRule="auto" w:before="110"/>
              <w:ind w:left="192" w:right="0"/>
              <w:jc w:val="center"/>
              <w:rPr>
                <w:rFonts w:ascii="Times New Roman" w:hAnsi="Times New Roman" w:cs="Times New Roman" w:eastAsia="Times New Roman" w:hint="default"/>
                <w:sz w:val="18"/>
                <w:szCs w:val="18"/>
              </w:rPr>
            </w:pPr>
            <w:r>
              <w:rPr>
                <w:rFonts w:ascii="Times New Roman"/>
                <w:sz w:val="18"/>
              </w:rPr>
              <w:t>02</w:t>
            </w:r>
          </w:p>
        </w:tc>
      </w:tr>
      <w:tr>
        <w:trPr>
          <w:trHeight w:val="134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59"/>
              <w:ind w:left="105" w:right="143"/>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公积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1,24</w:t>
            </w:r>
          </w:p>
          <w:p>
            <w:pPr>
              <w:pStyle w:val="TableParagraph"/>
              <w:spacing w:line="240" w:lineRule="auto" w:before="100"/>
              <w:ind w:left="153" w:right="0"/>
              <w:jc w:val="left"/>
              <w:rPr>
                <w:rFonts w:ascii="Times New Roman" w:hAnsi="Times New Roman" w:cs="Times New Roman" w:eastAsia="Times New Roman" w:hint="default"/>
                <w:sz w:val="18"/>
                <w:szCs w:val="18"/>
              </w:rPr>
            </w:pPr>
            <w:r>
              <w:rPr>
                <w:rFonts w:ascii="Times New Roman"/>
                <w:sz w:val="18"/>
              </w:rPr>
              <w:t>1,58</w:t>
            </w:r>
          </w:p>
          <w:p>
            <w:pPr>
              <w:pStyle w:val="TableParagraph"/>
              <w:spacing w:line="240" w:lineRule="auto" w:before="110"/>
              <w:ind w:left="153" w:right="0"/>
              <w:jc w:val="left"/>
              <w:rPr>
                <w:rFonts w:ascii="Times New Roman" w:hAnsi="Times New Roman" w:cs="Times New Roman" w:eastAsia="Times New Roman" w:hint="default"/>
                <w:sz w:val="18"/>
                <w:szCs w:val="18"/>
              </w:rPr>
            </w:pPr>
            <w:r>
              <w:rPr>
                <w:rFonts w:ascii="Times New Roman"/>
                <w:sz w:val="18"/>
              </w:rPr>
              <w:t>0.87</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5" w:right="0"/>
              <w:jc w:val="center"/>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41,5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80.8</w:t>
            </w:r>
          </w:p>
          <w:p>
            <w:pPr>
              <w:pStyle w:val="TableParagraph"/>
              <w:spacing w:line="240" w:lineRule="auto" w:before="110"/>
              <w:ind w:left="282" w:right="0"/>
              <w:jc w:val="center"/>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43"/>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风险准备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21" w:lineRule="auto" w:before="63"/>
              <w:ind w:left="105" w:right="94"/>
              <w:jc w:val="left"/>
              <w:rPr>
                <w:rFonts w:ascii="宋体" w:hAnsi="宋体" w:cs="宋体" w:eastAsia="宋体" w:hint="default"/>
                <w:sz w:val="18"/>
                <w:szCs w:val="18"/>
              </w:rPr>
            </w:pPr>
            <w:r>
              <w:rPr>
                <w:rFonts w:ascii="宋体" w:hAnsi="宋体" w:cs="宋体" w:eastAsia="宋体" w:hint="default"/>
                <w:spacing w:val="-9"/>
                <w:sz w:val="18"/>
                <w:szCs w:val="18"/>
              </w:rPr>
              <w:t>（或股东）的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2" w:right="0"/>
              <w:jc w:val="center"/>
              <w:rPr>
                <w:rFonts w:ascii="Times New Roman" w:hAnsi="Times New Roman" w:cs="Times New Roman" w:eastAsia="Times New Roman" w:hint="default"/>
                <w:sz w:val="18"/>
                <w:szCs w:val="18"/>
              </w:rPr>
            </w:pPr>
            <w:r>
              <w:rPr>
                <w:rFonts w:ascii="Times New Roman"/>
                <w:sz w:val="18"/>
              </w:rPr>
              <w:t>-23,</w:t>
            </w:r>
          </w:p>
          <w:p>
            <w:pPr>
              <w:pStyle w:val="TableParagraph"/>
              <w:spacing w:line="240" w:lineRule="auto" w:before="100"/>
              <w:ind w:left="59" w:right="0"/>
              <w:jc w:val="center"/>
              <w:rPr>
                <w:rFonts w:ascii="Times New Roman" w:hAnsi="Times New Roman" w:cs="Times New Roman" w:eastAsia="Times New Roman" w:hint="default"/>
                <w:sz w:val="18"/>
                <w:szCs w:val="18"/>
              </w:rPr>
            </w:pPr>
            <w:r>
              <w:rPr>
                <w:rFonts w:ascii="Times New Roman"/>
                <w:sz w:val="18"/>
              </w:rPr>
              <w:t>944,</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885.</w:t>
            </w:r>
          </w:p>
          <w:p>
            <w:pPr>
              <w:pStyle w:val="TableParagraph"/>
              <w:spacing w:line="240" w:lineRule="auto" w:before="110"/>
              <w:ind w:left="200" w:right="0"/>
              <w:jc w:val="center"/>
              <w:rPr>
                <w:rFonts w:ascii="Times New Roman" w:hAnsi="Times New Roman" w:cs="Times New Roman" w:eastAsia="Times New Roman" w:hint="default"/>
                <w:sz w:val="18"/>
                <w:szCs w:val="18"/>
              </w:rPr>
            </w:pPr>
            <w:r>
              <w:rPr>
                <w:rFonts w:ascii="Times New Roman"/>
                <w:sz w:val="18"/>
              </w:rPr>
              <w:t>02</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8" w:right="0"/>
              <w:jc w:val="center"/>
              <w:rPr>
                <w:rFonts w:ascii="Times New Roman" w:hAnsi="Times New Roman" w:cs="Times New Roman" w:eastAsia="Times New Roman" w:hint="default"/>
                <w:sz w:val="18"/>
                <w:szCs w:val="18"/>
              </w:rPr>
            </w:pPr>
            <w:r>
              <w:rPr>
                <w:rFonts w:ascii="Times New Roman"/>
                <w:sz w:val="18"/>
              </w:rPr>
              <w:t>-23,</w:t>
            </w:r>
          </w:p>
          <w:p>
            <w:pPr>
              <w:pStyle w:val="TableParagraph"/>
              <w:spacing w:line="240" w:lineRule="auto" w:before="100"/>
              <w:ind w:left="54" w:right="0"/>
              <w:jc w:val="center"/>
              <w:rPr>
                <w:rFonts w:ascii="Times New Roman" w:hAnsi="Times New Roman" w:cs="Times New Roman" w:eastAsia="Times New Roman" w:hint="default"/>
                <w:sz w:val="18"/>
                <w:szCs w:val="18"/>
              </w:rPr>
            </w:pPr>
            <w:r>
              <w:rPr>
                <w:rFonts w:ascii="Times New Roman"/>
                <w:sz w:val="18"/>
              </w:rPr>
              <w:t>944,</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885.</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02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5" w:right="0"/>
              <w:jc w:val="center"/>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72,0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4" w:right="0"/>
              <w:jc w:val="center"/>
              <w:rPr>
                <w:rFonts w:ascii="Times New Roman" w:hAnsi="Times New Roman" w:cs="Times New Roman" w:eastAsia="Times New Roman" w:hint="default"/>
                <w:sz w:val="18"/>
                <w:szCs w:val="18"/>
              </w:rPr>
            </w:pPr>
            <w:r>
              <w:rPr>
                <w:rFonts w:ascii="Times New Roman"/>
                <w:sz w:val="18"/>
              </w:rPr>
              <w:t>-25,</w:t>
            </w:r>
          </w:p>
          <w:p>
            <w:pPr>
              <w:pStyle w:val="TableParagraph"/>
              <w:spacing w:line="240" w:lineRule="auto" w:before="100"/>
              <w:ind w:left="50" w:right="0"/>
              <w:jc w:val="center"/>
              <w:rPr>
                <w:rFonts w:ascii="Times New Roman" w:hAnsi="Times New Roman" w:cs="Times New Roman" w:eastAsia="Times New Roman" w:hint="default"/>
                <w:sz w:val="18"/>
                <w:szCs w:val="18"/>
              </w:rPr>
            </w:pPr>
            <w:r>
              <w:rPr>
                <w:rFonts w:ascii="Times New Roman"/>
                <w:sz w:val="18"/>
              </w:rPr>
              <w:t>516,</w:t>
            </w:r>
          </w:p>
          <w:p>
            <w:pPr>
              <w:pStyle w:val="TableParagraph"/>
              <w:spacing w:line="240" w:lineRule="auto" w:before="105"/>
              <w:ind w:left="50" w:right="0"/>
              <w:jc w:val="center"/>
              <w:rPr>
                <w:rFonts w:ascii="Times New Roman" w:hAnsi="Times New Roman" w:cs="Times New Roman" w:eastAsia="Times New Roman" w:hint="default"/>
                <w:sz w:val="18"/>
                <w:szCs w:val="18"/>
              </w:rPr>
            </w:pPr>
            <w:r>
              <w:rPr>
                <w:rFonts w:ascii="Times New Roman"/>
                <w:sz w:val="18"/>
              </w:rPr>
              <w:t>885.</w:t>
            </w:r>
          </w:p>
          <w:p>
            <w:pPr>
              <w:pStyle w:val="TableParagraph"/>
              <w:spacing w:line="240" w:lineRule="auto" w:before="110"/>
              <w:ind w:left="192" w:right="0"/>
              <w:jc w:val="center"/>
              <w:rPr>
                <w:rFonts w:ascii="Times New Roman" w:hAnsi="Times New Roman" w:cs="Times New Roman" w:eastAsia="Times New Roman" w:hint="default"/>
                <w:sz w:val="18"/>
                <w:szCs w:val="18"/>
              </w:rPr>
            </w:pPr>
            <w:r>
              <w:rPr>
                <w:rFonts w:ascii="Times New Roman"/>
                <w:sz w:val="18"/>
              </w:rPr>
              <w:t>02</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105" w:right="95"/>
              <w:jc w:val="left"/>
              <w:rPr>
                <w:rFonts w:ascii="宋体" w:hAnsi="宋体" w:cs="宋体" w:eastAsia="宋体" w:hint="default"/>
                <w:sz w:val="18"/>
                <w:szCs w:val="18"/>
              </w:rPr>
            </w:pPr>
            <w:r>
              <w:rPr>
                <w:rFonts w:ascii="宋体" w:hAnsi="宋体" w:cs="宋体" w:eastAsia="宋体" w:hint="default"/>
                <w:spacing w:val="-9"/>
                <w:sz w:val="18"/>
                <w:szCs w:val="18"/>
              </w:rPr>
              <w:t>（四）所有者</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权益内部结</w:t>
            </w:r>
            <w:r>
              <w:rPr>
                <w:rFonts w:ascii="宋体" w:hAnsi="宋体" w:cs="宋体" w:eastAsia="宋体" w:hint="default"/>
                <w:w w:val="101"/>
                <w:sz w:val="18"/>
                <w:szCs w:val="18"/>
              </w:rPr>
              <w:t> </w:t>
            </w:r>
            <w:r>
              <w:rPr>
                <w:rFonts w:ascii="宋体" w:hAnsi="宋体" w:cs="宋体" w:eastAsia="宋体" w:hint="default"/>
                <w:sz w:val="18"/>
                <w:szCs w:val="18"/>
              </w:rPr>
              <w:t>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5" w:right="0"/>
              <w:jc w:val="left"/>
              <w:rPr>
                <w:rFonts w:ascii="Times New Roman" w:hAnsi="Times New Roman" w:cs="Times New Roman" w:eastAsia="Times New Roman" w:hint="default"/>
                <w:sz w:val="18"/>
                <w:szCs w:val="18"/>
              </w:rPr>
            </w:pPr>
            <w:r>
              <w:rPr>
                <w:rFonts w:ascii="Times New Roman"/>
                <w:sz w:val="18"/>
              </w:rPr>
              <w:t>239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84.</w:t>
            </w:r>
          </w:p>
          <w:p>
            <w:pPr>
              <w:pStyle w:val="TableParagraph"/>
              <w:spacing w:line="240" w:lineRule="auto" w:before="110"/>
              <w:ind w:left="206"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-239</w:t>
            </w:r>
          </w:p>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,450,</w:t>
            </w:r>
          </w:p>
          <w:p>
            <w:pPr>
              <w:pStyle w:val="TableParagraph"/>
              <w:spacing w:line="240" w:lineRule="auto" w:before="105"/>
              <w:ind w:left="46" w:right="0"/>
              <w:jc w:val="center"/>
              <w:rPr>
                <w:rFonts w:ascii="Times New Roman" w:hAnsi="Times New Roman" w:cs="Times New Roman" w:eastAsia="Times New Roman" w:hint="default"/>
                <w:sz w:val="18"/>
                <w:szCs w:val="18"/>
              </w:rPr>
            </w:pPr>
            <w:r>
              <w:rPr>
                <w:rFonts w:ascii="Times New Roman"/>
                <w:sz w:val="18"/>
              </w:rPr>
              <w:t>284.</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8"/>
              <w:ind w:left="105" w:right="94"/>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转增资本（或</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股本）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5" w:right="0"/>
              <w:jc w:val="left"/>
              <w:rPr>
                <w:rFonts w:ascii="Times New Roman" w:hAnsi="Times New Roman" w:cs="Times New Roman" w:eastAsia="Times New Roman" w:hint="default"/>
                <w:sz w:val="18"/>
                <w:szCs w:val="18"/>
              </w:rPr>
            </w:pPr>
            <w:r>
              <w:rPr>
                <w:rFonts w:ascii="Times New Roman"/>
                <w:sz w:val="18"/>
              </w:rPr>
              <w:t>239</w:t>
            </w:r>
          </w:p>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,45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84.</w:t>
            </w:r>
          </w:p>
          <w:p>
            <w:pPr>
              <w:pStyle w:val="TableParagraph"/>
              <w:spacing w:line="240" w:lineRule="auto" w:before="110"/>
              <w:ind w:left="206"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-239</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,450,</w:t>
            </w:r>
          </w:p>
          <w:p>
            <w:pPr>
              <w:pStyle w:val="TableParagraph"/>
              <w:spacing w:line="240" w:lineRule="auto" w:before="105"/>
              <w:ind w:left="46" w:right="0"/>
              <w:jc w:val="center"/>
              <w:rPr>
                <w:rFonts w:ascii="Times New Roman" w:hAnsi="Times New Roman" w:cs="Times New Roman" w:eastAsia="Times New Roman" w:hint="default"/>
                <w:sz w:val="18"/>
                <w:szCs w:val="18"/>
              </w:rPr>
            </w:pPr>
            <w:r>
              <w:rPr>
                <w:rFonts w:ascii="Times New Roman"/>
                <w:sz w:val="18"/>
              </w:rPr>
              <w:t>284.</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5" w:lineRule="auto" w:before="53"/>
              <w:ind w:left="105"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转增资本（或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53"/>
        <w:gridCol w:w="494"/>
        <w:gridCol w:w="466"/>
        <w:gridCol w:w="466"/>
        <w:gridCol w:w="470"/>
        <w:gridCol w:w="581"/>
        <w:gridCol w:w="586"/>
        <w:gridCol w:w="581"/>
        <w:gridCol w:w="586"/>
        <w:gridCol w:w="586"/>
        <w:gridCol w:w="581"/>
        <w:gridCol w:w="586"/>
        <w:gridCol w:w="586"/>
        <w:gridCol w:w="581"/>
        <w:gridCol w:w="586"/>
        <w:gridCol w:w="576"/>
      </w:tblGrid>
      <w:tr>
        <w:trPr>
          <w:trHeight w:val="36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143"/>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弥补亏损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05" w:right="14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计划变动额</w:t>
            </w:r>
            <w:r>
              <w:rPr>
                <w:rFonts w:ascii="宋体" w:hAnsi="宋体" w:cs="宋体" w:eastAsia="宋体" w:hint="default"/>
                <w:w w:val="101"/>
                <w:sz w:val="18"/>
                <w:szCs w:val="18"/>
              </w:rPr>
              <w:t> </w:t>
            </w:r>
            <w:r>
              <w:rPr>
                <w:rFonts w:ascii="宋体" w:hAnsi="宋体" w:cs="宋体" w:eastAsia="宋体" w:hint="default"/>
                <w:sz w:val="18"/>
                <w:szCs w:val="18"/>
              </w:rPr>
              <w:t>结转留存收</w:t>
            </w:r>
            <w:r>
              <w:rPr>
                <w:rFonts w:ascii="宋体" w:hAnsi="宋体" w:cs="宋体" w:eastAsia="宋体" w:hint="default"/>
                <w:w w:val="101"/>
                <w:sz w:val="18"/>
                <w:szCs w:val="18"/>
              </w:rPr>
              <w:t> </w:t>
            </w:r>
            <w:r>
              <w:rPr>
                <w:rFonts w:ascii="宋体" w:hAnsi="宋体" w:cs="宋体" w:eastAsia="宋体" w:hint="default"/>
                <w:sz w:val="18"/>
                <w:szCs w:val="18"/>
              </w:rPr>
              <w:t>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05" w:right="143"/>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收益结转留</w:t>
            </w:r>
            <w:r>
              <w:rPr>
                <w:rFonts w:ascii="宋体" w:hAnsi="宋体" w:cs="宋体" w:eastAsia="宋体" w:hint="default"/>
                <w:w w:val="101"/>
                <w:sz w:val="18"/>
                <w:szCs w:val="18"/>
              </w:rPr>
              <w:t> </w:t>
            </w:r>
            <w:r>
              <w:rPr>
                <w:rFonts w:ascii="宋体" w:hAnsi="宋体" w:cs="宋体" w:eastAsia="宋体" w:hint="default"/>
                <w:sz w:val="18"/>
                <w:szCs w:val="18"/>
              </w:rPr>
              <w:t>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94"/>
              <w:jc w:val="left"/>
              <w:rPr>
                <w:rFonts w:ascii="宋体" w:hAnsi="宋体" w:cs="宋体" w:eastAsia="宋体" w:hint="default"/>
                <w:sz w:val="18"/>
                <w:szCs w:val="18"/>
              </w:rPr>
            </w:pPr>
            <w:r>
              <w:rPr>
                <w:rFonts w:ascii="宋体" w:hAnsi="宋体" w:cs="宋体" w:eastAsia="宋体" w:hint="default"/>
                <w:spacing w:val="-9"/>
                <w:sz w:val="18"/>
                <w:szCs w:val="18"/>
              </w:rPr>
              <w:t>（五）专项储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105" w:right="95"/>
              <w:jc w:val="left"/>
              <w:rPr>
                <w:rFonts w:ascii="宋体" w:hAnsi="宋体" w:cs="宋体" w:eastAsia="宋体" w:hint="default"/>
                <w:sz w:val="18"/>
                <w:szCs w:val="18"/>
              </w:rPr>
            </w:pPr>
            <w:r>
              <w:rPr>
                <w:rFonts w:ascii="宋体" w:hAnsi="宋体" w:cs="宋体" w:eastAsia="宋体" w:hint="default"/>
                <w:spacing w:val="-9"/>
                <w:sz w:val="18"/>
                <w:szCs w:val="18"/>
              </w:rPr>
              <w:t>四、本期期末</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余额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5" w:right="0"/>
              <w:jc w:val="left"/>
              <w:rPr>
                <w:rFonts w:ascii="Times New Roman" w:hAnsi="Times New Roman" w:cs="Times New Roman" w:eastAsia="Times New Roman" w:hint="default"/>
                <w:sz w:val="18"/>
                <w:szCs w:val="18"/>
              </w:rPr>
            </w:pPr>
            <w:r>
              <w:rPr>
                <w:rFonts w:ascii="Times New Roman"/>
                <w:sz w:val="18"/>
              </w:rPr>
              <w:t>637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72.</w:t>
            </w:r>
          </w:p>
          <w:p>
            <w:pPr>
              <w:pStyle w:val="TableParagraph"/>
              <w:spacing w:line="240" w:lineRule="auto" w:before="110"/>
              <w:ind w:left="206"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1,47</w:t>
            </w:r>
          </w:p>
          <w:p>
            <w:pPr>
              <w:pStyle w:val="TableParagraph"/>
              <w:spacing w:line="240" w:lineRule="auto" w:before="100"/>
              <w:ind w:left="149" w:right="0"/>
              <w:jc w:val="left"/>
              <w:rPr>
                <w:rFonts w:ascii="Times New Roman" w:hAnsi="Times New Roman" w:cs="Times New Roman" w:eastAsia="Times New Roman" w:hint="default"/>
                <w:sz w:val="18"/>
                <w:szCs w:val="18"/>
              </w:rPr>
            </w:pPr>
            <w:r>
              <w:rPr>
                <w:rFonts w:ascii="Times New Roman"/>
                <w:sz w:val="18"/>
              </w:rPr>
              <w:t>3,54</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1,75</w:t>
            </w:r>
          </w:p>
          <w:p>
            <w:pPr>
              <w:pStyle w:val="TableParagraph"/>
              <w:spacing w:line="240" w:lineRule="auto" w:before="110"/>
              <w:ind w:left="149" w:right="0"/>
              <w:jc w:val="left"/>
              <w:rPr>
                <w:rFonts w:ascii="Times New Roman" w:hAnsi="Times New Roman" w:cs="Times New Roman" w:eastAsia="Times New Roman" w:hint="default"/>
                <w:sz w:val="18"/>
                <w:szCs w:val="18"/>
              </w:rPr>
            </w:pPr>
            <w:r>
              <w:rPr>
                <w:rFonts w:ascii="Times New Roman"/>
                <w:sz w:val="18"/>
              </w:rPr>
              <w:t>3.40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38,9</w:t>
            </w:r>
          </w:p>
          <w:p>
            <w:pPr>
              <w:pStyle w:val="TableParagraph"/>
              <w:spacing w:line="240" w:lineRule="auto" w:before="100"/>
              <w:ind w:left="153" w:right="0"/>
              <w:jc w:val="left"/>
              <w:rPr>
                <w:rFonts w:ascii="Times New Roman" w:hAnsi="Times New Roman" w:cs="Times New Roman" w:eastAsia="Times New Roman" w:hint="default"/>
                <w:sz w:val="18"/>
                <w:szCs w:val="18"/>
              </w:rPr>
            </w:pPr>
            <w:r>
              <w:rPr>
                <w:rFonts w:ascii="Times New Roman"/>
                <w:sz w:val="18"/>
              </w:rPr>
              <w:t>56,5</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18.3</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80,2</w:t>
            </w:r>
          </w:p>
          <w:p>
            <w:pPr>
              <w:pStyle w:val="TableParagraph"/>
              <w:spacing w:line="240" w:lineRule="auto" w:before="100"/>
              <w:ind w:left="153" w:right="0"/>
              <w:jc w:val="left"/>
              <w:rPr>
                <w:rFonts w:ascii="Times New Roman" w:hAnsi="Times New Roman" w:cs="Times New Roman" w:eastAsia="Times New Roman" w:hint="default"/>
                <w:sz w:val="18"/>
                <w:szCs w:val="18"/>
              </w:rPr>
            </w:pPr>
            <w:r>
              <w:rPr>
                <w:rFonts w:ascii="Times New Roman"/>
                <w:sz w:val="18"/>
              </w:rPr>
              <w:t>47,1</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07.1</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919,</w:t>
            </w:r>
          </w:p>
          <w:p>
            <w:pPr>
              <w:pStyle w:val="TableParagraph"/>
              <w:spacing w:line="240" w:lineRule="auto" w:before="100"/>
              <w:ind w:left="59" w:right="0"/>
              <w:jc w:val="center"/>
              <w:rPr>
                <w:rFonts w:ascii="Times New Roman" w:hAnsi="Times New Roman" w:cs="Times New Roman" w:eastAsia="Times New Roman" w:hint="default"/>
                <w:sz w:val="18"/>
                <w:szCs w:val="18"/>
              </w:rPr>
            </w:pPr>
            <w:r>
              <w:rPr>
                <w:rFonts w:ascii="Times New Roman"/>
                <w:sz w:val="18"/>
              </w:rPr>
              <w:t>468,</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905.</w:t>
            </w:r>
          </w:p>
          <w:p>
            <w:pPr>
              <w:pStyle w:val="TableParagraph"/>
              <w:spacing w:line="240" w:lineRule="auto" w:before="110"/>
              <w:ind w:left="200" w:right="0"/>
              <w:jc w:val="center"/>
              <w:rPr>
                <w:rFonts w:ascii="Times New Roman" w:hAnsi="Times New Roman" w:cs="Times New Roman" w:eastAsia="Times New Roman" w:hint="default"/>
                <w:sz w:val="18"/>
                <w:szCs w:val="18"/>
              </w:rPr>
            </w:pPr>
            <w:r>
              <w:rPr>
                <w:rFonts w:ascii="Times New Roman"/>
                <w:sz w:val="18"/>
              </w:rPr>
              <w:t>35</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3,14</w:t>
            </w:r>
          </w:p>
          <w:p>
            <w:pPr>
              <w:pStyle w:val="TableParagraph"/>
              <w:spacing w:line="240" w:lineRule="auto" w:before="100"/>
              <w:ind w:left="153" w:right="0"/>
              <w:jc w:val="left"/>
              <w:rPr>
                <w:rFonts w:ascii="Times New Roman" w:hAnsi="Times New Roman" w:cs="Times New Roman" w:eastAsia="Times New Roman" w:hint="default"/>
                <w:sz w:val="18"/>
                <w:szCs w:val="18"/>
              </w:rPr>
            </w:pPr>
            <w:r>
              <w:rPr>
                <w:rFonts w:ascii="Times New Roman"/>
                <w:sz w:val="18"/>
              </w:rPr>
              <w:t>9,95</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8,95</w:t>
            </w:r>
          </w:p>
          <w:p>
            <w:pPr>
              <w:pStyle w:val="TableParagraph"/>
              <w:spacing w:line="240" w:lineRule="auto" w:before="110"/>
              <w:ind w:left="153" w:right="0"/>
              <w:jc w:val="left"/>
              <w:rPr>
                <w:rFonts w:ascii="Times New Roman" w:hAnsi="Times New Roman" w:cs="Times New Roman" w:eastAsia="Times New Roman" w:hint="default"/>
                <w:sz w:val="18"/>
                <w:szCs w:val="18"/>
              </w:rPr>
            </w:pPr>
            <w:r>
              <w:rPr>
                <w:rFonts w:ascii="Times New Roman"/>
                <w:sz w:val="18"/>
              </w:rPr>
              <w:t>6.24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146,</w:t>
            </w:r>
          </w:p>
          <w:p>
            <w:pPr>
              <w:pStyle w:val="TableParagraph"/>
              <w:spacing w:line="240" w:lineRule="auto" w:before="100"/>
              <w:ind w:left="60" w:right="0"/>
              <w:jc w:val="center"/>
              <w:rPr>
                <w:rFonts w:ascii="Times New Roman" w:hAnsi="Times New Roman" w:cs="Times New Roman" w:eastAsia="Times New Roman" w:hint="default"/>
                <w:sz w:val="18"/>
                <w:szCs w:val="18"/>
              </w:rPr>
            </w:pPr>
            <w:r>
              <w:rPr>
                <w:rFonts w:ascii="Times New Roman"/>
                <w:sz w:val="18"/>
              </w:rPr>
              <w:t>495,</w:t>
            </w:r>
          </w:p>
          <w:p>
            <w:pPr>
              <w:pStyle w:val="TableParagraph"/>
              <w:spacing w:line="240" w:lineRule="auto" w:before="105"/>
              <w:ind w:left="60" w:right="0"/>
              <w:jc w:val="center"/>
              <w:rPr>
                <w:rFonts w:ascii="Times New Roman" w:hAnsi="Times New Roman" w:cs="Times New Roman" w:eastAsia="Times New Roman" w:hint="default"/>
                <w:sz w:val="18"/>
                <w:szCs w:val="18"/>
              </w:rPr>
            </w:pPr>
            <w:r>
              <w:rPr>
                <w:rFonts w:ascii="Times New Roman"/>
                <w:sz w:val="18"/>
              </w:rPr>
              <w:t>477.</w:t>
            </w:r>
          </w:p>
          <w:p>
            <w:pPr>
              <w:pStyle w:val="TableParagraph"/>
              <w:spacing w:line="240" w:lineRule="auto" w:before="110"/>
              <w:ind w:left="201" w:right="0"/>
              <w:jc w:val="center"/>
              <w:rPr>
                <w:rFonts w:ascii="Times New Roman" w:hAnsi="Times New Roman" w:cs="Times New Roman" w:eastAsia="Times New Roman" w:hint="default"/>
                <w:sz w:val="18"/>
                <w:szCs w:val="18"/>
              </w:rPr>
            </w:pPr>
            <w:r>
              <w:rPr>
                <w:rFonts w:ascii="Times New Roman"/>
                <w:sz w:val="18"/>
              </w:rPr>
              <w:t>21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3,29</w:t>
            </w:r>
          </w:p>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6,45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4,43</w:t>
            </w:r>
          </w:p>
          <w:p>
            <w:pPr>
              <w:pStyle w:val="TableParagraph"/>
              <w:spacing w:line="240" w:lineRule="auto" w:before="110"/>
              <w:ind w:left="148" w:right="0"/>
              <w:jc w:val="left"/>
              <w:rPr>
                <w:rFonts w:ascii="Times New Roman" w:hAnsi="Times New Roman" w:cs="Times New Roman" w:eastAsia="Times New Roman" w:hint="default"/>
                <w:sz w:val="18"/>
                <w:szCs w:val="18"/>
              </w:rPr>
            </w:pPr>
            <w:r>
              <w:rPr>
                <w:rFonts w:ascii="Times New Roman"/>
                <w:sz w:val="18"/>
              </w:rPr>
              <w:t>3.45</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2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215"/>
        <w:gridCol w:w="490"/>
        <w:gridCol w:w="447"/>
        <w:gridCol w:w="451"/>
        <w:gridCol w:w="490"/>
        <w:gridCol w:w="577"/>
        <w:gridCol w:w="576"/>
        <w:gridCol w:w="576"/>
        <w:gridCol w:w="581"/>
        <w:gridCol w:w="576"/>
        <w:gridCol w:w="576"/>
        <w:gridCol w:w="591"/>
        <w:gridCol w:w="566"/>
        <w:gridCol w:w="566"/>
        <w:gridCol w:w="644"/>
        <w:gridCol w:w="648"/>
      </w:tblGrid>
      <w:tr>
        <w:trPr>
          <w:trHeight w:val="403" w:hRule="exact"/>
        </w:trPr>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55"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403" w:hRule="exact"/>
        </w:trPr>
        <w:tc>
          <w:tcPr>
            <w:tcW w:w="1215" w:type="dxa"/>
            <w:vMerge/>
            <w:tcBorders>
              <w:left w:val="single" w:sz="4" w:space="0" w:color="000000"/>
              <w:right w:val="single" w:sz="4" w:space="0" w:color="000000"/>
            </w:tcBorders>
            <w:shd w:val="clear" w:color="auto" w:fill="D2D2D2"/>
          </w:tcPr>
          <w:p>
            <w:pPr/>
          </w:p>
        </w:tc>
        <w:tc>
          <w:tcPr>
            <w:tcW w:w="706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6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9" w:lineRule="auto"/>
              <w:ind w:left="139" w:right="132"/>
              <w:jc w:val="both"/>
              <w:rPr>
                <w:rFonts w:ascii="宋体" w:hAnsi="宋体" w:cs="宋体" w:eastAsia="宋体" w:hint="default"/>
                <w:sz w:val="18"/>
                <w:szCs w:val="18"/>
              </w:rPr>
            </w:pPr>
            <w:r>
              <w:rPr>
                <w:rFonts w:ascii="宋体" w:hAnsi="宋体" w:cs="宋体" w:eastAsia="宋体" w:hint="default"/>
                <w:sz w:val="18"/>
                <w:szCs w:val="18"/>
              </w:rPr>
              <w:t>所有</w:t>
            </w:r>
            <w:r>
              <w:rPr>
                <w:rFonts w:ascii="宋体" w:hAnsi="宋体" w:cs="宋体" w:eastAsia="宋体" w:hint="default"/>
                <w:spacing w:val="-86"/>
                <w:sz w:val="18"/>
                <w:szCs w:val="18"/>
              </w:rPr>
              <w:t> </w:t>
            </w:r>
            <w:r>
              <w:rPr>
                <w:rFonts w:ascii="宋体" w:hAnsi="宋体" w:cs="宋体" w:eastAsia="宋体" w:hint="default"/>
                <w:sz w:val="18"/>
                <w:szCs w:val="18"/>
              </w:rPr>
              <w:t>者权</w:t>
            </w:r>
            <w:r>
              <w:rPr>
                <w:rFonts w:ascii="宋体" w:hAnsi="宋体" w:cs="宋体" w:eastAsia="宋体" w:hint="default"/>
                <w:spacing w:val="-86"/>
                <w:sz w:val="18"/>
                <w:szCs w:val="18"/>
              </w:rPr>
              <w:t> </w:t>
            </w:r>
            <w:r>
              <w:rPr>
                <w:rFonts w:ascii="宋体" w:hAnsi="宋体" w:cs="宋体" w:eastAsia="宋体" w:hint="default"/>
                <w:sz w:val="18"/>
                <w:szCs w:val="18"/>
              </w:rPr>
              <w:t>益合</w:t>
            </w:r>
            <w:r>
              <w:rPr>
                <w:rFonts w:ascii="宋体" w:hAnsi="宋体" w:cs="宋体" w:eastAsia="宋体" w:hint="default"/>
                <w:spacing w:val="-86"/>
                <w:sz w:val="18"/>
                <w:szCs w:val="18"/>
              </w:rPr>
              <w:t> </w:t>
            </w:r>
            <w:r>
              <w:rPr>
                <w:rFonts w:ascii="宋体" w:hAnsi="宋体" w:cs="宋体" w:eastAsia="宋体" w:hint="default"/>
                <w:sz w:val="18"/>
                <w:szCs w:val="18"/>
              </w:rPr>
              <w:t>计</w:t>
            </w:r>
          </w:p>
        </w:tc>
      </w:tr>
      <w:tr>
        <w:trPr>
          <w:trHeight w:val="401" w:hRule="exact"/>
        </w:trPr>
        <w:tc>
          <w:tcPr>
            <w:tcW w:w="1215" w:type="dxa"/>
            <w:vMerge/>
            <w:tcBorders>
              <w:left w:val="single" w:sz="4" w:space="0" w:color="000000"/>
              <w:right w:val="single" w:sz="4" w:space="0" w:color="000000"/>
            </w:tcBorders>
            <w:shd w:val="clear" w:color="auto" w:fill="D2D2D2"/>
          </w:tcPr>
          <w:p>
            <w:pPr/>
          </w:p>
        </w:tc>
        <w:tc>
          <w:tcPr>
            <w:tcW w:w="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21" w:lineRule="auto"/>
              <w:ind w:left="148" w:right="146"/>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88"/>
                <w:sz w:val="18"/>
                <w:szCs w:val="18"/>
              </w:rPr>
              <w:t> </w:t>
            </w:r>
            <w:r>
              <w:rPr>
                <w:rFonts w:ascii="宋体" w:hAnsi="宋体" w:cs="宋体" w:eastAsia="宋体" w:hint="default"/>
                <w:sz w:val="18"/>
                <w:szCs w:val="18"/>
              </w:rPr>
              <w:t>本</w:t>
            </w:r>
          </w:p>
        </w:tc>
        <w:tc>
          <w:tcPr>
            <w:tcW w:w="13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21" w:lineRule="auto"/>
              <w:ind w:left="105" w:right="94"/>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9" w:lineRule="auto"/>
              <w:ind w:left="105" w:right="95"/>
              <w:jc w:val="both"/>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86"/>
                <w:sz w:val="18"/>
                <w:szCs w:val="18"/>
              </w:rPr>
              <w:t> </w:t>
            </w:r>
            <w:r>
              <w:rPr>
                <w:rFonts w:ascii="宋体" w:hAnsi="宋体" w:cs="宋体" w:eastAsia="宋体" w:hint="default"/>
                <w:sz w:val="18"/>
                <w:szCs w:val="18"/>
              </w:rPr>
              <w:t>库存</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9" w:lineRule="auto"/>
              <w:ind w:left="105" w:right="94"/>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21" w:lineRule="auto"/>
              <w:ind w:left="105" w:right="98"/>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21" w:lineRule="auto"/>
              <w:ind w:left="100" w:right="99"/>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9" w:lineRule="auto"/>
              <w:ind w:left="100" w:right="98"/>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9" w:lineRule="auto"/>
              <w:ind w:left="110" w:right="104"/>
              <w:jc w:val="both"/>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pacing w:val="-86"/>
                <w:sz w:val="18"/>
                <w:szCs w:val="18"/>
              </w:rPr>
              <w:t> </w:t>
            </w:r>
            <w:r>
              <w:rPr>
                <w:rFonts w:ascii="宋体" w:hAnsi="宋体" w:cs="宋体" w:eastAsia="宋体" w:hint="default"/>
                <w:sz w:val="18"/>
                <w:szCs w:val="18"/>
              </w:rPr>
              <w:t>配利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21" w:lineRule="auto"/>
              <w:ind w:left="187" w:right="185"/>
              <w:jc w:val="center"/>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w w:val="101"/>
                <w:sz w:val="18"/>
                <w:szCs w:val="18"/>
              </w:rPr>
              <w:t> </w:t>
            </w:r>
            <w:r>
              <w:rPr>
                <w:rFonts w:ascii="宋体" w:hAnsi="宋体" w:cs="宋体" w:eastAsia="宋体" w:hint="default"/>
                <w:sz w:val="18"/>
                <w:szCs w:val="18"/>
              </w:rPr>
              <w:t>他</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21" w:lineRule="auto"/>
              <w:ind w:left="187" w:right="185"/>
              <w:jc w:val="center"/>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w w:val="101"/>
                <w:sz w:val="18"/>
                <w:szCs w:val="18"/>
              </w:rPr>
              <w:t> </w:t>
            </w:r>
            <w:r>
              <w:rPr>
                <w:rFonts w:ascii="宋体" w:hAnsi="宋体" w:cs="宋体" w:eastAsia="宋体" w:hint="default"/>
                <w:sz w:val="18"/>
                <w:szCs w:val="18"/>
              </w:rPr>
              <w:t>计</w:t>
            </w:r>
          </w:p>
        </w:tc>
        <w:tc>
          <w:tcPr>
            <w:tcW w:w="64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8"/>
              <w:ind w:left="134" w:right="132"/>
              <w:jc w:val="both"/>
              <w:rPr>
                <w:rFonts w:ascii="宋体" w:hAnsi="宋体" w:cs="宋体" w:eastAsia="宋体" w:hint="default"/>
                <w:sz w:val="18"/>
                <w:szCs w:val="18"/>
              </w:rPr>
            </w:pPr>
            <w:r>
              <w:rPr>
                <w:rFonts w:ascii="宋体" w:hAnsi="宋体" w:cs="宋体" w:eastAsia="宋体" w:hint="default"/>
                <w:sz w:val="18"/>
                <w:szCs w:val="18"/>
              </w:rPr>
              <w:t>少数</w:t>
            </w:r>
            <w:r>
              <w:rPr>
                <w:rFonts w:ascii="宋体" w:hAnsi="宋体" w:cs="宋体" w:eastAsia="宋体" w:hint="default"/>
                <w:spacing w:val="-86"/>
                <w:sz w:val="18"/>
                <w:szCs w:val="18"/>
              </w:rPr>
              <w:t> </w:t>
            </w:r>
            <w:r>
              <w:rPr>
                <w:rFonts w:ascii="宋体" w:hAnsi="宋体" w:cs="宋体" w:eastAsia="宋体" w:hint="default"/>
                <w:sz w:val="18"/>
                <w:szCs w:val="18"/>
              </w:rPr>
              <w:t>股东</w:t>
            </w:r>
            <w:r>
              <w:rPr>
                <w:rFonts w:ascii="宋体" w:hAnsi="宋体" w:cs="宋体" w:eastAsia="宋体" w:hint="default"/>
                <w:spacing w:val="-86"/>
                <w:sz w:val="18"/>
                <w:szCs w:val="18"/>
              </w:rPr>
              <w:t> </w:t>
            </w:r>
            <w:r>
              <w:rPr>
                <w:rFonts w:ascii="宋体" w:hAnsi="宋体" w:cs="宋体" w:eastAsia="宋体" w:hint="default"/>
                <w:sz w:val="18"/>
                <w:szCs w:val="18"/>
              </w:rPr>
              <w:t>权益</w:t>
            </w:r>
          </w:p>
        </w:tc>
        <w:tc>
          <w:tcPr>
            <w:tcW w:w="648" w:type="dxa"/>
            <w:vMerge/>
            <w:tcBorders>
              <w:left w:val="single" w:sz="4" w:space="0" w:color="000000"/>
              <w:right w:val="single" w:sz="4" w:space="0" w:color="000000"/>
            </w:tcBorders>
            <w:shd w:val="clear" w:color="auto" w:fill="D2D2D2"/>
          </w:tcPr>
          <w:p>
            <w:pPr/>
          </w:p>
        </w:tc>
      </w:tr>
      <w:tr>
        <w:trPr>
          <w:trHeight w:val="1025" w:hRule="exact"/>
        </w:trPr>
        <w:tc>
          <w:tcPr>
            <w:tcW w:w="1215"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29" w:right="123"/>
              <w:jc w:val="both"/>
              <w:rPr>
                <w:rFonts w:ascii="宋体" w:hAnsi="宋体" w:cs="宋体" w:eastAsia="宋体" w:hint="default"/>
                <w:sz w:val="18"/>
                <w:szCs w:val="18"/>
              </w:rPr>
            </w:pPr>
            <w:r>
              <w:rPr>
                <w:rFonts w:ascii="宋体" w:hAnsi="宋体" w:cs="宋体" w:eastAsia="宋体" w:hint="default"/>
                <w:sz w:val="18"/>
                <w:szCs w:val="18"/>
              </w:rPr>
              <w:t>优</w:t>
            </w:r>
            <w:r>
              <w:rPr>
                <w:rFonts w:ascii="宋体" w:hAnsi="宋体" w:cs="宋体" w:eastAsia="宋体" w:hint="default"/>
                <w:spacing w:val="-88"/>
                <w:sz w:val="18"/>
                <w:szCs w:val="18"/>
              </w:rPr>
              <w:t> </w:t>
            </w:r>
            <w:r>
              <w:rPr>
                <w:rFonts w:ascii="宋体" w:hAnsi="宋体" w:cs="宋体" w:eastAsia="宋体" w:hint="default"/>
                <w:sz w:val="18"/>
                <w:szCs w:val="18"/>
              </w:rPr>
              <w:t>先</w:t>
            </w:r>
            <w:r>
              <w:rPr>
                <w:rFonts w:ascii="宋体" w:hAnsi="宋体" w:cs="宋体" w:eastAsia="宋体" w:hint="default"/>
                <w:spacing w:val="-88"/>
                <w:sz w:val="18"/>
                <w:szCs w:val="18"/>
              </w:rPr>
              <w:t> </w:t>
            </w:r>
            <w:r>
              <w:rPr>
                <w:rFonts w:ascii="宋体" w:hAnsi="宋体" w:cs="宋体" w:eastAsia="宋体" w:hint="default"/>
                <w:sz w:val="18"/>
                <w:szCs w:val="18"/>
              </w:rPr>
              <w:t>股</w:t>
            </w:r>
          </w:p>
        </w:tc>
        <w:tc>
          <w:tcPr>
            <w:tcW w:w="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34" w:right="122"/>
              <w:jc w:val="both"/>
              <w:rPr>
                <w:rFonts w:ascii="宋体" w:hAnsi="宋体" w:cs="宋体" w:eastAsia="宋体" w:hint="default"/>
                <w:sz w:val="18"/>
                <w:szCs w:val="18"/>
              </w:rPr>
            </w:pPr>
            <w:r>
              <w:rPr>
                <w:rFonts w:ascii="宋体" w:hAnsi="宋体" w:cs="宋体" w:eastAsia="宋体" w:hint="default"/>
                <w:sz w:val="18"/>
                <w:szCs w:val="18"/>
              </w:rPr>
              <w:t>永</w:t>
            </w:r>
            <w:r>
              <w:rPr>
                <w:rFonts w:ascii="宋体" w:hAnsi="宋体" w:cs="宋体" w:eastAsia="宋体" w:hint="default"/>
                <w:spacing w:val="-88"/>
                <w:sz w:val="18"/>
                <w:szCs w:val="18"/>
              </w:rPr>
              <w:t> </w:t>
            </w:r>
            <w:r>
              <w:rPr>
                <w:rFonts w:ascii="宋体" w:hAnsi="宋体" w:cs="宋体" w:eastAsia="宋体" w:hint="default"/>
                <w:sz w:val="18"/>
                <w:szCs w:val="18"/>
              </w:rPr>
              <w:t>续</w:t>
            </w:r>
            <w:r>
              <w:rPr>
                <w:rFonts w:ascii="宋体" w:hAnsi="宋体" w:cs="宋体" w:eastAsia="宋体" w:hint="default"/>
                <w:spacing w:val="-88"/>
                <w:sz w:val="18"/>
                <w:szCs w:val="18"/>
              </w:rPr>
              <w:t> </w:t>
            </w:r>
            <w:r>
              <w:rPr>
                <w:rFonts w:ascii="宋体" w:hAnsi="宋体" w:cs="宋体" w:eastAsia="宋体" w:hint="default"/>
                <w:sz w:val="18"/>
                <w:szCs w:val="18"/>
              </w:rPr>
              <w:t>债</w:t>
            </w:r>
          </w:p>
        </w:tc>
        <w:tc>
          <w:tcPr>
            <w:tcW w:w="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16" w:lineRule="auto"/>
              <w:ind w:left="148" w:right="146"/>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88"/>
                <w:sz w:val="18"/>
                <w:szCs w:val="18"/>
              </w:rPr>
              <w:t> </w:t>
            </w:r>
            <w:r>
              <w:rPr>
                <w:rFonts w:ascii="宋体" w:hAnsi="宋体" w:cs="宋体" w:eastAsia="宋体" w:hint="default"/>
                <w:sz w:val="18"/>
                <w:szCs w:val="18"/>
              </w:rPr>
              <w:t>他</w:t>
            </w:r>
          </w:p>
        </w:tc>
        <w:tc>
          <w:tcPr>
            <w:tcW w:w="577"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91"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single" w:sz="4" w:space="0" w:color="000000"/>
              <w:right w:val="single" w:sz="4" w:space="0" w:color="000000"/>
            </w:tcBorders>
            <w:shd w:val="clear" w:color="auto" w:fill="D2D2D2"/>
          </w:tcPr>
          <w:p>
            <w:pPr/>
          </w:p>
        </w:tc>
        <w:tc>
          <w:tcPr>
            <w:tcW w:w="648" w:type="dxa"/>
            <w:vMerge/>
            <w:tcBorders>
              <w:left w:val="single" w:sz="4" w:space="0" w:color="000000"/>
              <w:bottom w:val="single" w:sz="4" w:space="0" w:color="000000"/>
              <w:right w:val="single" w:sz="4" w:space="0" w:color="000000"/>
            </w:tcBorders>
            <w:shd w:val="clear" w:color="auto" w:fill="D2D2D2"/>
          </w:tcPr>
          <w:p>
            <w:pPr/>
          </w:p>
        </w:tc>
      </w:tr>
      <w:tr>
        <w:trPr>
          <w:trHeight w:val="1652"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105" w:right="99"/>
              <w:jc w:val="left"/>
              <w:rPr>
                <w:rFonts w:ascii="宋体" w:hAnsi="宋体" w:cs="宋体" w:eastAsia="宋体" w:hint="default"/>
                <w:sz w:val="18"/>
                <w:szCs w:val="18"/>
              </w:rPr>
            </w:pPr>
            <w:r>
              <w:rPr>
                <w:rFonts w:ascii="宋体" w:hAnsi="宋体" w:cs="宋体" w:eastAsia="宋体" w:hint="default"/>
                <w:spacing w:val="-16"/>
                <w:w w:val="101"/>
                <w:sz w:val="18"/>
                <w:szCs w:val="18"/>
              </w:rPr>
              <w:t>一、上年期末</w:t>
            </w:r>
            <w:r>
              <w:rPr>
                <w:rFonts w:ascii="宋体" w:hAnsi="宋体" w:cs="宋体" w:eastAsia="宋体" w:hint="default"/>
                <w:w w:val="101"/>
                <w:sz w:val="18"/>
                <w:szCs w:val="18"/>
              </w:rPr>
              <w:t> </w:t>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399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70.</w:t>
            </w:r>
          </w:p>
          <w:p>
            <w:pPr>
              <w:pStyle w:val="TableParagraph"/>
              <w:spacing w:line="240" w:lineRule="auto" w:before="110"/>
              <w:ind w:left="196" w:right="0"/>
              <w:jc w:val="left"/>
              <w:rPr>
                <w:rFonts w:ascii="Times New Roman" w:hAnsi="Times New Roman" w:cs="Times New Roman" w:eastAsia="Times New Roman" w:hint="default"/>
                <w:sz w:val="18"/>
                <w:szCs w:val="18"/>
              </w:rPr>
            </w:pPr>
            <w:r>
              <w:rPr>
                <w:rFonts w:ascii="Times New Roman"/>
                <w:sz w:val="18"/>
              </w:rPr>
              <w:t>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1,72</w:t>
            </w:r>
          </w:p>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4,63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7,96</w:t>
            </w:r>
          </w:p>
          <w:p>
            <w:pPr>
              <w:pStyle w:val="TableParagraph"/>
              <w:spacing w:line="240" w:lineRule="auto" w:before="110"/>
              <w:ind w:left="148" w:right="0"/>
              <w:jc w:val="left"/>
              <w:rPr>
                <w:rFonts w:ascii="Times New Roman" w:hAnsi="Times New Roman" w:cs="Times New Roman" w:eastAsia="Times New Roman" w:hint="default"/>
                <w:sz w:val="18"/>
                <w:szCs w:val="18"/>
              </w:rPr>
            </w:pPr>
            <w:r>
              <w:rPr>
                <w:rFonts w:ascii="Times New Roman"/>
                <w:sz w:val="18"/>
              </w:rPr>
              <w:t>1.61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2,63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4,01</w:t>
            </w:r>
          </w:p>
          <w:p>
            <w:pPr>
              <w:pStyle w:val="TableParagraph"/>
              <w:spacing w:line="240" w:lineRule="auto" w:before="110"/>
              <w:ind w:left="148" w:right="0"/>
              <w:jc w:val="left"/>
              <w:rPr>
                <w:rFonts w:ascii="Times New Roman" w:hAnsi="Times New Roman" w:cs="Times New Roman" w:eastAsia="Times New Roman" w:hint="default"/>
                <w:sz w:val="18"/>
                <w:szCs w:val="18"/>
              </w:rPr>
            </w:pPr>
            <w:r>
              <w:rPr>
                <w:rFonts w:ascii="Times New Roman"/>
                <w:sz w:val="18"/>
              </w:rPr>
              <w:t>7.80</w:t>
            </w: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69,6</w:t>
            </w:r>
          </w:p>
          <w:p>
            <w:pPr>
              <w:pStyle w:val="TableParagraph"/>
              <w:spacing w:line="240" w:lineRule="auto" w:before="100"/>
              <w:ind w:left="143" w:right="0"/>
              <w:jc w:val="left"/>
              <w:rPr>
                <w:rFonts w:ascii="Times New Roman" w:hAnsi="Times New Roman" w:cs="Times New Roman" w:eastAsia="Times New Roman" w:hint="default"/>
                <w:sz w:val="18"/>
                <w:szCs w:val="18"/>
              </w:rPr>
            </w:pPr>
            <w:r>
              <w:rPr>
                <w:rFonts w:ascii="Times New Roman"/>
                <w:sz w:val="18"/>
              </w:rPr>
              <w:t>41,1</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44.9</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637,</w:t>
            </w:r>
          </w:p>
          <w:p>
            <w:pPr>
              <w:pStyle w:val="TableParagraph"/>
              <w:spacing w:line="240" w:lineRule="auto" w:before="100"/>
              <w:ind w:left="64" w:right="0"/>
              <w:jc w:val="center"/>
              <w:rPr>
                <w:rFonts w:ascii="Times New Roman" w:hAnsi="Times New Roman" w:cs="Times New Roman" w:eastAsia="Times New Roman" w:hint="default"/>
                <w:sz w:val="18"/>
                <w:szCs w:val="18"/>
              </w:rPr>
            </w:pPr>
            <w:r>
              <w:rPr>
                <w:rFonts w:ascii="Times New Roman"/>
                <w:sz w:val="18"/>
              </w:rPr>
              <w:t>749,</w:t>
            </w:r>
          </w:p>
          <w:p>
            <w:pPr>
              <w:pStyle w:val="TableParagraph"/>
              <w:spacing w:line="240" w:lineRule="auto" w:before="105"/>
              <w:ind w:left="64" w:right="0"/>
              <w:jc w:val="center"/>
              <w:rPr>
                <w:rFonts w:ascii="Times New Roman" w:hAnsi="Times New Roman" w:cs="Times New Roman" w:eastAsia="Times New Roman" w:hint="default"/>
                <w:sz w:val="18"/>
                <w:szCs w:val="18"/>
              </w:rPr>
            </w:pPr>
            <w:r>
              <w:rPr>
                <w:rFonts w:ascii="Times New Roman"/>
                <w:sz w:val="18"/>
              </w:rPr>
              <w:t>133.</w:t>
            </w:r>
          </w:p>
          <w:p>
            <w:pPr>
              <w:pStyle w:val="TableParagraph"/>
              <w:spacing w:line="240" w:lineRule="auto" w:before="110"/>
              <w:ind w:left="205" w:right="0"/>
              <w:jc w:val="center"/>
              <w:rPr>
                <w:rFonts w:ascii="Times New Roman" w:hAnsi="Times New Roman" w:cs="Times New Roman" w:eastAsia="Times New Roman" w:hint="default"/>
                <w:sz w:val="18"/>
                <w:szCs w:val="18"/>
              </w:rPr>
            </w:pPr>
            <w:r>
              <w:rPr>
                <w:rFonts w:ascii="Times New Roman"/>
                <w:sz w:val="18"/>
              </w:rPr>
              <w:t>72</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2,82</w:t>
            </w:r>
          </w:p>
          <w:p>
            <w:pPr>
              <w:pStyle w:val="TableParagraph"/>
              <w:spacing w:line="240" w:lineRule="auto" w:before="100"/>
              <w:ind w:left="134" w:right="0"/>
              <w:jc w:val="left"/>
              <w:rPr>
                <w:rFonts w:ascii="Times New Roman" w:hAnsi="Times New Roman" w:cs="Times New Roman" w:eastAsia="Times New Roman" w:hint="default"/>
                <w:sz w:val="18"/>
                <w:szCs w:val="18"/>
              </w:rPr>
            </w:pPr>
            <w:r>
              <w:rPr>
                <w:rFonts w:ascii="Times New Roman"/>
                <w:sz w:val="18"/>
              </w:rPr>
              <w:t>9,13</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1,49</w:t>
            </w:r>
          </w:p>
          <w:p>
            <w:pPr>
              <w:pStyle w:val="TableParagraph"/>
              <w:spacing w:line="240" w:lineRule="auto" w:before="110"/>
              <w:ind w:left="134" w:right="0"/>
              <w:jc w:val="left"/>
              <w:rPr>
                <w:rFonts w:ascii="Times New Roman" w:hAnsi="Times New Roman" w:cs="Times New Roman" w:eastAsia="Times New Roman" w:hint="default"/>
                <w:sz w:val="18"/>
                <w:szCs w:val="18"/>
              </w:rPr>
            </w:pPr>
            <w:r>
              <w:rPr>
                <w:rFonts w:ascii="Times New Roman"/>
                <w:sz w:val="18"/>
              </w:rPr>
              <w:t>2.52</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84,20</w:t>
            </w:r>
          </w:p>
          <w:p>
            <w:pPr>
              <w:pStyle w:val="TableParagraph"/>
              <w:spacing w:line="240" w:lineRule="auto" w:before="105"/>
              <w:ind w:left="24" w:right="0"/>
              <w:jc w:val="center"/>
              <w:rPr>
                <w:rFonts w:ascii="Times New Roman" w:hAnsi="Times New Roman" w:cs="Times New Roman" w:eastAsia="Times New Roman" w:hint="default"/>
                <w:sz w:val="18"/>
                <w:szCs w:val="18"/>
              </w:rPr>
            </w:pPr>
            <w:r>
              <w:rPr>
                <w:rFonts w:ascii="Times New Roman"/>
                <w:sz w:val="18"/>
              </w:rPr>
              <w:t>6,940</w:t>
            </w:r>
          </w:p>
          <w:p>
            <w:pPr>
              <w:pStyle w:val="TableParagraph"/>
              <w:spacing w:line="240" w:lineRule="auto" w:before="110"/>
              <w:ind w:left="201" w:right="0"/>
              <w:jc w:val="center"/>
              <w:rPr>
                <w:rFonts w:ascii="Times New Roman" w:hAnsi="Times New Roman" w:cs="Times New Roman" w:eastAsia="Times New Roman" w:hint="default"/>
                <w:sz w:val="18"/>
                <w:szCs w:val="18"/>
              </w:rPr>
            </w:pPr>
            <w:r>
              <w:rPr>
                <w:rFonts w:ascii="Times New Roman"/>
                <w:sz w:val="18"/>
              </w:rPr>
              <w:t>.44</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2,913</w:t>
            </w:r>
          </w:p>
          <w:p>
            <w:pPr>
              <w:pStyle w:val="TableParagraph"/>
              <w:spacing w:line="240" w:lineRule="auto" w:before="100"/>
              <w:ind w:left="177" w:right="0"/>
              <w:jc w:val="left"/>
              <w:rPr>
                <w:rFonts w:ascii="Times New Roman" w:hAnsi="Times New Roman" w:cs="Times New Roman" w:eastAsia="Times New Roman" w:hint="default"/>
                <w:sz w:val="18"/>
                <w:szCs w:val="18"/>
              </w:rPr>
            </w:pPr>
            <w:r>
              <w:rPr>
                <w:rFonts w:ascii="Times New Roman"/>
                <w:sz w:val="18"/>
              </w:rPr>
              <w:t>,338,</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432.9</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99" w:firstLine="360"/>
              <w:jc w:val="left"/>
              <w:rPr>
                <w:rFonts w:ascii="宋体" w:hAnsi="宋体" w:cs="宋体" w:eastAsia="宋体" w:hint="default"/>
                <w:sz w:val="18"/>
                <w:szCs w:val="18"/>
              </w:rPr>
            </w:pPr>
            <w:r>
              <w:rPr>
                <w:rFonts w:ascii="宋体" w:hAnsi="宋体" w:cs="宋体" w:eastAsia="宋体" w:hint="default"/>
                <w:spacing w:val="-23"/>
                <w:w w:val="101"/>
                <w:sz w:val="18"/>
                <w:szCs w:val="18"/>
              </w:rPr>
              <w:t>加：会计</w:t>
            </w:r>
            <w:r>
              <w:rPr>
                <w:rFonts w:ascii="宋体" w:hAnsi="宋体" w:cs="宋体" w:eastAsia="宋体" w:hint="default"/>
                <w:w w:val="101"/>
                <w:sz w:val="18"/>
                <w:szCs w:val="18"/>
              </w:rPr>
              <w:t> </w:t>
            </w:r>
            <w:r>
              <w:rPr>
                <w:rFonts w:ascii="宋体" w:hAnsi="宋体" w:cs="宋体" w:eastAsia="宋体" w:hint="default"/>
                <w:sz w:val="18"/>
                <w:szCs w:val="18"/>
              </w:rPr>
              <w:t>政策变更</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194" w:firstLine="72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w w:val="101"/>
                <w:sz w:val="18"/>
                <w:szCs w:val="18"/>
              </w:rPr>
              <w:t> </w:t>
            </w:r>
            <w:r>
              <w:rPr>
                <w:rFonts w:ascii="宋体" w:hAnsi="宋体" w:cs="宋体" w:eastAsia="宋体" w:hint="default"/>
                <w:spacing w:val="-2"/>
                <w:sz w:val="18"/>
                <w:szCs w:val="18"/>
              </w:rPr>
              <w:t>期差错更正</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194"/>
              <w:jc w:val="right"/>
              <w:rPr>
                <w:rFonts w:ascii="宋体" w:hAnsi="宋体" w:cs="宋体" w:eastAsia="宋体" w:hint="default"/>
                <w:sz w:val="18"/>
                <w:szCs w:val="18"/>
              </w:rPr>
            </w:pPr>
            <w:r>
              <w:rPr>
                <w:rFonts w:ascii="宋体" w:hAnsi="宋体" w:cs="宋体" w:eastAsia="宋体" w:hint="default"/>
                <w:w w:val="101"/>
                <w:sz w:val="18"/>
                <w:szCs w:val="18"/>
              </w:rPr>
              <w:t>同</w:t>
            </w:r>
            <w:r>
              <w:rPr>
                <w:rFonts w:ascii="宋体" w:hAnsi="宋体" w:cs="宋体" w:eastAsia="宋体" w:hint="default"/>
                <w:sz w:val="18"/>
                <w:szCs w:val="18"/>
              </w:rPr>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15"/>
        <w:gridCol w:w="490"/>
        <w:gridCol w:w="447"/>
        <w:gridCol w:w="451"/>
        <w:gridCol w:w="490"/>
        <w:gridCol w:w="577"/>
        <w:gridCol w:w="576"/>
        <w:gridCol w:w="576"/>
        <w:gridCol w:w="581"/>
        <w:gridCol w:w="576"/>
        <w:gridCol w:w="576"/>
        <w:gridCol w:w="591"/>
        <w:gridCol w:w="566"/>
        <w:gridCol w:w="566"/>
        <w:gridCol w:w="644"/>
        <w:gridCol w:w="648"/>
      </w:tblGrid>
      <w:tr>
        <w:trPr>
          <w:trHeight w:val="672"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105" w:right="195"/>
              <w:jc w:val="left"/>
              <w:rPr>
                <w:rFonts w:ascii="宋体" w:hAnsi="宋体" w:cs="宋体" w:eastAsia="宋体" w:hint="default"/>
                <w:sz w:val="18"/>
                <w:szCs w:val="18"/>
              </w:rPr>
            </w:pPr>
            <w:r>
              <w:rPr>
                <w:rFonts w:ascii="宋体" w:hAnsi="宋体" w:cs="宋体" w:eastAsia="宋体" w:hint="default"/>
                <w:spacing w:val="-2"/>
                <w:sz w:val="18"/>
                <w:szCs w:val="18"/>
              </w:rPr>
              <w:t>一控制下企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业合并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4"/>
              <w:jc w:val="right"/>
              <w:rPr>
                <w:rFonts w:ascii="宋体" w:hAnsi="宋体" w:cs="宋体" w:eastAsia="宋体" w:hint="default"/>
                <w:sz w:val="18"/>
                <w:szCs w:val="18"/>
              </w:rPr>
            </w:pPr>
            <w:r>
              <w:rPr>
                <w:rFonts w:ascii="宋体" w:hAnsi="宋体" w:cs="宋体" w:eastAsia="宋体" w:hint="default"/>
                <w:w w:val="101"/>
                <w:sz w:val="18"/>
                <w:szCs w:val="18"/>
              </w:rPr>
              <w:t>其</w:t>
            </w:r>
            <w:r>
              <w:rPr>
                <w:rFonts w:ascii="宋体" w:hAnsi="宋体" w:cs="宋体" w:eastAsia="宋体" w:hint="default"/>
                <w:sz w:val="18"/>
                <w:szCs w:val="18"/>
              </w:rPr>
            </w:r>
          </w:p>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w w:val="101"/>
                <w:sz w:val="18"/>
                <w:szCs w:val="18"/>
              </w:rPr>
              <w:t>他</w:t>
            </w:r>
            <w:r>
              <w:rPr>
                <w:rFonts w:ascii="宋体" w:hAnsi="宋体" w:cs="宋体" w:eastAsia="宋体" w:hint="default"/>
                <w:sz w:val="18"/>
                <w:szCs w:val="18"/>
              </w:rPr>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105" w:right="99"/>
              <w:jc w:val="left"/>
              <w:rPr>
                <w:rFonts w:ascii="宋体" w:hAnsi="宋体" w:cs="宋体" w:eastAsia="宋体" w:hint="default"/>
                <w:sz w:val="18"/>
                <w:szCs w:val="18"/>
              </w:rPr>
            </w:pPr>
            <w:r>
              <w:rPr>
                <w:rFonts w:ascii="宋体" w:hAnsi="宋体" w:cs="宋体" w:eastAsia="宋体" w:hint="default"/>
                <w:spacing w:val="-16"/>
                <w:w w:val="101"/>
                <w:sz w:val="18"/>
                <w:szCs w:val="18"/>
              </w:rPr>
              <w:t>二、本年期初</w:t>
            </w:r>
            <w:r>
              <w:rPr>
                <w:rFonts w:ascii="宋体" w:hAnsi="宋体" w:cs="宋体" w:eastAsia="宋体" w:hint="default"/>
                <w:w w:val="101"/>
                <w:sz w:val="18"/>
                <w:szCs w:val="18"/>
              </w:rPr>
              <w:t> </w:t>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399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70.</w:t>
            </w:r>
          </w:p>
          <w:p>
            <w:pPr>
              <w:pStyle w:val="TableParagraph"/>
              <w:spacing w:line="240" w:lineRule="auto" w:before="110"/>
              <w:ind w:left="196" w:right="0"/>
              <w:jc w:val="left"/>
              <w:rPr>
                <w:rFonts w:ascii="Times New Roman" w:hAnsi="Times New Roman" w:cs="Times New Roman" w:eastAsia="Times New Roman" w:hint="default"/>
                <w:sz w:val="18"/>
                <w:szCs w:val="18"/>
              </w:rPr>
            </w:pPr>
            <w:r>
              <w:rPr>
                <w:rFonts w:ascii="Times New Roman"/>
                <w:sz w:val="18"/>
              </w:rPr>
              <w:t>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1,72</w:t>
            </w:r>
          </w:p>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4,63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7,96</w:t>
            </w:r>
          </w:p>
          <w:p>
            <w:pPr>
              <w:pStyle w:val="TableParagraph"/>
              <w:spacing w:line="240" w:lineRule="auto" w:before="110"/>
              <w:ind w:left="148" w:right="0"/>
              <w:jc w:val="left"/>
              <w:rPr>
                <w:rFonts w:ascii="Times New Roman" w:hAnsi="Times New Roman" w:cs="Times New Roman" w:eastAsia="Times New Roman" w:hint="default"/>
                <w:sz w:val="18"/>
                <w:szCs w:val="18"/>
              </w:rPr>
            </w:pPr>
            <w:r>
              <w:rPr>
                <w:rFonts w:ascii="Times New Roman"/>
                <w:sz w:val="18"/>
              </w:rPr>
              <w:t>1.61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2,63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4,01</w:t>
            </w:r>
          </w:p>
          <w:p>
            <w:pPr>
              <w:pStyle w:val="TableParagraph"/>
              <w:spacing w:line="240" w:lineRule="auto" w:before="110"/>
              <w:ind w:left="148" w:right="0"/>
              <w:jc w:val="left"/>
              <w:rPr>
                <w:rFonts w:ascii="Times New Roman" w:hAnsi="Times New Roman" w:cs="Times New Roman" w:eastAsia="Times New Roman" w:hint="default"/>
                <w:sz w:val="18"/>
                <w:szCs w:val="18"/>
              </w:rPr>
            </w:pPr>
            <w:r>
              <w:rPr>
                <w:rFonts w:ascii="Times New Roman"/>
                <w:sz w:val="18"/>
              </w:rPr>
              <w:t>7.80</w:t>
            </w: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69,6</w:t>
            </w:r>
          </w:p>
          <w:p>
            <w:pPr>
              <w:pStyle w:val="TableParagraph"/>
              <w:spacing w:line="240" w:lineRule="auto" w:before="100"/>
              <w:ind w:left="143" w:right="0"/>
              <w:jc w:val="left"/>
              <w:rPr>
                <w:rFonts w:ascii="Times New Roman" w:hAnsi="Times New Roman" w:cs="Times New Roman" w:eastAsia="Times New Roman" w:hint="default"/>
                <w:sz w:val="18"/>
                <w:szCs w:val="18"/>
              </w:rPr>
            </w:pPr>
            <w:r>
              <w:rPr>
                <w:rFonts w:ascii="Times New Roman"/>
                <w:sz w:val="18"/>
              </w:rPr>
              <w:t>41,1</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44.9</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637,</w:t>
            </w:r>
          </w:p>
          <w:p>
            <w:pPr>
              <w:pStyle w:val="TableParagraph"/>
              <w:spacing w:line="240" w:lineRule="auto" w:before="100"/>
              <w:ind w:left="64" w:right="0"/>
              <w:jc w:val="center"/>
              <w:rPr>
                <w:rFonts w:ascii="Times New Roman" w:hAnsi="Times New Roman" w:cs="Times New Roman" w:eastAsia="Times New Roman" w:hint="default"/>
                <w:sz w:val="18"/>
                <w:szCs w:val="18"/>
              </w:rPr>
            </w:pPr>
            <w:r>
              <w:rPr>
                <w:rFonts w:ascii="Times New Roman"/>
                <w:sz w:val="18"/>
              </w:rPr>
              <w:t>749,</w:t>
            </w:r>
          </w:p>
          <w:p>
            <w:pPr>
              <w:pStyle w:val="TableParagraph"/>
              <w:spacing w:line="240" w:lineRule="auto" w:before="105"/>
              <w:ind w:left="64" w:right="0"/>
              <w:jc w:val="center"/>
              <w:rPr>
                <w:rFonts w:ascii="Times New Roman" w:hAnsi="Times New Roman" w:cs="Times New Roman" w:eastAsia="Times New Roman" w:hint="default"/>
                <w:sz w:val="18"/>
                <w:szCs w:val="18"/>
              </w:rPr>
            </w:pPr>
            <w:r>
              <w:rPr>
                <w:rFonts w:ascii="Times New Roman"/>
                <w:sz w:val="18"/>
              </w:rPr>
              <w:t>133.</w:t>
            </w:r>
          </w:p>
          <w:p>
            <w:pPr>
              <w:pStyle w:val="TableParagraph"/>
              <w:spacing w:line="240" w:lineRule="auto" w:before="110"/>
              <w:ind w:left="205" w:right="0"/>
              <w:jc w:val="center"/>
              <w:rPr>
                <w:rFonts w:ascii="Times New Roman" w:hAnsi="Times New Roman" w:cs="Times New Roman" w:eastAsia="Times New Roman" w:hint="default"/>
                <w:sz w:val="18"/>
                <w:szCs w:val="18"/>
              </w:rPr>
            </w:pPr>
            <w:r>
              <w:rPr>
                <w:rFonts w:ascii="Times New Roman"/>
                <w:sz w:val="18"/>
              </w:rPr>
              <w:t>72</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2,82</w:t>
            </w:r>
          </w:p>
          <w:p>
            <w:pPr>
              <w:pStyle w:val="TableParagraph"/>
              <w:spacing w:line="240" w:lineRule="auto" w:before="100"/>
              <w:ind w:left="134" w:right="0"/>
              <w:jc w:val="left"/>
              <w:rPr>
                <w:rFonts w:ascii="Times New Roman" w:hAnsi="Times New Roman" w:cs="Times New Roman" w:eastAsia="Times New Roman" w:hint="default"/>
                <w:sz w:val="18"/>
                <w:szCs w:val="18"/>
              </w:rPr>
            </w:pPr>
            <w:r>
              <w:rPr>
                <w:rFonts w:ascii="Times New Roman"/>
                <w:sz w:val="18"/>
              </w:rPr>
              <w:t>9,13</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1,49</w:t>
            </w:r>
          </w:p>
          <w:p>
            <w:pPr>
              <w:pStyle w:val="TableParagraph"/>
              <w:spacing w:line="240" w:lineRule="auto" w:before="110"/>
              <w:ind w:left="134" w:right="0"/>
              <w:jc w:val="left"/>
              <w:rPr>
                <w:rFonts w:ascii="Times New Roman" w:hAnsi="Times New Roman" w:cs="Times New Roman" w:eastAsia="Times New Roman" w:hint="default"/>
                <w:sz w:val="18"/>
                <w:szCs w:val="18"/>
              </w:rPr>
            </w:pPr>
            <w:r>
              <w:rPr>
                <w:rFonts w:ascii="Times New Roman"/>
                <w:sz w:val="18"/>
              </w:rPr>
              <w:t>2.52</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84,20</w:t>
            </w:r>
          </w:p>
          <w:p>
            <w:pPr>
              <w:pStyle w:val="TableParagraph"/>
              <w:spacing w:line="240" w:lineRule="auto" w:before="105"/>
              <w:ind w:left="24" w:right="0"/>
              <w:jc w:val="center"/>
              <w:rPr>
                <w:rFonts w:ascii="Times New Roman" w:hAnsi="Times New Roman" w:cs="Times New Roman" w:eastAsia="Times New Roman" w:hint="default"/>
                <w:sz w:val="18"/>
                <w:szCs w:val="18"/>
              </w:rPr>
            </w:pPr>
            <w:r>
              <w:rPr>
                <w:rFonts w:ascii="Times New Roman"/>
                <w:sz w:val="18"/>
              </w:rPr>
              <w:t>6,940</w:t>
            </w:r>
          </w:p>
          <w:p>
            <w:pPr>
              <w:pStyle w:val="TableParagraph"/>
              <w:spacing w:line="240" w:lineRule="auto" w:before="110"/>
              <w:ind w:left="201" w:right="0"/>
              <w:jc w:val="center"/>
              <w:rPr>
                <w:rFonts w:ascii="Times New Roman" w:hAnsi="Times New Roman" w:cs="Times New Roman" w:eastAsia="Times New Roman" w:hint="default"/>
                <w:sz w:val="18"/>
                <w:szCs w:val="18"/>
              </w:rPr>
            </w:pPr>
            <w:r>
              <w:rPr>
                <w:rFonts w:ascii="Times New Roman"/>
                <w:sz w:val="18"/>
              </w:rPr>
              <w:t>.44</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2,913</w:t>
            </w:r>
          </w:p>
          <w:p>
            <w:pPr>
              <w:pStyle w:val="TableParagraph"/>
              <w:spacing w:line="240" w:lineRule="auto" w:before="100"/>
              <w:ind w:left="177" w:right="0"/>
              <w:jc w:val="left"/>
              <w:rPr>
                <w:rFonts w:ascii="Times New Roman" w:hAnsi="Times New Roman" w:cs="Times New Roman" w:eastAsia="Times New Roman" w:hint="default"/>
                <w:sz w:val="18"/>
                <w:szCs w:val="18"/>
              </w:rPr>
            </w:pPr>
            <w:r>
              <w:rPr>
                <w:rFonts w:ascii="Times New Roman"/>
                <w:sz w:val="18"/>
              </w:rPr>
              <w:t>,338,</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432.9</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r>
      <w:tr>
        <w:trPr>
          <w:trHeight w:val="1339"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99"/>
              <w:jc w:val="both"/>
              <w:rPr>
                <w:rFonts w:ascii="宋体" w:hAnsi="宋体" w:cs="宋体" w:eastAsia="宋体" w:hint="default"/>
                <w:sz w:val="18"/>
                <w:szCs w:val="18"/>
              </w:rPr>
            </w:pPr>
            <w:r>
              <w:rPr>
                <w:rFonts w:ascii="宋体" w:hAnsi="宋体" w:cs="宋体" w:eastAsia="宋体" w:hint="default"/>
                <w:spacing w:val="-16"/>
                <w:w w:val="101"/>
                <w:sz w:val="18"/>
                <w:szCs w:val="18"/>
              </w:rPr>
              <w:t>三、本期增减</w:t>
            </w:r>
            <w:r>
              <w:rPr>
                <w:rFonts w:ascii="宋体" w:hAnsi="宋体" w:cs="宋体" w:eastAsia="宋体" w:hint="default"/>
                <w:w w:val="101"/>
                <w:sz w:val="18"/>
                <w:szCs w:val="18"/>
              </w:rPr>
              <w:t> </w:t>
            </w:r>
            <w:r>
              <w:rPr>
                <w:rFonts w:ascii="宋体" w:hAnsi="宋体" w:cs="宋体" w:eastAsia="宋体" w:hint="default"/>
                <w:spacing w:val="-16"/>
                <w:w w:val="101"/>
                <w:sz w:val="18"/>
                <w:szCs w:val="18"/>
              </w:rPr>
              <w:t>变动金额（减</w:t>
            </w:r>
            <w:r>
              <w:rPr>
                <w:rFonts w:ascii="宋体" w:hAnsi="宋体" w:cs="宋体" w:eastAsia="宋体" w:hint="default"/>
                <w:w w:val="101"/>
                <w:sz w:val="18"/>
                <w:szCs w:val="18"/>
              </w:rPr>
              <w:t> </w:t>
            </w:r>
            <w:r>
              <w:rPr>
                <w:rFonts w:ascii="宋体" w:hAnsi="宋体" w:cs="宋体" w:eastAsia="宋体" w:hint="default"/>
                <w:spacing w:val="-17"/>
                <w:sz w:val="18"/>
                <w:szCs w:val="18"/>
              </w:rPr>
              <w:t>少以“－”号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填列）</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4" w:right="0"/>
              <w:jc w:val="left"/>
              <w:rPr>
                <w:rFonts w:ascii="Times New Roman" w:hAnsi="Times New Roman" w:cs="Times New Roman" w:eastAsia="Times New Roman" w:hint="default"/>
                <w:sz w:val="18"/>
                <w:szCs w:val="18"/>
              </w:rPr>
            </w:pPr>
            <w:r>
              <w:rPr>
                <w:rFonts w:ascii="Times New Roman"/>
                <w:sz w:val="18"/>
              </w:rPr>
              <w:t>-65</w:t>
            </w:r>
          </w:p>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3,4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10"/>
              <w:ind w:left="196" w:right="0"/>
              <w:jc w:val="left"/>
              <w:rPr>
                <w:rFonts w:ascii="Times New Roman" w:hAnsi="Times New Roman" w:cs="Times New Roman" w:eastAsia="Times New Roman" w:hint="default"/>
                <w:sz w:val="18"/>
                <w:szCs w:val="18"/>
              </w:rPr>
            </w:pPr>
            <w:r>
              <w:rPr>
                <w:rFonts w:ascii="Times New Roman"/>
                <w:sz w:val="18"/>
              </w:rPr>
              <w:t>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center"/>
              <w:rPr>
                <w:rFonts w:ascii="Times New Roman" w:hAnsi="Times New Roman" w:cs="Times New Roman" w:eastAsia="Times New Roman" w:hint="default"/>
                <w:sz w:val="18"/>
                <w:szCs w:val="18"/>
              </w:rPr>
            </w:pPr>
            <w:r>
              <w:rPr>
                <w:rFonts w:ascii="Times New Roman"/>
                <w:sz w:val="18"/>
              </w:rPr>
              <w:t>-5,6</w:t>
            </w:r>
          </w:p>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69,2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21.5</w:t>
            </w:r>
          </w:p>
          <w:p>
            <w:pPr>
              <w:pStyle w:val="TableParagraph"/>
              <w:spacing w:line="240" w:lineRule="auto" w:before="110"/>
              <w:ind w:left="274"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center"/>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38,3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82.7</w:t>
            </w:r>
          </w:p>
          <w:p>
            <w:pPr>
              <w:pStyle w:val="TableParagraph"/>
              <w:spacing w:line="240" w:lineRule="auto" w:before="110"/>
              <w:ind w:left="273"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9,36</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4,38</w:t>
            </w:r>
          </w:p>
          <w:p>
            <w:pPr>
              <w:pStyle w:val="TableParagraph"/>
              <w:spacing w:line="240" w:lineRule="auto" w:before="110"/>
              <w:ind w:left="143" w:right="0"/>
              <w:jc w:val="left"/>
              <w:rPr>
                <w:rFonts w:ascii="Times New Roman" w:hAnsi="Times New Roman" w:cs="Times New Roman" w:eastAsia="Times New Roman" w:hint="default"/>
                <w:sz w:val="18"/>
                <w:szCs w:val="18"/>
              </w:rPr>
            </w:pPr>
            <w:r>
              <w:rPr>
                <w:rFonts w:ascii="Times New Roman"/>
                <w:sz w:val="18"/>
              </w:rPr>
              <w:t>1.30</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4" w:right="0"/>
              <w:jc w:val="center"/>
              <w:rPr>
                <w:rFonts w:ascii="Times New Roman" w:hAnsi="Times New Roman" w:cs="Times New Roman" w:eastAsia="Times New Roman" w:hint="default"/>
                <w:sz w:val="18"/>
                <w:szCs w:val="18"/>
              </w:rPr>
            </w:pPr>
            <w:r>
              <w:rPr>
                <w:rFonts w:ascii="Times New Roman"/>
                <w:sz w:val="18"/>
              </w:rPr>
              <w:t>190,</w:t>
            </w:r>
          </w:p>
          <w:p>
            <w:pPr>
              <w:pStyle w:val="TableParagraph"/>
              <w:spacing w:line="240" w:lineRule="auto" w:before="100"/>
              <w:ind w:left="64" w:right="0"/>
              <w:jc w:val="center"/>
              <w:rPr>
                <w:rFonts w:ascii="Times New Roman" w:hAnsi="Times New Roman" w:cs="Times New Roman" w:eastAsia="Times New Roman" w:hint="default"/>
                <w:sz w:val="18"/>
                <w:szCs w:val="18"/>
              </w:rPr>
            </w:pPr>
            <w:r>
              <w:rPr>
                <w:rFonts w:ascii="Times New Roman"/>
                <w:sz w:val="18"/>
              </w:rPr>
              <w:t>188,</w:t>
            </w:r>
          </w:p>
          <w:p>
            <w:pPr>
              <w:pStyle w:val="TableParagraph"/>
              <w:spacing w:line="240" w:lineRule="auto" w:before="105"/>
              <w:ind w:left="64" w:right="0"/>
              <w:jc w:val="center"/>
              <w:rPr>
                <w:rFonts w:ascii="Times New Roman" w:hAnsi="Times New Roman" w:cs="Times New Roman" w:eastAsia="Times New Roman" w:hint="default"/>
                <w:sz w:val="18"/>
                <w:szCs w:val="18"/>
              </w:rPr>
            </w:pPr>
            <w:r>
              <w:rPr>
                <w:rFonts w:ascii="Times New Roman"/>
                <w:sz w:val="18"/>
              </w:rPr>
              <w:t>969.</w:t>
            </w:r>
          </w:p>
          <w:p>
            <w:pPr>
              <w:pStyle w:val="TableParagraph"/>
              <w:spacing w:line="240" w:lineRule="auto" w:before="110"/>
              <w:ind w:left="205" w:right="0"/>
              <w:jc w:val="center"/>
              <w:rPr>
                <w:rFonts w:ascii="Times New Roman" w:hAnsi="Times New Roman" w:cs="Times New Roman" w:eastAsia="Times New Roman" w:hint="default"/>
                <w:sz w:val="18"/>
                <w:szCs w:val="18"/>
              </w:rPr>
            </w:pPr>
            <w:r>
              <w:rPr>
                <w:rFonts w:ascii="Times New Roman"/>
                <w:sz w:val="18"/>
              </w:rPr>
              <w:t>37</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 w:right="0"/>
              <w:jc w:val="center"/>
              <w:rPr>
                <w:rFonts w:ascii="Times New Roman" w:hAnsi="Times New Roman" w:cs="Times New Roman" w:eastAsia="Times New Roman" w:hint="default"/>
                <w:sz w:val="18"/>
                <w:szCs w:val="18"/>
              </w:rPr>
            </w:pPr>
            <w:r>
              <w:rPr>
                <w:rFonts w:ascii="Times New Roman"/>
                <w:sz w:val="18"/>
              </w:rPr>
              <w:t>194,</w:t>
            </w:r>
          </w:p>
          <w:p>
            <w:pPr>
              <w:pStyle w:val="TableParagraph"/>
              <w:spacing w:line="240" w:lineRule="auto" w:before="100"/>
              <w:ind w:left="31" w:right="0"/>
              <w:jc w:val="center"/>
              <w:rPr>
                <w:rFonts w:ascii="Times New Roman" w:hAnsi="Times New Roman" w:cs="Times New Roman" w:eastAsia="Times New Roman" w:hint="default"/>
                <w:sz w:val="18"/>
                <w:szCs w:val="18"/>
              </w:rPr>
            </w:pPr>
            <w:r>
              <w:rPr>
                <w:rFonts w:ascii="Times New Roman"/>
                <w:sz w:val="18"/>
              </w:rPr>
              <w:t>569,</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101.</w:t>
            </w:r>
          </w:p>
          <w:p>
            <w:pPr>
              <w:pStyle w:val="TableParagraph"/>
              <w:spacing w:line="240" w:lineRule="auto" w:before="110"/>
              <w:ind w:left="172" w:right="0"/>
              <w:jc w:val="center"/>
              <w:rPr>
                <w:rFonts w:ascii="Times New Roman" w:hAnsi="Times New Roman" w:cs="Times New Roman" w:eastAsia="Times New Roman" w:hint="default"/>
                <w:sz w:val="18"/>
                <w:szCs w:val="18"/>
              </w:rPr>
            </w:pPr>
            <w:r>
              <w:rPr>
                <w:rFonts w:ascii="Times New Roman"/>
                <w:sz w:val="18"/>
              </w:rPr>
              <w:t>92</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27,58</w:t>
            </w:r>
          </w:p>
          <w:p>
            <w:pPr>
              <w:pStyle w:val="TableParagraph"/>
              <w:spacing w:line="240" w:lineRule="auto" w:before="105"/>
              <w:ind w:left="24" w:right="0"/>
              <w:jc w:val="center"/>
              <w:rPr>
                <w:rFonts w:ascii="Times New Roman" w:hAnsi="Times New Roman" w:cs="Times New Roman" w:eastAsia="Times New Roman" w:hint="default"/>
                <w:sz w:val="18"/>
                <w:szCs w:val="18"/>
              </w:rPr>
            </w:pPr>
            <w:r>
              <w:rPr>
                <w:rFonts w:ascii="Times New Roman"/>
                <w:sz w:val="18"/>
              </w:rPr>
              <w:t>4,429</w:t>
            </w:r>
          </w:p>
          <w:p>
            <w:pPr>
              <w:pStyle w:val="TableParagraph"/>
              <w:spacing w:line="240" w:lineRule="auto" w:before="110"/>
              <w:ind w:left="201" w:right="0"/>
              <w:jc w:val="center"/>
              <w:rPr>
                <w:rFonts w:ascii="Times New Roman" w:hAnsi="Times New Roman" w:cs="Times New Roman" w:eastAsia="Times New Roman" w:hint="default"/>
                <w:sz w:val="18"/>
                <w:szCs w:val="18"/>
              </w:rPr>
            </w:pPr>
            <w:r>
              <w:rPr>
                <w:rFonts w:ascii="Times New Roman"/>
                <w:sz w:val="18"/>
              </w:rPr>
              <w:t>.17</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222,1</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53,53</w:t>
            </w:r>
          </w:p>
          <w:p>
            <w:pPr>
              <w:pStyle w:val="TableParagraph"/>
              <w:spacing w:line="240" w:lineRule="auto" w:before="110"/>
              <w:ind w:left="220" w:right="0"/>
              <w:jc w:val="left"/>
              <w:rPr>
                <w:rFonts w:ascii="Times New Roman" w:hAnsi="Times New Roman" w:cs="Times New Roman" w:eastAsia="Times New Roman" w:hint="default"/>
                <w:sz w:val="18"/>
                <w:szCs w:val="18"/>
              </w:rPr>
            </w:pPr>
            <w:r>
              <w:rPr>
                <w:rFonts w:ascii="Times New Roman"/>
                <w:sz w:val="18"/>
              </w:rPr>
              <w:t>1.09</w:t>
            </w:r>
          </w:p>
        </w:tc>
      </w:tr>
      <w:tr>
        <w:trPr>
          <w:trHeight w:val="133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105" w:right="99"/>
              <w:jc w:val="left"/>
              <w:rPr>
                <w:rFonts w:ascii="宋体" w:hAnsi="宋体" w:cs="宋体" w:eastAsia="宋体" w:hint="default"/>
                <w:sz w:val="18"/>
                <w:szCs w:val="18"/>
              </w:rPr>
            </w:pPr>
            <w:r>
              <w:rPr>
                <w:rFonts w:ascii="宋体" w:hAnsi="宋体" w:cs="宋体" w:eastAsia="宋体" w:hint="default"/>
                <w:spacing w:val="-16"/>
                <w:w w:val="101"/>
                <w:sz w:val="18"/>
                <w:szCs w:val="18"/>
              </w:rPr>
              <w:t>（一）综合收</w:t>
            </w:r>
            <w:r>
              <w:rPr>
                <w:rFonts w:ascii="宋体" w:hAnsi="宋体" w:cs="宋体" w:eastAsia="宋体" w:hint="default"/>
                <w:w w:val="101"/>
                <w:sz w:val="18"/>
                <w:szCs w:val="18"/>
              </w:rPr>
              <w:t> </w:t>
            </w:r>
            <w:r>
              <w:rPr>
                <w:rFonts w:ascii="宋体" w:hAnsi="宋体" w:cs="宋体" w:eastAsia="宋体" w:hint="default"/>
                <w:sz w:val="18"/>
                <w:szCs w:val="18"/>
              </w:rPr>
              <w:t>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4" w:right="0"/>
              <w:jc w:val="center"/>
              <w:rPr>
                <w:rFonts w:ascii="Times New Roman" w:hAnsi="Times New Roman" w:cs="Times New Roman" w:eastAsia="Times New Roman" w:hint="default"/>
                <w:sz w:val="18"/>
                <w:szCs w:val="18"/>
              </w:rPr>
            </w:pPr>
            <w:r>
              <w:rPr>
                <w:rFonts w:ascii="Times New Roman"/>
                <w:sz w:val="18"/>
              </w:rPr>
              <w:t>215,</w:t>
            </w:r>
          </w:p>
          <w:p>
            <w:pPr>
              <w:pStyle w:val="TableParagraph"/>
              <w:spacing w:line="240" w:lineRule="auto" w:before="100"/>
              <w:ind w:left="64" w:right="0"/>
              <w:jc w:val="center"/>
              <w:rPr>
                <w:rFonts w:ascii="Times New Roman" w:hAnsi="Times New Roman" w:cs="Times New Roman" w:eastAsia="Times New Roman" w:hint="default"/>
                <w:sz w:val="18"/>
                <w:szCs w:val="18"/>
              </w:rPr>
            </w:pPr>
            <w:r>
              <w:rPr>
                <w:rFonts w:ascii="Times New Roman"/>
                <w:sz w:val="18"/>
              </w:rPr>
              <w:t>542,</w:t>
            </w:r>
          </w:p>
          <w:p>
            <w:pPr>
              <w:pStyle w:val="TableParagraph"/>
              <w:spacing w:line="240" w:lineRule="auto" w:before="105"/>
              <w:ind w:left="64" w:right="0"/>
              <w:jc w:val="center"/>
              <w:rPr>
                <w:rFonts w:ascii="Times New Roman" w:hAnsi="Times New Roman" w:cs="Times New Roman" w:eastAsia="Times New Roman" w:hint="default"/>
                <w:sz w:val="18"/>
                <w:szCs w:val="18"/>
              </w:rPr>
            </w:pPr>
            <w:r>
              <w:rPr>
                <w:rFonts w:ascii="Times New Roman"/>
                <w:sz w:val="18"/>
              </w:rPr>
              <w:t>694.</w:t>
            </w:r>
          </w:p>
          <w:p>
            <w:pPr>
              <w:pStyle w:val="TableParagraph"/>
              <w:spacing w:line="240" w:lineRule="auto" w:before="110"/>
              <w:ind w:left="205" w:right="0"/>
              <w:jc w:val="center"/>
              <w:rPr>
                <w:rFonts w:ascii="Times New Roman" w:hAnsi="Times New Roman" w:cs="Times New Roman" w:eastAsia="Times New Roman" w:hint="default"/>
                <w:sz w:val="18"/>
                <w:szCs w:val="18"/>
              </w:rPr>
            </w:pPr>
            <w:r>
              <w:rPr>
                <w:rFonts w:ascii="Times New Roman"/>
                <w:sz w:val="18"/>
              </w:rPr>
              <w:t>97</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 w:right="0"/>
              <w:jc w:val="center"/>
              <w:rPr>
                <w:rFonts w:ascii="Times New Roman" w:hAnsi="Times New Roman" w:cs="Times New Roman" w:eastAsia="Times New Roman" w:hint="default"/>
                <w:sz w:val="18"/>
                <w:szCs w:val="18"/>
              </w:rPr>
            </w:pPr>
            <w:r>
              <w:rPr>
                <w:rFonts w:ascii="Times New Roman"/>
                <w:sz w:val="18"/>
              </w:rPr>
              <w:t>215,</w:t>
            </w:r>
          </w:p>
          <w:p>
            <w:pPr>
              <w:pStyle w:val="TableParagraph"/>
              <w:spacing w:line="240" w:lineRule="auto" w:before="100"/>
              <w:ind w:left="31" w:right="0"/>
              <w:jc w:val="center"/>
              <w:rPr>
                <w:rFonts w:ascii="Times New Roman" w:hAnsi="Times New Roman" w:cs="Times New Roman" w:eastAsia="Times New Roman" w:hint="default"/>
                <w:sz w:val="18"/>
                <w:szCs w:val="18"/>
              </w:rPr>
            </w:pPr>
            <w:r>
              <w:rPr>
                <w:rFonts w:ascii="Times New Roman"/>
                <w:sz w:val="18"/>
              </w:rPr>
              <w:t>542,</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694.</w:t>
            </w:r>
          </w:p>
          <w:p>
            <w:pPr>
              <w:pStyle w:val="TableParagraph"/>
              <w:spacing w:line="240" w:lineRule="auto" w:before="110"/>
              <w:ind w:left="172" w:right="0"/>
              <w:jc w:val="center"/>
              <w:rPr>
                <w:rFonts w:ascii="Times New Roman" w:hAnsi="Times New Roman" w:cs="Times New Roman" w:eastAsia="Times New Roman" w:hint="default"/>
                <w:sz w:val="18"/>
                <w:szCs w:val="18"/>
              </w:rPr>
            </w:pPr>
            <w:r>
              <w:rPr>
                <w:rFonts w:ascii="Times New Roman"/>
                <w:sz w:val="18"/>
              </w:rPr>
              <w:t>97</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28,89</w:t>
            </w:r>
          </w:p>
          <w:p>
            <w:pPr>
              <w:pStyle w:val="TableParagraph"/>
              <w:spacing w:line="240" w:lineRule="auto" w:before="105"/>
              <w:ind w:left="24" w:right="0"/>
              <w:jc w:val="center"/>
              <w:rPr>
                <w:rFonts w:ascii="Times New Roman" w:hAnsi="Times New Roman" w:cs="Times New Roman" w:eastAsia="Times New Roman" w:hint="default"/>
                <w:sz w:val="18"/>
                <w:szCs w:val="18"/>
              </w:rPr>
            </w:pPr>
            <w:r>
              <w:rPr>
                <w:rFonts w:ascii="Times New Roman"/>
                <w:sz w:val="18"/>
              </w:rPr>
              <w:t>5,492</w:t>
            </w:r>
          </w:p>
          <w:p>
            <w:pPr>
              <w:pStyle w:val="TableParagraph"/>
              <w:spacing w:line="240" w:lineRule="auto" w:before="110"/>
              <w:ind w:left="201" w:right="0"/>
              <w:jc w:val="center"/>
              <w:rPr>
                <w:rFonts w:ascii="Times New Roman" w:hAnsi="Times New Roman" w:cs="Times New Roman" w:eastAsia="Times New Roman" w:hint="default"/>
                <w:sz w:val="18"/>
                <w:szCs w:val="18"/>
              </w:rPr>
            </w:pPr>
            <w:r>
              <w:rPr>
                <w:rFonts w:ascii="Times New Roman"/>
                <w:sz w:val="18"/>
              </w:rPr>
              <w:t>.79</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244,4</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38,18</w:t>
            </w:r>
          </w:p>
          <w:p>
            <w:pPr>
              <w:pStyle w:val="TableParagraph"/>
              <w:spacing w:line="240" w:lineRule="auto" w:before="110"/>
              <w:ind w:left="220" w:right="0"/>
              <w:jc w:val="left"/>
              <w:rPr>
                <w:rFonts w:ascii="Times New Roman" w:hAnsi="Times New Roman" w:cs="Times New Roman" w:eastAsia="Times New Roman" w:hint="default"/>
                <w:sz w:val="18"/>
                <w:szCs w:val="18"/>
              </w:rPr>
            </w:pPr>
            <w:r>
              <w:rPr>
                <w:rFonts w:ascii="Times New Roman"/>
                <w:sz w:val="18"/>
              </w:rPr>
              <w:t>7.76</w:t>
            </w:r>
          </w:p>
        </w:tc>
      </w:tr>
      <w:tr>
        <w:trPr>
          <w:trHeight w:val="1340"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105" w:right="99"/>
              <w:jc w:val="left"/>
              <w:rPr>
                <w:rFonts w:ascii="宋体" w:hAnsi="宋体" w:cs="宋体" w:eastAsia="宋体" w:hint="default"/>
                <w:sz w:val="18"/>
                <w:szCs w:val="18"/>
              </w:rPr>
            </w:pPr>
            <w:r>
              <w:rPr>
                <w:rFonts w:ascii="宋体" w:hAnsi="宋体" w:cs="宋体" w:eastAsia="宋体" w:hint="default"/>
                <w:spacing w:val="-16"/>
                <w:w w:val="101"/>
                <w:sz w:val="18"/>
                <w:szCs w:val="18"/>
              </w:rPr>
              <w:t>（二）所有者</w:t>
            </w:r>
            <w:r>
              <w:rPr>
                <w:rFonts w:ascii="宋体" w:hAnsi="宋体" w:cs="宋体" w:eastAsia="宋体" w:hint="default"/>
                <w:w w:val="101"/>
                <w:sz w:val="18"/>
                <w:szCs w:val="18"/>
              </w:rPr>
              <w:t> </w:t>
            </w:r>
            <w:r>
              <w:rPr>
                <w:rFonts w:ascii="宋体" w:hAnsi="宋体" w:cs="宋体" w:eastAsia="宋体" w:hint="default"/>
                <w:sz w:val="18"/>
                <w:szCs w:val="18"/>
              </w:rPr>
              <w:t>投入和减少</w:t>
            </w:r>
            <w:r>
              <w:rPr>
                <w:rFonts w:ascii="宋体" w:hAnsi="宋体" w:cs="宋体" w:eastAsia="宋体" w:hint="default"/>
                <w:w w:val="101"/>
                <w:sz w:val="18"/>
                <w:szCs w:val="18"/>
              </w:rPr>
              <w:t> </w:t>
            </w:r>
            <w:r>
              <w:rPr>
                <w:rFonts w:ascii="宋体" w:hAnsi="宋体" w:cs="宋体" w:eastAsia="宋体" w:hint="default"/>
                <w:sz w:val="18"/>
                <w:szCs w:val="18"/>
              </w:rPr>
              <w:t>资本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4" w:right="0"/>
              <w:jc w:val="left"/>
              <w:rPr>
                <w:rFonts w:ascii="Times New Roman" w:hAnsi="Times New Roman" w:cs="Times New Roman" w:eastAsia="Times New Roman" w:hint="default"/>
                <w:sz w:val="18"/>
                <w:szCs w:val="18"/>
              </w:rPr>
            </w:pPr>
            <w:r>
              <w:rPr>
                <w:rFonts w:ascii="Times New Roman"/>
                <w:sz w:val="18"/>
              </w:rPr>
              <w:t>-65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10"/>
              <w:ind w:left="196" w:right="0"/>
              <w:jc w:val="left"/>
              <w:rPr>
                <w:rFonts w:ascii="Times New Roman" w:hAnsi="Times New Roman" w:cs="Times New Roman" w:eastAsia="Times New Roman" w:hint="default"/>
                <w:sz w:val="18"/>
                <w:szCs w:val="18"/>
              </w:rPr>
            </w:pPr>
            <w:r>
              <w:rPr>
                <w:rFonts w:ascii="Times New Roman"/>
                <w:sz w:val="18"/>
              </w:rPr>
              <w:t>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center"/>
              <w:rPr>
                <w:rFonts w:ascii="Times New Roman" w:hAnsi="Times New Roman" w:cs="Times New Roman" w:eastAsia="Times New Roman" w:hint="default"/>
                <w:sz w:val="18"/>
                <w:szCs w:val="18"/>
              </w:rPr>
            </w:pPr>
            <w:r>
              <w:rPr>
                <w:rFonts w:ascii="Times New Roman"/>
                <w:sz w:val="18"/>
              </w:rPr>
              <w:t>-5,6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69,2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21.5</w:t>
            </w:r>
          </w:p>
          <w:p>
            <w:pPr>
              <w:pStyle w:val="TableParagraph"/>
              <w:spacing w:line="240" w:lineRule="auto" w:before="110"/>
              <w:ind w:left="274"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center"/>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38,3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82.7</w:t>
            </w:r>
          </w:p>
          <w:p>
            <w:pPr>
              <w:pStyle w:val="TableParagraph"/>
              <w:spacing w:line="240" w:lineRule="auto" w:before="110"/>
              <w:ind w:left="273"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6" w:right="0"/>
              <w:jc w:val="center"/>
              <w:rPr>
                <w:rFonts w:ascii="Times New Roman" w:hAnsi="Times New Roman" w:cs="Times New Roman" w:eastAsia="Times New Roman" w:hint="default"/>
                <w:sz w:val="18"/>
                <w:szCs w:val="18"/>
              </w:rPr>
            </w:pPr>
            <w:r>
              <w:rPr>
                <w:rFonts w:ascii="Times New Roman"/>
                <w:sz w:val="18"/>
              </w:rPr>
              <w:t>-4,9</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84,2</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48.7</w:t>
            </w:r>
          </w:p>
          <w:p>
            <w:pPr>
              <w:pStyle w:val="TableParagraph"/>
              <w:spacing w:line="240" w:lineRule="auto" w:before="110"/>
              <w:ind w:left="254"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30,18</w:t>
            </w:r>
          </w:p>
          <w:p>
            <w:pPr>
              <w:pStyle w:val="TableParagraph"/>
              <w:spacing w:line="240" w:lineRule="auto" w:before="100"/>
              <w:ind w:left="24" w:right="0"/>
              <w:jc w:val="center"/>
              <w:rPr>
                <w:rFonts w:ascii="Times New Roman" w:hAnsi="Times New Roman" w:cs="Times New Roman" w:eastAsia="Times New Roman" w:hint="default"/>
                <w:sz w:val="18"/>
                <w:szCs w:val="18"/>
              </w:rPr>
            </w:pPr>
            <w:r>
              <w:rPr>
                <w:rFonts w:ascii="Times New Roman"/>
                <w:sz w:val="18"/>
              </w:rPr>
              <w:t>8,936</w:t>
            </w:r>
          </w:p>
          <w:p>
            <w:pPr>
              <w:pStyle w:val="TableParagraph"/>
              <w:spacing w:line="240" w:lineRule="auto" w:before="110"/>
              <w:ind w:left="201" w:right="0"/>
              <w:jc w:val="center"/>
              <w:rPr>
                <w:rFonts w:ascii="Times New Roman" w:hAnsi="Times New Roman" w:cs="Times New Roman" w:eastAsia="Times New Roman" w:hint="default"/>
                <w:sz w:val="18"/>
                <w:szCs w:val="18"/>
              </w:rPr>
            </w:pPr>
            <w:r>
              <w:rPr>
                <w:rFonts w:ascii="Times New Roman"/>
                <w:sz w:val="18"/>
              </w:rPr>
              <w:t>.38</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25,20</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4,687</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.63</w:t>
            </w:r>
          </w:p>
        </w:tc>
      </w:tr>
      <w:tr>
        <w:trPr>
          <w:trHeight w:val="1340"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58"/>
              <w:ind w:left="105" w:right="10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入的普通股</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4" w:right="0"/>
              <w:jc w:val="left"/>
              <w:rPr>
                <w:rFonts w:ascii="Times New Roman" w:hAnsi="Times New Roman" w:cs="Times New Roman" w:eastAsia="Times New Roman" w:hint="default"/>
                <w:sz w:val="18"/>
                <w:szCs w:val="18"/>
              </w:rPr>
            </w:pPr>
            <w:r>
              <w:rPr>
                <w:rFonts w:ascii="Times New Roman"/>
                <w:sz w:val="18"/>
              </w:rPr>
              <w:t>-65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10"/>
              <w:ind w:left="196" w:right="0"/>
              <w:jc w:val="left"/>
              <w:rPr>
                <w:rFonts w:ascii="Times New Roman" w:hAnsi="Times New Roman" w:cs="Times New Roman" w:eastAsia="Times New Roman" w:hint="default"/>
                <w:sz w:val="18"/>
                <w:szCs w:val="18"/>
              </w:rPr>
            </w:pPr>
            <w:r>
              <w:rPr>
                <w:rFonts w:ascii="Times New Roman"/>
                <w:sz w:val="18"/>
              </w:rPr>
              <w:t>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center"/>
              <w:rPr>
                <w:rFonts w:ascii="Times New Roman" w:hAnsi="Times New Roman" w:cs="Times New Roman" w:eastAsia="Times New Roman" w:hint="default"/>
                <w:sz w:val="18"/>
                <w:szCs w:val="18"/>
              </w:rPr>
            </w:pPr>
            <w:r>
              <w:rPr>
                <w:rFonts w:ascii="Times New Roman"/>
                <w:sz w:val="18"/>
              </w:rPr>
              <w:t>-4,9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82,2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37.0</w:t>
            </w:r>
          </w:p>
          <w:p>
            <w:pPr>
              <w:pStyle w:val="TableParagraph"/>
              <w:spacing w:line="240" w:lineRule="auto" w:before="110"/>
              <w:ind w:left="274" w:right="0"/>
              <w:jc w:val="center"/>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6" w:right="0"/>
              <w:jc w:val="center"/>
              <w:rPr>
                <w:rFonts w:ascii="Times New Roman" w:hAnsi="Times New Roman" w:cs="Times New Roman" w:eastAsia="Times New Roman" w:hint="default"/>
                <w:sz w:val="18"/>
                <w:szCs w:val="18"/>
              </w:rPr>
            </w:pPr>
            <w:r>
              <w:rPr>
                <w:rFonts w:ascii="Times New Roman"/>
                <w:sz w:val="18"/>
              </w:rPr>
              <w:t>-5,6</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35,6</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47.0</w:t>
            </w:r>
          </w:p>
          <w:p>
            <w:pPr>
              <w:pStyle w:val="TableParagraph"/>
              <w:spacing w:line="240" w:lineRule="auto" w:before="110"/>
              <w:ind w:left="254" w:right="0"/>
              <w:jc w:val="center"/>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31,50</w:t>
            </w:r>
          </w:p>
          <w:p>
            <w:pPr>
              <w:pStyle w:val="TableParagraph"/>
              <w:spacing w:line="240" w:lineRule="auto" w:before="100"/>
              <w:ind w:left="24"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201" w:right="0"/>
              <w:jc w:val="center"/>
              <w:rPr>
                <w:rFonts w:ascii="Times New Roman" w:hAnsi="Times New Roman" w:cs="Times New Roman" w:eastAsia="Times New Roman" w:hint="default"/>
                <w:sz w:val="18"/>
                <w:szCs w:val="18"/>
              </w:rPr>
            </w:pPr>
            <w:r>
              <w:rPr>
                <w:rFonts w:ascii="Times New Roman"/>
                <w:sz w:val="18"/>
              </w:rPr>
              <w:t>.00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25,86</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4,352</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.94</w:t>
            </w: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05" w:right="10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工具持有者</w:t>
            </w:r>
            <w:r>
              <w:rPr>
                <w:rFonts w:ascii="宋体" w:hAnsi="宋体" w:cs="宋体" w:eastAsia="宋体" w:hint="default"/>
                <w:w w:val="101"/>
                <w:sz w:val="18"/>
                <w:szCs w:val="18"/>
              </w:rPr>
              <w:t> </w:t>
            </w:r>
            <w:r>
              <w:rPr>
                <w:rFonts w:ascii="宋体" w:hAnsi="宋体" w:cs="宋体" w:eastAsia="宋体" w:hint="default"/>
                <w:sz w:val="18"/>
                <w:szCs w:val="18"/>
              </w:rPr>
              <w:t>投入资本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2" w:lineRule="auto"/>
              <w:ind w:left="105" w:right="10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计入所有者</w:t>
            </w:r>
            <w:r>
              <w:rPr>
                <w:rFonts w:ascii="宋体" w:hAnsi="宋体" w:cs="宋体" w:eastAsia="宋体" w:hint="default"/>
                <w:w w:val="101"/>
                <w:sz w:val="18"/>
                <w:szCs w:val="18"/>
              </w:rPr>
              <w:t> </w:t>
            </w:r>
            <w:r>
              <w:rPr>
                <w:rFonts w:ascii="宋体" w:hAnsi="宋体" w:cs="宋体" w:eastAsia="宋体" w:hint="default"/>
                <w:sz w:val="18"/>
                <w:szCs w:val="18"/>
              </w:rPr>
              <w:t>权益的金额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2,28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9,10</w:t>
            </w:r>
          </w:p>
          <w:p>
            <w:pPr>
              <w:pStyle w:val="TableParagraph"/>
              <w:spacing w:line="240" w:lineRule="auto" w:before="110"/>
              <w:ind w:left="148" w:right="0"/>
              <w:jc w:val="left"/>
              <w:rPr>
                <w:rFonts w:ascii="Times New Roman" w:hAnsi="Times New Roman" w:cs="Times New Roman" w:eastAsia="Times New Roman" w:hint="default"/>
                <w:sz w:val="18"/>
                <w:szCs w:val="18"/>
              </w:rPr>
            </w:pPr>
            <w:r>
              <w:rPr>
                <w:rFonts w:ascii="Times New Roman"/>
                <w:sz w:val="18"/>
              </w:rPr>
              <w:t>1.94</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center"/>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38,3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82.7</w:t>
            </w:r>
          </w:p>
          <w:p>
            <w:pPr>
              <w:pStyle w:val="TableParagraph"/>
              <w:spacing w:line="240" w:lineRule="auto" w:before="110"/>
              <w:ind w:left="273"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3,62</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7,48</w:t>
            </w:r>
          </w:p>
          <w:p>
            <w:pPr>
              <w:pStyle w:val="TableParagraph"/>
              <w:spacing w:line="240" w:lineRule="auto" w:before="110"/>
              <w:ind w:left="134" w:right="0"/>
              <w:jc w:val="left"/>
              <w:rPr>
                <w:rFonts w:ascii="Times New Roman" w:hAnsi="Times New Roman" w:cs="Times New Roman" w:eastAsia="Times New Roman" w:hint="default"/>
                <w:sz w:val="18"/>
                <w:szCs w:val="18"/>
              </w:rPr>
            </w:pPr>
            <w:r>
              <w:rPr>
                <w:rFonts w:ascii="Times New Roman"/>
                <w:sz w:val="18"/>
              </w:rPr>
              <w:t>4.69</w:t>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3,627</w:t>
            </w:r>
          </w:p>
          <w:p>
            <w:pPr>
              <w:pStyle w:val="TableParagraph"/>
              <w:spacing w:line="240" w:lineRule="auto" w:before="105"/>
              <w:ind w:left="79" w:right="0"/>
              <w:jc w:val="center"/>
              <w:rPr>
                <w:rFonts w:ascii="Times New Roman" w:hAnsi="Times New Roman" w:cs="Times New Roman" w:eastAsia="Times New Roman" w:hint="default"/>
                <w:sz w:val="18"/>
                <w:szCs w:val="18"/>
              </w:rPr>
            </w:pPr>
            <w:r>
              <w:rPr>
                <w:rFonts w:ascii="Times New Roman"/>
                <w:sz w:val="18"/>
              </w:rPr>
              <w:t>,484.</w:t>
            </w:r>
          </w:p>
          <w:p>
            <w:pPr>
              <w:pStyle w:val="TableParagraph"/>
              <w:spacing w:line="240" w:lineRule="auto" w:before="110"/>
              <w:ind w:left="263" w:right="0"/>
              <w:jc w:val="center"/>
              <w:rPr>
                <w:rFonts w:ascii="Times New Roman" w:hAnsi="Times New Roman" w:cs="Times New Roman" w:eastAsia="Times New Roman" w:hint="default"/>
                <w:sz w:val="18"/>
                <w:szCs w:val="18"/>
              </w:rPr>
            </w:pPr>
            <w:r>
              <w:rPr>
                <w:rFonts w:ascii="Times New Roman"/>
                <w:sz w:val="18"/>
              </w:rPr>
              <w:t>69</w:t>
            </w:r>
          </w:p>
        </w:tc>
      </w:tr>
      <w:tr>
        <w:trPr>
          <w:trHeight w:val="1340"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center"/>
              <w:rPr>
                <w:rFonts w:ascii="Times New Roman" w:hAnsi="Times New Roman" w:cs="Times New Roman" w:eastAsia="Times New Roman" w:hint="default"/>
                <w:sz w:val="18"/>
                <w:szCs w:val="18"/>
              </w:rPr>
            </w:pPr>
            <w:r>
              <w:rPr>
                <w:rFonts w:ascii="Times New Roman"/>
                <w:sz w:val="18"/>
              </w:rPr>
              <w:t>-2,9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76,0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86.3</w:t>
            </w:r>
          </w:p>
          <w:p>
            <w:pPr>
              <w:pStyle w:val="TableParagraph"/>
              <w:spacing w:line="240" w:lineRule="auto" w:before="110"/>
              <w:ind w:left="274" w:right="0"/>
              <w:jc w:val="center"/>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6" w:right="0"/>
              <w:jc w:val="center"/>
              <w:rPr>
                <w:rFonts w:ascii="Times New Roman" w:hAnsi="Times New Roman" w:cs="Times New Roman" w:eastAsia="Times New Roman" w:hint="default"/>
                <w:sz w:val="18"/>
                <w:szCs w:val="18"/>
              </w:rPr>
            </w:pPr>
            <w:r>
              <w:rPr>
                <w:rFonts w:ascii="Times New Roman"/>
                <w:sz w:val="18"/>
              </w:rPr>
              <w:t>-2,9</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76,0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86.3</w:t>
            </w:r>
          </w:p>
          <w:p>
            <w:pPr>
              <w:pStyle w:val="TableParagraph"/>
              <w:spacing w:line="240" w:lineRule="auto" w:before="110"/>
              <w:ind w:left="254" w:right="0"/>
              <w:jc w:val="center"/>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-1,31</w:t>
            </w:r>
          </w:p>
          <w:p>
            <w:pPr>
              <w:pStyle w:val="TableParagraph"/>
              <w:spacing w:line="240" w:lineRule="auto" w:before="100"/>
              <w:ind w:left="24" w:right="0"/>
              <w:jc w:val="center"/>
              <w:rPr>
                <w:rFonts w:ascii="Times New Roman" w:hAnsi="Times New Roman" w:cs="Times New Roman" w:eastAsia="Times New Roman" w:hint="default"/>
                <w:sz w:val="18"/>
                <w:szCs w:val="18"/>
              </w:rPr>
            </w:pPr>
            <w:r>
              <w:rPr>
                <w:rFonts w:ascii="Times New Roman"/>
                <w:sz w:val="18"/>
              </w:rPr>
              <w:t>1,063</w:t>
            </w:r>
          </w:p>
          <w:p>
            <w:pPr>
              <w:pStyle w:val="TableParagraph"/>
              <w:spacing w:line="240" w:lineRule="auto" w:before="110"/>
              <w:ind w:left="201" w:right="0"/>
              <w:jc w:val="center"/>
              <w:rPr>
                <w:rFonts w:ascii="Times New Roman" w:hAnsi="Times New Roman" w:cs="Times New Roman" w:eastAsia="Times New Roman" w:hint="default"/>
                <w:sz w:val="18"/>
                <w:szCs w:val="18"/>
              </w:rPr>
            </w:pPr>
            <w:r>
              <w:rPr>
                <w:rFonts w:ascii="Times New Roman"/>
                <w:sz w:val="18"/>
              </w:rPr>
              <w:t>.62</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-4,28</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7,150</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.00</w:t>
            </w:r>
          </w:p>
        </w:tc>
      </w:tr>
      <w:tr>
        <w:trPr>
          <w:trHeight w:val="1340"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4" w:lineRule="auto" w:before="158"/>
              <w:ind w:left="105" w:right="99"/>
              <w:jc w:val="left"/>
              <w:rPr>
                <w:rFonts w:ascii="宋体" w:hAnsi="宋体" w:cs="宋体" w:eastAsia="宋体" w:hint="default"/>
                <w:sz w:val="18"/>
                <w:szCs w:val="18"/>
              </w:rPr>
            </w:pPr>
            <w:r>
              <w:rPr>
                <w:rFonts w:ascii="宋体" w:hAnsi="宋体" w:cs="宋体" w:eastAsia="宋体" w:hint="default"/>
                <w:spacing w:val="-16"/>
                <w:w w:val="101"/>
                <w:sz w:val="18"/>
                <w:szCs w:val="18"/>
              </w:rPr>
              <w:t>（三）利润分</w:t>
            </w:r>
            <w:r>
              <w:rPr>
                <w:rFonts w:ascii="宋体" w:hAnsi="宋体" w:cs="宋体" w:eastAsia="宋体" w:hint="default"/>
                <w:w w:val="101"/>
                <w:sz w:val="18"/>
                <w:szCs w:val="18"/>
              </w:rPr>
              <w:t> </w:t>
            </w:r>
            <w:r>
              <w:rPr>
                <w:rFonts w:ascii="宋体" w:hAnsi="宋体" w:cs="宋体" w:eastAsia="宋体" w:hint="default"/>
                <w:sz w:val="18"/>
                <w:szCs w:val="18"/>
              </w:rPr>
              <w:t>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9,36</w:t>
            </w:r>
          </w:p>
          <w:p>
            <w:pPr>
              <w:pStyle w:val="TableParagraph"/>
              <w:spacing w:line="240" w:lineRule="auto" w:before="100"/>
              <w:ind w:left="143" w:right="0"/>
              <w:jc w:val="left"/>
              <w:rPr>
                <w:rFonts w:ascii="Times New Roman" w:hAnsi="Times New Roman" w:cs="Times New Roman" w:eastAsia="Times New Roman" w:hint="default"/>
                <w:sz w:val="18"/>
                <w:szCs w:val="18"/>
              </w:rPr>
            </w:pPr>
            <w:r>
              <w:rPr>
                <w:rFonts w:ascii="Times New Roman"/>
                <w:sz w:val="18"/>
              </w:rPr>
              <w:t>4,38</w:t>
            </w:r>
          </w:p>
          <w:p>
            <w:pPr>
              <w:pStyle w:val="TableParagraph"/>
              <w:spacing w:line="240" w:lineRule="auto" w:before="110"/>
              <w:ind w:left="143" w:right="0"/>
              <w:jc w:val="left"/>
              <w:rPr>
                <w:rFonts w:ascii="Times New Roman" w:hAnsi="Times New Roman" w:cs="Times New Roman" w:eastAsia="Times New Roman" w:hint="default"/>
                <w:sz w:val="18"/>
                <w:szCs w:val="18"/>
              </w:rPr>
            </w:pPr>
            <w:r>
              <w:rPr>
                <w:rFonts w:ascii="Times New Roman"/>
                <w:sz w:val="18"/>
              </w:rPr>
              <w:t>1.30</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7" w:right="0"/>
              <w:jc w:val="center"/>
              <w:rPr>
                <w:rFonts w:ascii="Times New Roman" w:hAnsi="Times New Roman" w:cs="Times New Roman" w:eastAsia="Times New Roman" w:hint="default"/>
                <w:sz w:val="18"/>
                <w:szCs w:val="18"/>
              </w:rPr>
            </w:pPr>
            <w:r>
              <w:rPr>
                <w:rFonts w:ascii="Times New Roman"/>
                <w:sz w:val="18"/>
              </w:rPr>
              <w:t>-25,</w:t>
            </w:r>
          </w:p>
          <w:p>
            <w:pPr>
              <w:pStyle w:val="TableParagraph"/>
              <w:spacing w:line="240" w:lineRule="auto" w:before="105"/>
              <w:ind w:left="64" w:right="0"/>
              <w:jc w:val="center"/>
              <w:rPr>
                <w:rFonts w:ascii="Times New Roman" w:hAnsi="Times New Roman" w:cs="Times New Roman" w:eastAsia="Times New Roman" w:hint="default"/>
                <w:sz w:val="18"/>
                <w:szCs w:val="18"/>
              </w:rPr>
            </w:pPr>
            <w:r>
              <w:rPr>
                <w:rFonts w:ascii="Times New Roman"/>
                <w:sz w:val="18"/>
              </w:rPr>
              <w:t>353,</w:t>
            </w:r>
          </w:p>
          <w:p>
            <w:pPr>
              <w:pStyle w:val="TableParagraph"/>
              <w:spacing w:line="240" w:lineRule="auto" w:before="105"/>
              <w:ind w:left="64" w:right="0"/>
              <w:jc w:val="center"/>
              <w:rPr>
                <w:rFonts w:ascii="Times New Roman" w:hAnsi="Times New Roman" w:cs="Times New Roman" w:eastAsia="Times New Roman" w:hint="default"/>
                <w:sz w:val="18"/>
                <w:szCs w:val="18"/>
              </w:rPr>
            </w:pPr>
            <w:r>
              <w:rPr>
                <w:rFonts w:ascii="Times New Roman"/>
                <w:sz w:val="18"/>
              </w:rPr>
              <w:t>725.</w:t>
            </w:r>
          </w:p>
          <w:p>
            <w:pPr>
              <w:pStyle w:val="TableParagraph"/>
              <w:spacing w:line="240" w:lineRule="auto" w:before="110"/>
              <w:ind w:left="205" w:right="0"/>
              <w:jc w:val="center"/>
              <w:rPr>
                <w:rFonts w:ascii="Times New Roman" w:hAnsi="Times New Roman" w:cs="Times New Roman" w:eastAsia="Times New Roman" w:hint="default"/>
                <w:sz w:val="18"/>
                <w:szCs w:val="18"/>
              </w:rPr>
            </w:pPr>
            <w:r>
              <w:rPr>
                <w:rFonts w:ascii="Times New Roman"/>
                <w:sz w:val="18"/>
              </w:rPr>
              <w:t>60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4" w:right="0"/>
              <w:jc w:val="center"/>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989,</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344.</w:t>
            </w:r>
          </w:p>
          <w:p>
            <w:pPr>
              <w:pStyle w:val="TableParagraph"/>
              <w:spacing w:line="240" w:lineRule="auto" w:before="110"/>
              <w:ind w:left="172" w:right="0"/>
              <w:jc w:val="center"/>
              <w:rPr>
                <w:rFonts w:ascii="Times New Roman" w:hAnsi="Times New Roman" w:cs="Times New Roman" w:eastAsia="Times New Roman" w:hint="default"/>
                <w:sz w:val="18"/>
                <w:szCs w:val="18"/>
              </w:rPr>
            </w:pPr>
            <w:r>
              <w:rPr>
                <w:rFonts w:ascii="Times New Roman"/>
                <w:sz w:val="18"/>
              </w:rPr>
              <w:t>30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-31,5</w:t>
            </w:r>
          </w:p>
          <w:p>
            <w:pPr>
              <w:pStyle w:val="TableParagraph"/>
              <w:spacing w:line="240" w:lineRule="auto" w:before="100"/>
              <w:ind w:left="12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211" w:right="0"/>
              <w:jc w:val="left"/>
              <w:rPr>
                <w:rFonts w:ascii="Times New Roman" w:hAnsi="Times New Roman" w:cs="Times New Roman" w:eastAsia="Times New Roman" w:hint="default"/>
                <w:sz w:val="18"/>
                <w:szCs w:val="18"/>
              </w:rPr>
            </w:pPr>
            <w:r>
              <w:rPr>
                <w:rFonts w:ascii="Times New Roman"/>
                <w:sz w:val="18"/>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-47,4</w:t>
            </w:r>
          </w:p>
          <w:p>
            <w:pPr>
              <w:pStyle w:val="TableParagraph"/>
              <w:spacing w:line="240" w:lineRule="auto" w:before="100"/>
              <w:ind w:left="134" w:right="0"/>
              <w:jc w:val="left"/>
              <w:rPr>
                <w:rFonts w:ascii="Times New Roman" w:hAnsi="Times New Roman" w:cs="Times New Roman" w:eastAsia="Times New Roman" w:hint="default"/>
                <w:sz w:val="18"/>
                <w:szCs w:val="18"/>
              </w:rPr>
            </w:pPr>
            <w:r>
              <w:rPr>
                <w:rFonts w:ascii="Times New Roman"/>
                <w:sz w:val="18"/>
              </w:rPr>
              <w:t>89,34</w:t>
            </w:r>
          </w:p>
          <w:p>
            <w:pPr>
              <w:pStyle w:val="TableParagraph"/>
              <w:spacing w:line="240" w:lineRule="auto" w:before="110"/>
              <w:ind w:left="220" w:right="0"/>
              <w:jc w:val="left"/>
              <w:rPr>
                <w:rFonts w:ascii="Times New Roman" w:hAnsi="Times New Roman" w:cs="Times New Roman" w:eastAsia="Times New Roman" w:hint="default"/>
                <w:sz w:val="18"/>
                <w:szCs w:val="18"/>
              </w:rPr>
            </w:pPr>
            <w:r>
              <w:rPr>
                <w:rFonts w:ascii="Times New Roman"/>
                <w:sz w:val="18"/>
              </w:rPr>
              <w:t>4.30</w:t>
            </w: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43" w:right="0"/>
              <w:jc w:val="left"/>
              <w:rPr>
                <w:rFonts w:ascii="Times New Roman" w:hAnsi="Times New Roman" w:cs="Times New Roman" w:eastAsia="Times New Roman" w:hint="default"/>
                <w:sz w:val="18"/>
                <w:szCs w:val="18"/>
              </w:rPr>
            </w:pPr>
            <w:r>
              <w:rPr>
                <w:rFonts w:ascii="Times New Roman"/>
                <w:sz w:val="18"/>
              </w:rPr>
              <w:t>9,36</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96" w:right="0"/>
              <w:jc w:val="left"/>
              <w:rPr>
                <w:rFonts w:ascii="Times New Roman" w:hAnsi="Times New Roman" w:cs="Times New Roman" w:eastAsia="Times New Roman" w:hint="default"/>
                <w:sz w:val="18"/>
                <w:szCs w:val="18"/>
              </w:rPr>
            </w:pPr>
            <w:r>
              <w:rPr>
                <w:rFonts w:ascii="Times New Roman"/>
                <w:sz w:val="18"/>
              </w:rPr>
              <w:t>-9,3</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15"/>
        <w:gridCol w:w="490"/>
        <w:gridCol w:w="447"/>
        <w:gridCol w:w="451"/>
        <w:gridCol w:w="490"/>
        <w:gridCol w:w="577"/>
        <w:gridCol w:w="576"/>
        <w:gridCol w:w="576"/>
        <w:gridCol w:w="581"/>
        <w:gridCol w:w="576"/>
        <w:gridCol w:w="576"/>
        <w:gridCol w:w="591"/>
        <w:gridCol w:w="566"/>
        <w:gridCol w:w="566"/>
        <w:gridCol w:w="644"/>
        <w:gridCol w:w="648"/>
      </w:tblGrid>
      <w:tr>
        <w:trPr>
          <w:trHeight w:val="984"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公积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3" w:right="0"/>
              <w:jc w:val="left"/>
              <w:rPr>
                <w:rFonts w:ascii="Times New Roman" w:hAnsi="Times New Roman" w:cs="Times New Roman" w:eastAsia="Times New Roman" w:hint="default"/>
                <w:sz w:val="18"/>
                <w:szCs w:val="18"/>
              </w:rPr>
            </w:pPr>
            <w:r>
              <w:rPr>
                <w:rFonts w:ascii="Times New Roman"/>
                <w:sz w:val="18"/>
              </w:rPr>
              <w:t>4,38</w:t>
            </w:r>
          </w:p>
          <w:p>
            <w:pPr>
              <w:pStyle w:val="TableParagraph"/>
              <w:spacing w:line="240" w:lineRule="auto" w:before="110"/>
              <w:ind w:left="143" w:right="0"/>
              <w:jc w:val="left"/>
              <w:rPr>
                <w:rFonts w:ascii="Times New Roman" w:hAnsi="Times New Roman" w:cs="Times New Roman" w:eastAsia="Times New Roman" w:hint="default"/>
                <w:sz w:val="18"/>
                <w:szCs w:val="18"/>
              </w:rPr>
            </w:pPr>
            <w:r>
              <w:rPr>
                <w:rFonts w:ascii="Times New Roman"/>
                <w:sz w:val="18"/>
              </w:rPr>
              <w:t>1.30</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z w:val="18"/>
              </w:rPr>
              <w:t>64,3</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z w:val="18"/>
              </w:rPr>
              <w:t>81.3</w:t>
            </w:r>
          </w:p>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105" w:right="10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风险准备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21" w:lineRule="auto" w:before="58"/>
              <w:ind w:left="105" w:right="99"/>
              <w:jc w:val="left"/>
              <w:rPr>
                <w:rFonts w:ascii="宋体" w:hAnsi="宋体" w:cs="宋体" w:eastAsia="宋体" w:hint="default"/>
                <w:sz w:val="18"/>
                <w:szCs w:val="18"/>
              </w:rPr>
            </w:pPr>
            <w:r>
              <w:rPr>
                <w:rFonts w:ascii="宋体" w:hAnsi="宋体" w:cs="宋体" w:eastAsia="宋体" w:hint="default"/>
                <w:spacing w:val="-16"/>
                <w:w w:val="101"/>
                <w:sz w:val="18"/>
                <w:szCs w:val="18"/>
              </w:rPr>
              <w:t>（或股东）的</w:t>
            </w:r>
            <w:r>
              <w:rPr>
                <w:rFonts w:ascii="宋体" w:hAnsi="宋体" w:cs="宋体" w:eastAsia="宋体" w:hint="default"/>
                <w:w w:val="101"/>
                <w:sz w:val="18"/>
                <w:szCs w:val="18"/>
              </w:rPr>
              <w:t> </w:t>
            </w:r>
            <w:r>
              <w:rPr>
                <w:rFonts w:ascii="宋体" w:hAnsi="宋体" w:cs="宋体" w:eastAsia="宋体" w:hint="default"/>
                <w:sz w:val="18"/>
                <w:szCs w:val="18"/>
              </w:rPr>
              <w:t>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7" w:right="0"/>
              <w:jc w:val="center"/>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105"/>
              <w:ind w:left="64" w:right="0"/>
              <w:jc w:val="center"/>
              <w:rPr>
                <w:rFonts w:ascii="Times New Roman" w:hAnsi="Times New Roman" w:cs="Times New Roman" w:eastAsia="Times New Roman" w:hint="default"/>
                <w:sz w:val="18"/>
                <w:szCs w:val="18"/>
              </w:rPr>
            </w:pPr>
            <w:r>
              <w:rPr>
                <w:rFonts w:ascii="Times New Roman"/>
                <w:sz w:val="18"/>
              </w:rPr>
              <w:t>989,</w:t>
            </w:r>
          </w:p>
          <w:p>
            <w:pPr>
              <w:pStyle w:val="TableParagraph"/>
              <w:spacing w:line="240" w:lineRule="auto" w:before="105"/>
              <w:ind w:left="64" w:right="0"/>
              <w:jc w:val="center"/>
              <w:rPr>
                <w:rFonts w:ascii="Times New Roman" w:hAnsi="Times New Roman" w:cs="Times New Roman" w:eastAsia="Times New Roman" w:hint="default"/>
                <w:sz w:val="18"/>
                <w:szCs w:val="18"/>
              </w:rPr>
            </w:pPr>
            <w:r>
              <w:rPr>
                <w:rFonts w:ascii="Times New Roman"/>
                <w:sz w:val="18"/>
              </w:rPr>
              <w:t>344.</w:t>
            </w:r>
          </w:p>
          <w:p>
            <w:pPr>
              <w:pStyle w:val="TableParagraph"/>
              <w:spacing w:line="240" w:lineRule="auto" w:before="110"/>
              <w:ind w:left="205" w:right="0"/>
              <w:jc w:val="center"/>
              <w:rPr>
                <w:rFonts w:ascii="Times New Roman" w:hAnsi="Times New Roman" w:cs="Times New Roman" w:eastAsia="Times New Roman" w:hint="default"/>
                <w:sz w:val="18"/>
                <w:szCs w:val="18"/>
              </w:rPr>
            </w:pPr>
            <w:r>
              <w:rPr>
                <w:rFonts w:ascii="Times New Roman"/>
                <w:sz w:val="18"/>
              </w:rPr>
              <w:t>30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4" w:right="0"/>
              <w:jc w:val="center"/>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989,</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344.</w:t>
            </w:r>
          </w:p>
          <w:p>
            <w:pPr>
              <w:pStyle w:val="TableParagraph"/>
              <w:spacing w:line="240" w:lineRule="auto" w:before="110"/>
              <w:ind w:left="172" w:right="0"/>
              <w:jc w:val="center"/>
              <w:rPr>
                <w:rFonts w:ascii="Times New Roman" w:hAnsi="Times New Roman" w:cs="Times New Roman" w:eastAsia="Times New Roman" w:hint="default"/>
                <w:sz w:val="18"/>
                <w:szCs w:val="18"/>
              </w:rPr>
            </w:pPr>
            <w:r>
              <w:rPr>
                <w:rFonts w:ascii="Times New Roman"/>
                <w:sz w:val="18"/>
              </w:rPr>
              <w:t>30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-31,5</w:t>
            </w:r>
          </w:p>
          <w:p>
            <w:pPr>
              <w:pStyle w:val="TableParagraph"/>
              <w:spacing w:line="240" w:lineRule="auto" w:before="100"/>
              <w:ind w:left="12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211" w:right="0"/>
              <w:jc w:val="left"/>
              <w:rPr>
                <w:rFonts w:ascii="Times New Roman" w:hAnsi="Times New Roman" w:cs="Times New Roman" w:eastAsia="Times New Roman" w:hint="default"/>
                <w:sz w:val="18"/>
                <w:szCs w:val="18"/>
              </w:rPr>
            </w:pPr>
            <w:r>
              <w:rPr>
                <w:rFonts w:ascii="Times New Roman"/>
                <w:sz w:val="18"/>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-47,4</w:t>
            </w:r>
          </w:p>
          <w:p>
            <w:pPr>
              <w:pStyle w:val="TableParagraph"/>
              <w:spacing w:line="240" w:lineRule="auto" w:before="100"/>
              <w:ind w:left="134" w:right="0"/>
              <w:jc w:val="left"/>
              <w:rPr>
                <w:rFonts w:ascii="Times New Roman" w:hAnsi="Times New Roman" w:cs="Times New Roman" w:eastAsia="Times New Roman" w:hint="default"/>
                <w:sz w:val="18"/>
                <w:szCs w:val="18"/>
              </w:rPr>
            </w:pPr>
            <w:r>
              <w:rPr>
                <w:rFonts w:ascii="Times New Roman"/>
                <w:sz w:val="18"/>
              </w:rPr>
              <w:t>89,34</w:t>
            </w:r>
          </w:p>
          <w:p>
            <w:pPr>
              <w:pStyle w:val="TableParagraph"/>
              <w:spacing w:line="240" w:lineRule="auto" w:before="110"/>
              <w:ind w:left="220" w:right="0"/>
              <w:jc w:val="left"/>
              <w:rPr>
                <w:rFonts w:ascii="Times New Roman" w:hAnsi="Times New Roman" w:cs="Times New Roman" w:eastAsia="Times New Roman" w:hint="default"/>
                <w:sz w:val="18"/>
                <w:szCs w:val="18"/>
              </w:rPr>
            </w:pPr>
            <w:r>
              <w:rPr>
                <w:rFonts w:ascii="Times New Roman"/>
                <w:sz w:val="18"/>
              </w:rPr>
              <w:t>4.30</w:t>
            </w: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99"/>
              <w:jc w:val="left"/>
              <w:rPr>
                <w:rFonts w:ascii="宋体" w:hAnsi="宋体" w:cs="宋体" w:eastAsia="宋体" w:hint="default"/>
                <w:sz w:val="18"/>
                <w:szCs w:val="18"/>
              </w:rPr>
            </w:pPr>
            <w:r>
              <w:rPr>
                <w:rFonts w:ascii="宋体" w:hAnsi="宋体" w:cs="宋体" w:eastAsia="宋体" w:hint="default"/>
                <w:spacing w:val="-16"/>
                <w:w w:val="101"/>
                <w:sz w:val="18"/>
                <w:szCs w:val="18"/>
              </w:rPr>
              <w:t>（四）所有者</w:t>
            </w:r>
            <w:r>
              <w:rPr>
                <w:rFonts w:ascii="宋体" w:hAnsi="宋体" w:cs="宋体" w:eastAsia="宋体" w:hint="default"/>
                <w:w w:val="101"/>
                <w:sz w:val="18"/>
                <w:szCs w:val="18"/>
              </w:rPr>
              <w:t> </w:t>
            </w:r>
            <w:r>
              <w:rPr>
                <w:rFonts w:ascii="宋体" w:hAnsi="宋体" w:cs="宋体" w:eastAsia="宋体" w:hint="default"/>
                <w:sz w:val="18"/>
                <w:szCs w:val="18"/>
              </w:rPr>
              <w:t>权益内部结</w:t>
            </w:r>
            <w:r>
              <w:rPr>
                <w:rFonts w:ascii="宋体" w:hAnsi="宋体" w:cs="宋体" w:eastAsia="宋体" w:hint="default"/>
                <w:w w:val="101"/>
                <w:sz w:val="18"/>
                <w:szCs w:val="18"/>
              </w:rPr>
              <w:t> </w:t>
            </w:r>
            <w:r>
              <w:rPr>
                <w:rFonts w:ascii="宋体" w:hAnsi="宋体" w:cs="宋体" w:eastAsia="宋体" w:hint="default"/>
                <w:sz w:val="18"/>
                <w:szCs w:val="18"/>
              </w:rPr>
              <w:t>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05" w:right="9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6"/>
                <w:w w:val="101"/>
                <w:sz w:val="18"/>
                <w:szCs w:val="18"/>
              </w:rPr>
              <w:t>转增资本（或</w:t>
            </w:r>
            <w:r>
              <w:rPr>
                <w:rFonts w:ascii="宋体" w:hAnsi="宋体" w:cs="宋体" w:eastAsia="宋体" w:hint="default"/>
                <w:w w:val="101"/>
                <w:sz w:val="18"/>
                <w:szCs w:val="18"/>
              </w:rPr>
              <w:t> </w:t>
            </w:r>
            <w:r>
              <w:rPr>
                <w:rFonts w:ascii="宋体" w:hAnsi="宋体" w:cs="宋体" w:eastAsia="宋体" w:hint="default"/>
                <w:sz w:val="18"/>
                <w:szCs w:val="18"/>
              </w:rPr>
              <w:t>股本）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05" w:right="99"/>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6"/>
                <w:w w:val="101"/>
                <w:sz w:val="18"/>
                <w:szCs w:val="18"/>
              </w:rPr>
              <w:t>转增资本（或</w:t>
            </w:r>
            <w:r>
              <w:rPr>
                <w:rFonts w:ascii="宋体" w:hAnsi="宋体" w:cs="宋体" w:eastAsia="宋体" w:hint="default"/>
                <w:w w:val="101"/>
                <w:sz w:val="18"/>
                <w:szCs w:val="18"/>
              </w:rPr>
              <w:t> </w:t>
            </w:r>
            <w:r>
              <w:rPr>
                <w:rFonts w:ascii="宋体" w:hAnsi="宋体" w:cs="宋体" w:eastAsia="宋体" w:hint="default"/>
                <w:sz w:val="18"/>
                <w:szCs w:val="18"/>
              </w:rPr>
              <w:t>股本）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0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弥补亏损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05" w:right="10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计划变动额</w:t>
            </w:r>
            <w:r>
              <w:rPr>
                <w:rFonts w:ascii="宋体" w:hAnsi="宋体" w:cs="宋体" w:eastAsia="宋体" w:hint="default"/>
                <w:w w:val="101"/>
                <w:sz w:val="18"/>
                <w:szCs w:val="18"/>
              </w:rPr>
              <w:t> </w:t>
            </w:r>
            <w:r>
              <w:rPr>
                <w:rFonts w:ascii="宋体" w:hAnsi="宋体" w:cs="宋体" w:eastAsia="宋体" w:hint="default"/>
                <w:sz w:val="18"/>
                <w:szCs w:val="18"/>
              </w:rPr>
              <w:t>结转留存收</w:t>
            </w:r>
            <w:r>
              <w:rPr>
                <w:rFonts w:ascii="宋体" w:hAnsi="宋体" w:cs="宋体" w:eastAsia="宋体" w:hint="default"/>
                <w:w w:val="101"/>
                <w:sz w:val="18"/>
                <w:szCs w:val="18"/>
              </w:rPr>
              <w:t> </w:t>
            </w:r>
            <w:r>
              <w:rPr>
                <w:rFonts w:ascii="宋体" w:hAnsi="宋体" w:cs="宋体" w:eastAsia="宋体" w:hint="default"/>
                <w:sz w:val="18"/>
                <w:szCs w:val="18"/>
              </w:rPr>
              <w:t>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05" w:right="10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收益结转留</w:t>
            </w:r>
            <w:r>
              <w:rPr>
                <w:rFonts w:ascii="宋体" w:hAnsi="宋体" w:cs="宋体" w:eastAsia="宋体" w:hint="default"/>
                <w:w w:val="101"/>
                <w:sz w:val="18"/>
                <w:szCs w:val="18"/>
              </w:rPr>
              <w:t> </w:t>
            </w:r>
            <w:r>
              <w:rPr>
                <w:rFonts w:ascii="宋体" w:hAnsi="宋体" w:cs="宋体" w:eastAsia="宋体" w:hint="default"/>
                <w:sz w:val="18"/>
                <w:szCs w:val="18"/>
              </w:rPr>
              <w:t>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99"/>
              <w:jc w:val="left"/>
              <w:rPr>
                <w:rFonts w:ascii="宋体" w:hAnsi="宋体" w:cs="宋体" w:eastAsia="宋体" w:hint="default"/>
                <w:sz w:val="18"/>
                <w:szCs w:val="18"/>
              </w:rPr>
            </w:pPr>
            <w:r>
              <w:rPr>
                <w:rFonts w:ascii="宋体" w:hAnsi="宋体" w:cs="宋体" w:eastAsia="宋体" w:hint="default"/>
                <w:spacing w:val="-16"/>
                <w:w w:val="101"/>
                <w:sz w:val="18"/>
                <w:szCs w:val="18"/>
              </w:rPr>
              <w:t>（五）专项储</w:t>
            </w:r>
            <w:r>
              <w:rPr>
                <w:rFonts w:ascii="宋体" w:hAnsi="宋体" w:cs="宋体" w:eastAsia="宋体" w:hint="default"/>
                <w:w w:val="101"/>
                <w:sz w:val="18"/>
                <w:szCs w:val="18"/>
              </w:rPr>
              <w:t> </w:t>
            </w:r>
            <w:r>
              <w:rPr>
                <w:rFonts w:ascii="宋体" w:hAnsi="宋体" w:cs="宋体" w:eastAsia="宋体" w:hint="default"/>
                <w:sz w:val="18"/>
                <w:szCs w:val="18"/>
              </w:rPr>
              <w:t>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4" w:lineRule="auto" w:before="105"/>
              <w:ind w:left="105" w:right="99"/>
              <w:jc w:val="left"/>
              <w:rPr>
                <w:rFonts w:ascii="宋体" w:hAnsi="宋体" w:cs="宋体" w:eastAsia="宋体" w:hint="default"/>
                <w:sz w:val="18"/>
                <w:szCs w:val="18"/>
              </w:rPr>
            </w:pPr>
            <w:r>
              <w:rPr>
                <w:rFonts w:ascii="宋体" w:hAnsi="宋体" w:cs="宋体" w:eastAsia="宋体" w:hint="default"/>
                <w:spacing w:val="-16"/>
                <w:w w:val="101"/>
                <w:sz w:val="18"/>
                <w:szCs w:val="18"/>
              </w:rPr>
              <w:t>四、本期期末</w:t>
            </w:r>
            <w:r>
              <w:rPr>
                <w:rFonts w:ascii="宋体" w:hAnsi="宋体" w:cs="宋体" w:eastAsia="宋体" w:hint="default"/>
                <w:w w:val="101"/>
                <w:sz w:val="18"/>
                <w:szCs w:val="18"/>
              </w:rPr>
              <w:t> </w:t>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399</w:t>
            </w:r>
          </w:p>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60.</w:t>
            </w:r>
          </w:p>
          <w:p>
            <w:pPr>
              <w:pStyle w:val="TableParagraph"/>
              <w:spacing w:line="240" w:lineRule="auto" w:before="109"/>
              <w:ind w:left="196" w:right="0"/>
              <w:jc w:val="left"/>
              <w:rPr>
                <w:rFonts w:ascii="Times New Roman" w:hAnsi="Times New Roman" w:cs="Times New Roman" w:eastAsia="Times New Roman" w:hint="default"/>
                <w:sz w:val="18"/>
                <w:szCs w:val="18"/>
              </w:rPr>
            </w:pPr>
            <w:r>
              <w:rPr>
                <w:rFonts w:ascii="Times New Roman"/>
                <w:sz w:val="18"/>
              </w:rPr>
              <w:t>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1,71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8,96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8,74</w:t>
            </w:r>
          </w:p>
          <w:p>
            <w:pPr>
              <w:pStyle w:val="TableParagraph"/>
              <w:spacing w:line="240" w:lineRule="auto" w:before="110"/>
              <w:ind w:left="158" w:right="0"/>
              <w:jc w:val="left"/>
              <w:rPr>
                <w:rFonts w:ascii="Times New Roman" w:hAnsi="Times New Roman" w:cs="Times New Roman" w:eastAsia="Times New Roman" w:hint="default"/>
                <w:sz w:val="18"/>
                <w:szCs w:val="18"/>
              </w:rPr>
            </w:pPr>
            <w:r>
              <w:rPr>
                <w:rFonts w:ascii="Times New Roman"/>
                <w:sz w:val="18"/>
              </w:rPr>
              <w:t>0.11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1,29</w:t>
            </w:r>
          </w:p>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5,63</w:t>
            </w:r>
          </w:p>
          <w:p>
            <w:pPr>
              <w:pStyle w:val="TableParagraph"/>
              <w:spacing w:line="240" w:lineRule="auto" w:before="110"/>
              <w:ind w:left="148" w:right="0"/>
              <w:jc w:val="left"/>
              <w:rPr>
                <w:rFonts w:ascii="Times New Roman" w:hAnsi="Times New Roman" w:cs="Times New Roman" w:eastAsia="Times New Roman" w:hint="default"/>
                <w:sz w:val="18"/>
                <w:szCs w:val="18"/>
              </w:rPr>
            </w:pPr>
            <w:r>
              <w:rPr>
                <w:rFonts w:ascii="Times New Roman"/>
                <w:sz w:val="18"/>
              </w:rPr>
              <w:t>5.05</w:t>
            </w: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79,0</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05,5</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26.2</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827,</w:t>
            </w:r>
          </w:p>
          <w:p>
            <w:pPr>
              <w:pStyle w:val="TableParagraph"/>
              <w:spacing w:line="240" w:lineRule="auto" w:before="105"/>
              <w:ind w:left="64" w:right="0"/>
              <w:jc w:val="center"/>
              <w:rPr>
                <w:rFonts w:ascii="Times New Roman" w:hAnsi="Times New Roman" w:cs="Times New Roman" w:eastAsia="Times New Roman" w:hint="default"/>
                <w:sz w:val="18"/>
                <w:szCs w:val="18"/>
              </w:rPr>
            </w:pPr>
            <w:r>
              <w:rPr>
                <w:rFonts w:ascii="Times New Roman"/>
                <w:sz w:val="18"/>
              </w:rPr>
              <w:t>938,</w:t>
            </w:r>
          </w:p>
          <w:p>
            <w:pPr>
              <w:pStyle w:val="TableParagraph"/>
              <w:spacing w:line="240" w:lineRule="auto" w:before="105"/>
              <w:ind w:left="64" w:right="0"/>
              <w:jc w:val="center"/>
              <w:rPr>
                <w:rFonts w:ascii="Times New Roman" w:hAnsi="Times New Roman" w:cs="Times New Roman" w:eastAsia="Times New Roman" w:hint="default"/>
                <w:sz w:val="18"/>
                <w:szCs w:val="18"/>
              </w:rPr>
            </w:pPr>
            <w:r>
              <w:rPr>
                <w:rFonts w:ascii="Times New Roman"/>
                <w:sz w:val="18"/>
              </w:rPr>
              <w:t>103.</w:t>
            </w:r>
          </w:p>
          <w:p>
            <w:pPr>
              <w:pStyle w:val="TableParagraph"/>
              <w:spacing w:line="240" w:lineRule="auto" w:before="110"/>
              <w:ind w:left="205" w:right="0"/>
              <w:jc w:val="center"/>
              <w:rPr>
                <w:rFonts w:ascii="Times New Roman" w:hAnsi="Times New Roman" w:cs="Times New Roman" w:eastAsia="Times New Roman" w:hint="default"/>
                <w:sz w:val="18"/>
                <w:szCs w:val="18"/>
              </w:rPr>
            </w:pPr>
            <w:r>
              <w:rPr>
                <w:rFonts w:ascii="Times New Roman"/>
                <w:sz w:val="18"/>
              </w:rPr>
              <w:t>09</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3,02</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3,70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0,59</w:t>
            </w:r>
          </w:p>
          <w:p>
            <w:pPr>
              <w:pStyle w:val="TableParagraph"/>
              <w:spacing w:line="240" w:lineRule="auto" w:before="110"/>
              <w:ind w:left="134" w:right="0"/>
              <w:jc w:val="left"/>
              <w:rPr>
                <w:rFonts w:ascii="Times New Roman" w:hAnsi="Times New Roman" w:cs="Times New Roman" w:eastAsia="Times New Roman" w:hint="default"/>
                <w:sz w:val="18"/>
                <w:szCs w:val="18"/>
              </w:rPr>
            </w:pPr>
            <w:r>
              <w:rPr>
                <w:rFonts w:ascii="Times New Roman"/>
                <w:sz w:val="18"/>
              </w:rPr>
              <w:t>4.44</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pacing w:val="-3"/>
                <w:sz w:val="18"/>
              </w:rPr>
              <w:t>111,7</w:t>
            </w:r>
          </w:p>
          <w:p>
            <w:pPr>
              <w:pStyle w:val="TableParagraph"/>
              <w:spacing w:line="240" w:lineRule="auto" w:before="100"/>
              <w:ind w:left="125" w:right="0"/>
              <w:jc w:val="left"/>
              <w:rPr>
                <w:rFonts w:ascii="Times New Roman" w:hAnsi="Times New Roman" w:cs="Times New Roman" w:eastAsia="Times New Roman" w:hint="default"/>
                <w:sz w:val="18"/>
                <w:szCs w:val="18"/>
              </w:rPr>
            </w:pPr>
            <w:r>
              <w:rPr>
                <w:rFonts w:ascii="Times New Roman"/>
                <w:sz w:val="18"/>
              </w:rPr>
              <w:t>91,36</w:t>
            </w:r>
          </w:p>
          <w:p>
            <w:pPr>
              <w:pStyle w:val="TableParagraph"/>
              <w:spacing w:line="240" w:lineRule="auto" w:before="110"/>
              <w:ind w:left="211" w:right="0"/>
              <w:jc w:val="left"/>
              <w:rPr>
                <w:rFonts w:ascii="Times New Roman" w:hAnsi="Times New Roman" w:cs="Times New Roman" w:eastAsia="Times New Roman" w:hint="default"/>
                <w:sz w:val="18"/>
                <w:szCs w:val="18"/>
              </w:rPr>
            </w:pPr>
            <w:r>
              <w:rPr>
                <w:rFonts w:ascii="Times New Roman"/>
                <w:sz w:val="18"/>
              </w:rPr>
              <w:t>9.61</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3,135</w:t>
            </w:r>
          </w:p>
          <w:p>
            <w:pPr>
              <w:pStyle w:val="TableParagraph"/>
              <w:spacing w:line="240" w:lineRule="auto" w:before="105"/>
              <w:ind w:left="177" w:right="0"/>
              <w:jc w:val="left"/>
              <w:rPr>
                <w:rFonts w:ascii="Times New Roman" w:hAnsi="Times New Roman" w:cs="Times New Roman" w:eastAsia="Times New Roman" w:hint="default"/>
                <w:sz w:val="18"/>
                <w:szCs w:val="18"/>
              </w:rPr>
            </w:pPr>
            <w:r>
              <w:rPr>
                <w:rFonts w:ascii="Times New Roman"/>
                <w:sz w:val="18"/>
              </w:rPr>
              <w:t>,491,</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964.0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0"/>
        <w:rPr>
          <w:rFonts w:ascii="Times New Roman" w:hAnsi="Times New Roman" w:cs="Times New Roman" w:eastAsia="Times New Roman" w:hint="default"/>
          <w:sz w:val="25"/>
          <w:szCs w:val="25"/>
        </w:rPr>
      </w:pPr>
    </w:p>
    <w:p>
      <w:pPr>
        <w:pStyle w:val="Heading3"/>
        <w:spacing w:line="240" w:lineRule="auto" w:before="36"/>
        <w:ind w:right="1764"/>
        <w:jc w:val="left"/>
        <w:rPr>
          <w:b w:val="0"/>
          <w:bCs w:val="0"/>
        </w:rPr>
      </w:pPr>
      <w:bookmarkStart w:name="8、母公司所有者权益变动表" w:id="165"/>
      <w:bookmarkEnd w:id="165"/>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2"/>
        <w:rPr>
          <w:rFonts w:ascii="宋体" w:hAnsi="宋体" w:cs="宋体" w:eastAsia="宋体" w:hint="default"/>
          <w:b/>
          <w:bCs/>
          <w:sz w:val="23"/>
          <w:szCs w:val="23"/>
        </w:rPr>
      </w:pPr>
    </w:p>
    <w:p>
      <w:pPr>
        <w:spacing w:before="46"/>
        <w:ind w:left="113" w:right="1764"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06"/>
        <w:gridCol w:w="629"/>
        <w:gridCol w:w="605"/>
        <w:gridCol w:w="605"/>
        <w:gridCol w:w="605"/>
        <w:gridCol w:w="725"/>
        <w:gridCol w:w="725"/>
        <w:gridCol w:w="730"/>
        <w:gridCol w:w="725"/>
        <w:gridCol w:w="725"/>
        <w:gridCol w:w="614"/>
        <w:gridCol w:w="711"/>
        <w:gridCol w:w="864"/>
      </w:tblGrid>
      <w:tr>
        <w:trPr>
          <w:trHeight w:val="396" w:hRule="exact"/>
        </w:trPr>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6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8" w:hRule="exact"/>
        </w:trPr>
        <w:tc>
          <w:tcPr>
            <w:tcW w:w="1306" w:type="dxa"/>
            <w:vMerge/>
            <w:tcBorders>
              <w:left w:val="single" w:sz="4" w:space="0" w:color="000000"/>
              <w:right w:val="single" w:sz="4" w:space="0" w:color="000000"/>
            </w:tcBorders>
            <w:shd w:val="clear" w:color="auto" w:fill="D2D2D2"/>
          </w:tcPr>
          <w:p>
            <w:pPr/>
          </w:p>
        </w:tc>
        <w:tc>
          <w:tcPr>
            <w:tcW w:w="6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6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172" w:right="175"/>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177" w:right="93" w:hanging="72"/>
              <w:jc w:val="left"/>
              <w:rPr>
                <w:rFonts w:ascii="宋体" w:hAnsi="宋体" w:cs="宋体" w:eastAsia="宋体" w:hint="default"/>
                <w:sz w:val="18"/>
                <w:szCs w:val="18"/>
              </w:rPr>
            </w:pPr>
            <w:r>
              <w:rPr>
                <w:rFonts w:ascii="宋体" w:hAnsi="宋体" w:cs="宋体" w:eastAsia="宋体" w:hint="default"/>
                <w:spacing w:val="-12"/>
                <w:sz w:val="18"/>
                <w:szCs w:val="18"/>
              </w:rPr>
              <w:t>减：库</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存股</w:t>
            </w:r>
          </w:p>
        </w:tc>
        <w:tc>
          <w:tcPr>
            <w:tcW w:w="7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6"/>
              <w:ind w:left="177" w:right="177"/>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172" w:right="175"/>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177" w:right="171"/>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6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6"/>
              <w:ind w:left="124" w:right="113"/>
              <w:jc w:val="both"/>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pacing w:val="-86"/>
                <w:sz w:val="18"/>
                <w:szCs w:val="18"/>
              </w:rPr>
              <w:t> </w:t>
            </w:r>
            <w:r>
              <w:rPr>
                <w:rFonts w:ascii="宋体" w:hAnsi="宋体" w:cs="宋体" w:eastAsia="宋体" w:hint="default"/>
                <w:sz w:val="18"/>
                <w:szCs w:val="18"/>
              </w:rPr>
              <w:t>配利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6"/>
              <w:ind w:left="158" w:right="151"/>
              <w:jc w:val="center"/>
              <w:rPr>
                <w:rFonts w:ascii="宋体" w:hAnsi="宋体" w:cs="宋体" w:eastAsia="宋体" w:hint="default"/>
                <w:sz w:val="18"/>
                <w:szCs w:val="18"/>
              </w:rPr>
            </w:pPr>
            <w:r>
              <w:rPr>
                <w:rFonts w:ascii="宋体" w:hAnsi="宋体" w:cs="宋体" w:eastAsia="宋体" w:hint="default"/>
                <w:spacing w:val="-2"/>
                <w:sz w:val="18"/>
                <w:szCs w:val="18"/>
              </w:rPr>
              <w:t>所有者</w:t>
            </w:r>
            <w:r>
              <w:rPr>
                <w:rFonts w:ascii="宋体" w:hAnsi="宋体" w:cs="宋体" w:eastAsia="宋体" w:hint="default"/>
                <w:w w:val="101"/>
                <w:sz w:val="18"/>
                <w:szCs w:val="18"/>
              </w:rPr>
              <w:t> </w:t>
            </w:r>
            <w:r>
              <w:rPr>
                <w:rFonts w:ascii="宋体" w:hAnsi="宋体" w:cs="宋体" w:eastAsia="宋体" w:hint="default"/>
                <w:spacing w:val="-2"/>
                <w:sz w:val="18"/>
                <w:szCs w:val="18"/>
              </w:rPr>
              <w:t>权益合</w:t>
            </w:r>
            <w:r>
              <w:rPr>
                <w:rFonts w:ascii="宋体" w:hAnsi="宋体" w:cs="宋体" w:eastAsia="宋体" w:hint="default"/>
                <w:w w:val="101"/>
                <w:sz w:val="18"/>
                <w:szCs w:val="18"/>
              </w:rPr>
              <w:t> </w:t>
            </w:r>
            <w:r>
              <w:rPr>
                <w:rFonts w:ascii="宋体" w:hAnsi="宋体" w:cs="宋体" w:eastAsia="宋体" w:hint="default"/>
                <w:sz w:val="18"/>
                <w:szCs w:val="18"/>
              </w:rPr>
              <w:t>计</w:t>
            </w:r>
          </w:p>
        </w:tc>
      </w:tr>
      <w:tr>
        <w:trPr>
          <w:trHeight w:val="716"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11" w:right="108"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06" w:right="113"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30"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614"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864" w:type="dxa"/>
            <w:vMerge/>
            <w:tcBorders>
              <w:left w:val="single" w:sz="4" w:space="0" w:color="000000"/>
              <w:bottom w:val="single" w:sz="4" w:space="0" w:color="000000"/>
              <w:right w:val="single" w:sz="4" w:space="0" w:color="000000"/>
            </w:tcBorders>
            <w:shd w:val="clear" w:color="auto" w:fill="D2D2D2"/>
          </w:tcPr>
          <w:p>
            <w:pPr/>
          </w:p>
        </w:tc>
      </w:tr>
      <w:tr>
        <w:trPr>
          <w:trHeight w:val="133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05" w:right="104"/>
              <w:jc w:val="left"/>
              <w:rPr>
                <w:rFonts w:ascii="宋体" w:hAnsi="宋体" w:cs="宋体" w:eastAsia="宋体" w:hint="default"/>
                <w:sz w:val="18"/>
                <w:szCs w:val="18"/>
              </w:rPr>
            </w:pPr>
            <w:r>
              <w:rPr>
                <w:rFonts w:ascii="宋体" w:hAnsi="宋体" w:cs="宋体" w:eastAsia="宋体" w:hint="default"/>
                <w:spacing w:val="-2"/>
                <w:sz w:val="18"/>
                <w:szCs w:val="18"/>
              </w:rPr>
              <w:t>一、上年期末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399,0</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83,86</w:t>
            </w:r>
          </w:p>
          <w:p>
            <w:pPr>
              <w:pStyle w:val="TableParagraph"/>
              <w:spacing w:line="240" w:lineRule="auto" w:before="110"/>
              <w:ind w:left="201" w:right="0"/>
              <w:jc w:val="left"/>
              <w:rPr>
                <w:rFonts w:ascii="Times New Roman" w:hAnsi="Times New Roman" w:cs="Times New Roman" w:eastAsia="Times New Roman" w:hint="default"/>
                <w:sz w:val="18"/>
                <w:szCs w:val="18"/>
              </w:rPr>
            </w:pPr>
            <w:r>
              <w:rPr>
                <w:rFonts w:ascii="Times New Roman"/>
                <w:sz w:val="18"/>
              </w:rPr>
              <w:t>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1,798,</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226,13</w:t>
            </w:r>
          </w:p>
          <w:p>
            <w:pPr>
              <w:pStyle w:val="TableParagraph"/>
              <w:spacing w:line="240" w:lineRule="auto" w:before="110"/>
              <w:ind w:left="191" w:right="0"/>
              <w:jc w:val="center"/>
              <w:rPr>
                <w:rFonts w:ascii="Times New Roman" w:hAnsi="Times New Roman" w:cs="Times New Roman" w:eastAsia="Times New Roman" w:hint="default"/>
                <w:sz w:val="18"/>
                <w:szCs w:val="18"/>
              </w:rPr>
            </w:pPr>
            <w:r>
              <w:rPr>
                <w:rFonts w:ascii="Times New Roman"/>
                <w:sz w:val="18"/>
              </w:rPr>
              <w:t>6.64</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1,295,</w:t>
            </w:r>
          </w:p>
          <w:p>
            <w:pPr>
              <w:pStyle w:val="TableParagraph"/>
              <w:spacing w:line="240" w:lineRule="auto" w:before="105"/>
              <w:ind w:left="120" w:right="0"/>
              <w:jc w:val="left"/>
              <w:rPr>
                <w:rFonts w:ascii="Times New Roman" w:hAnsi="Times New Roman" w:cs="Times New Roman" w:eastAsia="Times New Roman" w:hint="default"/>
                <w:sz w:val="18"/>
                <w:szCs w:val="18"/>
              </w:rPr>
            </w:pPr>
            <w:r>
              <w:rPr>
                <w:rFonts w:ascii="Times New Roman"/>
                <w:sz w:val="18"/>
              </w:rPr>
              <w:t>635.05</w:t>
            </w: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79,005</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,526.2</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8" w:right="0"/>
              <w:jc w:val="center"/>
              <w:rPr>
                <w:rFonts w:ascii="Times New Roman" w:hAnsi="Times New Roman" w:cs="Times New Roman" w:eastAsia="Times New Roman" w:hint="default"/>
                <w:sz w:val="18"/>
                <w:szCs w:val="18"/>
              </w:rPr>
            </w:pPr>
            <w:r>
              <w:rPr>
                <w:rFonts w:ascii="Times New Roman"/>
                <w:sz w:val="18"/>
              </w:rPr>
              <w:t>505,</w:t>
            </w:r>
          </w:p>
          <w:p>
            <w:pPr>
              <w:pStyle w:val="TableParagraph"/>
              <w:spacing w:line="240" w:lineRule="auto" w:before="100"/>
              <w:ind w:left="88" w:right="0"/>
              <w:jc w:val="center"/>
              <w:rPr>
                <w:rFonts w:ascii="Times New Roman" w:hAnsi="Times New Roman" w:cs="Times New Roman" w:eastAsia="Times New Roman" w:hint="default"/>
                <w:sz w:val="18"/>
                <w:szCs w:val="18"/>
              </w:rPr>
            </w:pPr>
            <w:r>
              <w:rPr>
                <w:rFonts w:ascii="Times New Roman"/>
                <w:sz w:val="18"/>
              </w:rPr>
              <w:t>777,</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642.</w:t>
            </w:r>
          </w:p>
          <w:p>
            <w:pPr>
              <w:pStyle w:val="TableParagraph"/>
              <w:spacing w:line="240" w:lineRule="auto" w:before="110"/>
              <w:ind w:left="230" w:right="0"/>
              <w:jc w:val="center"/>
              <w:rPr>
                <w:rFonts w:ascii="Times New Roman" w:hAnsi="Times New Roman" w:cs="Times New Roman" w:eastAsia="Times New Roman" w:hint="default"/>
                <w:sz w:val="18"/>
                <w:szCs w:val="18"/>
              </w:rPr>
            </w:pPr>
            <w:r>
              <w:rPr>
                <w:rFonts w:ascii="Times New Roman"/>
                <w:sz w:val="18"/>
              </w:rPr>
              <w:t>88</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2,780,79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7,530.76</w:t>
            </w: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05" w:right="104" w:firstLine="360"/>
              <w:jc w:val="left"/>
              <w:rPr>
                <w:rFonts w:ascii="宋体" w:hAnsi="宋体" w:cs="宋体" w:eastAsia="宋体" w:hint="default"/>
                <w:sz w:val="18"/>
                <w:szCs w:val="18"/>
              </w:rPr>
            </w:pPr>
            <w:r>
              <w:rPr>
                <w:rFonts w:ascii="宋体" w:hAnsi="宋体" w:cs="宋体" w:eastAsia="宋体" w:hint="default"/>
                <w:sz w:val="18"/>
                <w:szCs w:val="18"/>
              </w:rPr>
              <w:t>加：会计</w:t>
            </w:r>
            <w:r>
              <w:rPr>
                <w:rFonts w:ascii="宋体" w:hAnsi="宋体" w:cs="宋体" w:eastAsia="宋体" w:hint="default"/>
                <w:w w:val="101"/>
                <w:sz w:val="18"/>
                <w:szCs w:val="18"/>
              </w:rPr>
              <w:t> </w:t>
            </w:r>
            <w:r>
              <w:rPr>
                <w:rFonts w:ascii="宋体" w:hAnsi="宋体" w:cs="宋体" w:eastAsia="宋体" w:hint="default"/>
                <w:sz w:val="18"/>
                <w:szCs w:val="18"/>
              </w:rPr>
              <w:t>政策变更</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-1,761,</w:t>
            </w:r>
          </w:p>
          <w:p>
            <w:pPr>
              <w:pStyle w:val="TableParagraph"/>
              <w:spacing w:line="240" w:lineRule="auto" w:before="105"/>
              <w:ind w:left="119" w:right="0"/>
              <w:jc w:val="left"/>
              <w:rPr>
                <w:rFonts w:ascii="Times New Roman" w:hAnsi="Times New Roman" w:cs="Times New Roman" w:eastAsia="Times New Roman" w:hint="default"/>
                <w:sz w:val="18"/>
                <w:szCs w:val="18"/>
              </w:rPr>
            </w:pPr>
            <w:r>
              <w:rPr>
                <w:rFonts w:ascii="Times New Roman"/>
                <w:sz w:val="18"/>
              </w:rPr>
              <w:t>926.46</w:t>
            </w: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7" w:right="0"/>
              <w:jc w:val="center"/>
              <w:rPr>
                <w:rFonts w:ascii="Times New Roman" w:hAnsi="Times New Roman" w:cs="Times New Roman" w:eastAsia="Times New Roman" w:hint="default"/>
                <w:sz w:val="18"/>
                <w:szCs w:val="18"/>
              </w:rPr>
            </w:pPr>
            <w:r>
              <w:rPr>
                <w:rFonts w:ascii="Times New Roman"/>
                <w:sz w:val="18"/>
              </w:rPr>
              <w:t>-1,761,9</w:t>
            </w:r>
          </w:p>
          <w:p>
            <w:pPr>
              <w:pStyle w:val="TableParagraph"/>
              <w:spacing w:line="240" w:lineRule="auto" w:before="105"/>
              <w:ind w:left="254" w:right="0"/>
              <w:jc w:val="center"/>
              <w:rPr>
                <w:rFonts w:ascii="Times New Roman" w:hAnsi="Times New Roman" w:cs="Times New Roman" w:eastAsia="Times New Roman" w:hint="default"/>
                <w:sz w:val="18"/>
                <w:szCs w:val="18"/>
              </w:rPr>
            </w:pPr>
            <w:r>
              <w:rPr>
                <w:rFonts w:ascii="Times New Roman"/>
                <w:sz w:val="18"/>
              </w:rPr>
              <w:t>26.46</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03"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05" w:right="104"/>
              <w:jc w:val="left"/>
              <w:rPr>
                <w:rFonts w:ascii="宋体" w:hAnsi="宋体" w:cs="宋体" w:eastAsia="宋体" w:hint="default"/>
                <w:sz w:val="18"/>
                <w:szCs w:val="18"/>
              </w:rPr>
            </w:pPr>
            <w:r>
              <w:rPr>
                <w:rFonts w:ascii="宋体" w:hAnsi="宋体" w:cs="宋体" w:eastAsia="宋体" w:hint="default"/>
                <w:spacing w:val="-2"/>
                <w:sz w:val="18"/>
                <w:szCs w:val="18"/>
              </w:rPr>
              <w:t>二、本年期初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399,0</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83,86</w:t>
            </w:r>
          </w:p>
          <w:p>
            <w:pPr>
              <w:pStyle w:val="TableParagraph"/>
              <w:spacing w:line="240" w:lineRule="auto" w:before="110"/>
              <w:ind w:left="201" w:right="0"/>
              <w:jc w:val="left"/>
              <w:rPr>
                <w:rFonts w:ascii="Times New Roman" w:hAnsi="Times New Roman" w:cs="Times New Roman" w:eastAsia="Times New Roman" w:hint="default"/>
                <w:sz w:val="18"/>
                <w:szCs w:val="18"/>
              </w:rPr>
            </w:pPr>
            <w:r>
              <w:rPr>
                <w:rFonts w:ascii="Times New Roman"/>
                <w:sz w:val="18"/>
              </w:rPr>
              <w:t>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1,798,</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226,13</w:t>
            </w:r>
          </w:p>
          <w:p>
            <w:pPr>
              <w:pStyle w:val="TableParagraph"/>
              <w:spacing w:line="240" w:lineRule="auto" w:before="110"/>
              <w:ind w:left="191" w:right="0"/>
              <w:jc w:val="center"/>
              <w:rPr>
                <w:rFonts w:ascii="Times New Roman" w:hAnsi="Times New Roman" w:cs="Times New Roman" w:eastAsia="Times New Roman" w:hint="default"/>
                <w:sz w:val="18"/>
                <w:szCs w:val="18"/>
              </w:rPr>
            </w:pPr>
            <w:r>
              <w:rPr>
                <w:rFonts w:ascii="Times New Roman"/>
                <w:sz w:val="18"/>
              </w:rPr>
              <w:t>6.64</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1,295,</w:t>
            </w:r>
          </w:p>
          <w:p>
            <w:pPr>
              <w:pStyle w:val="TableParagraph"/>
              <w:spacing w:line="240" w:lineRule="auto" w:before="105"/>
              <w:ind w:left="120" w:right="0"/>
              <w:jc w:val="left"/>
              <w:rPr>
                <w:rFonts w:ascii="Times New Roman" w:hAnsi="Times New Roman" w:cs="Times New Roman" w:eastAsia="Times New Roman" w:hint="default"/>
                <w:sz w:val="18"/>
                <w:szCs w:val="18"/>
              </w:rPr>
            </w:pPr>
            <w:r>
              <w:rPr>
                <w:rFonts w:ascii="Times New Roman"/>
                <w:sz w:val="18"/>
              </w:rPr>
              <w:t>635.05</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-1,761,</w:t>
            </w:r>
          </w:p>
          <w:p>
            <w:pPr>
              <w:pStyle w:val="TableParagraph"/>
              <w:spacing w:line="240" w:lineRule="auto" w:before="105"/>
              <w:ind w:left="119" w:right="0"/>
              <w:jc w:val="left"/>
              <w:rPr>
                <w:rFonts w:ascii="Times New Roman" w:hAnsi="Times New Roman" w:cs="Times New Roman" w:eastAsia="Times New Roman" w:hint="default"/>
                <w:sz w:val="18"/>
                <w:szCs w:val="18"/>
              </w:rPr>
            </w:pPr>
            <w:r>
              <w:rPr>
                <w:rFonts w:ascii="Times New Roman"/>
                <w:sz w:val="18"/>
              </w:rPr>
              <w:t>926.46</w:t>
            </w: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79,005</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,526.2</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8" w:right="0"/>
              <w:jc w:val="center"/>
              <w:rPr>
                <w:rFonts w:ascii="Times New Roman" w:hAnsi="Times New Roman" w:cs="Times New Roman" w:eastAsia="Times New Roman" w:hint="default"/>
                <w:sz w:val="18"/>
                <w:szCs w:val="18"/>
              </w:rPr>
            </w:pPr>
            <w:r>
              <w:rPr>
                <w:rFonts w:ascii="Times New Roman"/>
                <w:sz w:val="18"/>
              </w:rPr>
              <w:t>505,</w:t>
            </w:r>
          </w:p>
          <w:p>
            <w:pPr>
              <w:pStyle w:val="TableParagraph"/>
              <w:spacing w:line="240" w:lineRule="auto" w:before="100"/>
              <w:ind w:left="88" w:right="0"/>
              <w:jc w:val="center"/>
              <w:rPr>
                <w:rFonts w:ascii="Times New Roman" w:hAnsi="Times New Roman" w:cs="Times New Roman" w:eastAsia="Times New Roman" w:hint="default"/>
                <w:sz w:val="18"/>
                <w:szCs w:val="18"/>
              </w:rPr>
            </w:pPr>
            <w:r>
              <w:rPr>
                <w:rFonts w:ascii="Times New Roman"/>
                <w:sz w:val="18"/>
              </w:rPr>
              <w:t>777,</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642.</w:t>
            </w:r>
          </w:p>
          <w:p>
            <w:pPr>
              <w:pStyle w:val="TableParagraph"/>
              <w:spacing w:line="240" w:lineRule="auto" w:before="110"/>
              <w:ind w:left="230" w:right="0"/>
              <w:jc w:val="center"/>
              <w:rPr>
                <w:rFonts w:ascii="Times New Roman" w:hAnsi="Times New Roman" w:cs="Times New Roman" w:eastAsia="Times New Roman" w:hint="default"/>
                <w:sz w:val="18"/>
                <w:szCs w:val="18"/>
              </w:rPr>
            </w:pPr>
            <w:r>
              <w:rPr>
                <w:rFonts w:ascii="Times New Roman"/>
                <w:sz w:val="18"/>
              </w:rPr>
              <w:t>88</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2,779,03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5,604.30</w:t>
            </w:r>
          </w:p>
        </w:tc>
      </w:tr>
      <w:tr>
        <w:trPr>
          <w:trHeight w:val="134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05" w:right="104"/>
              <w:jc w:val="both"/>
              <w:rPr>
                <w:rFonts w:ascii="宋体" w:hAnsi="宋体" w:cs="宋体" w:eastAsia="宋体" w:hint="default"/>
                <w:sz w:val="18"/>
                <w:szCs w:val="18"/>
              </w:rPr>
            </w:pPr>
            <w:r>
              <w:rPr>
                <w:rFonts w:ascii="宋体" w:hAnsi="宋体" w:cs="宋体" w:eastAsia="宋体" w:hint="default"/>
                <w:spacing w:val="-2"/>
                <w:sz w:val="18"/>
                <w:szCs w:val="18"/>
              </w:rPr>
              <w:t>三、本期增减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变动金额（减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少以“－”号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填列）</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238,6</w:t>
            </w:r>
          </w:p>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60,81</w:t>
            </w:r>
          </w:p>
          <w:p>
            <w:pPr>
              <w:pStyle w:val="TableParagraph"/>
              <w:spacing w:line="240" w:lineRule="auto" w:before="110"/>
              <w:ind w:left="201" w:right="0"/>
              <w:jc w:val="left"/>
              <w:rPr>
                <w:rFonts w:ascii="Times New Roman" w:hAnsi="Times New Roman" w:cs="Times New Roman" w:eastAsia="Times New Roman" w:hint="default"/>
                <w:sz w:val="18"/>
                <w:szCs w:val="18"/>
              </w:rPr>
            </w:pPr>
            <w:r>
              <w:rPr>
                <w:rFonts w:ascii="Times New Roman"/>
                <w:sz w:val="18"/>
              </w:rPr>
              <w:t>2.00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-246,9</w:t>
            </w:r>
          </w:p>
          <w:p>
            <w:pPr>
              <w:pStyle w:val="TableParagraph"/>
              <w:spacing w:line="240" w:lineRule="auto" w:before="100"/>
              <w:ind w:left="119" w:right="0"/>
              <w:jc w:val="left"/>
              <w:rPr>
                <w:rFonts w:ascii="Times New Roman" w:hAnsi="Times New Roman" w:cs="Times New Roman" w:eastAsia="Times New Roman" w:hint="default"/>
                <w:sz w:val="18"/>
                <w:szCs w:val="18"/>
              </w:rPr>
            </w:pPr>
            <w:r>
              <w:rPr>
                <w:rFonts w:ascii="Times New Roman"/>
                <w:sz w:val="18"/>
              </w:rPr>
              <w:t>19,711</w:t>
            </w:r>
          </w:p>
          <w:p>
            <w:pPr>
              <w:pStyle w:val="TableParagraph"/>
              <w:spacing w:line="240" w:lineRule="auto" w:before="110"/>
              <w:ind w:left="383" w:right="0"/>
              <w:jc w:val="left"/>
              <w:rPr>
                <w:rFonts w:ascii="Times New Roman" w:hAnsi="Times New Roman" w:cs="Times New Roman" w:eastAsia="Times New Roman" w:hint="default"/>
                <w:sz w:val="18"/>
                <w:szCs w:val="18"/>
              </w:rPr>
            </w:pPr>
            <w:r>
              <w:rPr>
                <w:rFonts w:ascii="Times New Roman"/>
                <w:sz w:val="18"/>
              </w:rPr>
              <w:t>.50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-1,295,</w:t>
            </w:r>
          </w:p>
          <w:p>
            <w:pPr>
              <w:pStyle w:val="TableParagraph"/>
              <w:spacing w:line="240" w:lineRule="auto" w:before="105"/>
              <w:ind w:left="120" w:right="0"/>
              <w:jc w:val="left"/>
              <w:rPr>
                <w:rFonts w:ascii="Times New Roman" w:hAnsi="Times New Roman" w:cs="Times New Roman" w:eastAsia="Times New Roman" w:hint="default"/>
                <w:sz w:val="18"/>
                <w:szCs w:val="18"/>
              </w:rPr>
            </w:pPr>
            <w:r>
              <w:rPr>
                <w:rFonts w:ascii="Times New Roman"/>
                <w:sz w:val="18"/>
              </w:rPr>
              <w:t>635.05</w:t>
            </w: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1,241,</w:t>
            </w:r>
          </w:p>
          <w:p>
            <w:pPr>
              <w:pStyle w:val="TableParagraph"/>
              <w:spacing w:line="240" w:lineRule="auto" w:before="105"/>
              <w:ind w:left="119" w:right="0"/>
              <w:jc w:val="left"/>
              <w:rPr>
                <w:rFonts w:ascii="Times New Roman" w:hAnsi="Times New Roman" w:cs="Times New Roman" w:eastAsia="Times New Roman" w:hint="default"/>
                <w:sz w:val="18"/>
                <w:szCs w:val="18"/>
              </w:rPr>
            </w:pPr>
            <w:r>
              <w:rPr>
                <w:rFonts w:ascii="Times New Roman"/>
                <w:sz w:val="18"/>
              </w:rPr>
              <w:t>580.87</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9" w:right="0"/>
              <w:jc w:val="left"/>
              <w:rPr>
                <w:rFonts w:ascii="Times New Roman" w:hAnsi="Times New Roman" w:cs="Times New Roman" w:eastAsia="Times New Roman" w:hint="default"/>
                <w:sz w:val="18"/>
                <w:szCs w:val="18"/>
              </w:rPr>
            </w:pPr>
            <w:r>
              <w:rPr>
                <w:rFonts w:ascii="Times New Roman"/>
                <w:sz w:val="18"/>
              </w:rPr>
              <w:t>-12,7</w:t>
            </w:r>
          </w:p>
          <w:p>
            <w:pPr>
              <w:pStyle w:val="TableParagraph"/>
              <w:spacing w:line="240" w:lineRule="auto" w:before="100"/>
              <w:ind w:left="187" w:right="0"/>
              <w:jc w:val="left"/>
              <w:rPr>
                <w:rFonts w:ascii="Times New Roman" w:hAnsi="Times New Roman" w:cs="Times New Roman" w:eastAsia="Times New Roman" w:hint="default"/>
                <w:sz w:val="18"/>
                <w:szCs w:val="18"/>
              </w:rPr>
            </w:pPr>
            <w:r>
              <w:rPr>
                <w:rFonts w:ascii="Times New Roman"/>
                <w:sz w:val="18"/>
              </w:rPr>
              <w:t>70,6</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57.1</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-18,492,</w:t>
            </w:r>
          </w:p>
          <w:p>
            <w:pPr>
              <w:pStyle w:val="TableParagraph"/>
              <w:spacing w:line="240" w:lineRule="auto" w:before="105"/>
              <w:ind w:left="163" w:right="0"/>
              <w:jc w:val="center"/>
              <w:rPr>
                <w:rFonts w:ascii="Times New Roman" w:hAnsi="Times New Roman" w:cs="Times New Roman" w:eastAsia="Times New Roman" w:hint="default"/>
                <w:sz w:val="18"/>
                <w:szCs w:val="18"/>
              </w:rPr>
            </w:pPr>
            <w:r>
              <w:rPr>
                <w:rFonts w:ascii="Times New Roman"/>
                <w:sz w:val="18"/>
              </w:rPr>
              <w:t>340.77</w:t>
            </w:r>
          </w:p>
        </w:tc>
      </w:tr>
      <w:tr>
        <w:trPr>
          <w:trHeight w:val="134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0"/>
              <w:ind w:left="105" w:right="104"/>
              <w:jc w:val="left"/>
              <w:rPr>
                <w:rFonts w:ascii="宋体" w:hAnsi="宋体" w:cs="宋体" w:eastAsia="宋体" w:hint="default"/>
                <w:sz w:val="18"/>
                <w:szCs w:val="18"/>
              </w:rPr>
            </w:pPr>
            <w:r>
              <w:rPr>
                <w:rFonts w:ascii="宋体" w:hAnsi="宋体" w:cs="宋体" w:eastAsia="宋体" w:hint="default"/>
                <w:spacing w:val="-2"/>
                <w:sz w:val="18"/>
                <w:szCs w:val="18"/>
              </w:rPr>
              <w:t>（一）综合收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7" w:right="0"/>
              <w:jc w:val="left"/>
              <w:rPr>
                <w:rFonts w:ascii="Times New Roman" w:hAnsi="Times New Roman" w:cs="Times New Roman" w:eastAsia="Times New Roman" w:hint="default"/>
                <w:sz w:val="18"/>
                <w:szCs w:val="18"/>
              </w:rPr>
            </w:pPr>
            <w:r>
              <w:rPr>
                <w:rFonts w:ascii="Times New Roman"/>
                <w:sz w:val="18"/>
              </w:rPr>
              <w:t>12,4</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15,8</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08.7</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12,415,8</w:t>
            </w:r>
          </w:p>
          <w:p>
            <w:pPr>
              <w:pStyle w:val="TableParagraph"/>
              <w:spacing w:line="240" w:lineRule="auto" w:before="110"/>
              <w:ind w:left="350" w:right="0"/>
              <w:jc w:val="left"/>
              <w:rPr>
                <w:rFonts w:ascii="Times New Roman" w:hAnsi="Times New Roman" w:cs="Times New Roman" w:eastAsia="Times New Roman" w:hint="default"/>
                <w:sz w:val="18"/>
                <w:szCs w:val="18"/>
              </w:rPr>
            </w:pPr>
            <w:r>
              <w:rPr>
                <w:rFonts w:ascii="Times New Roman"/>
                <w:sz w:val="18"/>
              </w:rPr>
              <w:t>08.70</w:t>
            </w: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04"/>
              <w:jc w:val="both"/>
              <w:rPr>
                <w:rFonts w:ascii="宋体" w:hAnsi="宋体" w:cs="宋体" w:eastAsia="宋体" w:hint="default"/>
                <w:sz w:val="18"/>
                <w:szCs w:val="18"/>
              </w:rPr>
            </w:pPr>
            <w:r>
              <w:rPr>
                <w:rFonts w:ascii="宋体" w:hAnsi="宋体" w:cs="宋体" w:eastAsia="宋体" w:hint="default"/>
                <w:spacing w:val="-2"/>
                <w:sz w:val="18"/>
                <w:szCs w:val="18"/>
              </w:rPr>
              <w:t>（二）所有者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投入和减少资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-789,</w:t>
            </w:r>
          </w:p>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472.0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-7,469,</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427.50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-1,295,</w:t>
            </w:r>
          </w:p>
          <w:p>
            <w:pPr>
              <w:pStyle w:val="TableParagraph"/>
              <w:spacing w:line="240" w:lineRule="auto" w:before="105"/>
              <w:ind w:left="120" w:right="0"/>
              <w:jc w:val="left"/>
              <w:rPr>
                <w:rFonts w:ascii="Times New Roman" w:hAnsi="Times New Roman" w:cs="Times New Roman" w:eastAsia="Times New Roman" w:hint="default"/>
                <w:sz w:val="18"/>
                <w:szCs w:val="18"/>
              </w:rPr>
            </w:pPr>
            <w:r>
              <w:rPr>
                <w:rFonts w:ascii="Times New Roman"/>
                <w:sz w:val="18"/>
              </w:rPr>
              <w:t>635.05</w:t>
            </w: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-6,963,2</w:t>
            </w:r>
          </w:p>
          <w:p>
            <w:pPr>
              <w:pStyle w:val="TableParagraph"/>
              <w:spacing w:line="240" w:lineRule="auto" w:before="105"/>
              <w:ind w:left="254" w:right="0"/>
              <w:jc w:val="center"/>
              <w:rPr>
                <w:rFonts w:ascii="Times New Roman" w:hAnsi="Times New Roman" w:cs="Times New Roman" w:eastAsia="Times New Roman" w:hint="default"/>
                <w:sz w:val="18"/>
                <w:szCs w:val="18"/>
              </w:rPr>
            </w:pPr>
            <w:r>
              <w:rPr>
                <w:rFonts w:ascii="Times New Roman"/>
                <w:sz w:val="18"/>
              </w:rPr>
              <w:t>64.45</w:t>
            </w:r>
          </w:p>
        </w:tc>
      </w:tr>
      <w:tr>
        <w:trPr>
          <w:trHeight w:val="102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4" w:lineRule="auto"/>
              <w:ind w:left="105" w:right="94"/>
              <w:jc w:val="left"/>
              <w:rPr>
                <w:rFonts w:ascii="宋体" w:hAnsi="宋体" w:cs="宋体" w:eastAsia="宋体" w:hint="default"/>
                <w:sz w:val="18"/>
                <w:szCs w:val="18"/>
              </w:rPr>
            </w:pPr>
            <w:r>
              <w:rPr>
                <w:rFonts w:ascii="Times New Roman" w:hAnsi="Times New Roman" w:cs="Times New Roman" w:eastAsia="Times New Roman" w:hint="default"/>
                <w:spacing w:val="-13"/>
                <w:w w:val="101"/>
                <w:sz w:val="18"/>
                <w:szCs w:val="18"/>
              </w:rPr>
              <w:t>1</w:t>
            </w:r>
            <w:r>
              <w:rPr>
                <w:rFonts w:ascii="宋体" w:hAnsi="宋体" w:cs="宋体" w:eastAsia="宋体" w:hint="default"/>
                <w:spacing w:val="-13"/>
                <w:w w:val="101"/>
                <w:sz w:val="18"/>
                <w:szCs w:val="18"/>
              </w:rPr>
              <w:t>．所有者投入</w:t>
            </w:r>
            <w:r>
              <w:rPr>
                <w:rFonts w:ascii="宋体" w:hAnsi="宋体" w:cs="宋体" w:eastAsia="宋体" w:hint="default"/>
                <w:w w:val="101"/>
                <w:sz w:val="18"/>
                <w:szCs w:val="18"/>
              </w:rPr>
              <w:t> </w:t>
            </w:r>
            <w:r>
              <w:rPr>
                <w:rFonts w:ascii="宋体" w:hAnsi="宋体" w:cs="宋体" w:eastAsia="宋体" w:hint="default"/>
                <w:sz w:val="18"/>
                <w:szCs w:val="18"/>
              </w:rPr>
              <w:t>的普通股</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-789,</w:t>
            </w:r>
          </w:p>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472.0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-5,988,</w:t>
            </w:r>
          </w:p>
          <w:p>
            <w:pPr>
              <w:pStyle w:val="TableParagraph"/>
              <w:spacing w:line="240" w:lineRule="auto" w:before="110"/>
              <w:ind w:left="115" w:right="0"/>
              <w:jc w:val="left"/>
              <w:rPr>
                <w:rFonts w:ascii="Times New Roman" w:hAnsi="Times New Roman" w:cs="Times New Roman" w:eastAsia="Times New Roman" w:hint="default"/>
                <w:sz w:val="18"/>
                <w:szCs w:val="18"/>
              </w:rPr>
            </w:pPr>
            <w:r>
              <w:rPr>
                <w:rFonts w:ascii="Times New Roman"/>
                <w:sz w:val="18"/>
              </w:rPr>
              <w:t>076.33</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-1,295,</w:t>
            </w:r>
          </w:p>
          <w:p>
            <w:pPr>
              <w:pStyle w:val="TableParagraph"/>
              <w:spacing w:line="240" w:lineRule="auto" w:before="110"/>
              <w:ind w:left="120" w:right="0"/>
              <w:jc w:val="left"/>
              <w:rPr>
                <w:rFonts w:ascii="Times New Roman" w:hAnsi="Times New Roman" w:cs="Times New Roman" w:eastAsia="Times New Roman" w:hint="default"/>
                <w:sz w:val="18"/>
                <w:szCs w:val="18"/>
              </w:rPr>
            </w:pPr>
            <w:r>
              <w:rPr>
                <w:rFonts w:ascii="Times New Roman"/>
                <w:sz w:val="18"/>
              </w:rPr>
              <w:t>635.05</w:t>
            </w: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-5,481,9</w:t>
            </w:r>
          </w:p>
          <w:p>
            <w:pPr>
              <w:pStyle w:val="TableParagraph"/>
              <w:spacing w:line="240" w:lineRule="auto" w:before="110"/>
              <w:ind w:left="254" w:right="0"/>
              <w:jc w:val="center"/>
              <w:rPr>
                <w:rFonts w:ascii="Times New Roman" w:hAnsi="Times New Roman" w:cs="Times New Roman" w:eastAsia="Times New Roman" w:hint="default"/>
                <w:sz w:val="18"/>
                <w:szCs w:val="18"/>
              </w:rPr>
            </w:pPr>
            <w:r>
              <w:rPr>
                <w:rFonts w:ascii="Times New Roman"/>
                <w:sz w:val="18"/>
              </w:rPr>
              <w:t>13.28</w:t>
            </w: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05" w:right="94"/>
              <w:jc w:val="both"/>
              <w:rPr>
                <w:rFonts w:ascii="宋体" w:hAnsi="宋体" w:cs="宋体" w:eastAsia="宋体" w:hint="default"/>
                <w:sz w:val="18"/>
                <w:szCs w:val="18"/>
              </w:rPr>
            </w:pPr>
            <w:r>
              <w:rPr>
                <w:rFonts w:ascii="Times New Roman" w:hAnsi="Times New Roman" w:cs="Times New Roman" w:eastAsia="Times New Roman" w:hint="default"/>
                <w:spacing w:val="-13"/>
                <w:w w:val="101"/>
                <w:sz w:val="18"/>
                <w:szCs w:val="18"/>
              </w:rPr>
              <w:t>2</w:t>
            </w:r>
            <w:r>
              <w:rPr>
                <w:rFonts w:ascii="宋体" w:hAnsi="宋体" w:cs="宋体" w:eastAsia="宋体" w:hint="default"/>
                <w:spacing w:val="-13"/>
                <w:w w:val="101"/>
                <w:sz w:val="18"/>
                <w:szCs w:val="18"/>
              </w:rPr>
              <w:t>．其他权益工</w:t>
            </w:r>
            <w:r>
              <w:rPr>
                <w:rFonts w:ascii="宋体" w:hAnsi="宋体" w:cs="宋体" w:eastAsia="宋体" w:hint="default"/>
                <w:w w:val="101"/>
                <w:sz w:val="18"/>
                <w:szCs w:val="18"/>
              </w:rPr>
              <w:t> </w:t>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73"/>
              <w:ind w:left="105" w:right="94"/>
              <w:jc w:val="left"/>
              <w:rPr>
                <w:rFonts w:ascii="宋体" w:hAnsi="宋体" w:cs="宋体" w:eastAsia="宋体" w:hint="default"/>
                <w:sz w:val="18"/>
                <w:szCs w:val="18"/>
              </w:rPr>
            </w:pPr>
            <w:r>
              <w:rPr>
                <w:rFonts w:ascii="Times New Roman" w:hAnsi="Times New Roman" w:cs="Times New Roman" w:eastAsia="Times New Roman" w:hint="default"/>
                <w:spacing w:val="-13"/>
                <w:w w:val="101"/>
                <w:sz w:val="18"/>
                <w:szCs w:val="18"/>
              </w:rPr>
              <w:t>3</w:t>
            </w:r>
            <w:r>
              <w:rPr>
                <w:rFonts w:ascii="宋体" w:hAnsi="宋体" w:cs="宋体" w:eastAsia="宋体" w:hint="default"/>
                <w:spacing w:val="-13"/>
                <w:w w:val="101"/>
                <w:sz w:val="18"/>
                <w:szCs w:val="18"/>
              </w:rPr>
              <w:t>．股份支付计</w:t>
            </w:r>
            <w:r>
              <w:rPr>
                <w:rFonts w:ascii="宋体" w:hAnsi="宋体" w:cs="宋体" w:eastAsia="宋体" w:hint="default"/>
                <w:w w:val="101"/>
                <w:sz w:val="18"/>
                <w:szCs w:val="18"/>
              </w:rPr>
              <w:t> </w:t>
            </w:r>
            <w:r>
              <w:rPr>
                <w:rFonts w:ascii="宋体" w:hAnsi="宋体" w:cs="宋体" w:eastAsia="宋体" w:hint="default"/>
                <w:sz w:val="18"/>
                <w:szCs w:val="18"/>
              </w:rPr>
              <w:t>入所有者权益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3" w:right="0"/>
              <w:jc w:val="left"/>
              <w:rPr>
                <w:rFonts w:ascii="Times New Roman" w:hAnsi="Times New Roman" w:cs="Times New Roman" w:eastAsia="Times New Roman" w:hint="default"/>
                <w:sz w:val="18"/>
                <w:szCs w:val="18"/>
              </w:rPr>
            </w:pPr>
            <w:r>
              <w:rPr>
                <w:rFonts w:ascii="Times New Roman"/>
                <w:sz w:val="18"/>
              </w:rPr>
              <w:t>-194,1</w:t>
            </w:r>
          </w:p>
          <w:p>
            <w:pPr>
              <w:pStyle w:val="TableParagraph"/>
              <w:spacing w:line="240" w:lineRule="auto" w:before="109"/>
              <w:ind w:left="206" w:right="0"/>
              <w:jc w:val="left"/>
              <w:rPr>
                <w:rFonts w:ascii="Times New Roman" w:hAnsi="Times New Roman" w:cs="Times New Roman" w:eastAsia="Times New Roman" w:hint="default"/>
                <w:sz w:val="18"/>
                <w:szCs w:val="18"/>
              </w:rPr>
            </w:pPr>
            <w:r>
              <w:rPr>
                <w:rFonts w:ascii="Times New Roman"/>
                <w:sz w:val="18"/>
              </w:rPr>
              <w:t>86.72</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-194,186</w:t>
            </w:r>
          </w:p>
          <w:p>
            <w:pPr>
              <w:pStyle w:val="TableParagraph"/>
              <w:spacing w:line="240" w:lineRule="auto" w:before="109"/>
              <w:ind w:left="527" w:right="0"/>
              <w:jc w:val="left"/>
              <w:rPr>
                <w:rFonts w:ascii="Times New Roman" w:hAnsi="Times New Roman" w:cs="Times New Roman" w:eastAsia="Times New Roman" w:hint="default"/>
                <w:sz w:val="18"/>
                <w:szCs w:val="18"/>
              </w:rPr>
            </w:pPr>
            <w:r>
              <w:rPr>
                <w:rFonts w:ascii="Times New Roman"/>
                <w:sz w:val="18"/>
              </w:rPr>
              <w:t>.72</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06"/>
        <w:gridCol w:w="629"/>
        <w:gridCol w:w="605"/>
        <w:gridCol w:w="605"/>
        <w:gridCol w:w="605"/>
        <w:gridCol w:w="725"/>
        <w:gridCol w:w="725"/>
        <w:gridCol w:w="730"/>
        <w:gridCol w:w="725"/>
        <w:gridCol w:w="725"/>
        <w:gridCol w:w="614"/>
        <w:gridCol w:w="711"/>
        <w:gridCol w:w="864"/>
      </w:tblGrid>
      <w:tr>
        <w:trPr>
          <w:trHeight w:val="36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-1,287,</w:t>
            </w:r>
          </w:p>
          <w:p>
            <w:pPr>
              <w:pStyle w:val="TableParagraph"/>
              <w:spacing w:line="240" w:lineRule="auto" w:before="110"/>
              <w:ind w:left="115" w:right="0"/>
              <w:jc w:val="left"/>
              <w:rPr>
                <w:rFonts w:ascii="Times New Roman" w:hAnsi="Times New Roman" w:cs="Times New Roman" w:eastAsia="Times New Roman" w:hint="default"/>
                <w:sz w:val="18"/>
                <w:szCs w:val="18"/>
              </w:rPr>
            </w:pPr>
            <w:r>
              <w:rPr>
                <w:rFonts w:ascii="Times New Roman"/>
                <w:sz w:val="18"/>
              </w:rPr>
              <w:t>164.45</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center"/>
              <w:rPr>
                <w:rFonts w:ascii="Times New Roman" w:hAnsi="Times New Roman" w:cs="Times New Roman" w:eastAsia="Times New Roman" w:hint="default"/>
                <w:sz w:val="18"/>
                <w:szCs w:val="18"/>
              </w:rPr>
            </w:pPr>
            <w:r>
              <w:rPr>
                <w:rFonts w:ascii="Times New Roman"/>
                <w:sz w:val="18"/>
              </w:rPr>
              <w:t>-1,287,1</w:t>
            </w:r>
          </w:p>
          <w:p>
            <w:pPr>
              <w:pStyle w:val="TableParagraph"/>
              <w:spacing w:line="240" w:lineRule="auto" w:before="110"/>
              <w:ind w:left="254" w:right="0"/>
              <w:jc w:val="center"/>
              <w:rPr>
                <w:rFonts w:ascii="Times New Roman" w:hAnsi="Times New Roman" w:cs="Times New Roman" w:eastAsia="Times New Roman" w:hint="default"/>
                <w:sz w:val="18"/>
                <w:szCs w:val="18"/>
              </w:rPr>
            </w:pPr>
            <w:r>
              <w:rPr>
                <w:rFonts w:ascii="Times New Roman"/>
                <w:sz w:val="18"/>
              </w:rPr>
              <w:t>64.45</w:t>
            </w:r>
          </w:p>
        </w:tc>
      </w:tr>
      <w:tr>
        <w:trPr>
          <w:trHeight w:val="1339"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105" w:right="104"/>
              <w:jc w:val="left"/>
              <w:rPr>
                <w:rFonts w:ascii="宋体" w:hAnsi="宋体" w:cs="宋体" w:eastAsia="宋体" w:hint="default"/>
                <w:sz w:val="18"/>
                <w:szCs w:val="18"/>
              </w:rPr>
            </w:pPr>
            <w:r>
              <w:rPr>
                <w:rFonts w:ascii="宋体" w:hAnsi="宋体" w:cs="宋体" w:eastAsia="宋体" w:hint="default"/>
                <w:spacing w:val="-2"/>
                <w:sz w:val="18"/>
                <w:szCs w:val="18"/>
              </w:rPr>
              <w:t>（三）利润分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1,241,</w:t>
            </w:r>
          </w:p>
          <w:p>
            <w:pPr>
              <w:pStyle w:val="TableParagraph"/>
              <w:spacing w:line="240" w:lineRule="auto" w:before="110"/>
              <w:ind w:left="119" w:right="0"/>
              <w:jc w:val="left"/>
              <w:rPr>
                <w:rFonts w:ascii="Times New Roman" w:hAnsi="Times New Roman" w:cs="Times New Roman" w:eastAsia="Times New Roman" w:hint="default"/>
                <w:sz w:val="18"/>
                <w:szCs w:val="18"/>
              </w:rPr>
            </w:pPr>
            <w:r>
              <w:rPr>
                <w:rFonts w:ascii="Times New Roman"/>
                <w:sz w:val="18"/>
              </w:rPr>
              <w:t>580.87</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-25,1</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86,4</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65.8</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-23,944,</w:t>
            </w:r>
          </w:p>
          <w:p>
            <w:pPr>
              <w:pStyle w:val="TableParagraph"/>
              <w:spacing w:line="240" w:lineRule="auto" w:before="110"/>
              <w:ind w:left="163" w:right="0"/>
              <w:jc w:val="center"/>
              <w:rPr>
                <w:rFonts w:ascii="Times New Roman" w:hAnsi="Times New Roman" w:cs="Times New Roman" w:eastAsia="Times New Roman" w:hint="default"/>
                <w:sz w:val="18"/>
                <w:szCs w:val="18"/>
              </w:rPr>
            </w:pPr>
            <w:r>
              <w:rPr>
                <w:rFonts w:ascii="Times New Roman"/>
                <w:sz w:val="18"/>
              </w:rPr>
              <w:t>885.02</w:t>
            </w: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4" w:lineRule="auto"/>
              <w:ind w:left="105" w:right="94"/>
              <w:jc w:val="left"/>
              <w:rPr>
                <w:rFonts w:ascii="宋体" w:hAnsi="宋体" w:cs="宋体" w:eastAsia="宋体" w:hint="default"/>
                <w:sz w:val="18"/>
                <w:szCs w:val="18"/>
              </w:rPr>
            </w:pPr>
            <w:r>
              <w:rPr>
                <w:rFonts w:ascii="Times New Roman" w:hAnsi="Times New Roman" w:cs="Times New Roman" w:eastAsia="Times New Roman" w:hint="default"/>
                <w:spacing w:val="-13"/>
                <w:w w:val="101"/>
                <w:sz w:val="18"/>
                <w:szCs w:val="18"/>
              </w:rPr>
              <w:t>1</w:t>
            </w:r>
            <w:r>
              <w:rPr>
                <w:rFonts w:ascii="宋体" w:hAnsi="宋体" w:cs="宋体" w:eastAsia="宋体" w:hint="default"/>
                <w:spacing w:val="-13"/>
                <w:w w:val="101"/>
                <w:sz w:val="18"/>
                <w:szCs w:val="18"/>
              </w:rPr>
              <w:t>．提取盈余公</w:t>
            </w:r>
            <w:r>
              <w:rPr>
                <w:rFonts w:ascii="宋体" w:hAnsi="宋体" w:cs="宋体" w:eastAsia="宋体" w:hint="default"/>
                <w:w w:val="101"/>
                <w:sz w:val="18"/>
                <w:szCs w:val="18"/>
              </w:rPr>
              <w:t> </w:t>
            </w:r>
            <w:r>
              <w:rPr>
                <w:rFonts w:ascii="宋体" w:hAnsi="宋体" w:cs="宋体" w:eastAsia="宋体" w:hint="default"/>
                <w:sz w:val="18"/>
                <w:szCs w:val="18"/>
              </w:rPr>
              <w:t>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1,241,</w:t>
            </w:r>
          </w:p>
          <w:p>
            <w:pPr>
              <w:pStyle w:val="TableParagraph"/>
              <w:spacing w:line="240" w:lineRule="auto" w:before="110"/>
              <w:ind w:left="119" w:right="0"/>
              <w:jc w:val="left"/>
              <w:rPr>
                <w:rFonts w:ascii="Times New Roman" w:hAnsi="Times New Roman" w:cs="Times New Roman" w:eastAsia="Times New Roman" w:hint="default"/>
                <w:sz w:val="18"/>
                <w:szCs w:val="18"/>
              </w:rPr>
            </w:pPr>
            <w:r>
              <w:rPr>
                <w:rFonts w:ascii="Times New Roman"/>
                <w:sz w:val="18"/>
              </w:rPr>
              <w:t>580.87</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-1,24</w:t>
            </w:r>
          </w:p>
          <w:p>
            <w:pPr>
              <w:pStyle w:val="TableParagraph"/>
              <w:spacing w:line="240" w:lineRule="auto" w:before="100"/>
              <w:ind w:left="187" w:right="0"/>
              <w:jc w:val="left"/>
              <w:rPr>
                <w:rFonts w:ascii="Times New Roman" w:hAnsi="Times New Roman" w:cs="Times New Roman" w:eastAsia="Times New Roman" w:hint="default"/>
                <w:sz w:val="18"/>
                <w:szCs w:val="18"/>
              </w:rPr>
            </w:pPr>
            <w:r>
              <w:rPr>
                <w:rFonts w:ascii="Times New Roman"/>
                <w:sz w:val="18"/>
              </w:rPr>
              <w:t>1,58</w:t>
            </w:r>
          </w:p>
          <w:p>
            <w:pPr>
              <w:pStyle w:val="TableParagraph"/>
              <w:spacing w:line="240" w:lineRule="auto" w:before="110"/>
              <w:ind w:left="187" w:right="0"/>
              <w:jc w:val="left"/>
              <w:rPr>
                <w:rFonts w:ascii="Times New Roman" w:hAnsi="Times New Roman" w:cs="Times New Roman" w:eastAsia="Times New Roman" w:hint="default"/>
                <w:sz w:val="18"/>
                <w:szCs w:val="18"/>
              </w:rPr>
            </w:pPr>
            <w:r>
              <w:rPr>
                <w:rFonts w:ascii="Times New Roman"/>
                <w:sz w:val="18"/>
              </w:rPr>
              <w:t>0.87</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w:t>
            </w:r>
          </w:p>
          <w:p>
            <w:pPr>
              <w:pStyle w:val="TableParagraph"/>
              <w:spacing w:line="324" w:lineRule="auto" w:before="63"/>
              <w:ind w:left="105" w:right="104"/>
              <w:jc w:val="left"/>
              <w:rPr>
                <w:rFonts w:ascii="宋体" w:hAnsi="宋体" w:cs="宋体" w:eastAsia="宋体" w:hint="default"/>
                <w:sz w:val="18"/>
                <w:szCs w:val="18"/>
              </w:rPr>
            </w:pPr>
            <w:r>
              <w:rPr>
                <w:rFonts w:ascii="宋体" w:hAnsi="宋体" w:cs="宋体" w:eastAsia="宋体" w:hint="default"/>
                <w:spacing w:val="-2"/>
                <w:sz w:val="18"/>
                <w:szCs w:val="18"/>
              </w:rPr>
              <w:t>（或股东）的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-23,9</w:t>
            </w:r>
          </w:p>
          <w:p>
            <w:pPr>
              <w:pStyle w:val="TableParagraph"/>
              <w:spacing w:line="240" w:lineRule="auto" w:before="100"/>
              <w:ind w:left="187" w:right="0"/>
              <w:jc w:val="left"/>
              <w:rPr>
                <w:rFonts w:ascii="Times New Roman" w:hAnsi="Times New Roman" w:cs="Times New Roman" w:eastAsia="Times New Roman" w:hint="default"/>
                <w:sz w:val="18"/>
                <w:szCs w:val="18"/>
              </w:rPr>
            </w:pPr>
            <w:r>
              <w:rPr>
                <w:rFonts w:ascii="Times New Roman"/>
                <w:sz w:val="18"/>
              </w:rPr>
              <w:t>44,8</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85.0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-23,944,</w:t>
            </w:r>
          </w:p>
          <w:p>
            <w:pPr>
              <w:pStyle w:val="TableParagraph"/>
              <w:spacing w:line="240" w:lineRule="auto" w:before="105"/>
              <w:ind w:left="163" w:right="0"/>
              <w:jc w:val="center"/>
              <w:rPr>
                <w:rFonts w:ascii="Times New Roman" w:hAnsi="Times New Roman" w:cs="Times New Roman" w:eastAsia="Times New Roman" w:hint="default"/>
                <w:sz w:val="18"/>
                <w:szCs w:val="18"/>
              </w:rPr>
            </w:pPr>
            <w:r>
              <w:rPr>
                <w:rFonts w:ascii="Times New Roman"/>
                <w:sz w:val="18"/>
              </w:rPr>
              <w:t>885.02</w:t>
            </w: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5" w:right="104"/>
              <w:jc w:val="left"/>
              <w:rPr>
                <w:rFonts w:ascii="宋体" w:hAnsi="宋体" w:cs="宋体" w:eastAsia="宋体" w:hint="default"/>
                <w:sz w:val="18"/>
                <w:szCs w:val="18"/>
              </w:rPr>
            </w:pPr>
            <w:r>
              <w:rPr>
                <w:rFonts w:ascii="宋体" w:hAnsi="宋体" w:cs="宋体" w:eastAsia="宋体" w:hint="default"/>
                <w:spacing w:val="-2"/>
                <w:sz w:val="18"/>
                <w:szCs w:val="18"/>
              </w:rPr>
              <w:t>（四）所有者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权益内部结转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5" w:right="0"/>
              <w:jc w:val="left"/>
              <w:rPr>
                <w:rFonts w:ascii="Times New Roman" w:hAnsi="Times New Roman" w:cs="Times New Roman" w:eastAsia="Times New Roman" w:hint="default"/>
                <w:sz w:val="18"/>
                <w:szCs w:val="18"/>
              </w:rPr>
            </w:pPr>
            <w:r>
              <w:rPr>
                <w:rFonts w:ascii="Times New Roman"/>
                <w:sz w:val="18"/>
              </w:rPr>
              <w:t>239,4</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50,28</w:t>
            </w:r>
          </w:p>
          <w:p>
            <w:pPr>
              <w:pStyle w:val="TableParagraph"/>
              <w:spacing w:line="240" w:lineRule="auto" w:before="110"/>
              <w:ind w:left="201" w:right="0"/>
              <w:jc w:val="left"/>
              <w:rPr>
                <w:rFonts w:ascii="Times New Roman" w:hAnsi="Times New Roman" w:cs="Times New Roman" w:eastAsia="Times New Roman" w:hint="default"/>
                <w:sz w:val="18"/>
                <w:szCs w:val="18"/>
              </w:rPr>
            </w:pPr>
            <w:r>
              <w:rPr>
                <w:rFonts w:ascii="Times New Roman"/>
                <w:sz w:val="18"/>
              </w:rPr>
              <w:t>4.00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3" w:right="0"/>
              <w:jc w:val="left"/>
              <w:rPr>
                <w:rFonts w:ascii="Times New Roman" w:hAnsi="Times New Roman" w:cs="Times New Roman" w:eastAsia="Times New Roman" w:hint="default"/>
                <w:sz w:val="18"/>
                <w:szCs w:val="18"/>
              </w:rPr>
            </w:pPr>
            <w:r>
              <w:rPr>
                <w:rFonts w:ascii="Times New Roman"/>
                <w:sz w:val="18"/>
              </w:rPr>
              <w:t>-239,4</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50,284</w:t>
            </w:r>
          </w:p>
          <w:p>
            <w:pPr>
              <w:pStyle w:val="TableParagraph"/>
              <w:spacing w:line="240" w:lineRule="auto" w:before="110"/>
              <w:ind w:left="383" w:right="0"/>
              <w:jc w:val="left"/>
              <w:rPr>
                <w:rFonts w:ascii="Times New Roman" w:hAnsi="Times New Roman" w:cs="Times New Roman" w:eastAsia="Times New Roman" w:hint="default"/>
                <w:sz w:val="18"/>
                <w:szCs w:val="18"/>
              </w:rPr>
            </w:pPr>
            <w:r>
              <w:rPr>
                <w:rFonts w:ascii="Times New Roman"/>
                <w:sz w:val="18"/>
              </w:rPr>
              <w:t>.00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05" w:right="94"/>
              <w:jc w:val="both"/>
              <w:rPr>
                <w:rFonts w:ascii="宋体" w:hAnsi="宋体" w:cs="宋体" w:eastAsia="宋体" w:hint="default"/>
                <w:sz w:val="18"/>
                <w:szCs w:val="18"/>
              </w:rPr>
            </w:pPr>
            <w:r>
              <w:rPr>
                <w:rFonts w:ascii="Times New Roman" w:hAnsi="Times New Roman" w:cs="Times New Roman" w:eastAsia="Times New Roman" w:hint="default"/>
                <w:spacing w:val="-13"/>
                <w:w w:val="101"/>
                <w:sz w:val="18"/>
                <w:szCs w:val="18"/>
              </w:rPr>
              <w:t>1</w:t>
            </w:r>
            <w:r>
              <w:rPr>
                <w:rFonts w:ascii="宋体" w:hAnsi="宋体" w:cs="宋体" w:eastAsia="宋体" w:hint="default"/>
                <w:spacing w:val="-13"/>
                <w:w w:val="101"/>
                <w:sz w:val="18"/>
                <w:szCs w:val="18"/>
              </w:rPr>
              <w:t>．资本公积转</w:t>
            </w:r>
            <w:r>
              <w:rPr>
                <w:rFonts w:ascii="宋体" w:hAnsi="宋体" w:cs="宋体" w:eastAsia="宋体" w:hint="default"/>
                <w:w w:val="101"/>
                <w:sz w:val="18"/>
                <w:szCs w:val="18"/>
              </w:rPr>
              <w:t> </w:t>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5" w:right="0"/>
              <w:jc w:val="left"/>
              <w:rPr>
                <w:rFonts w:ascii="Times New Roman" w:hAnsi="Times New Roman" w:cs="Times New Roman" w:eastAsia="Times New Roman" w:hint="default"/>
                <w:sz w:val="18"/>
                <w:szCs w:val="18"/>
              </w:rPr>
            </w:pPr>
            <w:r>
              <w:rPr>
                <w:rFonts w:ascii="Times New Roman"/>
                <w:sz w:val="18"/>
              </w:rPr>
              <w:t>239,4</w:t>
            </w:r>
          </w:p>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50,28</w:t>
            </w:r>
          </w:p>
          <w:p>
            <w:pPr>
              <w:pStyle w:val="TableParagraph"/>
              <w:spacing w:line="240" w:lineRule="auto" w:before="110"/>
              <w:ind w:left="201" w:right="0"/>
              <w:jc w:val="left"/>
              <w:rPr>
                <w:rFonts w:ascii="Times New Roman" w:hAnsi="Times New Roman" w:cs="Times New Roman" w:eastAsia="Times New Roman" w:hint="default"/>
                <w:sz w:val="18"/>
                <w:szCs w:val="18"/>
              </w:rPr>
            </w:pPr>
            <w:r>
              <w:rPr>
                <w:rFonts w:ascii="Times New Roman"/>
                <w:sz w:val="18"/>
              </w:rPr>
              <w:t>4.00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3" w:right="0"/>
              <w:jc w:val="left"/>
              <w:rPr>
                <w:rFonts w:ascii="Times New Roman" w:hAnsi="Times New Roman" w:cs="Times New Roman" w:eastAsia="Times New Roman" w:hint="default"/>
                <w:sz w:val="18"/>
                <w:szCs w:val="18"/>
              </w:rPr>
            </w:pPr>
            <w:r>
              <w:rPr>
                <w:rFonts w:ascii="Times New Roman"/>
                <w:sz w:val="18"/>
              </w:rPr>
              <w:t>-239,4</w:t>
            </w:r>
          </w:p>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50,284</w:t>
            </w:r>
          </w:p>
          <w:p>
            <w:pPr>
              <w:pStyle w:val="TableParagraph"/>
              <w:spacing w:line="240" w:lineRule="auto" w:before="110"/>
              <w:ind w:left="383" w:right="0"/>
              <w:jc w:val="left"/>
              <w:rPr>
                <w:rFonts w:ascii="Times New Roman" w:hAnsi="Times New Roman" w:cs="Times New Roman" w:eastAsia="Times New Roman" w:hint="default"/>
                <w:sz w:val="18"/>
                <w:szCs w:val="18"/>
              </w:rPr>
            </w:pPr>
            <w:r>
              <w:rPr>
                <w:rFonts w:ascii="Times New Roman"/>
                <w:sz w:val="18"/>
              </w:rPr>
              <w:t>.00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05" w:right="94"/>
              <w:jc w:val="both"/>
              <w:rPr>
                <w:rFonts w:ascii="宋体" w:hAnsi="宋体" w:cs="宋体" w:eastAsia="宋体" w:hint="default"/>
                <w:sz w:val="18"/>
                <w:szCs w:val="18"/>
              </w:rPr>
            </w:pPr>
            <w:r>
              <w:rPr>
                <w:rFonts w:ascii="Times New Roman" w:hAnsi="Times New Roman" w:cs="Times New Roman" w:eastAsia="Times New Roman" w:hint="default"/>
                <w:spacing w:val="-13"/>
                <w:w w:val="101"/>
                <w:sz w:val="18"/>
                <w:szCs w:val="18"/>
              </w:rPr>
              <w:t>2</w:t>
            </w:r>
            <w:r>
              <w:rPr>
                <w:rFonts w:ascii="宋体" w:hAnsi="宋体" w:cs="宋体" w:eastAsia="宋体" w:hint="default"/>
                <w:spacing w:val="-13"/>
                <w:w w:val="101"/>
                <w:sz w:val="18"/>
                <w:szCs w:val="18"/>
              </w:rPr>
              <w:t>．盈余公积转</w:t>
            </w:r>
            <w:r>
              <w:rPr>
                <w:rFonts w:ascii="宋体" w:hAnsi="宋体" w:cs="宋体" w:eastAsia="宋体" w:hint="default"/>
                <w:w w:val="101"/>
                <w:sz w:val="18"/>
                <w:szCs w:val="18"/>
              </w:rPr>
              <w:t> </w:t>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94"/>
              <w:jc w:val="left"/>
              <w:rPr>
                <w:rFonts w:ascii="宋体" w:hAnsi="宋体" w:cs="宋体" w:eastAsia="宋体" w:hint="default"/>
                <w:sz w:val="18"/>
                <w:szCs w:val="18"/>
              </w:rPr>
            </w:pPr>
            <w:r>
              <w:rPr>
                <w:rFonts w:ascii="Times New Roman" w:hAnsi="Times New Roman" w:cs="Times New Roman" w:eastAsia="Times New Roman" w:hint="default"/>
                <w:spacing w:val="-13"/>
                <w:w w:val="101"/>
                <w:sz w:val="18"/>
                <w:szCs w:val="18"/>
              </w:rPr>
              <w:t>3</w:t>
            </w:r>
            <w:r>
              <w:rPr>
                <w:rFonts w:ascii="宋体" w:hAnsi="宋体" w:cs="宋体" w:eastAsia="宋体" w:hint="default"/>
                <w:spacing w:val="-13"/>
                <w:w w:val="101"/>
                <w:sz w:val="18"/>
                <w:szCs w:val="18"/>
              </w:rPr>
              <w:t>．盈余公积弥</w:t>
            </w:r>
            <w:r>
              <w:rPr>
                <w:rFonts w:ascii="宋体" w:hAnsi="宋体" w:cs="宋体" w:eastAsia="宋体" w:hint="default"/>
                <w:w w:val="101"/>
                <w:sz w:val="18"/>
                <w:szCs w:val="18"/>
              </w:rPr>
              <w:t> </w:t>
            </w:r>
            <w:r>
              <w:rPr>
                <w:rFonts w:ascii="宋体" w:hAnsi="宋体" w:cs="宋体" w:eastAsia="宋体" w:hint="default"/>
                <w:sz w:val="18"/>
                <w:szCs w:val="18"/>
              </w:rPr>
              <w:t>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05" w:right="94"/>
              <w:jc w:val="both"/>
              <w:rPr>
                <w:rFonts w:ascii="宋体" w:hAnsi="宋体" w:cs="宋体" w:eastAsia="宋体" w:hint="default"/>
                <w:sz w:val="18"/>
                <w:szCs w:val="18"/>
              </w:rPr>
            </w:pPr>
            <w:r>
              <w:rPr>
                <w:rFonts w:ascii="Times New Roman" w:hAnsi="Times New Roman" w:cs="Times New Roman" w:eastAsia="Times New Roman" w:hint="default"/>
                <w:spacing w:val="-13"/>
                <w:w w:val="101"/>
                <w:sz w:val="18"/>
                <w:szCs w:val="18"/>
              </w:rPr>
              <w:t>4</w:t>
            </w:r>
            <w:r>
              <w:rPr>
                <w:rFonts w:ascii="宋体" w:hAnsi="宋体" w:cs="宋体" w:eastAsia="宋体" w:hint="default"/>
                <w:spacing w:val="-13"/>
                <w:w w:val="101"/>
                <w:sz w:val="18"/>
                <w:szCs w:val="18"/>
              </w:rPr>
              <w:t>．设定受益计</w:t>
            </w:r>
            <w:r>
              <w:rPr>
                <w:rFonts w:ascii="宋体" w:hAnsi="宋体" w:cs="宋体" w:eastAsia="宋体" w:hint="default"/>
                <w:w w:val="101"/>
                <w:sz w:val="18"/>
                <w:szCs w:val="18"/>
              </w:rPr>
              <w:t> </w:t>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05" w:right="94"/>
              <w:jc w:val="both"/>
              <w:rPr>
                <w:rFonts w:ascii="宋体" w:hAnsi="宋体" w:cs="宋体" w:eastAsia="宋体" w:hint="default"/>
                <w:sz w:val="18"/>
                <w:szCs w:val="18"/>
              </w:rPr>
            </w:pPr>
            <w:r>
              <w:rPr>
                <w:rFonts w:ascii="Times New Roman" w:hAnsi="Times New Roman" w:cs="Times New Roman" w:eastAsia="Times New Roman" w:hint="default"/>
                <w:spacing w:val="-13"/>
                <w:w w:val="101"/>
                <w:sz w:val="18"/>
                <w:szCs w:val="18"/>
              </w:rPr>
              <w:t>5</w:t>
            </w:r>
            <w:r>
              <w:rPr>
                <w:rFonts w:ascii="宋体" w:hAnsi="宋体" w:cs="宋体" w:eastAsia="宋体" w:hint="default"/>
                <w:spacing w:val="-13"/>
                <w:w w:val="101"/>
                <w:sz w:val="18"/>
                <w:szCs w:val="18"/>
              </w:rPr>
              <w:t>．其他综合收</w:t>
            </w:r>
            <w:r>
              <w:rPr>
                <w:rFonts w:ascii="宋体" w:hAnsi="宋体" w:cs="宋体" w:eastAsia="宋体" w:hint="default"/>
                <w:w w:val="101"/>
                <w:sz w:val="18"/>
                <w:szCs w:val="18"/>
              </w:rPr>
              <w:t> </w:t>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04"/>
              <w:jc w:val="left"/>
              <w:rPr>
                <w:rFonts w:ascii="宋体" w:hAnsi="宋体" w:cs="宋体" w:eastAsia="宋体" w:hint="default"/>
                <w:sz w:val="18"/>
                <w:szCs w:val="18"/>
              </w:rPr>
            </w:pPr>
            <w:r>
              <w:rPr>
                <w:rFonts w:ascii="宋体" w:hAnsi="宋体" w:cs="宋体" w:eastAsia="宋体" w:hint="default"/>
                <w:spacing w:val="-2"/>
                <w:sz w:val="18"/>
                <w:szCs w:val="18"/>
              </w:rPr>
              <w:t>（五）专项储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四、本期期末</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15" w:right="0"/>
              <w:jc w:val="left"/>
              <w:rPr>
                <w:rFonts w:ascii="Times New Roman" w:hAnsi="Times New Roman" w:cs="Times New Roman" w:eastAsia="Times New Roman" w:hint="default"/>
                <w:sz w:val="18"/>
                <w:szCs w:val="18"/>
              </w:rPr>
            </w:pPr>
            <w:r>
              <w:rPr>
                <w:rFonts w:ascii="Times New Roman"/>
                <w:sz w:val="18"/>
              </w:rPr>
              <w:t>637,7</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58" w:right="0"/>
              <w:jc w:val="left"/>
              <w:rPr>
                <w:rFonts w:ascii="Times New Roman" w:hAnsi="Times New Roman" w:cs="Times New Roman" w:eastAsia="Times New Roman" w:hint="default"/>
                <w:sz w:val="18"/>
                <w:szCs w:val="18"/>
              </w:rPr>
            </w:pPr>
            <w:r>
              <w:rPr>
                <w:rFonts w:ascii="Times New Roman"/>
                <w:sz w:val="18"/>
              </w:rPr>
              <w:t>1,551,</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5" w:right="0"/>
              <w:jc w:val="left"/>
              <w:rPr>
                <w:rFonts w:ascii="Times New Roman" w:hAnsi="Times New Roman" w:cs="Times New Roman" w:eastAsia="Times New Roman" w:hint="default"/>
                <w:sz w:val="18"/>
                <w:szCs w:val="18"/>
              </w:rPr>
            </w:pPr>
            <w:r>
              <w:rPr>
                <w:rFonts w:ascii="Times New Roman"/>
                <w:sz w:val="18"/>
              </w:rPr>
              <w:t>-1,761,</w:t>
            </w: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19" w:right="0"/>
              <w:jc w:val="left"/>
              <w:rPr>
                <w:rFonts w:ascii="Times New Roman" w:hAnsi="Times New Roman" w:cs="Times New Roman" w:eastAsia="Times New Roman" w:hint="default"/>
                <w:sz w:val="18"/>
                <w:szCs w:val="18"/>
              </w:rPr>
            </w:pPr>
            <w:r>
              <w:rPr>
                <w:rFonts w:ascii="Times New Roman"/>
                <w:sz w:val="18"/>
              </w:rPr>
              <w:t>80,247</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87" w:right="0"/>
              <w:jc w:val="left"/>
              <w:rPr>
                <w:rFonts w:ascii="Times New Roman" w:hAnsi="Times New Roman" w:cs="Times New Roman" w:eastAsia="Times New Roman" w:hint="default"/>
                <w:sz w:val="18"/>
                <w:szCs w:val="18"/>
              </w:rPr>
            </w:pPr>
            <w:r>
              <w:rPr>
                <w:rFonts w:ascii="Times New Roman"/>
                <w:sz w:val="18"/>
              </w:rPr>
              <w:t>493,</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24" w:right="0"/>
              <w:jc w:val="left"/>
              <w:rPr>
                <w:rFonts w:ascii="Times New Roman" w:hAnsi="Times New Roman" w:cs="Times New Roman" w:eastAsia="Times New Roman" w:hint="default"/>
                <w:sz w:val="18"/>
                <w:szCs w:val="18"/>
              </w:rPr>
            </w:pPr>
            <w:r>
              <w:rPr>
                <w:rFonts w:ascii="Times New Roman"/>
                <w:sz w:val="18"/>
              </w:rPr>
              <w:t>2,760,54</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06"/>
        <w:gridCol w:w="629"/>
        <w:gridCol w:w="605"/>
        <w:gridCol w:w="605"/>
        <w:gridCol w:w="605"/>
        <w:gridCol w:w="725"/>
        <w:gridCol w:w="725"/>
        <w:gridCol w:w="730"/>
        <w:gridCol w:w="725"/>
        <w:gridCol w:w="725"/>
        <w:gridCol w:w="614"/>
        <w:gridCol w:w="711"/>
        <w:gridCol w:w="864"/>
      </w:tblGrid>
      <w:tr>
        <w:trPr>
          <w:trHeight w:val="98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5" w:right="0"/>
              <w:jc w:val="left"/>
              <w:rPr>
                <w:rFonts w:ascii="Times New Roman" w:hAnsi="Times New Roman" w:cs="Times New Roman" w:eastAsia="Times New Roman" w:hint="default"/>
                <w:sz w:val="18"/>
                <w:szCs w:val="18"/>
              </w:rPr>
            </w:pPr>
            <w:r>
              <w:rPr>
                <w:rFonts w:ascii="Times New Roman"/>
                <w:sz w:val="18"/>
              </w:rPr>
              <w:t>44,67</w:t>
            </w:r>
          </w:p>
          <w:p>
            <w:pPr>
              <w:pStyle w:val="TableParagraph"/>
              <w:spacing w:line="240" w:lineRule="auto" w:before="110"/>
              <w:ind w:left="201" w:right="0"/>
              <w:jc w:val="left"/>
              <w:rPr>
                <w:rFonts w:ascii="Times New Roman" w:hAnsi="Times New Roman" w:cs="Times New Roman" w:eastAsia="Times New Roman" w:hint="default"/>
                <w:sz w:val="18"/>
                <w:szCs w:val="18"/>
              </w:rPr>
            </w:pPr>
            <w:r>
              <w:rPr>
                <w:rFonts w:ascii="Times New Roman"/>
                <w:sz w:val="18"/>
              </w:rPr>
              <w:t>2.00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 w:right="0"/>
              <w:jc w:val="center"/>
              <w:rPr>
                <w:rFonts w:ascii="Times New Roman" w:hAnsi="Times New Roman" w:cs="Times New Roman" w:eastAsia="Times New Roman" w:hint="default"/>
                <w:sz w:val="18"/>
                <w:szCs w:val="18"/>
              </w:rPr>
            </w:pPr>
            <w:r>
              <w:rPr>
                <w:rFonts w:ascii="Times New Roman"/>
                <w:sz w:val="18"/>
              </w:rPr>
              <w:t>306,42</w:t>
            </w:r>
          </w:p>
          <w:p>
            <w:pPr>
              <w:pStyle w:val="TableParagraph"/>
              <w:spacing w:line="240" w:lineRule="auto" w:before="110"/>
              <w:ind w:left="191" w:right="0"/>
              <w:jc w:val="center"/>
              <w:rPr>
                <w:rFonts w:ascii="Times New Roman" w:hAnsi="Times New Roman" w:cs="Times New Roman" w:eastAsia="Times New Roman" w:hint="default"/>
                <w:sz w:val="18"/>
                <w:szCs w:val="18"/>
              </w:rPr>
            </w:pPr>
            <w:r>
              <w:rPr>
                <w:rFonts w:ascii="Times New Roman"/>
                <w:sz w:val="18"/>
              </w:rPr>
              <w:t>5.14</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19" w:right="0"/>
              <w:jc w:val="left"/>
              <w:rPr>
                <w:rFonts w:ascii="Times New Roman" w:hAnsi="Times New Roman" w:cs="Times New Roman" w:eastAsia="Times New Roman" w:hint="default"/>
                <w:sz w:val="18"/>
                <w:szCs w:val="18"/>
              </w:rPr>
            </w:pPr>
            <w:r>
              <w:rPr>
                <w:rFonts w:ascii="Times New Roman"/>
                <w:sz w:val="18"/>
              </w:rPr>
              <w:t>926.46</w:t>
            </w: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,107.1</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8" w:right="0"/>
              <w:jc w:val="center"/>
              <w:rPr>
                <w:rFonts w:ascii="Times New Roman" w:hAnsi="Times New Roman" w:cs="Times New Roman" w:eastAsia="Times New Roman" w:hint="default"/>
                <w:sz w:val="18"/>
                <w:szCs w:val="18"/>
              </w:rPr>
            </w:pPr>
            <w:r>
              <w:rPr>
                <w:rFonts w:ascii="Times New Roman"/>
                <w:sz w:val="18"/>
              </w:rPr>
              <w:t>006,</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985.</w:t>
            </w:r>
          </w:p>
          <w:p>
            <w:pPr>
              <w:pStyle w:val="TableParagraph"/>
              <w:spacing w:line="240" w:lineRule="auto" w:before="110"/>
              <w:ind w:left="230" w:right="0"/>
              <w:jc w:val="center"/>
              <w:rPr>
                <w:rFonts w:ascii="Times New Roman" w:hAnsi="Times New Roman" w:cs="Times New Roman" w:eastAsia="Times New Roman" w:hint="default"/>
                <w:sz w:val="18"/>
                <w:szCs w:val="18"/>
              </w:rPr>
            </w:pPr>
            <w:r>
              <w:rPr>
                <w:rFonts w:ascii="Times New Roman"/>
                <w:sz w:val="18"/>
              </w:rPr>
              <w:t>69</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24" w:right="0"/>
              <w:jc w:val="left"/>
              <w:rPr>
                <w:rFonts w:ascii="Times New Roman" w:hAnsi="Times New Roman" w:cs="Times New Roman" w:eastAsia="Times New Roman" w:hint="default"/>
                <w:sz w:val="18"/>
                <w:szCs w:val="18"/>
              </w:rPr>
            </w:pPr>
            <w:r>
              <w:rPr>
                <w:rFonts w:ascii="Times New Roman"/>
                <w:sz w:val="18"/>
              </w:rPr>
              <w:t>3,263.53</w:t>
            </w:r>
          </w:p>
        </w:tc>
      </w:tr>
    </w:tbl>
    <w:p>
      <w:pPr>
        <w:spacing w:before="54"/>
        <w:ind w:left="113" w:right="1764"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229"/>
        <w:gridCol w:w="595"/>
        <w:gridCol w:w="572"/>
        <w:gridCol w:w="576"/>
        <w:gridCol w:w="572"/>
        <w:gridCol w:w="682"/>
        <w:gridCol w:w="687"/>
        <w:gridCol w:w="686"/>
        <w:gridCol w:w="783"/>
        <w:gridCol w:w="662"/>
        <w:gridCol w:w="802"/>
        <w:gridCol w:w="797"/>
        <w:gridCol w:w="926"/>
      </w:tblGrid>
      <w:tr>
        <w:trPr>
          <w:trHeight w:val="396" w:hRule="exact"/>
        </w:trPr>
        <w:tc>
          <w:tcPr>
            <w:tcW w:w="12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4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408" w:hRule="exact"/>
        </w:trPr>
        <w:tc>
          <w:tcPr>
            <w:tcW w:w="1229" w:type="dxa"/>
            <w:vMerge/>
            <w:tcBorders>
              <w:left w:val="single" w:sz="4" w:space="0" w:color="000000"/>
              <w:right w:val="single" w:sz="4" w:space="0" w:color="000000"/>
            </w:tcBorders>
            <w:shd w:val="clear" w:color="auto" w:fill="D2D2D2"/>
          </w:tcPr>
          <w:p>
            <w:pPr/>
          </w:p>
        </w:tc>
        <w:tc>
          <w:tcPr>
            <w:tcW w:w="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316" w:lineRule="auto"/>
              <w:ind w:left="153" w:right="151"/>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6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316" w:lineRule="auto"/>
              <w:ind w:left="158" w:right="94" w:hanging="53"/>
              <w:jc w:val="left"/>
              <w:rPr>
                <w:rFonts w:ascii="宋体" w:hAnsi="宋体" w:cs="宋体" w:eastAsia="宋体" w:hint="default"/>
                <w:sz w:val="18"/>
                <w:szCs w:val="18"/>
              </w:rPr>
            </w:pPr>
            <w:r>
              <w:rPr>
                <w:rFonts w:ascii="宋体" w:hAnsi="宋体" w:cs="宋体" w:eastAsia="宋体" w:hint="default"/>
                <w:spacing w:val="-24"/>
                <w:w w:val="101"/>
                <w:sz w:val="18"/>
                <w:szCs w:val="18"/>
              </w:rPr>
              <w:t>减：库</w:t>
            </w:r>
            <w:r>
              <w:rPr>
                <w:rFonts w:ascii="宋体" w:hAnsi="宋体" w:cs="宋体" w:eastAsia="宋体" w:hint="default"/>
                <w:w w:val="101"/>
                <w:sz w:val="18"/>
                <w:szCs w:val="18"/>
              </w:rPr>
              <w:t> </w:t>
            </w:r>
            <w:r>
              <w:rPr>
                <w:rFonts w:ascii="宋体" w:hAnsi="宋体" w:cs="宋体" w:eastAsia="宋体" w:hint="default"/>
                <w:sz w:val="18"/>
                <w:szCs w:val="18"/>
              </w:rPr>
              <w:t>存股</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21" w:lineRule="auto"/>
              <w:ind w:left="158" w:right="151"/>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7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316" w:lineRule="auto"/>
              <w:ind w:left="298" w:right="108" w:hanging="178"/>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316" w:lineRule="auto"/>
              <w:ind w:left="143" w:right="143"/>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316" w:lineRule="auto"/>
              <w:ind w:left="216" w:right="122" w:hanging="92"/>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21" w:lineRule="auto"/>
              <w:ind w:left="187" w:right="185"/>
              <w:jc w:val="center"/>
              <w:rPr>
                <w:rFonts w:ascii="宋体" w:hAnsi="宋体" w:cs="宋体" w:eastAsia="宋体" w:hint="default"/>
                <w:sz w:val="18"/>
                <w:szCs w:val="18"/>
              </w:rPr>
            </w:pPr>
            <w:r>
              <w:rPr>
                <w:rFonts w:ascii="宋体" w:hAnsi="宋体" w:cs="宋体" w:eastAsia="宋体" w:hint="default"/>
                <w:spacing w:val="-2"/>
                <w:sz w:val="18"/>
                <w:szCs w:val="18"/>
              </w:rPr>
              <w:t>所有者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权益合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r>
      <w:tr>
        <w:trPr>
          <w:trHeight w:val="1028" w:hRule="exact"/>
        </w:trPr>
        <w:tc>
          <w:tcPr>
            <w:tcW w:w="1229" w:type="dxa"/>
            <w:vMerge/>
            <w:tcBorders>
              <w:left w:val="single" w:sz="4" w:space="0" w:color="000000"/>
              <w:bottom w:val="single" w:sz="4" w:space="0" w:color="000000"/>
              <w:right w:val="single" w:sz="4" w:space="0" w:color="000000"/>
            </w:tcBorders>
            <w:shd w:val="clear" w:color="auto" w:fill="D2D2D2"/>
          </w:tcPr>
          <w:p>
            <w:pPr/>
          </w:p>
        </w:tc>
        <w:tc>
          <w:tcPr>
            <w:tcW w:w="595" w:type="dxa"/>
            <w:vMerge/>
            <w:tcBorders>
              <w:left w:val="single" w:sz="4" w:space="0" w:color="000000"/>
              <w:bottom w:val="single" w:sz="4" w:space="0" w:color="000000"/>
              <w:right w:val="single" w:sz="4" w:space="0" w:color="000000"/>
            </w:tcBorders>
            <w:shd w:val="clear" w:color="auto" w:fill="D2D2D2"/>
          </w:tcPr>
          <w:p>
            <w:pP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92" w:right="185"/>
              <w:jc w:val="both"/>
              <w:rPr>
                <w:rFonts w:ascii="宋体" w:hAnsi="宋体" w:cs="宋体" w:eastAsia="宋体" w:hint="default"/>
                <w:sz w:val="18"/>
                <w:szCs w:val="18"/>
              </w:rPr>
            </w:pPr>
            <w:r>
              <w:rPr>
                <w:rFonts w:ascii="宋体" w:hAnsi="宋体" w:cs="宋体" w:eastAsia="宋体" w:hint="default"/>
                <w:sz w:val="18"/>
                <w:szCs w:val="18"/>
              </w:rPr>
              <w:t>优</w:t>
            </w:r>
            <w:r>
              <w:rPr>
                <w:rFonts w:ascii="宋体" w:hAnsi="宋体" w:cs="宋体" w:eastAsia="宋体" w:hint="default"/>
                <w:spacing w:val="-88"/>
                <w:sz w:val="18"/>
                <w:szCs w:val="18"/>
              </w:rPr>
              <w:t> </w:t>
            </w:r>
            <w:r>
              <w:rPr>
                <w:rFonts w:ascii="宋体" w:hAnsi="宋体" w:cs="宋体" w:eastAsia="宋体" w:hint="default"/>
                <w:sz w:val="18"/>
                <w:szCs w:val="18"/>
              </w:rPr>
              <w:t>先</w:t>
            </w:r>
            <w:r>
              <w:rPr>
                <w:rFonts w:ascii="宋体" w:hAnsi="宋体" w:cs="宋体" w:eastAsia="宋体" w:hint="default"/>
                <w:spacing w:val="-88"/>
                <w:sz w:val="18"/>
                <w:szCs w:val="18"/>
              </w:rPr>
              <w:t> </w:t>
            </w:r>
            <w:r>
              <w:rPr>
                <w:rFonts w:ascii="宋体" w:hAnsi="宋体" w:cs="宋体" w:eastAsia="宋体" w:hint="default"/>
                <w:sz w:val="18"/>
                <w:szCs w:val="18"/>
              </w:rPr>
              <w:t>股</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91" w:right="191"/>
              <w:jc w:val="both"/>
              <w:rPr>
                <w:rFonts w:ascii="宋体" w:hAnsi="宋体" w:cs="宋体" w:eastAsia="宋体" w:hint="default"/>
                <w:sz w:val="18"/>
                <w:szCs w:val="18"/>
              </w:rPr>
            </w:pPr>
            <w:r>
              <w:rPr>
                <w:rFonts w:ascii="宋体" w:hAnsi="宋体" w:cs="宋体" w:eastAsia="宋体" w:hint="default"/>
                <w:sz w:val="18"/>
                <w:szCs w:val="18"/>
              </w:rPr>
              <w:t>永</w:t>
            </w:r>
            <w:r>
              <w:rPr>
                <w:rFonts w:ascii="宋体" w:hAnsi="宋体" w:cs="宋体" w:eastAsia="宋体" w:hint="default"/>
                <w:spacing w:val="-88"/>
                <w:sz w:val="18"/>
                <w:szCs w:val="18"/>
              </w:rPr>
              <w:t> </w:t>
            </w:r>
            <w:r>
              <w:rPr>
                <w:rFonts w:ascii="宋体" w:hAnsi="宋体" w:cs="宋体" w:eastAsia="宋体" w:hint="default"/>
                <w:sz w:val="18"/>
                <w:szCs w:val="18"/>
              </w:rPr>
              <w:t>续</w:t>
            </w:r>
            <w:r>
              <w:rPr>
                <w:rFonts w:ascii="宋体" w:hAnsi="宋体" w:cs="宋体" w:eastAsia="宋体" w:hint="default"/>
                <w:spacing w:val="-88"/>
                <w:sz w:val="18"/>
                <w:szCs w:val="18"/>
              </w:rPr>
              <w:t> </w:t>
            </w:r>
            <w:r>
              <w:rPr>
                <w:rFonts w:ascii="宋体" w:hAnsi="宋体" w:cs="宋体" w:eastAsia="宋体" w:hint="default"/>
                <w:sz w:val="18"/>
                <w:szCs w:val="18"/>
              </w:rPr>
              <w:t>债</w:t>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87" w:right="19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88"/>
                <w:sz w:val="18"/>
                <w:szCs w:val="18"/>
              </w:rPr>
              <w:t> </w:t>
            </w:r>
            <w:r>
              <w:rPr>
                <w:rFonts w:ascii="宋体" w:hAnsi="宋体" w:cs="宋体" w:eastAsia="宋体" w:hint="default"/>
                <w:sz w:val="18"/>
                <w:szCs w:val="18"/>
              </w:rPr>
              <w:t>他</w:t>
            </w:r>
          </w:p>
        </w:tc>
        <w:tc>
          <w:tcPr>
            <w:tcW w:w="682" w:type="dxa"/>
            <w:vMerge/>
            <w:tcBorders>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r>
      <w:tr>
        <w:trPr>
          <w:trHeight w:val="133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05" w:right="94"/>
              <w:jc w:val="left"/>
              <w:rPr>
                <w:rFonts w:ascii="宋体" w:hAnsi="宋体" w:cs="宋体" w:eastAsia="宋体" w:hint="default"/>
                <w:sz w:val="18"/>
                <w:szCs w:val="18"/>
              </w:rPr>
            </w:pPr>
            <w:r>
              <w:rPr>
                <w:rFonts w:ascii="宋体" w:hAnsi="宋体" w:cs="宋体" w:eastAsia="宋体" w:hint="default"/>
                <w:spacing w:val="-13"/>
                <w:sz w:val="18"/>
                <w:szCs w:val="18"/>
              </w:rPr>
              <w:t>一、上年期末</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余额</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9" w:right="0"/>
              <w:jc w:val="center"/>
              <w:rPr>
                <w:rFonts w:ascii="Times New Roman" w:hAnsi="Times New Roman" w:cs="Times New Roman" w:eastAsia="Times New Roman" w:hint="default"/>
                <w:sz w:val="18"/>
                <w:szCs w:val="18"/>
              </w:rPr>
            </w:pPr>
            <w:r>
              <w:rPr>
                <w:rFonts w:ascii="Times New Roman"/>
                <w:sz w:val="18"/>
              </w:rPr>
              <w:t>399,</w:t>
            </w:r>
          </w:p>
          <w:p>
            <w:pPr>
              <w:pStyle w:val="TableParagraph"/>
              <w:spacing w:line="240" w:lineRule="auto" w:before="100"/>
              <w:ind w:left="69" w:right="0"/>
              <w:jc w:val="center"/>
              <w:rPr>
                <w:rFonts w:ascii="Times New Roman" w:hAnsi="Times New Roman" w:cs="Times New Roman" w:eastAsia="Times New Roman" w:hint="default"/>
                <w:sz w:val="18"/>
                <w:szCs w:val="18"/>
              </w:rPr>
            </w:pPr>
            <w:r>
              <w:rPr>
                <w:rFonts w:ascii="Times New Roman"/>
                <w:sz w:val="18"/>
              </w:rPr>
              <w:t>737,</w:t>
            </w:r>
          </w:p>
          <w:p>
            <w:pPr>
              <w:pStyle w:val="TableParagraph"/>
              <w:spacing w:line="240" w:lineRule="auto" w:before="105"/>
              <w:ind w:left="69" w:right="0"/>
              <w:jc w:val="center"/>
              <w:rPr>
                <w:rFonts w:ascii="Times New Roman" w:hAnsi="Times New Roman" w:cs="Times New Roman" w:eastAsia="Times New Roman" w:hint="default"/>
                <w:sz w:val="18"/>
                <w:szCs w:val="18"/>
              </w:rPr>
            </w:pPr>
            <w:r>
              <w:rPr>
                <w:rFonts w:ascii="Times New Roman"/>
                <w:sz w:val="18"/>
              </w:rPr>
              <w:t>270.</w:t>
            </w:r>
          </w:p>
          <w:p>
            <w:pPr>
              <w:pStyle w:val="TableParagraph"/>
              <w:spacing w:line="240" w:lineRule="auto" w:before="110"/>
              <w:ind w:left="211" w:right="0"/>
              <w:jc w:val="center"/>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1,800,</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919,2</w:t>
            </w:r>
          </w:p>
          <w:p>
            <w:pPr>
              <w:pStyle w:val="TableParagraph"/>
              <w:spacing w:line="240" w:lineRule="auto" w:before="110"/>
              <w:ind w:left="167" w:right="0"/>
              <w:jc w:val="left"/>
              <w:rPr>
                <w:rFonts w:ascii="Times New Roman" w:hAnsi="Times New Roman" w:cs="Times New Roman" w:eastAsia="Times New Roman" w:hint="default"/>
                <w:sz w:val="18"/>
                <w:szCs w:val="18"/>
              </w:rPr>
            </w:pPr>
            <w:r>
              <w:rPr>
                <w:rFonts w:ascii="Times New Roman"/>
                <w:sz w:val="18"/>
              </w:rPr>
              <w:t>71.76</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2,634,</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017.8</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69,64</w:t>
            </w:r>
          </w:p>
          <w:p>
            <w:pPr>
              <w:pStyle w:val="TableParagraph"/>
              <w:spacing w:line="240" w:lineRule="auto" w:before="105"/>
              <w:ind w:left="52" w:right="0"/>
              <w:jc w:val="center"/>
              <w:rPr>
                <w:rFonts w:ascii="Times New Roman" w:hAnsi="Times New Roman" w:cs="Times New Roman" w:eastAsia="Times New Roman" w:hint="default"/>
                <w:sz w:val="18"/>
                <w:szCs w:val="18"/>
              </w:rPr>
            </w:pPr>
            <w:r>
              <w:rPr>
                <w:rFonts w:ascii="Times New Roman"/>
                <w:sz w:val="18"/>
              </w:rPr>
              <w:t>1,144</w:t>
            </w:r>
          </w:p>
          <w:p>
            <w:pPr>
              <w:pStyle w:val="TableParagraph"/>
              <w:spacing w:line="240" w:lineRule="auto" w:before="110"/>
              <w:ind w:left="230" w:right="0"/>
              <w:jc w:val="center"/>
              <w:rPr>
                <w:rFonts w:ascii="Times New Roman" w:hAnsi="Times New Roman" w:cs="Times New Roman" w:eastAsia="Times New Roman" w:hint="default"/>
                <w:sz w:val="18"/>
                <w:szCs w:val="18"/>
              </w:rPr>
            </w:pPr>
            <w:r>
              <w:rPr>
                <w:rFonts w:ascii="Times New Roman"/>
                <w:sz w:val="18"/>
              </w:rPr>
              <w:t>.99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437,48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7,555.5</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2,705,15</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1,224.45</w:t>
            </w: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94" w:firstLine="360"/>
              <w:jc w:val="left"/>
              <w:rPr>
                <w:rFonts w:ascii="宋体" w:hAnsi="宋体" w:cs="宋体" w:eastAsia="宋体" w:hint="default"/>
                <w:sz w:val="18"/>
                <w:szCs w:val="18"/>
              </w:rPr>
            </w:pPr>
            <w:r>
              <w:rPr>
                <w:rFonts w:ascii="宋体" w:hAnsi="宋体" w:cs="宋体" w:eastAsia="宋体" w:hint="default"/>
                <w:spacing w:val="-19"/>
                <w:sz w:val="18"/>
                <w:szCs w:val="18"/>
              </w:rPr>
              <w:t>加：会计</w:t>
            </w:r>
            <w:r>
              <w:rPr>
                <w:rFonts w:ascii="宋体" w:hAnsi="宋体" w:cs="宋体" w:eastAsia="宋体" w:hint="default"/>
                <w:w w:val="101"/>
                <w:sz w:val="18"/>
                <w:szCs w:val="18"/>
              </w:rPr>
              <w:t> </w:t>
            </w:r>
            <w:r>
              <w:rPr>
                <w:rFonts w:ascii="宋体" w:hAnsi="宋体" w:cs="宋体" w:eastAsia="宋体" w:hint="default"/>
                <w:sz w:val="18"/>
                <w:szCs w:val="18"/>
              </w:rPr>
              <w:t>政策变更</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05" w:right="209" w:firstLine="72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w w:val="101"/>
                <w:sz w:val="18"/>
                <w:szCs w:val="18"/>
              </w:rPr>
              <w:t> </w:t>
            </w:r>
            <w:r>
              <w:rPr>
                <w:rFonts w:ascii="宋体" w:hAnsi="宋体" w:cs="宋体" w:eastAsia="宋体" w:hint="default"/>
                <w:spacing w:val="-2"/>
                <w:sz w:val="18"/>
                <w:szCs w:val="18"/>
              </w:rPr>
              <w:t>期差错更正</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9"/>
              <w:jc w:val="right"/>
              <w:rPr>
                <w:rFonts w:ascii="宋体" w:hAnsi="宋体" w:cs="宋体" w:eastAsia="宋体" w:hint="default"/>
                <w:sz w:val="18"/>
                <w:szCs w:val="18"/>
              </w:rPr>
            </w:pPr>
            <w:r>
              <w:rPr>
                <w:rFonts w:ascii="宋体" w:hAnsi="宋体" w:cs="宋体" w:eastAsia="宋体" w:hint="default"/>
                <w:w w:val="101"/>
                <w:sz w:val="18"/>
                <w:szCs w:val="18"/>
              </w:rPr>
              <w:t>其</w:t>
            </w:r>
            <w:r>
              <w:rPr>
                <w:rFonts w:ascii="宋体" w:hAnsi="宋体" w:cs="宋体" w:eastAsia="宋体" w:hint="default"/>
                <w:sz w:val="18"/>
                <w:szCs w:val="18"/>
              </w:rPr>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他</w:t>
            </w:r>
            <w:r>
              <w:rPr>
                <w:rFonts w:ascii="宋体" w:hAnsi="宋体" w:cs="宋体" w:eastAsia="宋体" w:hint="default"/>
                <w:sz w:val="18"/>
                <w:szCs w:val="18"/>
              </w:rPr>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05" w:right="94"/>
              <w:jc w:val="left"/>
              <w:rPr>
                <w:rFonts w:ascii="宋体" w:hAnsi="宋体" w:cs="宋体" w:eastAsia="宋体" w:hint="default"/>
                <w:sz w:val="18"/>
                <w:szCs w:val="18"/>
              </w:rPr>
            </w:pPr>
            <w:r>
              <w:rPr>
                <w:rFonts w:ascii="宋体" w:hAnsi="宋体" w:cs="宋体" w:eastAsia="宋体" w:hint="default"/>
                <w:spacing w:val="-13"/>
                <w:sz w:val="18"/>
                <w:szCs w:val="18"/>
              </w:rPr>
              <w:t>二、本年期初</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余额</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9" w:right="0"/>
              <w:jc w:val="center"/>
              <w:rPr>
                <w:rFonts w:ascii="Times New Roman" w:hAnsi="Times New Roman" w:cs="Times New Roman" w:eastAsia="Times New Roman" w:hint="default"/>
                <w:sz w:val="18"/>
                <w:szCs w:val="18"/>
              </w:rPr>
            </w:pPr>
            <w:r>
              <w:rPr>
                <w:rFonts w:ascii="Times New Roman"/>
                <w:sz w:val="18"/>
              </w:rPr>
              <w:t>399,</w:t>
            </w:r>
          </w:p>
          <w:p>
            <w:pPr>
              <w:pStyle w:val="TableParagraph"/>
              <w:spacing w:line="240" w:lineRule="auto" w:before="100"/>
              <w:ind w:left="69" w:right="0"/>
              <w:jc w:val="center"/>
              <w:rPr>
                <w:rFonts w:ascii="Times New Roman" w:hAnsi="Times New Roman" w:cs="Times New Roman" w:eastAsia="Times New Roman" w:hint="default"/>
                <w:sz w:val="18"/>
                <w:szCs w:val="18"/>
              </w:rPr>
            </w:pPr>
            <w:r>
              <w:rPr>
                <w:rFonts w:ascii="Times New Roman"/>
                <w:sz w:val="18"/>
              </w:rPr>
              <w:t>737,</w:t>
            </w:r>
          </w:p>
          <w:p>
            <w:pPr>
              <w:pStyle w:val="TableParagraph"/>
              <w:spacing w:line="240" w:lineRule="auto" w:before="105"/>
              <w:ind w:left="69" w:right="0"/>
              <w:jc w:val="center"/>
              <w:rPr>
                <w:rFonts w:ascii="Times New Roman" w:hAnsi="Times New Roman" w:cs="Times New Roman" w:eastAsia="Times New Roman" w:hint="default"/>
                <w:sz w:val="18"/>
                <w:szCs w:val="18"/>
              </w:rPr>
            </w:pPr>
            <w:r>
              <w:rPr>
                <w:rFonts w:ascii="Times New Roman"/>
                <w:sz w:val="18"/>
              </w:rPr>
              <w:t>270.</w:t>
            </w:r>
          </w:p>
          <w:p>
            <w:pPr>
              <w:pStyle w:val="TableParagraph"/>
              <w:spacing w:line="240" w:lineRule="auto" w:before="110"/>
              <w:ind w:left="211" w:right="0"/>
              <w:jc w:val="center"/>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1,800,</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919,2</w:t>
            </w:r>
          </w:p>
          <w:p>
            <w:pPr>
              <w:pStyle w:val="TableParagraph"/>
              <w:spacing w:line="240" w:lineRule="auto" w:before="110"/>
              <w:ind w:left="167" w:right="0"/>
              <w:jc w:val="left"/>
              <w:rPr>
                <w:rFonts w:ascii="Times New Roman" w:hAnsi="Times New Roman" w:cs="Times New Roman" w:eastAsia="Times New Roman" w:hint="default"/>
                <w:sz w:val="18"/>
                <w:szCs w:val="18"/>
              </w:rPr>
            </w:pPr>
            <w:r>
              <w:rPr>
                <w:rFonts w:ascii="Times New Roman"/>
                <w:sz w:val="18"/>
              </w:rPr>
              <w:t>71.76</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2,634,</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017.8</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69,64</w:t>
            </w:r>
          </w:p>
          <w:p>
            <w:pPr>
              <w:pStyle w:val="TableParagraph"/>
              <w:spacing w:line="240" w:lineRule="auto" w:before="105"/>
              <w:ind w:left="52" w:right="0"/>
              <w:jc w:val="center"/>
              <w:rPr>
                <w:rFonts w:ascii="Times New Roman" w:hAnsi="Times New Roman" w:cs="Times New Roman" w:eastAsia="Times New Roman" w:hint="default"/>
                <w:sz w:val="18"/>
                <w:szCs w:val="18"/>
              </w:rPr>
            </w:pPr>
            <w:r>
              <w:rPr>
                <w:rFonts w:ascii="Times New Roman"/>
                <w:sz w:val="18"/>
              </w:rPr>
              <w:t>1,144</w:t>
            </w:r>
          </w:p>
          <w:p>
            <w:pPr>
              <w:pStyle w:val="TableParagraph"/>
              <w:spacing w:line="240" w:lineRule="auto" w:before="110"/>
              <w:ind w:left="230" w:right="0"/>
              <w:jc w:val="center"/>
              <w:rPr>
                <w:rFonts w:ascii="Times New Roman" w:hAnsi="Times New Roman" w:cs="Times New Roman" w:eastAsia="Times New Roman" w:hint="default"/>
                <w:sz w:val="18"/>
                <w:szCs w:val="18"/>
              </w:rPr>
            </w:pPr>
            <w:r>
              <w:rPr>
                <w:rFonts w:ascii="Times New Roman"/>
                <w:sz w:val="18"/>
              </w:rPr>
              <w:t>.99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437,48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7,555.5</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2,705,15</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1,224.45</w:t>
            </w:r>
          </w:p>
        </w:tc>
      </w:tr>
      <w:tr>
        <w:trPr>
          <w:trHeight w:val="1340"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05" w:right="94"/>
              <w:jc w:val="both"/>
              <w:rPr>
                <w:rFonts w:ascii="宋体" w:hAnsi="宋体" w:cs="宋体" w:eastAsia="宋体" w:hint="default"/>
                <w:sz w:val="18"/>
                <w:szCs w:val="18"/>
              </w:rPr>
            </w:pPr>
            <w:r>
              <w:rPr>
                <w:rFonts w:ascii="宋体" w:hAnsi="宋体" w:cs="宋体" w:eastAsia="宋体" w:hint="default"/>
                <w:spacing w:val="-13"/>
                <w:sz w:val="18"/>
                <w:szCs w:val="18"/>
              </w:rPr>
              <w:t>三、本期增减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3"/>
                <w:sz w:val="18"/>
                <w:szCs w:val="18"/>
              </w:rPr>
              <w:t>变动金额（减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3"/>
                <w:sz w:val="18"/>
                <w:szCs w:val="18"/>
              </w:rPr>
              <w:t>少以“－”号</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填列）</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-653,</w:t>
            </w:r>
          </w:p>
          <w:p>
            <w:pPr>
              <w:pStyle w:val="TableParagraph"/>
              <w:spacing w:line="240" w:lineRule="auto" w:before="100"/>
              <w:ind w:left="69" w:right="0"/>
              <w:jc w:val="center"/>
              <w:rPr>
                <w:rFonts w:ascii="Times New Roman" w:hAnsi="Times New Roman" w:cs="Times New Roman" w:eastAsia="Times New Roman" w:hint="default"/>
                <w:sz w:val="18"/>
                <w:szCs w:val="18"/>
              </w:rPr>
            </w:pPr>
            <w:r>
              <w:rPr>
                <w:rFonts w:ascii="Times New Roman"/>
                <w:sz w:val="18"/>
              </w:rPr>
              <w:t>410.</w:t>
            </w:r>
          </w:p>
          <w:p>
            <w:pPr>
              <w:pStyle w:val="TableParagraph"/>
              <w:spacing w:line="240" w:lineRule="auto" w:before="110"/>
              <w:ind w:left="211" w:right="0"/>
              <w:jc w:val="center"/>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-2,693</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,135.1</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-1,338</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,382.7</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9,364</w:t>
            </w:r>
          </w:p>
          <w:p>
            <w:pPr>
              <w:pStyle w:val="TableParagraph"/>
              <w:spacing w:line="240" w:lineRule="auto" w:before="100"/>
              <w:ind w:left="93" w:right="0"/>
              <w:jc w:val="center"/>
              <w:rPr>
                <w:rFonts w:ascii="Times New Roman" w:hAnsi="Times New Roman" w:cs="Times New Roman" w:eastAsia="Times New Roman" w:hint="default"/>
                <w:sz w:val="18"/>
                <w:szCs w:val="18"/>
              </w:rPr>
            </w:pPr>
            <w:r>
              <w:rPr>
                <w:rFonts w:ascii="Times New Roman"/>
                <w:sz w:val="18"/>
              </w:rPr>
              <w:t>,381.</w:t>
            </w:r>
          </w:p>
          <w:p>
            <w:pPr>
              <w:pStyle w:val="TableParagraph"/>
              <w:spacing w:line="240" w:lineRule="auto" w:before="110"/>
              <w:ind w:left="278" w:right="0"/>
              <w:jc w:val="center"/>
              <w:rPr>
                <w:rFonts w:ascii="Times New Roman" w:hAnsi="Times New Roman" w:cs="Times New Roman" w:eastAsia="Times New Roman" w:hint="default"/>
                <w:sz w:val="18"/>
                <w:szCs w:val="18"/>
              </w:rPr>
            </w:pPr>
            <w:r>
              <w:rPr>
                <w:rFonts w:ascii="Times New Roman"/>
                <w:sz w:val="18"/>
              </w:rPr>
              <w:t>30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68,290,</w:t>
            </w:r>
          </w:p>
          <w:p>
            <w:pPr>
              <w:pStyle w:val="TableParagraph"/>
              <w:spacing w:line="240" w:lineRule="auto" w:before="105"/>
              <w:ind w:left="192" w:right="0"/>
              <w:jc w:val="left"/>
              <w:rPr>
                <w:rFonts w:ascii="Times New Roman" w:hAnsi="Times New Roman" w:cs="Times New Roman" w:eastAsia="Times New Roman" w:hint="default"/>
                <w:sz w:val="18"/>
                <w:szCs w:val="18"/>
              </w:rPr>
            </w:pPr>
            <w:r>
              <w:rPr>
                <w:rFonts w:ascii="Times New Roman"/>
                <w:sz w:val="18"/>
              </w:rPr>
              <w:t>087.38</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75,646,3</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06.31</w:t>
            </w: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94"/>
              <w:jc w:val="left"/>
              <w:rPr>
                <w:rFonts w:ascii="宋体" w:hAnsi="宋体" w:cs="宋体" w:eastAsia="宋体" w:hint="default"/>
                <w:sz w:val="18"/>
                <w:szCs w:val="18"/>
              </w:rPr>
            </w:pPr>
            <w:r>
              <w:rPr>
                <w:rFonts w:ascii="宋体" w:hAnsi="宋体" w:cs="宋体" w:eastAsia="宋体" w:hint="default"/>
                <w:spacing w:val="-13"/>
                <w:w w:val="101"/>
                <w:sz w:val="18"/>
                <w:szCs w:val="18"/>
              </w:rPr>
              <w:t>（一）综合收</w:t>
            </w:r>
            <w:r>
              <w:rPr>
                <w:rFonts w:ascii="宋体" w:hAnsi="宋体" w:cs="宋体" w:eastAsia="宋体" w:hint="default"/>
                <w:w w:val="101"/>
                <w:sz w:val="18"/>
                <w:szCs w:val="18"/>
              </w:rPr>
              <w:t> </w:t>
            </w:r>
            <w:r>
              <w:rPr>
                <w:rFonts w:ascii="宋体" w:hAnsi="宋体" w:cs="宋体" w:eastAsia="宋体" w:hint="default"/>
                <w:sz w:val="18"/>
                <w:szCs w:val="18"/>
              </w:rPr>
              <w:t>益总额</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9" w:right="0"/>
              <w:jc w:val="left"/>
              <w:rPr>
                <w:rFonts w:ascii="Times New Roman" w:hAnsi="Times New Roman" w:cs="Times New Roman" w:eastAsia="Times New Roman" w:hint="default"/>
                <w:sz w:val="18"/>
                <w:szCs w:val="18"/>
              </w:rPr>
            </w:pPr>
            <w:r>
              <w:rPr>
                <w:rFonts w:ascii="Times New Roman"/>
                <w:sz w:val="18"/>
              </w:rPr>
              <w:t>93,643,</w:t>
            </w:r>
          </w:p>
          <w:p>
            <w:pPr>
              <w:pStyle w:val="TableParagraph"/>
              <w:spacing w:line="240" w:lineRule="auto" w:before="110"/>
              <w:ind w:left="192" w:right="0"/>
              <w:jc w:val="left"/>
              <w:rPr>
                <w:rFonts w:ascii="Times New Roman" w:hAnsi="Times New Roman" w:cs="Times New Roman" w:eastAsia="Times New Roman" w:hint="default"/>
                <w:sz w:val="18"/>
                <w:szCs w:val="18"/>
              </w:rPr>
            </w:pPr>
            <w:r>
              <w:rPr>
                <w:rFonts w:ascii="Times New Roman"/>
                <w:sz w:val="18"/>
              </w:rPr>
              <w:t>812.98</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7" w:right="0"/>
              <w:jc w:val="left"/>
              <w:rPr>
                <w:rFonts w:ascii="Times New Roman" w:hAnsi="Times New Roman" w:cs="Times New Roman" w:eastAsia="Times New Roman" w:hint="default"/>
                <w:sz w:val="18"/>
                <w:szCs w:val="18"/>
              </w:rPr>
            </w:pPr>
            <w:r>
              <w:rPr>
                <w:rFonts w:ascii="Times New Roman"/>
                <w:sz w:val="18"/>
              </w:rPr>
              <w:t>93,643,8</w:t>
            </w:r>
          </w:p>
          <w:p>
            <w:pPr>
              <w:pStyle w:val="TableParagraph"/>
              <w:spacing w:line="240" w:lineRule="auto" w:before="110"/>
              <w:ind w:left="412" w:right="0"/>
              <w:jc w:val="left"/>
              <w:rPr>
                <w:rFonts w:ascii="Times New Roman" w:hAnsi="Times New Roman" w:cs="Times New Roman" w:eastAsia="Times New Roman" w:hint="default"/>
                <w:sz w:val="18"/>
                <w:szCs w:val="18"/>
              </w:rPr>
            </w:pPr>
            <w:r>
              <w:rPr>
                <w:rFonts w:ascii="Times New Roman"/>
                <w:sz w:val="18"/>
              </w:rPr>
              <w:t>12.98</w:t>
            </w: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94"/>
              <w:jc w:val="left"/>
              <w:rPr>
                <w:rFonts w:ascii="宋体" w:hAnsi="宋体" w:cs="宋体" w:eastAsia="宋体" w:hint="default"/>
                <w:sz w:val="18"/>
                <w:szCs w:val="18"/>
              </w:rPr>
            </w:pPr>
            <w:r>
              <w:rPr>
                <w:rFonts w:ascii="宋体" w:hAnsi="宋体" w:cs="宋体" w:eastAsia="宋体" w:hint="default"/>
                <w:spacing w:val="-13"/>
                <w:w w:val="101"/>
                <w:sz w:val="18"/>
                <w:szCs w:val="18"/>
              </w:rPr>
              <w:t>（二）所有者</w:t>
            </w:r>
            <w:r>
              <w:rPr>
                <w:rFonts w:ascii="宋体" w:hAnsi="宋体" w:cs="宋体" w:eastAsia="宋体" w:hint="default"/>
                <w:w w:val="101"/>
                <w:sz w:val="18"/>
                <w:szCs w:val="18"/>
              </w:rPr>
              <w:t> </w:t>
            </w:r>
            <w:r>
              <w:rPr>
                <w:rFonts w:ascii="宋体" w:hAnsi="宋体" w:cs="宋体" w:eastAsia="宋体" w:hint="default"/>
                <w:sz w:val="18"/>
                <w:szCs w:val="18"/>
              </w:rPr>
              <w:t>投入和减少</w:t>
            </w:r>
            <w:r>
              <w:rPr>
                <w:rFonts w:ascii="宋体" w:hAnsi="宋体" w:cs="宋体" w:eastAsia="宋体" w:hint="default"/>
                <w:w w:val="101"/>
                <w:sz w:val="18"/>
                <w:szCs w:val="18"/>
              </w:rPr>
              <w:t> </w:t>
            </w:r>
            <w:r>
              <w:rPr>
                <w:rFonts w:ascii="宋体" w:hAnsi="宋体" w:cs="宋体" w:eastAsia="宋体" w:hint="default"/>
                <w:sz w:val="18"/>
                <w:szCs w:val="18"/>
              </w:rPr>
              <w:t>资本</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-653,</w:t>
            </w:r>
          </w:p>
          <w:p>
            <w:pPr>
              <w:pStyle w:val="TableParagraph"/>
              <w:spacing w:line="240" w:lineRule="auto" w:before="100"/>
              <w:ind w:left="69" w:right="0"/>
              <w:jc w:val="center"/>
              <w:rPr>
                <w:rFonts w:ascii="Times New Roman" w:hAnsi="Times New Roman" w:cs="Times New Roman" w:eastAsia="Times New Roman" w:hint="default"/>
                <w:sz w:val="18"/>
                <w:szCs w:val="18"/>
              </w:rPr>
            </w:pPr>
            <w:r>
              <w:rPr>
                <w:rFonts w:ascii="Times New Roman"/>
                <w:sz w:val="18"/>
              </w:rPr>
              <w:t>410.</w:t>
            </w:r>
          </w:p>
          <w:p>
            <w:pPr>
              <w:pStyle w:val="TableParagraph"/>
              <w:spacing w:line="240" w:lineRule="auto" w:before="110"/>
              <w:ind w:left="211" w:right="0"/>
              <w:jc w:val="center"/>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-2,693</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,135.1</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-1,338</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,382.7</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-2,008,16</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sz w:val="18"/>
              </w:rPr>
              <w:t>2.37</w:t>
            </w:r>
          </w:p>
        </w:tc>
      </w:tr>
      <w:tr>
        <w:trPr>
          <w:trHeight w:val="1022"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4" w:lineRule="auto"/>
              <w:ind w:left="105" w:right="11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入的普通股</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 w:right="0"/>
              <w:jc w:val="center"/>
              <w:rPr>
                <w:rFonts w:ascii="Times New Roman" w:hAnsi="Times New Roman" w:cs="Times New Roman" w:eastAsia="Times New Roman" w:hint="default"/>
                <w:sz w:val="18"/>
                <w:szCs w:val="18"/>
              </w:rPr>
            </w:pPr>
            <w:r>
              <w:rPr>
                <w:rFonts w:ascii="Times New Roman"/>
                <w:sz w:val="18"/>
              </w:rPr>
              <w:t>-653,</w:t>
            </w:r>
          </w:p>
          <w:p>
            <w:pPr>
              <w:pStyle w:val="TableParagraph"/>
              <w:spacing w:line="240" w:lineRule="auto" w:before="100"/>
              <w:ind w:left="69" w:right="0"/>
              <w:jc w:val="center"/>
              <w:rPr>
                <w:rFonts w:ascii="Times New Roman" w:hAnsi="Times New Roman" w:cs="Times New Roman" w:eastAsia="Times New Roman" w:hint="default"/>
                <w:sz w:val="18"/>
                <w:szCs w:val="18"/>
              </w:rPr>
            </w:pPr>
            <w:r>
              <w:rPr>
                <w:rFonts w:ascii="Times New Roman"/>
                <w:sz w:val="18"/>
              </w:rPr>
              <w:t>410.</w:t>
            </w:r>
          </w:p>
          <w:p>
            <w:pPr>
              <w:pStyle w:val="TableParagraph"/>
              <w:spacing w:line="240" w:lineRule="auto" w:before="110"/>
              <w:ind w:left="211" w:right="0"/>
              <w:jc w:val="center"/>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-4,982</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,237.0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-5,635,64</w:t>
            </w:r>
          </w:p>
          <w:p>
            <w:pPr>
              <w:pStyle w:val="TableParagraph"/>
              <w:spacing w:line="240" w:lineRule="auto" w:before="110"/>
              <w:ind w:left="499" w:right="0"/>
              <w:jc w:val="left"/>
              <w:rPr>
                <w:rFonts w:ascii="Times New Roman" w:hAnsi="Times New Roman" w:cs="Times New Roman" w:eastAsia="Times New Roman" w:hint="default"/>
                <w:sz w:val="18"/>
                <w:szCs w:val="18"/>
              </w:rPr>
            </w:pPr>
            <w:r>
              <w:rPr>
                <w:rFonts w:ascii="Times New Roman"/>
                <w:sz w:val="18"/>
              </w:rPr>
              <w:t>7.06</w:t>
            </w: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105" w:right="11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工具持有者</w:t>
            </w:r>
            <w:r>
              <w:rPr>
                <w:rFonts w:ascii="宋体" w:hAnsi="宋体" w:cs="宋体" w:eastAsia="宋体" w:hint="default"/>
                <w:w w:val="101"/>
                <w:sz w:val="18"/>
                <w:szCs w:val="18"/>
              </w:rPr>
              <w:t> </w:t>
            </w:r>
            <w:r>
              <w:rPr>
                <w:rFonts w:ascii="宋体" w:hAnsi="宋体" w:cs="宋体" w:eastAsia="宋体" w:hint="default"/>
                <w:sz w:val="18"/>
                <w:szCs w:val="18"/>
              </w:rPr>
              <w:t>投入资本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19" w:right="0"/>
              <w:jc w:val="left"/>
              <w:rPr>
                <w:rFonts w:ascii="Times New Roman" w:hAnsi="Times New Roman" w:cs="Times New Roman" w:eastAsia="Times New Roman" w:hint="default"/>
                <w:sz w:val="18"/>
                <w:szCs w:val="18"/>
              </w:rPr>
            </w:pPr>
            <w:r>
              <w:rPr>
                <w:rFonts w:ascii="Times New Roman"/>
                <w:sz w:val="18"/>
              </w:rPr>
              <w:t>2,289,</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10" w:right="0"/>
              <w:jc w:val="left"/>
              <w:rPr>
                <w:rFonts w:ascii="Times New Roman" w:hAnsi="Times New Roman" w:cs="Times New Roman" w:eastAsia="Times New Roman" w:hint="default"/>
                <w:sz w:val="18"/>
                <w:szCs w:val="18"/>
              </w:rPr>
            </w:pPr>
            <w:r>
              <w:rPr>
                <w:rFonts w:ascii="Times New Roman"/>
                <w:sz w:val="18"/>
              </w:rPr>
              <w:t>-1,338</w:t>
            </w: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87" w:right="0"/>
              <w:jc w:val="left"/>
              <w:rPr>
                <w:rFonts w:ascii="Times New Roman" w:hAnsi="Times New Roman" w:cs="Times New Roman" w:eastAsia="Times New Roman" w:hint="default"/>
                <w:sz w:val="18"/>
                <w:szCs w:val="18"/>
              </w:rPr>
            </w:pPr>
            <w:r>
              <w:rPr>
                <w:rFonts w:ascii="Times New Roman"/>
                <w:sz w:val="18"/>
              </w:rPr>
              <w:t>3,627,48</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29"/>
        <w:gridCol w:w="595"/>
        <w:gridCol w:w="572"/>
        <w:gridCol w:w="576"/>
        <w:gridCol w:w="572"/>
        <w:gridCol w:w="682"/>
        <w:gridCol w:w="687"/>
        <w:gridCol w:w="686"/>
        <w:gridCol w:w="783"/>
        <w:gridCol w:w="662"/>
        <w:gridCol w:w="802"/>
        <w:gridCol w:w="797"/>
        <w:gridCol w:w="926"/>
      </w:tblGrid>
      <w:tr>
        <w:trPr>
          <w:trHeight w:val="672"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105" w:right="209"/>
              <w:jc w:val="left"/>
              <w:rPr>
                <w:rFonts w:ascii="宋体" w:hAnsi="宋体" w:cs="宋体" w:eastAsia="宋体" w:hint="default"/>
                <w:sz w:val="18"/>
                <w:szCs w:val="18"/>
              </w:rPr>
            </w:pPr>
            <w:r>
              <w:rPr>
                <w:rFonts w:ascii="宋体" w:hAnsi="宋体" w:cs="宋体" w:eastAsia="宋体" w:hint="default"/>
                <w:spacing w:val="-2"/>
                <w:sz w:val="18"/>
                <w:szCs w:val="18"/>
              </w:rPr>
              <w:t>计入所有者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权益的金额</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101.9</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,382.7</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99" w:right="0"/>
              <w:jc w:val="left"/>
              <w:rPr>
                <w:rFonts w:ascii="Times New Roman" w:hAnsi="Times New Roman" w:cs="Times New Roman" w:eastAsia="Times New Roman" w:hint="default"/>
                <w:sz w:val="18"/>
                <w:szCs w:val="18"/>
              </w:rPr>
            </w:pPr>
            <w:r>
              <w:rPr>
                <w:rFonts w:ascii="Times New Roman"/>
                <w:sz w:val="18"/>
              </w:rPr>
              <w:t>4.69</w:t>
            </w:r>
          </w:p>
        </w:tc>
      </w:tr>
      <w:tr>
        <w:trPr>
          <w:trHeight w:val="404"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5" w:right="94"/>
              <w:jc w:val="left"/>
              <w:rPr>
                <w:rFonts w:ascii="宋体" w:hAnsi="宋体" w:cs="宋体" w:eastAsia="宋体" w:hint="default"/>
                <w:sz w:val="18"/>
                <w:szCs w:val="18"/>
              </w:rPr>
            </w:pPr>
            <w:r>
              <w:rPr>
                <w:rFonts w:ascii="宋体" w:hAnsi="宋体" w:cs="宋体" w:eastAsia="宋体" w:hint="default"/>
                <w:spacing w:val="-13"/>
                <w:w w:val="101"/>
                <w:sz w:val="18"/>
                <w:szCs w:val="18"/>
              </w:rPr>
              <w:t>（三）利润分</w:t>
            </w:r>
            <w:r>
              <w:rPr>
                <w:rFonts w:ascii="宋体" w:hAnsi="宋体" w:cs="宋体" w:eastAsia="宋体" w:hint="default"/>
                <w:w w:val="101"/>
                <w:sz w:val="18"/>
                <w:szCs w:val="18"/>
              </w:rPr>
              <w:t> </w:t>
            </w:r>
            <w:r>
              <w:rPr>
                <w:rFonts w:ascii="宋体" w:hAnsi="宋体" w:cs="宋体" w:eastAsia="宋体" w:hint="default"/>
                <w:sz w:val="18"/>
                <w:szCs w:val="18"/>
              </w:rPr>
              <w:t>配</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9,364</w:t>
            </w:r>
          </w:p>
          <w:p>
            <w:pPr>
              <w:pStyle w:val="TableParagraph"/>
              <w:spacing w:line="240" w:lineRule="auto" w:before="105"/>
              <w:ind w:left="93" w:right="0"/>
              <w:jc w:val="center"/>
              <w:rPr>
                <w:rFonts w:ascii="Times New Roman" w:hAnsi="Times New Roman" w:cs="Times New Roman" w:eastAsia="Times New Roman" w:hint="default"/>
                <w:sz w:val="18"/>
                <w:szCs w:val="18"/>
              </w:rPr>
            </w:pPr>
            <w:r>
              <w:rPr>
                <w:rFonts w:ascii="Times New Roman"/>
                <w:sz w:val="18"/>
              </w:rPr>
              <w:t>,381.</w:t>
            </w:r>
          </w:p>
          <w:p>
            <w:pPr>
              <w:pStyle w:val="TableParagraph"/>
              <w:spacing w:line="240" w:lineRule="auto" w:before="110"/>
              <w:ind w:left="278" w:right="0"/>
              <w:jc w:val="center"/>
              <w:rPr>
                <w:rFonts w:ascii="Times New Roman" w:hAnsi="Times New Roman" w:cs="Times New Roman" w:eastAsia="Times New Roman" w:hint="default"/>
                <w:sz w:val="18"/>
                <w:szCs w:val="18"/>
              </w:rPr>
            </w:pPr>
            <w:r>
              <w:rPr>
                <w:rFonts w:ascii="Times New Roman"/>
                <w:sz w:val="18"/>
              </w:rPr>
              <w:t>30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-25,353</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,725.60</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-15,989,3</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44.30</w:t>
            </w: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4" w:lineRule="auto"/>
              <w:ind w:left="105" w:right="11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公积</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9,364</w:t>
            </w:r>
          </w:p>
          <w:p>
            <w:pPr>
              <w:pStyle w:val="TableParagraph"/>
              <w:spacing w:line="240" w:lineRule="auto" w:before="100"/>
              <w:ind w:left="93" w:right="0"/>
              <w:jc w:val="center"/>
              <w:rPr>
                <w:rFonts w:ascii="Times New Roman" w:hAnsi="Times New Roman" w:cs="Times New Roman" w:eastAsia="Times New Roman" w:hint="default"/>
                <w:sz w:val="18"/>
                <w:szCs w:val="18"/>
              </w:rPr>
            </w:pPr>
            <w:r>
              <w:rPr>
                <w:rFonts w:ascii="Times New Roman"/>
                <w:sz w:val="18"/>
              </w:rPr>
              <w:t>,381.</w:t>
            </w:r>
          </w:p>
          <w:p>
            <w:pPr>
              <w:pStyle w:val="TableParagraph"/>
              <w:spacing w:line="240" w:lineRule="auto" w:before="110"/>
              <w:ind w:left="278" w:right="0"/>
              <w:jc w:val="center"/>
              <w:rPr>
                <w:rFonts w:ascii="Times New Roman" w:hAnsi="Times New Roman" w:cs="Times New Roman" w:eastAsia="Times New Roman" w:hint="default"/>
                <w:sz w:val="18"/>
                <w:szCs w:val="18"/>
              </w:rPr>
            </w:pPr>
            <w:r>
              <w:rPr>
                <w:rFonts w:ascii="Times New Roman"/>
                <w:sz w:val="18"/>
              </w:rPr>
              <w:t>30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78" w:right="0"/>
              <w:jc w:val="left"/>
              <w:rPr>
                <w:rFonts w:ascii="Times New Roman" w:hAnsi="Times New Roman" w:cs="Times New Roman" w:eastAsia="Times New Roman" w:hint="default"/>
                <w:sz w:val="18"/>
                <w:szCs w:val="18"/>
              </w:rPr>
            </w:pPr>
            <w:r>
              <w:rPr>
                <w:rFonts w:ascii="Times New Roman"/>
                <w:sz w:val="18"/>
              </w:rPr>
              <w:t>-9,364,</w:t>
            </w:r>
          </w:p>
          <w:p>
            <w:pPr>
              <w:pStyle w:val="TableParagraph"/>
              <w:spacing w:line="240" w:lineRule="auto" w:before="110"/>
              <w:ind w:left="192" w:right="0"/>
              <w:jc w:val="left"/>
              <w:rPr>
                <w:rFonts w:ascii="Times New Roman" w:hAnsi="Times New Roman" w:cs="Times New Roman" w:eastAsia="Times New Roman" w:hint="default"/>
                <w:sz w:val="18"/>
                <w:szCs w:val="18"/>
              </w:rPr>
            </w:pPr>
            <w:r>
              <w:rPr>
                <w:rFonts w:ascii="Times New Roman"/>
                <w:sz w:val="18"/>
              </w:rPr>
              <w:t>381.30</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w:t>
            </w:r>
          </w:p>
          <w:p>
            <w:pPr>
              <w:pStyle w:val="TableParagraph"/>
              <w:spacing w:line="321" w:lineRule="auto" w:before="58"/>
              <w:ind w:left="105" w:right="94"/>
              <w:jc w:val="left"/>
              <w:rPr>
                <w:rFonts w:ascii="宋体" w:hAnsi="宋体" w:cs="宋体" w:eastAsia="宋体" w:hint="default"/>
                <w:sz w:val="18"/>
                <w:szCs w:val="18"/>
              </w:rPr>
            </w:pPr>
            <w:r>
              <w:rPr>
                <w:rFonts w:ascii="宋体" w:hAnsi="宋体" w:cs="宋体" w:eastAsia="宋体" w:hint="default"/>
                <w:spacing w:val="-13"/>
                <w:w w:val="101"/>
                <w:sz w:val="18"/>
                <w:szCs w:val="18"/>
              </w:rPr>
              <w:t>（或股东）的</w:t>
            </w:r>
            <w:r>
              <w:rPr>
                <w:rFonts w:ascii="宋体" w:hAnsi="宋体" w:cs="宋体" w:eastAsia="宋体" w:hint="default"/>
                <w:w w:val="101"/>
                <w:sz w:val="18"/>
                <w:szCs w:val="18"/>
              </w:rPr>
              <w:t> </w:t>
            </w:r>
            <w:r>
              <w:rPr>
                <w:rFonts w:ascii="宋体" w:hAnsi="宋体" w:cs="宋体" w:eastAsia="宋体" w:hint="default"/>
                <w:sz w:val="18"/>
                <w:szCs w:val="18"/>
              </w:rPr>
              <w:t>分配</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-15,989</w:t>
            </w:r>
          </w:p>
          <w:p>
            <w:pPr>
              <w:pStyle w:val="TableParagraph"/>
              <w:spacing w:line="240" w:lineRule="auto" w:before="110"/>
              <w:ind w:left="149" w:right="0"/>
              <w:jc w:val="left"/>
              <w:rPr>
                <w:rFonts w:ascii="Times New Roman" w:hAnsi="Times New Roman" w:cs="Times New Roman" w:eastAsia="Times New Roman" w:hint="default"/>
                <w:sz w:val="18"/>
                <w:szCs w:val="18"/>
              </w:rPr>
            </w:pPr>
            <w:r>
              <w:rPr>
                <w:rFonts w:ascii="Times New Roman"/>
                <w:sz w:val="18"/>
              </w:rPr>
              <w:t>,344.30</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-15,989,3</w:t>
            </w:r>
          </w:p>
          <w:p>
            <w:pPr>
              <w:pStyle w:val="TableParagraph"/>
              <w:spacing w:line="240" w:lineRule="auto" w:before="110"/>
              <w:ind w:left="412" w:right="0"/>
              <w:jc w:val="left"/>
              <w:rPr>
                <w:rFonts w:ascii="Times New Roman" w:hAnsi="Times New Roman" w:cs="Times New Roman" w:eastAsia="Times New Roman" w:hint="default"/>
                <w:sz w:val="18"/>
                <w:szCs w:val="18"/>
              </w:rPr>
            </w:pPr>
            <w:r>
              <w:rPr>
                <w:rFonts w:ascii="Times New Roman"/>
                <w:sz w:val="18"/>
              </w:rPr>
              <w:t>44.30</w:t>
            </w:r>
          </w:p>
        </w:tc>
      </w:tr>
      <w:tr>
        <w:trPr>
          <w:trHeight w:val="404"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94"/>
              <w:jc w:val="left"/>
              <w:rPr>
                <w:rFonts w:ascii="宋体" w:hAnsi="宋体" w:cs="宋体" w:eastAsia="宋体" w:hint="default"/>
                <w:sz w:val="18"/>
                <w:szCs w:val="18"/>
              </w:rPr>
            </w:pPr>
            <w:r>
              <w:rPr>
                <w:rFonts w:ascii="宋体" w:hAnsi="宋体" w:cs="宋体" w:eastAsia="宋体" w:hint="default"/>
                <w:spacing w:val="-13"/>
                <w:w w:val="101"/>
                <w:sz w:val="18"/>
                <w:szCs w:val="18"/>
              </w:rPr>
              <w:t>（四）所有者</w:t>
            </w:r>
            <w:r>
              <w:rPr>
                <w:rFonts w:ascii="宋体" w:hAnsi="宋体" w:cs="宋体" w:eastAsia="宋体" w:hint="default"/>
                <w:w w:val="101"/>
                <w:sz w:val="18"/>
                <w:szCs w:val="18"/>
              </w:rPr>
              <w:t> </w:t>
            </w:r>
            <w:r>
              <w:rPr>
                <w:rFonts w:ascii="宋体" w:hAnsi="宋体" w:cs="宋体" w:eastAsia="宋体" w:hint="default"/>
                <w:sz w:val="18"/>
                <w:szCs w:val="18"/>
              </w:rPr>
              <w:t>权益内部结</w:t>
            </w:r>
            <w:r>
              <w:rPr>
                <w:rFonts w:ascii="宋体" w:hAnsi="宋体" w:cs="宋体" w:eastAsia="宋体" w:hint="default"/>
                <w:w w:val="101"/>
                <w:sz w:val="18"/>
                <w:szCs w:val="18"/>
              </w:rPr>
              <w:t> </w:t>
            </w:r>
            <w:r>
              <w:rPr>
                <w:rFonts w:ascii="宋体" w:hAnsi="宋体" w:cs="宋体" w:eastAsia="宋体" w:hint="default"/>
                <w:sz w:val="18"/>
                <w:szCs w:val="18"/>
              </w:rPr>
              <w:t>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05" w:right="94"/>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转增资本（或</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股本）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05" w:right="94"/>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转增资本（或</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股本）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105" w:right="11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弥补亏损</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05" w:right="11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计划变动额</w:t>
            </w:r>
            <w:r>
              <w:rPr>
                <w:rFonts w:ascii="宋体" w:hAnsi="宋体" w:cs="宋体" w:eastAsia="宋体" w:hint="default"/>
                <w:w w:val="101"/>
                <w:sz w:val="18"/>
                <w:szCs w:val="18"/>
              </w:rPr>
              <w:t> </w:t>
            </w:r>
            <w:r>
              <w:rPr>
                <w:rFonts w:ascii="宋体" w:hAnsi="宋体" w:cs="宋体" w:eastAsia="宋体" w:hint="default"/>
                <w:sz w:val="18"/>
                <w:szCs w:val="18"/>
              </w:rPr>
              <w:t>结转留存收</w:t>
            </w:r>
            <w:r>
              <w:rPr>
                <w:rFonts w:ascii="宋体" w:hAnsi="宋体" w:cs="宋体" w:eastAsia="宋体" w:hint="default"/>
                <w:w w:val="101"/>
                <w:sz w:val="18"/>
                <w:szCs w:val="18"/>
              </w:rPr>
              <w:t> </w:t>
            </w:r>
            <w:r>
              <w:rPr>
                <w:rFonts w:ascii="宋体" w:hAnsi="宋体" w:cs="宋体" w:eastAsia="宋体" w:hint="default"/>
                <w:sz w:val="18"/>
                <w:szCs w:val="18"/>
              </w:rPr>
              <w:t>益</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05" w:right="11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收益结转留</w:t>
            </w:r>
            <w:r>
              <w:rPr>
                <w:rFonts w:ascii="宋体" w:hAnsi="宋体" w:cs="宋体" w:eastAsia="宋体" w:hint="default"/>
                <w:w w:val="101"/>
                <w:sz w:val="18"/>
                <w:szCs w:val="18"/>
              </w:rPr>
              <w:t> </w:t>
            </w:r>
            <w:r>
              <w:rPr>
                <w:rFonts w:ascii="宋体" w:hAnsi="宋体" w:cs="宋体" w:eastAsia="宋体" w:hint="default"/>
                <w:sz w:val="18"/>
                <w:szCs w:val="18"/>
              </w:rPr>
              <w:t>存收益</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05" w:right="94"/>
              <w:jc w:val="left"/>
              <w:rPr>
                <w:rFonts w:ascii="宋体" w:hAnsi="宋体" w:cs="宋体" w:eastAsia="宋体" w:hint="default"/>
                <w:sz w:val="18"/>
                <w:szCs w:val="18"/>
              </w:rPr>
            </w:pPr>
            <w:r>
              <w:rPr>
                <w:rFonts w:ascii="宋体" w:hAnsi="宋体" w:cs="宋体" w:eastAsia="宋体" w:hint="default"/>
                <w:spacing w:val="-13"/>
                <w:w w:val="101"/>
                <w:sz w:val="18"/>
                <w:szCs w:val="18"/>
              </w:rPr>
              <w:t>（五）专项储</w:t>
            </w:r>
            <w:r>
              <w:rPr>
                <w:rFonts w:ascii="宋体" w:hAnsi="宋体" w:cs="宋体" w:eastAsia="宋体" w:hint="default"/>
                <w:w w:val="101"/>
                <w:sz w:val="18"/>
                <w:szCs w:val="18"/>
              </w:rPr>
              <w:t> </w:t>
            </w:r>
            <w:r>
              <w:rPr>
                <w:rFonts w:ascii="宋体" w:hAnsi="宋体" w:cs="宋体" w:eastAsia="宋体" w:hint="default"/>
                <w:sz w:val="18"/>
                <w:szCs w:val="18"/>
              </w:rPr>
              <w:t>备</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94"/>
              <w:jc w:val="left"/>
              <w:rPr>
                <w:rFonts w:ascii="宋体" w:hAnsi="宋体" w:cs="宋体" w:eastAsia="宋体" w:hint="default"/>
                <w:sz w:val="18"/>
                <w:szCs w:val="18"/>
              </w:rPr>
            </w:pPr>
            <w:r>
              <w:rPr>
                <w:rFonts w:ascii="宋体" w:hAnsi="宋体" w:cs="宋体" w:eastAsia="宋体" w:hint="default"/>
                <w:spacing w:val="-13"/>
                <w:sz w:val="18"/>
                <w:szCs w:val="18"/>
              </w:rPr>
              <w:t>四、本期期末</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余额</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67" w:right="0"/>
              <w:jc w:val="left"/>
              <w:rPr>
                <w:rFonts w:ascii="Times New Roman" w:hAnsi="Times New Roman" w:cs="Times New Roman" w:eastAsia="Times New Roman" w:hint="default"/>
                <w:sz w:val="18"/>
                <w:szCs w:val="18"/>
              </w:rPr>
            </w:pPr>
            <w:r>
              <w:rPr>
                <w:rFonts w:ascii="Times New Roman"/>
                <w:sz w:val="18"/>
              </w:rPr>
              <w:t>399,</w:t>
            </w:r>
          </w:p>
          <w:p>
            <w:pPr>
              <w:pStyle w:val="TableParagraph"/>
              <w:spacing w:line="240" w:lineRule="auto" w:before="100"/>
              <w:ind w:left="167" w:right="0"/>
              <w:jc w:val="left"/>
              <w:rPr>
                <w:rFonts w:ascii="Times New Roman" w:hAnsi="Times New Roman" w:cs="Times New Roman" w:eastAsia="Times New Roman" w:hint="default"/>
                <w:sz w:val="18"/>
                <w:szCs w:val="18"/>
              </w:rPr>
            </w:pPr>
            <w:r>
              <w:rPr>
                <w:rFonts w:ascii="Times New Roman"/>
                <w:sz w:val="18"/>
              </w:rPr>
              <w:t>083,</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19" w:right="0"/>
              <w:jc w:val="left"/>
              <w:rPr>
                <w:rFonts w:ascii="Times New Roman" w:hAnsi="Times New Roman" w:cs="Times New Roman" w:eastAsia="Times New Roman" w:hint="default"/>
                <w:sz w:val="18"/>
                <w:szCs w:val="18"/>
              </w:rPr>
            </w:pPr>
            <w:r>
              <w:rPr>
                <w:rFonts w:ascii="Times New Roman"/>
                <w:sz w:val="18"/>
              </w:rPr>
              <w:t>1,798,</w:t>
            </w:r>
          </w:p>
          <w:p>
            <w:pPr>
              <w:pStyle w:val="TableParagraph"/>
              <w:spacing w:line="240" w:lineRule="auto" w:before="100"/>
              <w:ind w:left="167" w:right="0"/>
              <w:jc w:val="left"/>
              <w:rPr>
                <w:rFonts w:ascii="Times New Roman" w:hAnsi="Times New Roman" w:cs="Times New Roman" w:eastAsia="Times New Roman" w:hint="default"/>
                <w:sz w:val="18"/>
                <w:szCs w:val="18"/>
              </w:rPr>
            </w:pPr>
            <w:r>
              <w:rPr>
                <w:rFonts w:ascii="Times New Roman"/>
                <w:sz w:val="18"/>
              </w:rPr>
              <w:t>226,1</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24" w:right="0"/>
              <w:jc w:val="left"/>
              <w:rPr>
                <w:rFonts w:ascii="Times New Roman" w:hAnsi="Times New Roman" w:cs="Times New Roman" w:eastAsia="Times New Roman" w:hint="default"/>
                <w:sz w:val="18"/>
                <w:szCs w:val="18"/>
              </w:rPr>
            </w:pPr>
            <w:r>
              <w:rPr>
                <w:rFonts w:ascii="Times New Roman"/>
                <w:sz w:val="18"/>
              </w:rPr>
              <w:t>1,295,</w:t>
            </w:r>
          </w:p>
          <w:p>
            <w:pPr>
              <w:pStyle w:val="TableParagraph"/>
              <w:spacing w:line="240" w:lineRule="auto" w:before="100"/>
              <w:ind w:left="172" w:right="0"/>
              <w:jc w:val="left"/>
              <w:rPr>
                <w:rFonts w:ascii="Times New Roman" w:hAnsi="Times New Roman" w:cs="Times New Roman" w:eastAsia="Times New Roman" w:hint="default"/>
                <w:sz w:val="18"/>
                <w:szCs w:val="18"/>
              </w:rPr>
            </w:pPr>
            <w:r>
              <w:rPr>
                <w:rFonts w:ascii="Times New Roman"/>
                <w:sz w:val="18"/>
              </w:rPr>
              <w:t>635.0</w:t>
            </w: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48" w:right="0"/>
              <w:jc w:val="left"/>
              <w:rPr>
                <w:rFonts w:ascii="Times New Roman" w:hAnsi="Times New Roman" w:cs="Times New Roman" w:eastAsia="Times New Roman" w:hint="default"/>
                <w:sz w:val="18"/>
                <w:szCs w:val="18"/>
              </w:rPr>
            </w:pPr>
            <w:r>
              <w:rPr>
                <w:rFonts w:ascii="Times New Roman"/>
                <w:sz w:val="18"/>
              </w:rPr>
              <w:t>79,00</w:t>
            </w:r>
          </w:p>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5,526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92" w:right="0"/>
              <w:jc w:val="left"/>
              <w:rPr>
                <w:rFonts w:ascii="Times New Roman" w:hAnsi="Times New Roman" w:cs="Times New Roman" w:eastAsia="Times New Roman" w:hint="default"/>
                <w:sz w:val="18"/>
                <w:szCs w:val="18"/>
              </w:rPr>
            </w:pPr>
            <w:r>
              <w:rPr>
                <w:rFonts w:ascii="Times New Roman"/>
                <w:sz w:val="18"/>
              </w:rPr>
              <w:t>505,77</w:t>
            </w:r>
          </w:p>
          <w:p>
            <w:pPr>
              <w:pStyle w:val="TableParagraph"/>
              <w:spacing w:line="240" w:lineRule="auto" w:before="100"/>
              <w:ind w:left="149" w:right="0"/>
              <w:jc w:val="left"/>
              <w:rPr>
                <w:rFonts w:ascii="Times New Roman" w:hAnsi="Times New Roman" w:cs="Times New Roman" w:eastAsia="Times New Roman" w:hint="default"/>
                <w:sz w:val="18"/>
                <w:szCs w:val="18"/>
              </w:rPr>
            </w:pPr>
            <w:r>
              <w:rPr>
                <w:rFonts w:ascii="Times New Roman"/>
                <w:sz w:val="18"/>
              </w:rPr>
              <w:t>7,642.8</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7" w:right="0"/>
              <w:jc w:val="left"/>
              <w:rPr>
                <w:rFonts w:ascii="Times New Roman" w:hAnsi="Times New Roman" w:cs="Times New Roman" w:eastAsia="Times New Roman" w:hint="default"/>
                <w:sz w:val="18"/>
                <w:szCs w:val="18"/>
              </w:rPr>
            </w:pPr>
            <w:r>
              <w:rPr>
                <w:rFonts w:ascii="Times New Roman"/>
                <w:sz w:val="18"/>
              </w:rPr>
              <w:t>2,780,79</w:t>
            </w:r>
          </w:p>
          <w:p>
            <w:pPr>
              <w:pStyle w:val="TableParagraph"/>
              <w:spacing w:line="240" w:lineRule="auto" w:before="109"/>
              <w:ind w:left="187" w:right="0"/>
              <w:jc w:val="left"/>
              <w:rPr>
                <w:rFonts w:ascii="Times New Roman" w:hAnsi="Times New Roman" w:cs="Times New Roman" w:eastAsia="Times New Roman" w:hint="default"/>
                <w:sz w:val="18"/>
                <w:szCs w:val="18"/>
              </w:rPr>
            </w:pPr>
            <w:r>
              <w:rPr>
                <w:rFonts w:ascii="Times New Roman"/>
                <w:sz w:val="18"/>
              </w:rPr>
              <w:t>7,530.76</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29"/>
        <w:gridCol w:w="595"/>
        <w:gridCol w:w="572"/>
        <w:gridCol w:w="576"/>
        <w:gridCol w:w="572"/>
        <w:gridCol w:w="682"/>
        <w:gridCol w:w="687"/>
        <w:gridCol w:w="686"/>
        <w:gridCol w:w="783"/>
        <w:gridCol w:w="662"/>
        <w:gridCol w:w="802"/>
        <w:gridCol w:w="797"/>
        <w:gridCol w:w="926"/>
      </w:tblGrid>
      <w:tr>
        <w:trPr>
          <w:trHeight w:val="672"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9" w:right="0"/>
              <w:jc w:val="center"/>
              <w:rPr>
                <w:rFonts w:ascii="Times New Roman" w:hAnsi="Times New Roman" w:cs="Times New Roman" w:eastAsia="Times New Roman" w:hint="default"/>
                <w:sz w:val="18"/>
                <w:szCs w:val="18"/>
              </w:rPr>
            </w:pPr>
            <w:r>
              <w:rPr>
                <w:rFonts w:ascii="Times New Roman"/>
                <w:sz w:val="18"/>
              </w:rPr>
              <w:t>860.</w:t>
            </w:r>
          </w:p>
          <w:p>
            <w:pPr>
              <w:pStyle w:val="TableParagraph"/>
              <w:spacing w:line="240" w:lineRule="auto" w:before="110"/>
              <w:ind w:left="211" w:right="0"/>
              <w:jc w:val="center"/>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67" w:right="0"/>
              <w:jc w:val="left"/>
              <w:rPr>
                <w:rFonts w:ascii="Times New Roman" w:hAnsi="Times New Roman" w:cs="Times New Roman" w:eastAsia="Times New Roman" w:hint="default"/>
                <w:sz w:val="18"/>
                <w:szCs w:val="18"/>
              </w:rPr>
            </w:pPr>
            <w:r>
              <w:rPr>
                <w:rFonts w:ascii="Times New Roman"/>
                <w:sz w:val="18"/>
              </w:rPr>
              <w:t>36.64</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26" w:right="0"/>
              <w:jc w:val="left"/>
              <w:rPr>
                <w:rFonts w:ascii="Times New Roman" w:hAnsi="Times New Roman" w:cs="Times New Roman" w:eastAsia="Times New Roman" w:hint="default"/>
                <w:sz w:val="18"/>
                <w:szCs w:val="18"/>
              </w:rPr>
            </w:pPr>
            <w:r>
              <w:rPr>
                <w:rFonts w:ascii="Times New Roman"/>
                <w:sz w:val="18"/>
              </w:rPr>
              <w:t>.29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Times New Roman" w:hAnsi="Times New Roman" w:cs="Times New Roman" w:eastAsia="Times New Roman" w:hint="default"/>
          <w:sz w:val="20"/>
          <w:szCs w:val="20"/>
        </w:rPr>
      </w:pPr>
    </w:p>
    <w:p>
      <w:pPr>
        <w:pStyle w:val="Heading2"/>
        <w:spacing w:line="240" w:lineRule="auto" w:before="26"/>
        <w:ind w:right="1764"/>
        <w:jc w:val="left"/>
        <w:rPr>
          <w:b w:val="0"/>
          <w:bCs w:val="0"/>
        </w:rPr>
      </w:pPr>
      <w:bookmarkStart w:name="三、公司基本情况" w:id="166"/>
      <w:bookmarkEnd w:id="166"/>
      <w:r>
        <w:rPr>
          <w:b w:val="0"/>
          <w:bCs w:val="0"/>
        </w:rPr>
      </w:r>
      <w:r>
        <w:rPr/>
        <w:t>三、公司基本情况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764"/>
        <w:jc w:val="left"/>
        <w:rPr>
          <w:b w:val="0"/>
          <w:bCs w:val="0"/>
        </w:rPr>
      </w:pPr>
      <w:r>
        <w:rPr>
          <w:rFonts w:ascii="宋体" w:hAnsi="宋体" w:cs="宋体" w:eastAsia="宋体" w:hint="default"/>
        </w:rPr>
        <w:t>1.</w:t>
      </w:r>
      <w:r>
        <w:rPr/>
        <w:t>公司注册地、组织形式和总部地址</w:t>
      </w:r>
      <w:r>
        <w:rPr>
          <w:b w:val="0"/>
          <w:bCs w:val="0"/>
        </w:rPr>
      </w:r>
    </w:p>
    <w:p>
      <w:pPr>
        <w:pStyle w:val="BodyText"/>
        <w:spacing w:line="268" w:lineRule="auto" w:before="37"/>
        <w:ind w:right="1122" w:firstLine="422"/>
        <w:jc w:val="left"/>
      </w:pPr>
      <w:r>
        <w:rPr>
          <w:spacing w:val="-3"/>
        </w:rPr>
        <w:t>深圳天源迪科信息技术股份有限公司（以下简称</w:t>
      </w:r>
      <w:r>
        <w:rPr>
          <w:rFonts w:ascii="Times New Roman" w:hAnsi="Times New Roman" w:cs="Times New Roman" w:eastAsia="Times New Roman" w:hint="default"/>
          <w:spacing w:val="-3"/>
        </w:rPr>
        <w:t>“</w:t>
      </w:r>
      <w:r>
        <w:rPr>
          <w:spacing w:val="-3"/>
        </w:rPr>
        <w:t>公司</w:t>
      </w:r>
      <w:r>
        <w:rPr>
          <w:rFonts w:ascii="Times New Roman" w:hAnsi="Times New Roman" w:cs="Times New Roman" w:eastAsia="Times New Roman" w:hint="default"/>
          <w:spacing w:val="-3"/>
        </w:rPr>
        <w:t>”</w:t>
      </w:r>
      <w:r>
        <w:rPr>
          <w:spacing w:val="-3"/>
        </w:rPr>
        <w:t>或</w:t>
      </w:r>
      <w:r>
        <w:rPr>
          <w:rFonts w:ascii="Times New Roman" w:hAnsi="Times New Roman" w:cs="Times New Roman" w:eastAsia="Times New Roman" w:hint="default"/>
          <w:spacing w:val="-3"/>
        </w:rPr>
        <w:t>“</w:t>
      </w:r>
      <w:r>
        <w:rPr>
          <w:spacing w:val="-3"/>
        </w:rPr>
        <w:t>本公司</w:t>
      </w:r>
      <w:r>
        <w:rPr>
          <w:rFonts w:ascii="Times New Roman" w:hAnsi="Times New Roman" w:cs="Times New Roman" w:eastAsia="Times New Roman" w:hint="default"/>
          <w:spacing w:val="-3"/>
        </w:rPr>
        <w:t>”</w:t>
      </w:r>
      <w:r>
        <w:rPr>
          <w:spacing w:val="-3"/>
        </w:rPr>
        <w:t>）</w:t>
      </w:r>
      <w:r>
        <w:rPr>
          <w:spacing w:val="5"/>
        </w:rPr>
        <w:t> </w:t>
      </w:r>
      <w:r>
        <w:rPr/>
        <w:t>前身为前身为深圳天源迪科计算</w:t>
      </w:r>
      <w:r>
        <w:rPr>
          <w:w w:val="100"/>
        </w:rPr>
        <w:t> </w:t>
      </w:r>
      <w:r>
        <w:rPr/>
        <w:t>机有限公司，成立于</w:t>
      </w:r>
      <w:r>
        <w:rPr>
          <w:rFonts w:ascii="宋体" w:hAnsi="宋体" w:cs="宋体" w:eastAsia="宋体" w:hint="default"/>
        </w:rPr>
        <w:t>1993</w:t>
      </w:r>
      <w:r>
        <w:rPr/>
        <w:t>年</w:t>
      </w:r>
      <w:r>
        <w:rPr>
          <w:rFonts w:ascii="宋体" w:hAnsi="宋体" w:cs="宋体" w:eastAsia="宋体" w:hint="default"/>
        </w:rPr>
        <w:t>1</w:t>
      </w:r>
      <w:r>
        <w:rPr/>
        <w:t>月</w:t>
      </w:r>
      <w:r>
        <w:rPr>
          <w:rFonts w:ascii="宋体" w:hAnsi="宋体" w:cs="宋体" w:eastAsia="宋体" w:hint="default"/>
        </w:rPr>
        <w:t>18</w:t>
      </w:r>
      <w:r>
        <w:rPr/>
        <w:t>日，经深圳市人民政府深府外复</w:t>
      </w:r>
      <w:r>
        <w:rPr>
          <w:rFonts w:ascii="宋体" w:hAnsi="宋体" w:cs="宋体" w:eastAsia="宋体" w:hint="default"/>
        </w:rPr>
        <w:t>[1992]1904</w:t>
      </w:r>
      <w:r>
        <w:rPr/>
        <w:t>号《关于合资经营天源迪科</w:t>
      </w:r>
      <w:r>
        <w:rPr>
          <w:w w:val="100"/>
        </w:rPr>
        <w:t> </w:t>
      </w:r>
      <w:r>
        <w:rPr>
          <w:spacing w:val="-4"/>
          <w:w w:val="100"/>
        </w:rPr>
        <w:t>计算机有限公司的批复》批准，由深圳市天源实业股份有限公司（以下简称“天源实业公司”）和香港泰</w:t>
      </w:r>
      <w:r>
        <w:rPr>
          <w:spacing w:val="-83"/>
          <w:w w:val="100"/>
        </w:rPr>
        <w:t> </w:t>
      </w:r>
      <w:r>
        <w:rPr>
          <w:spacing w:val="-83"/>
          <w:w w:val="100"/>
        </w:rPr>
      </w:r>
      <w:r>
        <w:rPr>
          <w:spacing w:val="-4"/>
          <w:w w:val="100"/>
        </w:rPr>
        <w:t>汇国际有限公司（以下简称“香港泰汇公司”）共同发起设立，领取注册号为工商外企合粤深字第</w:t>
      </w:r>
      <w:r>
        <w:rPr>
          <w:rFonts w:ascii="宋体" w:hAnsi="宋体" w:cs="宋体" w:eastAsia="宋体" w:hint="default"/>
          <w:spacing w:val="-4"/>
          <w:w w:val="100"/>
        </w:rPr>
        <w:t>103505</w:t>
      </w:r>
      <w:r>
        <w:rPr>
          <w:rFonts w:ascii="宋体" w:hAnsi="宋体" w:cs="宋体" w:eastAsia="宋体" w:hint="default"/>
          <w:spacing w:val="-68"/>
          <w:w w:val="100"/>
        </w:rPr>
        <w:t> </w:t>
      </w:r>
      <w:r>
        <w:rPr>
          <w:rFonts w:ascii="宋体" w:hAnsi="宋体" w:cs="宋体" w:eastAsia="宋体" w:hint="default"/>
          <w:spacing w:val="-68"/>
          <w:w w:val="100"/>
        </w:rPr>
      </w:r>
      <w:r>
        <w:rPr/>
        <w:t>号中华人民共和国企业法人营业执照。</w:t>
      </w:r>
    </w:p>
    <w:p>
      <w:pPr>
        <w:pStyle w:val="BodyText"/>
        <w:spacing w:line="240" w:lineRule="auto" w:before="12"/>
        <w:ind w:left="535" w:right="1764"/>
        <w:jc w:val="left"/>
      </w:pPr>
      <w:r>
        <w:rPr>
          <w:rFonts w:ascii="宋体" w:hAnsi="宋体" w:cs="宋体" w:eastAsia="宋体" w:hint="default"/>
        </w:rPr>
        <w:t>2007</w:t>
      </w:r>
      <w:r>
        <w:rPr/>
        <w:t>年</w:t>
      </w:r>
      <w:r>
        <w:rPr>
          <w:rFonts w:ascii="宋体" w:hAnsi="宋体" w:cs="宋体" w:eastAsia="宋体" w:hint="default"/>
        </w:rPr>
        <w:t>4</w:t>
      </w:r>
      <w:r>
        <w:rPr/>
        <w:t>月</w:t>
      </w:r>
      <w:r>
        <w:rPr>
          <w:rFonts w:ascii="宋体" w:hAnsi="宋体" w:cs="宋体" w:eastAsia="宋体" w:hint="default"/>
        </w:rPr>
        <w:t>24</w:t>
      </w:r>
      <w:r>
        <w:rPr/>
        <w:t>日，在深圳天源迪科计算机有限公司基础上改组为股份有限公司。</w:t>
      </w:r>
    </w:p>
    <w:p>
      <w:pPr>
        <w:pStyle w:val="BodyText"/>
        <w:spacing w:line="268" w:lineRule="auto" w:before="37"/>
        <w:ind w:right="1007" w:firstLine="422"/>
        <w:jc w:val="left"/>
      </w:pPr>
      <w:r>
        <w:rPr>
          <w:rFonts w:ascii="宋体" w:hAnsi="宋体" w:cs="宋体" w:eastAsia="宋体" w:hint="default"/>
          <w:spacing w:val="-1"/>
        </w:rPr>
        <w:t>2010</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12</w:t>
      </w:r>
      <w:r>
        <w:rPr>
          <w:spacing w:val="-1"/>
        </w:rPr>
        <w:t>日，经中国证券监督管理委员会证监发行字</w:t>
      </w:r>
      <w:r>
        <w:rPr>
          <w:rFonts w:ascii="宋体" w:hAnsi="宋体" w:cs="宋体" w:eastAsia="宋体" w:hint="default"/>
          <w:spacing w:val="-1"/>
        </w:rPr>
        <w:t>[2009]1463</w:t>
      </w:r>
      <w:r>
        <w:rPr>
          <w:spacing w:val="-1"/>
        </w:rPr>
        <w:t>号文核准，本公司向社会公众发</w:t>
      </w:r>
      <w:r>
        <w:rPr>
          <w:w w:val="100"/>
        </w:rPr>
        <w:t> </w:t>
      </w:r>
      <w:r>
        <w:rPr>
          <w:spacing w:val="-2"/>
        </w:rPr>
        <w:t>行人民币普通股</w:t>
      </w:r>
      <w:r>
        <w:rPr>
          <w:rFonts w:ascii="宋体" w:hAnsi="宋体" w:cs="宋体" w:eastAsia="宋体" w:hint="default"/>
          <w:spacing w:val="-2"/>
        </w:rPr>
        <w:t>2,700</w:t>
      </w:r>
      <w:r>
        <w:rPr>
          <w:spacing w:val="-2"/>
        </w:rPr>
        <w:t>万股，并于</w:t>
      </w:r>
      <w:r>
        <w:rPr>
          <w:rFonts w:ascii="宋体" w:hAnsi="宋体" w:cs="宋体" w:eastAsia="宋体" w:hint="default"/>
          <w:spacing w:val="-2"/>
        </w:rPr>
        <w:t>2010</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20</w:t>
      </w:r>
      <w:r>
        <w:rPr>
          <w:spacing w:val="-2"/>
        </w:rPr>
        <w:t>日在深圳证券交易所创业板上市，股票简称“天源迪科”</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51"/>
        </w:rPr>
        <w:t> </w:t>
      </w:r>
      <w:r>
        <w:rPr>
          <w:spacing w:val="-4"/>
          <w:w w:val="100"/>
        </w:rPr>
        <w:t>股票代码“</w:t>
      </w:r>
      <w:r>
        <w:rPr>
          <w:rFonts w:ascii="宋体" w:hAnsi="宋体" w:cs="宋体" w:eastAsia="宋体" w:hint="default"/>
          <w:spacing w:val="-4"/>
          <w:w w:val="100"/>
        </w:rPr>
        <w:t>300047</w:t>
      </w:r>
      <w:r>
        <w:rPr>
          <w:spacing w:val="-4"/>
          <w:w w:val="100"/>
        </w:rPr>
        <w:t>”，发行后本公司注册资本为人民币</w:t>
      </w:r>
      <w:r>
        <w:rPr>
          <w:rFonts w:ascii="宋体" w:hAnsi="宋体" w:cs="宋体" w:eastAsia="宋体" w:hint="default"/>
          <w:spacing w:val="-4"/>
          <w:w w:val="100"/>
        </w:rPr>
        <w:t>10,460</w:t>
      </w:r>
      <w:r>
        <w:rPr>
          <w:spacing w:val="-4"/>
          <w:w w:val="100"/>
        </w:rPr>
        <w:t>万元，现持有统一社会信用代码为</w:t>
      </w:r>
      <w:r>
        <w:rPr>
          <w:spacing w:val="-69"/>
          <w:w w:val="100"/>
        </w:rPr>
        <w:t> </w:t>
      </w:r>
      <w:r>
        <w:rPr>
          <w:spacing w:val="-69"/>
          <w:w w:val="100"/>
        </w:rPr>
      </w:r>
      <w:r>
        <w:rPr>
          <w:rFonts w:ascii="宋体" w:hAnsi="宋体" w:cs="宋体" w:eastAsia="宋体" w:hint="default"/>
        </w:rPr>
        <w:t>914403006188564330</w:t>
      </w:r>
      <w:r>
        <w:rPr/>
        <w:t>的营业执照。</w:t>
      </w:r>
    </w:p>
    <w:p>
      <w:pPr>
        <w:pStyle w:val="BodyText"/>
        <w:spacing w:line="273" w:lineRule="auto" w:before="12"/>
        <w:ind w:right="1122" w:firstLine="422"/>
        <w:jc w:val="both"/>
      </w:pPr>
      <w:r>
        <w:rPr>
          <w:spacing w:val="-2"/>
        </w:rPr>
        <w:t>经过历年的派送红股、配售新股、转增股本及增发新股，截止</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日，本公司累计发行股本</w:t>
      </w:r>
      <w:r>
        <w:rPr>
          <w:w w:val="100"/>
        </w:rPr>
        <w:t> </w:t>
      </w:r>
      <w:r>
        <w:rPr>
          <w:spacing w:val="-2"/>
        </w:rPr>
        <w:t>总数</w:t>
      </w:r>
      <w:r>
        <w:rPr>
          <w:rFonts w:ascii="宋体" w:hAnsi="宋体" w:cs="宋体" w:eastAsia="宋体" w:hint="default"/>
          <w:spacing w:val="-2"/>
        </w:rPr>
        <w:t>637,744,672.00</w:t>
      </w:r>
      <w:r>
        <w:rPr>
          <w:spacing w:val="-2"/>
        </w:rPr>
        <w:t>股，注册资本为</w:t>
      </w:r>
      <w:r>
        <w:rPr>
          <w:rFonts w:ascii="宋体" w:hAnsi="宋体" w:cs="宋体" w:eastAsia="宋体" w:hint="default"/>
          <w:spacing w:val="-2"/>
        </w:rPr>
        <w:t>637,744,672.00</w:t>
      </w:r>
      <w:r>
        <w:rPr>
          <w:spacing w:val="-2"/>
        </w:rPr>
        <w:t>元，注册地址：深圳市南山区粤海街道高新区南区市</w:t>
      </w:r>
      <w:r>
        <w:rPr>
          <w:spacing w:val="-5"/>
        </w:rPr>
        <w:t> </w:t>
      </w:r>
      <w:r>
        <w:rPr>
          <w:spacing w:val="-5"/>
        </w:rPr>
      </w:r>
      <w:r>
        <w:rPr/>
        <w:t>高新技术工业村</w:t>
      </w:r>
      <w:r>
        <w:rPr>
          <w:rFonts w:ascii="宋体" w:hAnsi="宋体" w:cs="宋体" w:eastAsia="宋体" w:hint="default"/>
        </w:rPr>
        <w:t>T3</w:t>
      </w:r>
      <w:r>
        <w:rPr/>
        <w:t>栋</w:t>
      </w:r>
      <w:r>
        <w:rPr>
          <w:rFonts w:ascii="宋体" w:hAnsi="宋体" w:cs="宋体" w:eastAsia="宋体" w:hint="default"/>
        </w:rPr>
        <w:t>B3</w:t>
      </w:r>
      <w:r>
        <w:rPr/>
        <w:t>楼。</w:t>
      </w:r>
    </w:p>
    <w:p>
      <w:pPr>
        <w:spacing w:line="273" w:lineRule="auto" w:before="128"/>
        <w:ind w:left="535" w:right="1007" w:hanging="423"/>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公司业务性质和主要经营活动</w:t>
      </w:r>
      <w:r>
        <w:rPr>
          <w:rFonts w:ascii="宋体" w:hAnsi="宋体" w:cs="宋体" w:eastAsia="宋体" w:hint="default"/>
          <w:b/>
          <w:bCs/>
          <w:spacing w:val="-102"/>
          <w:sz w:val="21"/>
          <w:szCs w:val="21"/>
        </w:rPr>
        <w:t> </w:t>
      </w:r>
      <w:r>
        <w:rPr>
          <w:rFonts w:ascii="宋体" w:hAnsi="宋体" w:cs="宋体" w:eastAsia="宋体" w:hint="default"/>
          <w:spacing w:val="-2"/>
          <w:sz w:val="21"/>
          <w:szCs w:val="21"/>
        </w:rPr>
        <w:t>本公司属电子信息行业，主要产品和服务为应用软件、技术服务、系统集成、运营业务、网络产品销</w:t>
      </w:r>
    </w:p>
    <w:p>
      <w:pPr>
        <w:pStyle w:val="BodyText"/>
        <w:spacing w:line="240" w:lineRule="auto"/>
        <w:ind w:right="1764"/>
        <w:jc w:val="left"/>
      </w:pPr>
      <w:r>
        <w:rPr/>
        <w:t>售。</w:t>
      </w:r>
    </w:p>
    <w:p>
      <w:pPr>
        <w:pStyle w:val="BodyText"/>
        <w:spacing w:line="273" w:lineRule="auto" w:before="37"/>
        <w:ind w:right="1118" w:firstLine="422"/>
        <w:jc w:val="left"/>
      </w:pPr>
      <w:r>
        <w:rPr>
          <w:spacing w:val="-2"/>
        </w:rPr>
        <w:t>公司经营范围：计算机软、硬件产品的销售及售后服务；计算机网络设计、软件开发、系统集成；信</w:t>
      </w:r>
      <w:r>
        <w:rPr>
          <w:w w:val="100"/>
        </w:rPr>
        <w:t> </w:t>
      </w:r>
      <w:r>
        <w:rPr>
          <w:spacing w:val="-4"/>
          <w:w w:val="100"/>
        </w:rPr>
        <w:t>息系统咨询和相关技术服务（不含限制项目及专营、专控、专卖商品）；国内贸易（法律、行政法规、国</w:t>
      </w:r>
      <w:r>
        <w:rPr>
          <w:spacing w:val="-83"/>
          <w:w w:val="100"/>
        </w:rPr>
        <w:t> </w:t>
      </w:r>
      <w:r>
        <w:rPr>
          <w:spacing w:val="-83"/>
          <w:w w:val="100"/>
        </w:rPr>
      </w:r>
      <w:r>
        <w:rPr>
          <w:spacing w:val="-4"/>
          <w:w w:val="100"/>
        </w:rPr>
        <w:t>务院决定禁止的项目除外，限制的项目须取得许可后方可经营）；经营进出口业务（法律、行政法规、国</w:t>
      </w:r>
      <w:r>
        <w:rPr>
          <w:spacing w:val="-83"/>
          <w:w w:val="100"/>
        </w:rPr>
        <w:t> </w:t>
      </w:r>
      <w:r>
        <w:rPr>
          <w:spacing w:val="-83"/>
          <w:w w:val="100"/>
        </w:rPr>
      </w:r>
      <w:r>
        <w:rPr>
          <w:spacing w:val="-4"/>
          <w:w w:val="100"/>
        </w:rPr>
        <w:t>务院决定禁止的项目除外，限制的项目须取得许可后方可经营）；通信产品及其配套设备的代理销售、售</w:t>
      </w:r>
      <w:r>
        <w:rPr>
          <w:spacing w:val="-83"/>
          <w:w w:val="100"/>
        </w:rPr>
        <w:t> </w:t>
      </w:r>
      <w:r>
        <w:rPr>
          <w:spacing w:val="-83"/>
          <w:w w:val="100"/>
        </w:rPr>
      </w:r>
      <w:r>
        <w:rPr>
          <w:spacing w:val="-4"/>
          <w:w w:val="100"/>
        </w:rPr>
        <w:t>后服务（不含专营、专控、专卖商品）；自有物业租赁。</w:t>
      </w:r>
      <w:r>
        <w:rPr>
          <w:rFonts w:ascii="宋体" w:hAnsi="宋体" w:cs="宋体" w:eastAsia="宋体" w:hint="default"/>
          <w:spacing w:val="-4"/>
          <w:w w:val="100"/>
        </w:rPr>
        <w:t>^</w:t>
      </w:r>
      <w:r>
        <w:rPr>
          <w:spacing w:val="-4"/>
          <w:w w:val="100"/>
        </w:rPr>
        <w:t>计算机软、硬件产品的生产；第二类增值电信业</w:t>
      </w:r>
      <w:r>
        <w:rPr>
          <w:spacing w:val="-102"/>
          <w:w w:val="100"/>
        </w:rPr>
        <w:t> </w:t>
      </w:r>
      <w:r>
        <w:rPr>
          <w:spacing w:val="-102"/>
          <w:w w:val="100"/>
        </w:rPr>
      </w:r>
      <w:r>
        <w:rPr>
          <w:spacing w:val="-5"/>
          <w:w w:val="100"/>
        </w:rPr>
        <w:t>务中的信息服务业务（不含固定网电话信息服务和互联网信息服务）。</w:t>
      </w:r>
    </w:p>
    <w:p>
      <w:pPr>
        <w:spacing w:line="273" w:lineRule="auto" w:before="127"/>
        <w:ind w:left="535" w:right="3606" w:hanging="423"/>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财务报表的批准报出</w:t>
      </w:r>
      <w:r>
        <w:rPr>
          <w:rFonts w:ascii="宋体" w:hAnsi="宋体" w:cs="宋体" w:eastAsia="宋体" w:hint="default"/>
          <w:b/>
          <w:bCs/>
          <w:spacing w:val="-103"/>
          <w:sz w:val="21"/>
          <w:szCs w:val="21"/>
        </w:rPr>
        <w:t> </w:t>
      </w:r>
      <w:r>
        <w:rPr>
          <w:rFonts w:ascii="宋体" w:hAnsi="宋体" w:cs="宋体" w:eastAsia="宋体" w:hint="default"/>
          <w:sz w:val="21"/>
          <w:szCs w:val="21"/>
        </w:rPr>
        <w:t>本财务报表业经公司董事会于</w:t>
      </w:r>
      <w:r>
        <w:rPr>
          <w:rFonts w:ascii="宋体" w:hAnsi="宋体" w:cs="宋体" w:eastAsia="宋体" w:hint="default"/>
          <w:sz w:val="21"/>
          <w:szCs w:val="21"/>
        </w:rPr>
        <w:t>2020</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w:t>
      </w:r>
      <w:r>
        <w:rPr>
          <w:rFonts w:ascii="宋体" w:hAnsi="宋体" w:cs="宋体" w:eastAsia="宋体" w:hint="default"/>
          <w:sz w:val="21"/>
          <w:szCs w:val="21"/>
        </w:rPr>
        <w:t>20</w:t>
      </w:r>
      <w:r>
        <w:rPr>
          <w:rFonts w:ascii="宋体" w:hAnsi="宋体" w:cs="宋体" w:eastAsia="宋体" w:hint="default"/>
          <w:sz w:val="21"/>
          <w:szCs w:val="21"/>
        </w:rPr>
        <w:t>日批准报出。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240" w:lineRule="auto" w:before="0"/>
        <w:ind w:left="535" w:right="1764"/>
        <w:jc w:val="left"/>
      </w:pPr>
      <w:r>
        <w:rPr/>
        <w:t>本期纳入合并财务报表范围的子公司共</w:t>
      </w:r>
      <w:r>
        <w:rPr>
          <w:rFonts w:ascii="宋体" w:hAnsi="宋体" w:cs="宋体" w:eastAsia="宋体" w:hint="default"/>
        </w:rPr>
        <w:t>23</w:t>
      </w:r>
      <w:r>
        <w:rPr/>
        <w:t>户，具体包括：</w:t>
      </w: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4965"/>
        <w:gridCol w:w="1229"/>
        <w:gridCol w:w="840"/>
        <w:gridCol w:w="1109"/>
        <w:gridCol w:w="1535"/>
      </w:tblGrid>
      <w:tr>
        <w:trPr>
          <w:trHeight w:val="353" w:hRule="exact"/>
        </w:trPr>
        <w:tc>
          <w:tcPr>
            <w:tcW w:w="49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58"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8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35" w:right="0"/>
              <w:jc w:val="left"/>
              <w:rPr>
                <w:rFonts w:ascii="宋体" w:hAnsi="宋体" w:cs="宋体" w:eastAsia="宋体" w:hint="default"/>
                <w:sz w:val="18"/>
                <w:szCs w:val="18"/>
              </w:rPr>
            </w:pPr>
            <w:r>
              <w:rPr>
                <w:rFonts w:ascii="宋体" w:hAnsi="宋体" w:cs="宋体" w:eastAsia="宋体" w:hint="default"/>
                <w:sz w:val="18"/>
                <w:szCs w:val="18"/>
              </w:rPr>
              <w:t>级次</w:t>
            </w:r>
          </w:p>
        </w:tc>
        <w:tc>
          <w:tcPr>
            <w:tcW w:w="11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c>
          <w:tcPr>
            <w:tcW w:w="153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1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0"/>
                <w:sz w:val="18"/>
                <w:szCs w:val="18"/>
              </w:rPr>
              <w:t> </w:t>
            </w:r>
            <w:r>
              <w:rPr>
                <w:rFonts w:ascii="宋体" w:hAnsi="宋体" w:cs="宋体" w:eastAsia="宋体" w:hint="default"/>
                <w:spacing w:val="-2"/>
                <w:sz w:val="18"/>
                <w:szCs w:val="18"/>
              </w:rPr>
              <w:t>表决权比例（</w:t>
            </w:r>
            <w:r>
              <w:rPr>
                <w:rFonts w:ascii="宋体" w:hAnsi="宋体" w:cs="宋体" w:eastAsia="宋体" w:hint="default"/>
                <w:spacing w:val="-2"/>
                <w:sz w:val="18"/>
                <w:szCs w:val="18"/>
              </w:rPr>
              <w:t>%</w:t>
            </w:r>
            <w:r>
              <w:rPr>
                <w:rFonts w:ascii="宋体" w:hAnsi="宋体" w:cs="宋体" w:eastAsia="宋体" w:hint="default"/>
                <w:spacing w:val="-2"/>
                <w:sz w:val="18"/>
                <w:szCs w:val="18"/>
              </w:rPr>
              <w:t>）</w:t>
            </w:r>
          </w:p>
        </w:tc>
      </w:tr>
      <w:tr>
        <w:trPr>
          <w:trHeight w:val="350" w:hRule="exact"/>
        </w:trPr>
        <w:tc>
          <w:tcPr>
            <w:tcW w:w="4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上海天源迪科信息技术有限公司（以下简称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上海天源迪科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1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w w:val="101"/>
                <w:sz w:val="18"/>
              </w:rPr>
              <w:t>2</w:t>
            </w:r>
            <w:r>
              <w:rPr>
                <w:rFonts w:ascii="宋体"/>
                <w:sz w:val="18"/>
              </w:rPr>
            </w:r>
          </w:p>
        </w:tc>
        <w:tc>
          <w:tcPr>
            <w:tcW w:w="11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z w:val="18"/>
              </w:rPr>
              <w:t>100</w:t>
            </w:r>
          </w:p>
        </w:tc>
        <w:tc>
          <w:tcPr>
            <w:tcW w:w="15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100</w:t>
            </w:r>
          </w:p>
        </w:tc>
      </w:tr>
      <w:tr>
        <w:trPr>
          <w:trHeight w:val="355" w:hRule="exact"/>
        </w:trPr>
        <w:tc>
          <w:tcPr>
            <w:tcW w:w="4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pacing w:val="-3"/>
                <w:sz w:val="18"/>
                <w:szCs w:val="18"/>
              </w:rPr>
              <w:t>北京天源迪科信息技术有限公司（以下简称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北京天源迪科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1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w w:val="101"/>
                <w:sz w:val="18"/>
              </w:rPr>
              <w:t>2</w:t>
            </w:r>
            <w:r>
              <w:rPr>
                <w:rFonts w:ascii="宋体"/>
                <w:sz w:val="18"/>
              </w:rPr>
            </w:r>
          </w:p>
        </w:tc>
        <w:tc>
          <w:tcPr>
            <w:tcW w:w="11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z w:val="18"/>
              </w:rPr>
              <w:t>100</w:t>
            </w:r>
          </w:p>
        </w:tc>
        <w:tc>
          <w:tcPr>
            <w:tcW w:w="15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100</w:t>
            </w:r>
          </w:p>
        </w:tc>
      </w:tr>
      <w:tr>
        <w:trPr>
          <w:trHeight w:val="351" w:hRule="exact"/>
        </w:trPr>
        <w:tc>
          <w:tcPr>
            <w:tcW w:w="4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pacing w:val="-3"/>
                <w:sz w:val="18"/>
                <w:szCs w:val="18"/>
              </w:rPr>
              <w:t>合肥英泽信息科技有限公司（以下简称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合肥英泽</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1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1"/>
              <w:jc w:val="right"/>
              <w:rPr>
                <w:rFonts w:ascii="宋体" w:hAnsi="宋体" w:cs="宋体" w:eastAsia="宋体" w:hint="default"/>
                <w:sz w:val="18"/>
                <w:szCs w:val="18"/>
              </w:rPr>
            </w:pPr>
            <w:r>
              <w:rPr>
                <w:rFonts w:ascii="宋体"/>
                <w:w w:val="101"/>
                <w:sz w:val="18"/>
              </w:rPr>
              <w:t>2</w:t>
            </w:r>
            <w:r>
              <w:rPr>
                <w:rFonts w:ascii="宋体"/>
                <w:sz w:val="18"/>
              </w:rPr>
            </w:r>
          </w:p>
        </w:tc>
        <w:tc>
          <w:tcPr>
            <w:tcW w:w="11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5"/>
              <w:jc w:val="right"/>
              <w:rPr>
                <w:rFonts w:ascii="Times New Roman" w:hAnsi="Times New Roman" w:cs="Times New Roman" w:eastAsia="Times New Roman" w:hint="default"/>
                <w:sz w:val="18"/>
                <w:szCs w:val="18"/>
              </w:rPr>
            </w:pPr>
            <w:r>
              <w:rPr>
                <w:rFonts w:ascii="Times New Roman"/>
                <w:sz w:val="18"/>
              </w:rPr>
              <w:t>88</w:t>
            </w:r>
          </w:p>
        </w:tc>
        <w:tc>
          <w:tcPr>
            <w:tcW w:w="15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z w:val="18"/>
              </w:rPr>
              <w:t>88</w:t>
            </w:r>
          </w:p>
        </w:tc>
      </w:tr>
      <w:tr>
        <w:trPr>
          <w:trHeight w:val="350" w:hRule="exact"/>
        </w:trPr>
        <w:tc>
          <w:tcPr>
            <w:tcW w:w="4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武汉天源迪科信息技术有限公司（以下简称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武汉天源迪科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1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w w:val="101"/>
                <w:sz w:val="18"/>
              </w:rPr>
              <w:t>2</w:t>
            </w:r>
            <w:r>
              <w:rPr>
                <w:rFonts w:ascii="宋体"/>
                <w:sz w:val="18"/>
              </w:rPr>
            </w:r>
          </w:p>
        </w:tc>
        <w:tc>
          <w:tcPr>
            <w:tcW w:w="11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z w:val="18"/>
              </w:rPr>
              <w:t>100</w:t>
            </w:r>
          </w:p>
        </w:tc>
        <w:tc>
          <w:tcPr>
            <w:tcW w:w="15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100</w:t>
            </w:r>
          </w:p>
        </w:tc>
      </w:tr>
      <w:tr>
        <w:trPr>
          <w:trHeight w:val="355" w:hRule="exact"/>
        </w:trPr>
        <w:tc>
          <w:tcPr>
            <w:tcW w:w="4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pacing w:val="-3"/>
                <w:sz w:val="18"/>
                <w:szCs w:val="18"/>
              </w:rPr>
              <w:t>广州天源迪科信息技术有限公司（以下简称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广州天源迪科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1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w w:val="101"/>
                <w:sz w:val="18"/>
              </w:rPr>
              <w:t>2</w:t>
            </w:r>
            <w:r>
              <w:rPr>
                <w:rFonts w:ascii="宋体"/>
                <w:sz w:val="18"/>
              </w:rPr>
            </w:r>
          </w:p>
        </w:tc>
        <w:tc>
          <w:tcPr>
            <w:tcW w:w="11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z w:val="18"/>
              </w:rPr>
              <w:t>100</w:t>
            </w:r>
          </w:p>
        </w:tc>
        <w:tc>
          <w:tcPr>
            <w:tcW w:w="15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4965"/>
        <w:gridCol w:w="1229"/>
        <w:gridCol w:w="840"/>
        <w:gridCol w:w="1109"/>
        <w:gridCol w:w="1535"/>
      </w:tblGrid>
      <w:tr>
        <w:trPr>
          <w:trHeight w:val="353" w:hRule="exact"/>
        </w:trPr>
        <w:tc>
          <w:tcPr>
            <w:tcW w:w="49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广州市易杰数码科技有限公司（以下简称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广州易杰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12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w w:val="101"/>
                <w:sz w:val="18"/>
              </w:rPr>
              <w:t>2</w:t>
            </w:r>
            <w:r>
              <w:rPr>
                <w:rFonts w:ascii="宋体"/>
                <w:sz w:val="18"/>
              </w:rPr>
            </w:r>
          </w:p>
        </w:tc>
        <w:tc>
          <w:tcPr>
            <w:tcW w:w="11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100</w:t>
            </w:r>
          </w:p>
        </w:tc>
        <w:tc>
          <w:tcPr>
            <w:tcW w:w="153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100</w:t>
            </w:r>
          </w:p>
        </w:tc>
      </w:tr>
      <w:tr>
        <w:trPr>
          <w:trHeight w:val="355" w:hRule="exact"/>
        </w:trPr>
        <w:tc>
          <w:tcPr>
            <w:tcW w:w="4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pacing w:val="-3"/>
                <w:sz w:val="18"/>
                <w:szCs w:val="18"/>
              </w:rPr>
              <w:t>广州易星信息科技有限公司（以下简称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广州易星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1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w w:val="101"/>
                <w:sz w:val="18"/>
              </w:rPr>
              <w:t>2</w:t>
            </w:r>
            <w:r>
              <w:rPr>
                <w:rFonts w:ascii="宋体"/>
                <w:sz w:val="18"/>
              </w:rPr>
            </w:r>
          </w:p>
        </w:tc>
        <w:tc>
          <w:tcPr>
            <w:tcW w:w="11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pacing w:val="-1"/>
                <w:sz w:val="18"/>
              </w:rPr>
              <w:t>77.35</w:t>
            </w:r>
          </w:p>
        </w:tc>
        <w:tc>
          <w:tcPr>
            <w:tcW w:w="15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77.35</w:t>
            </w:r>
          </w:p>
        </w:tc>
      </w:tr>
      <w:tr>
        <w:trPr>
          <w:trHeight w:val="350" w:hRule="exact"/>
        </w:trPr>
        <w:tc>
          <w:tcPr>
            <w:tcW w:w="4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深圳市金华威数码科技有限公司（以下简称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深圳金华威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1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w w:val="101"/>
                <w:sz w:val="18"/>
              </w:rPr>
              <w:t>2</w:t>
            </w:r>
            <w:r>
              <w:rPr>
                <w:rFonts w:ascii="宋体"/>
                <w:sz w:val="18"/>
              </w:rPr>
            </w:r>
          </w:p>
        </w:tc>
        <w:tc>
          <w:tcPr>
            <w:tcW w:w="11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z w:val="18"/>
              </w:rPr>
              <w:t>55</w:t>
            </w:r>
          </w:p>
        </w:tc>
        <w:tc>
          <w:tcPr>
            <w:tcW w:w="15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55</w:t>
            </w:r>
          </w:p>
        </w:tc>
      </w:tr>
      <w:tr>
        <w:trPr>
          <w:trHeight w:val="351" w:hRule="exact"/>
        </w:trPr>
        <w:tc>
          <w:tcPr>
            <w:tcW w:w="4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pacing w:val="-3"/>
                <w:sz w:val="18"/>
                <w:szCs w:val="18"/>
              </w:rPr>
              <w:t>广西驿途信息科技有限公司（以下简称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广西驿途</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1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1"/>
              <w:jc w:val="right"/>
              <w:rPr>
                <w:rFonts w:ascii="宋体" w:hAnsi="宋体" w:cs="宋体" w:eastAsia="宋体" w:hint="default"/>
                <w:sz w:val="18"/>
                <w:szCs w:val="18"/>
              </w:rPr>
            </w:pPr>
            <w:r>
              <w:rPr>
                <w:rFonts w:ascii="宋体"/>
                <w:w w:val="101"/>
                <w:sz w:val="18"/>
              </w:rPr>
              <w:t>2</w:t>
            </w:r>
            <w:r>
              <w:rPr>
                <w:rFonts w:ascii="宋体"/>
                <w:sz w:val="18"/>
              </w:rPr>
            </w:r>
          </w:p>
        </w:tc>
        <w:tc>
          <w:tcPr>
            <w:tcW w:w="11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5"/>
              <w:jc w:val="right"/>
              <w:rPr>
                <w:rFonts w:ascii="Times New Roman" w:hAnsi="Times New Roman" w:cs="Times New Roman" w:eastAsia="Times New Roman" w:hint="default"/>
                <w:sz w:val="18"/>
                <w:szCs w:val="18"/>
              </w:rPr>
            </w:pPr>
            <w:r>
              <w:rPr>
                <w:rFonts w:ascii="Times New Roman"/>
                <w:sz w:val="18"/>
              </w:rPr>
              <w:t>51</w:t>
            </w:r>
          </w:p>
        </w:tc>
        <w:tc>
          <w:tcPr>
            <w:tcW w:w="15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z w:val="18"/>
              </w:rPr>
              <w:t>51</w:t>
            </w:r>
          </w:p>
        </w:tc>
      </w:tr>
      <w:tr>
        <w:trPr>
          <w:trHeight w:val="355" w:hRule="exact"/>
        </w:trPr>
        <w:tc>
          <w:tcPr>
            <w:tcW w:w="4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深圳市宝贝团信息技术有限公司（以下简称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深圳宝贝团</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1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w w:val="101"/>
                <w:sz w:val="18"/>
              </w:rPr>
              <w:t>2</w:t>
            </w:r>
            <w:r>
              <w:rPr>
                <w:rFonts w:ascii="宋体"/>
                <w:sz w:val="18"/>
              </w:rPr>
            </w:r>
          </w:p>
        </w:tc>
        <w:tc>
          <w:tcPr>
            <w:tcW w:w="11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pacing w:val="-1"/>
                <w:sz w:val="18"/>
              </w:rPr>
              <w:t>55.40</w:t>
            </w:r>
          </w:p>
        </w:tc>
        <w:tc>
          <w:tcPr>
            <w:tcW w:w="15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55.40</w:t>
            </w:r>
          </w:p>
        </w:tc>
      </w:tr>
      <w:tr>
        <w:trPr>
          <w:trHeight w:val="350" w:hRule="exact"/>
        </w:trPr>
        <w:tc>
          <w:tcPr>
            <w:tcW w:w="4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合肥天源迪科信息技术有限公司（以下简称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合肥天源迪科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1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w w:val="101"/>
                <w:sz w:val="18"/>
              </w:rPr>
              <w:t>2</w:t>
            </w:r>
            <w:r>
              <w:rPr>
                <w:rFonts w:ascii="宋体"/>
                <w:sz w:val="18"/>
              </w:rPr>
            </w:r>
          </w:p>
        </w:tc>
        <w:tc>
          <w:tcPr>
            <w:tcW w:w="11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z w:val="18"/>
              </w:rPr>
              <w:t>100</w:t>
            </w:r>
          </w:p>
        </w:tc>
        <w:tc>
          <w:tcPr>
            <w:tcW w:w="15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100</w:t>
            </w:r>
          </w:p>
        </w:tc>
      </w:tr>
      <w:tr>
        <w:trPr>
          <w:trHeight w:val="350" w:hRule="exact"/>
        </w:trPr>
        <w:tc>
          <w:tcPr>
            <w:tcW w:w="4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合肥天源迪科科技产业发展有限公司（以下简称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合肥科技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1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w w:val="101"/>
                <w:sz w:val="18"/>
              </w:rPr>
              <w:t>3</w:t>
            </w:r>
            <w:r>
              <w:rPr>
                <w:rFonts w:ascii="宋体"/>
                <w:sz w:val="18"/>
              </w:rPr>
            </w:r>
          </w:p>
        </w:tc>
        <w:tc>
          <w:tcPr>
            <w:tcW w:w="11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z w:val="18"/>
              </w:rPr>
              <w:t>100</w:t>
            </w:r>
          </w:p>
        </w:tc>
        <w:tc>
          <w:tcPr>
            <w:tcW w:w="15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100</w:t>
            </w:r>
          </w:p>
        </w:tc>
      </w:tr>
      <w:tr>
        <w:trPr>
          <w:trHeight w:val="668" w:hRule="exact"/>
        </w:trPr>
        <w:tc>
          <w:tcPr>
            <w:tcW w:w="4965"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15"/>
              <w:ind w:left="4" w:right="180"/>
              <w:jc w:val="left"/>
              <w:rPr>
                <w:rFonts w:ascii="宋体" w:hAnsi="宋体" w:cs="宋体" w:eastAsia="宋体" w:hint="default"/>
                <w:sz w:val="18"/>
                <w:szCs w:val="18"/>
              </w:rPr>
            </w:pPr>
            <w:r>
              <w:rPr>
                <w:rFonts w:ascii="宋体" w:hAnsi="宋体" w:cs="宋体" w:eastAsia="宋体" w:hint="default"/>
                <w:spacing w:val="-3"/>
                <w:sz w:val="18"/>
                <w:szCs w:val="18"/>
              </w:rPr>
              <w:t>合肥天源迪科职业培训学校有限公司（以下简称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合肥职业学</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z w:val="18"/>
                <w:szCs w:val="18"/>
              </w:rPr>
              <w:t>校</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w w:val="101"/>
                <w:sz w:val="18"/>
              </w:rPr>
              <w:t>3</w:t>
            </w:r>
            <w:r>
              <w:rPr>
                <w:rFonts w:ascii="宋体"/>
                <w:sz w:val="18"/>
              </w:rPr>
            </w:r>
          </w:p>
        </w:tc>
        <w:tc>
          <w:tcPr>
            <w:tcW w:w="11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z w:val="18"/>
              </w:rPr>
              <w:t>100</w:t>
            </w:r>
          </w:p>
        </w:tc>
        <w:tc>
          <w:tcPr>
            <w:tcW w:w="15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100</w:t>
            </w:r>
          </w:p>
        </w:tc>
      </w:tr>
      <w:tr>
        <w:trPr>
          <w:trHeight w:val="350" w:hRule="exact"/>
        </w:trPr>
        <w:tc>
          <w:tcPr>
            <w:tcW w:w="4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安徽迪科数金科技有限公司（以下简称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安徽迪科数金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1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w w:val="101"/>
                <w:sz w:val="18"/>
              </w:rPr>
              <w:t>3</w:t>
            </w:r>
            <w:r>
              <w:rPr>
                <w:rFonts w:ascii="宋体"/>
                <w:sz w:val="18"/>
              </w:rPr>
            </w:r>
          </w:p>
        </w:tc>
        <w:tc>
          <w:tcPr>
            <w:tcW w:w="11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z w:val="18"/>
              </w:rPr>
              <w:t>84</w:t>
            </w:r>
          </w:p>
        </w:tc>
        <w:tc>
          <w:tcPr>
            <w:tcW w:w="15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84</w:t>
            </w:r>
          </w:p>
        </w:tc>
      </w:tr>
      <w:tr>
        <w:trPr>
          <w:trHeight w:val="350" w:hRule="exact"/>
        </w:trPr>
        <w:tc>
          <w:tcPr>
            <w:tcW w:w="4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亳州迪科数金科技有限公司（以下简称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亳州迪科数金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1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w w:val="101"/>
                <w:sz w:val="18"/>
              </w:rPr>
              <w:t>4</w:t>
            </w:r>
            <w:r>
              <w:rPr>
                <w:rFonts w:ascii="宋体"/>
                <w:sz w:val="18"/>
              </w:rPr>
            </w:r>
          </w:p>
        </w:tc>
        <w:tc>
          <w:tcPr>
            <w:tcW w:w="11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z w:val="18"/>
              </w:rPr>
              <w:t>100</w:t>
            </w:r>
          </w:p>
        </w:tc>
        <w:tc>
          <w:tcPr>
            <w:tcW w:w="15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100</w:t>
            </w:r>
          </w:p>
        </w:tc>
      </w:tr>
      <w:tr>
        <w:trPr>
          <w:trHeight w:val="355" w:hRule="exact"/>
        </w:trPr>
        <w:tc>
          <w:tcPr>
            <w:tcW w:w="4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pacing w:val="-3"/>
                <w:sz w:val="18"/>
                <w:szCs w:val="18"/>
              </w:rPr>
              <w:t>合肥天源迪科人才服务有限公司（以下简称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合肥人才</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1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w w:val="101"/>
                <w:sz w:val="18"/>
              </w:rPr>
              <w:t>4</w:t>
            </w:r>
            <w:r>
              <w:rPr>
                <w:rFonts w:ascii="宋体"/>
                <w:sz w:val="18"/>
              </w:rPr>
            </w:r>
          </w:p>
        </w:tc>
        <w:tc>
          <w:tcPr>
            <w:tcW w:w="11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z w:val="18"/>
              </w:rPr>
              <w:t>100</w:t>
            </w:r>
          </w:p>
        </w:tc>
        <w:tc>
          <w:tcPr>
            <w:tcW w:w="15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100</w:t>
            </w:r>
          </w:p>
        </w:tc>
      </w:tr>
      <w:tr>
        <w:trPr>
          <w:trHeight w:val="351" w:hRule="exact"/>
        </w:trPr>
        <w:tc>
          <w:tcPr>
            <w:tcW w:w="4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芜湖迪科数金科技有限公司（以下简称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芜湖迪科数金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1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w w:val="101"/>
                <w:sz w:val="18"/>
              </w:rPr>
              <w:t>4</w:t>
            </w:r>
            <w:r>
              <w:rPr>
                <w:rFonts w:ascii="宋体"/>
                <w:sz w:val="18"/>
              </w:rPr>
            </w:r>
          </w:p>
        </w:tc>
        <w:tc>
          <w:tcPr>
            <w:tcW w:w="11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z w:val="18"/>
              </w:rPr>
              <w:t>100</w:t>
            </w:r>
          </w:p>
        </w:tc>
        <w:tc>
          <w:tcPr>
            <w:tcW w:w="15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100</w:t>
            </w:r>
          </w:p>
        </w:tc>
      </w:tr>
      <w:tr>
        <w:trPr>
          <w:trHeight w:val="350" w:hRule="exact"/>
        </w:trPr>
        <w:tc>
          <w:tcPr>
            <w:tcW w:w="4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北京天源迪科网络科技有限公司（以下简称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北京网络</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1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w w:val="101"/>
                <w:sz w:val="18"/>
              </w:rPr>
              <w:t>2</w:t>
            </w:r>
            <w:r>
              <w:rPr>
                <w:rFonts w:ascii="宋体"/>
                <w:sz w:val="18"/>
              </w:rPr>
            </w:r>
          </w:p>
        </w:tc>
        <w:tc>
          <w:tcPr>
            <w:tcW w:w="11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z w:val="18"/>
              </w:rPr>
              <w:t>100</w:t>
            </w:r>
          </w:p>
        </w:tc>
        <w:tc>
          <w:tcPr>
            <w:tcW w:w="15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100</w:t>
            </w:r>
          </w:p>
        </w:tc>
      </w:tr>
      <w:tr>
        <w:trPr>
          <w:trHeight w:val="355" w:hRule="exact"/>
        </w:trPr>
        <w:tc>
          <w:tcPr>
            <w:tcW w:w="4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w w:val="101"/>
                <w:sz w:val="18"/>
                <w:szCs w:val="18"/>
              </w:rPr>
              <w:t>北</w:t>
            </w:r>
            <w:r>
              <w:rPr>
                <w:rFonts w:ascii="宋体" w:hAnsi="宋体" w:cs="宋体" w:eastAsia="宋体" w:hint="default"/>
                <w:spacing w:val="-5"/>
                <w:w w:val="101"/>
                <w:sz w:val="18"/>
                <w:szCs w:val="18"/>
              </w:rPr>
              <w:t>京</w:t>
            </w:r>
            <w:r>
              <w:rPr>
                <w:rFonts w:ascii="宋体" w:hAnsi="宋体" w:cs="宋体" w:eastAsia="宋体" w:hint="default"/>
                <w:w w:val="101"/>
                <w:sz w:val="18"/>
                <w:szCs w:val="18"/>
              </w:rPr>
              <w:t>迪</w:t>
            </w:r>
            <w:r>
              <w:rPr>
                <w:rFonts w:ascii="宋体" w:hAnsi="宋体" w:cs="宋体" w:eastAsia="宋体" w:hint="default"/>
                <w:spacing w:val="-5"/>
                <w:w w:val="101"/>
                <w:sz w:val="18"/>
                <w:szCs w:val="18"/>
              </w:rPr>
              <w:t>科</w:t>
            </w:r>
            <w:r>
              <w:rPr>
                <w:rFonts w:ascii="宋体" w:hAnsi="宋体" w:cs="宋体" w:eastAsia="宋体" w:hint="default"/>
                <w:w w:val="101"/>
                <w:sz w:val="18"/>
                <w:szCs w:val="18"/>
              </w:rPr>
              <w:t>云</w:t>
            </w:r>
            <w:r>
              <w:rPr>
                <w:rFonts w:ascii="宋体" w:hAnsi="宋体" w:cs="宋体" w:eastAsia="宋体" w:hint="default"/>
                <w:spacing w:val="-5"/>
                <w:w w:val="101"/>
                <w:sz w:val="18"/>
                <w:szCs w:val="18"/>
              </w:rPr>
              <w:t>起</w:t>
            </w:r>
            <w:r>
              <w:rPr>
                <w:rFonts w:ascii="宋体" w:hAnsi="宋体" w:cs="宋体" w:eastAsia="宋体" w:hint="default"/>
                <w:w w:val="101"/>
                <w:sz w:val="18"/>
                <w:szCs w:val="18"/>
              </w:rPr>
              <w:t>科</w:t>
            </w:r>
            <w:r>
              <w:rPr>
                <w:rFonts w:ascii="宋体" w:hAnsi="宋体" w:cs="宋体" w:eastAsia="宋体" w:hint="default"/>
                <w:spacing w:val="-5"/>
                <w:w w:val="101"/>
                <w:sz w:val="18"/>
                <w:szCs w:val="18"/>
              </w:rPr>
              <w:t>技</w:t>
            </w:r>
            <w:r>
              <w:rPr>
                <w:rFonts w:ascii="宋体" w:hAnsi="宋体" w:cs="宋体" w:eastAsia="宋体" w:hint="default"/>
                <w:w w:val="101"/>
                <w:sz w:val="18"/>
                <w:szCs w:val="18"/>
              </w:rPr>
              <w:t>有</w:t>
            </w:r>
            <w:r>
              <w:rPr>
                <w:rFonts w:ascii="宋体" w:hAnsi="宋体" w:cs="宋体" w:eastAsia="宋体" w:hint="default"/>
                <w:spacing w:val="-5"/>
                <w:w w:val="101"/>
                <w:sz w:val="18"/>
                <w:szCs w:val="18"/>
              </w:rPr>
              <w:t>限</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w:t>
            </w:r>
            <w:r>
              <w:rPr>
                <w:rFonts w:ascii="宋体" w:hAnsi="宋体" w:cs="宋体" w:eastAsia="宋体" w:hint="default"/>
                <w:spacing w:val="-5"/>
                <w:w w:val="101"/>
                <w:sz w:val="18"/>
                <w:szCs w:val="18"/>
              </w:rPr>
              <w:t>以</w:t>
            </w:r>
            <w:r>
              <w:rPr>
                <w:rFonts w:ascii="宋体" w:hAnsi="宋体" w:cs="宋体" w:eastAsia="宋体" w:hint="default"/>
                <w:w w:val="101"/>
                <w:sz w:val="18"/>
                <w:szCs w:val="18"/>
              </w:rPr>
              <w:t>下</w:t>
            </w:r>
            <w:r>
              <w:rPr>
                <w:rFonts w:ascii="宋体" w:hAnsi="宋体" w:cs="宋体" w:eastAsia="宋体" w:hint="default"/>
                <w:spacing w:val="-5"/>
                <w:w w:val="101"/>
                <w:sz w:val="18"/>
                <w:szCs w:val="18"/>
              </w:rPr>
              <w:t>简</w:t>
            </w:r>
            <w:r>
              <w:rPr>
                <w:rFonts w:ascii="宋体" w:hAnsi="宋体" w:cs="宋体" w:eastAsia="宋体" w:hint="default"/>
                <w:w w:val="101"/>
                <w:sz w:val="18"/>
                <w:szCs w:val="18"/>
              </w:rPr>
              <w:t>称</w:t>
            </w:r>
            <w:r>
              <w:rPr>
                <w:rFonts w:ascii="宋体" w:hAnsi="宋体" w:cs="宋体" w:eastAsia="宋体" w:hint="default"/>
                <w:spacing w:val="-5"/>
                <w:w w:val="101"/>
                <w:sz w:val="18"/>
                <w:szCs w:val="18"/>
              </w:rPr>
              <w:t>“</w:t>
            </w:r>
            <w:r>
              <w:rPr>
                <w:rFonts w:ascii="宋体" w:hAnsi="宋体" w:cs="宋体" w:eastAsia="宋体" w:hint="default"/>
                <w:w w:val="101"/>
                <w:sz w:val="18"/>
                <w:szCs w:val="18"/>
              </w:rPr>
              <w:t>北</w:t>
            </w:r>
            <w:r>
              <w:rPr>
                <w:rFonts w:ascii="宋体" w:hAnsi="宋体" w:cs="宋体" w:eastAsia="宋体" w:hint="default"/>
                <w:spacing w:val="-5"/>
                <w:w w:val="101"/>
                <w:sz w:val="18"/>
                <w:szCs w:val="18"/>
              </w:rPr>
              <w:t>京</w:t>
            </w:r>
            <w:r>
              <w:rPr>
                <w:rFonts w:ascii="宋体" w:hAnsi="宋体" w:cs="宋体" w:eastAsia="宋体" w:hint="default"/>
                <w:w w:val="101"/>
                <w:sz w:val="18"/>
                <w:szCs w:val="18"/>
              </w:rPr>
              <w:t>迪</w:t>
            </w:r>
            <w:r>
              <w:rPr>
                <w:rFonts w:ascii="宋体" w:hAnsi="宋体" w:cs="宋体" w:eastAsia="宋体" w:hint="default"/>
                <w:spacing w:val="-5"/>
                <w:w w:val="101"/>
                <w:sz w:val="18"/>
                <w:szCs w:val="18"/>
              </w:rPr>
              <w:t>科</w:t>
            </w:r>
            <w:r>
              <w:rPr>
                <w:rFonts w:ascii="宋体" w:hAnsi="宋体" w:cs="宋体" w:eastAsia="宋体" w:hint="default"/>
                <w:w w:val="101"/>
                <w:sz w:val="18"/>
                <w:szCs w:val="18"/>
              </w:rPr>
              <w:t>云起</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c>
          <w:tcPr>
            <w:tcW w:w="1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w w:val="101"/>
                <w:sz w:val="18"/>
              </w:rPr>
              <w:t>2</w:t>
            </w:r>
            <w:r>
              <w:rPr>
                <w:rFonts w:ascii="宋体"/>
                <w:sz w:val="18"/>
              </w:rPr>
            </w:r>
          </w:p>
        </w:tc>
        <w:tc>
          <w:tcPr>
            <w:tcW w:w="11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z w:val="18"/>
              </w:rPr>
              <w:t>70</w:t>
            </w:r>
          </w:p>
        </w:tc>
        <w:tc>
          <w:tcPr>
            <w:tcW w:w="15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70</w:t>
            </w:r>
          </w:p>
        </w:tc>
      </w:tr>
      <w:tr>
        <w:trPr>
          <w:trHeight w:val="350" w:hRule="exact"/>
        </w:trPr>
        <w:tc>
          <w:tcPr>
            <w:tcW w:w="4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维恩贝特科技有限公司（以下简称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维恩贝特</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1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w w:val="101"/>
                <w:sz w:val="18"/>
              </w:rPr>
              <w:t>2</w:t>
            </w:r>
            <w:r>
              <w:rPr>
                <w:rFonts w:ascii="宋体"/>
                <w:sz w:val="18"/>
              </w:rPr>
            </w:r>
          </w:p>
        </w:tc>
        <w:tc>
          <w:tcPr>
            <w:tcW w:w="11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99.9595</w:t>
            </w:r>
          </w:p>
        </w:tc>
        <w:tc>
          <w:tcPr>
            <w:tcW w:w="15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99.9595</w:t>
            </w:r>
          </w:p>
        </w:tc>
      </w:tr>
      <w:tr>
        <w:trPr>
          <w:trHeight w:val="350" w:hRule="exact"/>
        </w:trPr>
        <w:tc>
          <w:tcPr>
            <w:tcW w:w="4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上海维恩孛特信息技术有限公司（以下简称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上海维恩孛特</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1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w w:val="101"/>
                <w:sz w:val="18"/>
              </w:rPr>
              <w:t>3</w:t>
            </w:r>
            <w:r>
              <w:rPr>
                <w:rFonts w:ascii="宋体"/>
                <w:sz w:val="18"/>
              </w:rPr>
            </w:r>
          </w:p>
        </w:tc>
        <w:tc>
          <w:tcPr>
            <w:tcW w:w="11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z w:val="18"/>
              </w:rPr>
              <w:t>51</w:t>
            </w:r>
          </w:p>
        </w:tc>
        <w:tc>
          <w:tcPr>
            <w:tcW w:w="15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51</w:t>
            </w:r>
          </w:p>
        </w:tc>
      </w:tr>
      <w:tr>
        <w:trPr>
          <w:trHeight w:val="356" w:hRule="exact"/>
        </w:trPr>
        <w:tc>
          <w:tcPr>
            <w:tcW w:w="4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pacing w:val="-3"/>
                <w:sz w:val="18"/>
                <w:szCs w:val="18"/>
              </w:rPr>
              <w:t>澳门维恩贝特信息技术有限公司（以下简称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澳门维恩贝特</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1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w w:val="101"/>
                <w:sz w:val="18"/>
              </w:rPr>
              <w:t>3</w:t>
            </w:r>
            <w:r>
              <w:rPr>
                <w:rFonts w:ascii="宋体"/>
                <w:sz w:val="18"/>
              </w:rPr>
            </w:r>
          </w:p>
        </w:tc>
        <w:tc>
          <w:tcPr>
            <w:tcW w:w="11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8"/>
              <w:ind w:right="-5"/>
              <w:jc w:val="right"/>
              <w:rPr>
                <w:rFonts w:ascii="Times New Roman" w:hAnsi="Times New Roman" w:cs="Times New Roman" w:eastAsia="Times New Roman" w:hint="default"/>
                <w:sz w:val="18"/>
                <w:szCs w:val="18"/>
              </w:rPr>
            </w:pPr>
            <w:r>
              <w:rPr>
                <w:rFonts w:ascii="Times New Roman"/>
                <w:sz w:val="18"/>
              </w:rPr>
              <w:t>99</w:t>
            </w:r>
          </w:p>
        </w:tc>
        <w:tc>
          <w:tcPr>
            <w:tcW w:w="15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8"/>
              <w:ind w:right="0"/>
              <w:jc w:val="right"/>
              <w:rPr>
                <w:rFonts w:ascii="Times New Roman" w:hAnsi="Times New Roman" w:cs="Times New Roman" w:eastAsia="Times New Roman" w:hint="default"/>
                <w:sz w:val="18"/>
                <w:szCs w:val="18"/>
              </w:rPr>
            </w:pPr>
            <w:r>
              <w:rPr>
                <w:rFonts w:ascii="Times New Roman"/>
                <w:sz w:val="18"/>
              </w:rPr>
              <w:t>99</w:t>
            </w:r>
          </w:p>
        </w:tc>
      </w:tr>
      <w:tr>
        <w:trPr>
          <w:trHeight w:val="350" w:hRule="exact"/>
        </w:trPr>
        <w:tc>
          <w:tcPr>
            <w:tcW w:w="49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维恩贝特科技（香港）有限公司（以下简称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香港维恩贝特</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1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w w:val="101"/>
                <w:sz w:val="18"/>
              </w:rPr>
              <w:t>3</w:t>
            </w:r>
            <w:r>
              <w:rPr>
                <w:rFonts w:ascii="宋体"/>
                <w:sz w:val="18"/>
              </w:rPr>
            </w:r>
          </w:p>
        </w:tc>
        <w:tc>
          <w:tcPr>
            <w:tcW w:w="11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z w:val="18"/>
              </w:rPr>
              <w:t>100</w:t>
            </w:r>
          </w:p>
        </w:tc>
        <w:tc>
          <w:tcPr>
            <w:tcW w:w="153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12"/>
        <w:rPr>
          <w:rFonts w:ascii="宋体" w:hAnsi="宋体" w:cs="宋体" w:eastAsia="宋体" w:hint="default"/>
          <w:sz w:val="19"/>
          <w:szCs w:val="19"/>
        </w:rPr>
      </w:pPr>
    </w:p>
    <w:p>
      <w:pPr>
        <w:pStyle w:val="BodyText"/>
        <w:spacing w:line="240" w:lineRule="auto" w:before="36"/>
        <w:ind w:left="535" w:right="1764"/>
        <w:jc w:val="left"/>
      </w:pPr>
      <w:r>
        <w:rPr/>
        <w:t>本期纳入合并财务报表范围的主体较上期相比，增加</w:t>
      </w:r>
      <w:r>
        <w:rPr>
          <w:rFonts w:ascii="宋体" w:hAnsi="宋体" w:cs="宋体" w:eastAsia="宋体" w:hint="default"/>
        </w:rPr>
        <w:t>4</w:t>
      </w:r>
      <w:r>
        <w:rPr/>
        <w:t>户，减少</w:t>
      </w:r>
      <w:r>
        <w:rPr>
          <w:rFonts w:ascii="宋体" w:hAnsi="宋体" w:cs="宋体" w:eastAsia="宋体" w:hint="default"/>
        </w:rPr>
        <w:t>1</w:t>
      </w:r>
      <w:r>
        <w:rPr/>
        <w:t>户，其中：</w:t>
      </w:r>
    </w:p>
    <w:p>
      <w:pPr>
        <w:pStyle w:val="BodyText"/>
        <w:spacing w:line="240" w:lineRule="auto" w:before="37"/>
        <w:ind w:right="1007"/>
        <w:jc w:val="left"/>
      </w:pPr>
      <w:r>
        <w:rPr/>
        <w:t>（</w:t>
      </w:r>
      <w:r>
        <w:rPr>
          <w:rFonts w:ascii="宋体" w:hAnsi="宋体" w:cs="宋体" w:eastAsia="宋体" w:hint="default"/>
        </w:rPr>
        <w:t>1</w:t>
      </w:r>
      <w:r>
        <w:rPr/>
        <w:t>）本期新纳入合并范围的子公司、特殊目的主体、通过受托经营或承租等方式形成控制权的经营实体</w:t>
      </w:r>
    </w:p>
    <w:p>
      <w:pPr>
        <w:spacing w:line="240" w:lineRule="auto" w:before="11"/>
        <w:rPr>
          <w:rFonts w:ascii="宋体" w:hAnsi="宋体" w:cs="宋体" w:eastAsia="宋体"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4788"/>
        <w:gridCol w:w="4891"/>
      </w:tblGrid>
      <w:tr>
        <w:trPr>
          <w:trHeight w:val="353" w:hRule="exact"/>
        </w:trPr>
        <w:tc>
          <w:tcPr>
            <w:tcW w:w="47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489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667" w:hRule="exact"/>
        </w:trPr>
        <w:tc>
          <w:tcPr>
            <w:tcW w:w="4788"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15"/>
              <w:ind w:left="4" w:right="3"/>
              <w:jc w:val="left"/>
              <w:rPr>
                <w:rFonts w:ascii="宋体" w:hAnsi="宋体" w:cs="宋体" w:eastAsia="宋体" w:hint="default"/>
                <w:sz w:val="18"/>
                <w:szCs w:val="18"/>
              </w:rPr>
            </w:pPr>
            <w:r>
              <w:rPr>
                <w:rFonts w:ascii="宋体" w:hAnsi="宋体" w:cs="宋体" w:eastAsia="宋体" w:hint="default"/>
                <w:spacing w:val="-3"/>
                <w:sz w:val="18"/>
                <w:szCs w:val="18"/>
              </w:rPr>
              <w:t>合肥天源迪科职业培训学校有限公司（以下简称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合肥职业学</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z w:val="18"/>
                <w:szCs w:val="18"/>
              </w:rPr>
              <w:t>校</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89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350" w:hRule="exact"/>
        </w:trPr>
        <w:tc>
          <w:tcPr>
            <w:tcW w:w="47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芜湖迪科数金科技有限公司（以下简称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芜湖迪科数金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489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351" w:hRule="exact"/>
        </w:trPr>
        <w:tc>
          <w:tcPr>
            <w:tcW w:w="47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4" w:right="-20"/>
              <w:jc w:val="left"/>
              <w:rPr>
                <w:rFonts w:ascii="宋体" w:hAnsi="宋体" w:cs="宋体" w:eastAsia="宋体" w:hint="default"/>
                <w:sz w:val="18"/>
                <w:szCs w:val="18"/>
              </w:rPr>
            </w:pPr>
            <w:r>
              <w:rPr>
                <w:rFonts w:ascii="宋体" w:hAnsi="宋体" w:cs="宋体" w:eastAsia="宋体" w:hint="default"/>
                <w:spacing w:val="-5"/>
                <w:sz w:val="18"/>
                <w:szCs w:val="18"/>
              </w:rPr>
              <w:t>维恩贝特科技（香港）有限公司（以下简称</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香港维恩贝特</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r>
          </w:p>
        </w:tc>
        <w:tc>
          <w:tcPr>
            <w:tcW w:w="489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355" w:hRule="exact"/>
        </w:trPr>
        <w:tc>
          <w:tcPr>
            <w:tcW w:w="47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w w:val="101"/>
                <w:sz w:val="18"/>
                <w:szCs w:val="18"/>
              </w:rPr>
              <w:t>北</w:t>
            </w:r>
            <w:r>
              <w:rPr>
                <w:rFonts w:ascii="宋体" w:hAnsi="宋体" w:cs="宋体" w:eastAsia="宋体" w:hint="default"/>
                <w:spacing w:val="-5"/>
                <w:w w:val="101"/>
                <w:sz w:val="18"/>
                <w:szCs w:val="18"/>
              </w:rPr>
              <w:t>京</w:t>
            </w:r>
            <w:r>
              <w:rPr>
                <w:rFonts w:ascii="宋体" w:hAnsi="宋体" w:cs="宋体" w:eastAsia="宋体" w:hint="default"/>
                <w:w w:val="101"/>
                <w:sz w:val="18"/>
                <w:szCs w:val="18"/>
              </w:rPr>
              <w:t>迪</w:t>
            </w:r>
            <w:r>
              <w:rPr>
                <w:rFonts w:ascii="宋体" w:hAnsi="宋体" w:cs="宋体" w:eastAsia="宋体" w:hint="default"/>
                <w:spacing w:val="-5"/>
                <w:w w:val="101"/>
                <w:sz w:val="18"/>
                <w:szCs w:val="18"/>
              </w:rPr>
              <w:t>科</w:t>
            </w:r>
            <w:r>
              <w:rPr>
                <w:rFonts w:ascii="宋体" w:hAnsi="宋体" w:cs="宋体" w:eastAsia="宋体" w:hint="default"/>
                <w:w w:val="101"/>
                <w:sz w:val="18"/>
                <w:szCs w:val="18"/>
              </w:rPr>
              <w:t>云</w:t>
            </w:r>
            <w:r>
              <w:rPr>
                <w:rFonts w:ascii="宋体" w:hAnsi="宋体" w:cs="宋体" w:eastAsia="宋体" w:hint="default"/>
                <w:spacing w:val="-5"/>
                <w:w w:val="101"/>
                <w:sz w:val="18"/>
                <w:szCs w:val="18"/>
              </w:rPr>
              <w:t>起</w:t>
            </w:r>
            <w:r>
              <w:rPr>
                <w:rFonts w:ascii="宋体" w:hAnsi="宋体" w:cs="宋体" w:eastAsia="宋体" w:hint="default"/>
                <w:w w:val="101"/>
                <w:sz w:val="18"/>
                <w:szCs w:val="18"/>
              </w:rPr>
              <w:t>科</w:t>
            </w:r>
            <w:r>
              <w:rPr>
                <w:rFonts w:ascii="宋体" w:hAnsi="宋体" w:cs="宋体" w:eastAsia="宋体" w:hint="default"/>
                <w:spacing w:val="-5"/>
                <w:w w:val="101"/>
                <w:sz w:val="18"/>
                <w:szCs w:val="18"/>
              </w:rPr>
              <w:t>技</w:t>
            </w:r>
            <w:r>
              <w:rPr>
                <w:rFonts w:ascii="宋体" w:hAnsi="宋体" w:cs="宋体" w:eastAsia="宋体" w:hint="default"/>
                <w:w w:val="101"/>
                <w:sz w:val="18"/>
                <w:szCs w:val="18"/>
              </w:rPr>
              <w:t>有</w:t>
            </w:r>
            <w:r>
              <w:rPr>
                <w:rFonts w:ascii="宋体" w:hAnsi="宋体" w:cs="宋体" w:eastAsia="宋体" w:hint="default"/>
                <w:spacing w:val="-5"/>
                <w:w w:val="101"/>
                <w:sz w:val="18"/>
                <w:szCs w:val="18"/>
              </w:rPr>
              <w:t>限</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w:t>
            </w:r>
            <w:r>
              <w:rPr>
                <w:rFonts w:ascii="宋体" w:hAnsi="宋体" w:cs="宋体" w:eastAsia="宋体" w:hint="default"/>
                <w:spacing w:val="-5"/>
                <w:w w:val="101"/>
                <w:sz w:val="18"/>
                <w:szCs w:val="18"/>
              </w:rPr>
              <w:t>以</w:t>
            </w:r>
            <w:r>
              <w:rPr>
                <w:rFonts w:ascii="宋体" w:hAnsi="宋体" w:cs="宋体" w:eastAsia="宋体" w:hint="default"/>
                <w:w w:val="101"/>
                <w:sz w:val="18"/>
                <w:szCs w:val="18"/>
              </w:rPr>
              <w:t>下</w:t>
            </w:r>
            <w:r>
              <w:rPr>
                <w:rFonts w:ascii="宋体" w:hAnsi="宋体" w:cs="宋体" w:eastAsia="宋体" w:hint="default"/>
                <w:spacing w:val="-5"/>
                <w:w w:val="101"/>
                <w:sz w:val="18"/>
                <w:szCs w:val="18"/>
              </w:rPr>
              <w:t>简</w:t>
            </w:r>
            <w:r>
              <w:rPr>
                <w:rFonts w:ascii="宋体" w:hAnsi="宋体" w:cs="宋体" w:eastAsia="宋体" w:hint="default"/>
                <w:w w:val="101"/>
                <w:sz w:val="18"/>
                <w:szCs w:val="18"/>
              </w:rPr>
              <w:t>称</w:t>
            </w:r>
            <w:r>
              <w:rPr>
                <w:rFonts w:ascii="宋体" w:hAnsi="宋体" w:cs="宋体" w:eastAsia="宋体" w:hint="default"/>
                <w:spacing w:val="-5"/>
                <w:w w:val="101"/>
                <w:sz w:val="18"/>
                <w:szCs w:val="18"/>
              </w:rPr>
              <w:t>“</w:t>
            </w:r>
            <w:r>
              <w:rPr>
                <w:rFonts w:ascii="宋体" w:hAnsi="宋体" w:cs="宋体" w:eastAsia="宋体" w:hint="default"/>
                <w:w w:val="101"/>
                <w:sz w:val="18"/>
                <w:szCs w:val="18"/>
              </w:rPr>
              <w:t>北</w:t>
            </w:r>
            <w:r>
              <w:rPr>
                <w:rFonts w:ascii="宋体" w:hAnsi="宋体" w:cs="宋体" w:eastAsia="宋体" w:hint="default"/>
                <w:spacing w:val="-5"/>
                <w:w w:val="101"/>
                <w:sz w:val="18"/>
                <w:szCs w:val="18"/>
              </w:rPr>
              <w:t>京</w:t>
            </w:r>
            <w:r>
              <w:rPr>
                <w:rFonts w:ascii="宋体" w:hAnsi="宋体" w:cs="宋体" w:eastAsia="宋体" w:hint="default"/>
                <w:w w:val="101"/>
                <w:sz w:val="18"/>
                <w:szCs w:val="18"/>
              </w:rPr>
              <w:t>迪</w:t>
            </w:r>
            <w:r>
              <w:rPr>
                <w:rFonts w:ascii="宋体" w:hAnsi="宋体" w:cs="宋体" w:eastAsia="宋体" w:hint="default"/>
                <w:spacing w:val="-5"/>
                <w:w w:val="101"/>
                <w:sz w:val="18"/>
                <w:szCs w:val="18"/>
              </w:rPr>
              <w:t>科</w:t>
            </w:r>
            <w:r>
              <w:rPr>
                <w:rFonts w:ascii="宋体" w:hAnsi="宋体" w:cs="宋体" w:eastAsia="宋体" w:hint="default"/>
                <w:w w:val="101"/>
                <w:sz w:val="18"/>
                <w:szCs w:val="18"/>
              </w:rPr>
              <w:t>云起</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c>
          <w:tcPr>
            <w:tcW w:w="489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line="240" w:lineRule="auto" w:before="3"/>
        <w:rPr>
          <w:rFonts w:ascii="宋体" w:hAnsi="宋体" w:cs="宋体" w:eastAsia="宋体" w:hint="default"/>
          <w:sz w:val="5"/>
          <w:szCs w:val="5"/>
        </w:rPr>
      </w:pPr>
    </w:p>
    <w:p>
      <w:pPr>
        <w:pStyle w:val="BodyText"/>
        <w:spacing w:line="273" w:lineRule="auto" w:before="36"/>
        <w:ind w:right="1122"/>
        <w:jc w:val="left"/>
      </w:pPr>
      <w:r>
        <w:rPr/>
        <w:t>（</w:t>
      </w:r>
      <w:r>
        <w:rPr>
          <w:rFonts w:ascii="宋体" w:hAnsi="宋体" w:cs="宋体" w:eastAsia="宋体" w:hint="default"/>
        </w:rPr>
        <w:t>2</w:t>
      </w:r>
      <w:r>
        <w:rPr/>
        <w:t>）本期不再纳入合并范围的子公司、特殊目的主体、通过委托经营或出租等方式丧失控制权的经营实</w:t>
      </w:r>
      <w:r>
        <w:rPr>
          <w:spacing w:val="-31"/>
        </w:rPr>
        <w:t> </w:t>
      </w:r>
      <w:r>
        <w:rPr>
          <w:spacing w:val="-31"/>
        </w:rPr>
      </w:r>
      <w:r>
        <w:rPr/>
        <w:t>体</w:t>
      </w:r>
    </w:p>
    <w:tbl>
      <w:tblPr>
        <w:tblW w:w="0" w:type="auto"/>
        <w:jc w:val="left"/>
        <w:tblInd w:w="103" w:type="dxa"/>
        <w:tblLayout w:type="fixed"/>
        <w:tblCellMar>
          <w:top w:w="0" w:type="dxa"/>
          <w:left w:w="0" w:type="dxa"/>
          <w:bottom w:w="0" w:type="dxa"/>
          <w:right w:w="0" w:type="dxa"/>
        </w:tblCellMar>
        <w:tblLook w:val="01E0"/>
      </w:tblPr>
      <w:tblGrid>
        <w:gridCol w:w="4788"/>
        <w:gridCol w:w="4905"/>
      </w:tblGrid>
      <w:tr>
        <w:trPr>
          <w:trHeight w:val="353" w:hRule="exact"/>
        </w:trPr>
        <w:tc>
          <w:tcPr>
            <w:tcW w:w="47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2197"/>
              <w:jc w:val="right"/>
              <w:rPr>
                <w:rFonts w:ascii="宋体" w:hAnsi="宋体" w:cs="宋体" w:eastAsia="宋体" w:hint="default"/>
                <w:sz w:val="18"/>
                <w:szCs w:val="18"/>
              </w:rPr>
            </w:pPr>
            <w:r>
              <w:rPr>
                <w:rFonts w:ascii="宋体" w:hAnsi="宋体" w:cs="宋体" w:eastAsia="宋体" w:hint="default"/>
                <w:sz w:val="18"/>
                <w:szCs w:val="18"/>
              </w:rPr>
              <w:t>名称</w:t>
            </w:r>
          </w:p>
        </w:tc>
        <w:tc>
          <w:tcPr>
            <w:tcW w:w="490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56" w:hRule="exact"/>
        </w:trPr>
        <w:tc>
          <w:tcPr>
            <w:tcW w:w="47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right="2241"/>
              <w:jc w:val="right"/>
              <w:rPr>
                <w:rFonts w:ascii="宋体" w:hAnsi="宋体" w:cs="宋体" w:eastAsia="宋体" w:hint="default"/>
                <w:sz w:val="18"/>
                <w:szCs w:val="18"/>
              </w:rPr>
            </w:pPr>
            <w:r>
              <w:rPr>
                <w:rFonts w:ascii="宋体" w:hAnsi="宋体" w:cs="宋体" w:eastAsia="宋体" w:hint="default"/>
                <w:spacing w:val="-3"/>
                <w:sz w:val="18"/>
                <w:szCs w:val="18"/>
              </w:rPr>
              <w:t>深圳前海维恩贝特科技有限公司</w:t>
            </w:r>
          </w:p>
        </w:tc>
        <w:tc>
          <w:tcPr>
            <w:tcW w:w="490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pacing w:val="-3"/>
                <w:sz w:val="18"/>
                <w:szCs w:val="18"/>
              </w:rPr>
              <w:t>单次处置丧失控制权</w:t>
            </w:r>
          </w:p>
        </w:tc>
      </w:tr>
    </w:tbl>
    <w:p>
      <w:pPr>
        <w:spacing w:line="240" w:lineRule="auto" w:before="11"/>
        <w:rPr>
          <w:rFonts w:ascii="宋体" w:hAnsi="宋体" w:cs="宋体" w:eastAsia="宋体" w:hint="default"/>
          <w:sz w:val="5"/>
          <w:szCs w:val="5"/>
        </w:rPr>
      </w:pPr>
    </w:p>
    <w:p>
      <w:pPr>
        <w:spacing w:line="465" w:lineRule="auto" w:before="26"/>
        <w:ind w:left="113" w:right="1764" w:firstLine="480"/>
        <w:jc w:val="left"/>
        <w:rPr>
          <w:rFonts w:ascii="宋体" w:hAnsi="宋体" w:cs="宋体" w:eastAsia="宋体" w:hint="default"/>
          <w:sz w:val="24"/>
          <w:szCs w:val="24"/>
        </w:rPr>
      </w:pPr>
      <w:r>
        <w:rPr>
          <w:rFonts w:ascii="宋体" w:hAnsi="宋体" w:cs="宋体" w:eastAsia="宋体" w:hint="default"/>
          <w:spacing w:val="-5"/>
          <w:sz w:val="24"/>
          <w:szCs w:val="24"/>
        </w:rPr>
        <w:t>合并范围变更主体的具体信息详见“附注七、合并范围的变更”。</w:t>
      </w:r>
      <w:r>
        <w:rPr>
          <w:rFonts w:ascii="宋体" w:hAnsi="宋体" w:cs="宋体" w:eastAsia="宋体" w:hint="default"/>
          <w:sz w:val="24"/>
          <w:szCs w:val="24"/>
        </w:rPr>
        <w:t> </w:t>
      </w:r>
      <w:bookmarkStart w:name="四、财务报表的编制基础" w:id="167"/>
      <w:bookmarkEnd w:id="167"/>
      <w:r>
        <w:rPr>
          <w:rFonts w:ascii="宋体" w:hAnsi="宋体" w:cs="宋体" w:eastAsia="宋体" w:hint="default"/>
          <w:sz w:val="24"/>
          <w:szCs w:val="24"/>
        </w:rPr>
      </w:r>
      <w:r>
        <w:rPr>
          <w:rFonts w:ascii="宋体" w:hAnsi="宋体" w:cs="宋体" w:eastAsia="宋体" w:hint="default"/>
          <w:b/>
          <w:bCs/>
          <w:sz w:val="24"/>
          <w:szCs w:val="24"/>
        </w:rPr>
        <w:t>四、财务报表的编制基础</w:t>
      </w:r>
      <w:r>
        <w:rPr>
          <w:rFonts w:ascii="宋体" w:hAnsi="宋体" w:cs="宋体" w:eastAsia="宋体" w:hint="default"/>
          <w:sz w:val="24"/>
          <w:szCs w:val="24"/>
        </w:rPr>
      </w:r>
    </w:p>
    <w:p>
      <w:pPr>
        <w:pStyle w:val="Heading3"/>
        <w:spacing w:line="240" w:lineRule="auto" w:before="100"/>
        <w:ind w:right="1764"/>
        <w:jc w:val="left"/>
        <w:rPr>
          <w:b w:val="0"/>
          <w:bCs w:val="0"/>
        </w:rPr>
      </w:pPr>
      <w:bookmarkStart w:name="1、编制基础" w:id="168"/>
      <w:bookmarkEnd w:id="168"/>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left="535" w:right="1007"/>
        <w:jc w:val="left"/>
      </w:pPr>
      <w:r>
        <w:rPr/>
        <w:t>本公司根据实际发生的交易和事项，按照财政部颁布的《企业会计准则——基本准则》和具体企业会</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56" w:lineRule="auto" w:before="36"/>
        <w:ind w:right="1007"/>
        <w:jc w:val="left"/>
      </w:pPr>
      <w:r>
        <w:rPr>
          <w:spacing w:val="-2"/>
        </w:rPr>
        <w:t>计准则、企业会计准则应用指南、企业会计准则解释及其他相关规定（以下合称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）进行确</w:t>
      </w:r>
      <w:r>
        <w:rPr>
          <w:spacing w:val="-9"/>
        </w:rPr>
        <w:t> </w:t>
      </w:r>
      <w:r>
        <w:rPr>
          <w:spacing w:val="-9"/>
        </w:rPr>
      </w:r>
      <w:r>
        <w:rPr>
          <w:spacing w:val="-2"/>
        </w:rPr>
        <w:t>认和计量，在此基础上，结合中国证券监督管理委员会《公开发行证券的公司信息披露编报规则第</w:t>
      </w:r>
      <w:r>
        <w:rPr>
          <w:rFonts w:ascii="Times New Roman" w:hAnsi="Times New Roman" w:cs="Times New Roman" w:eastAsia="Times New Roman" w:hint="default"/>
          <w:spacing w:val="-2"/>
        </w:rPr>
        <w:t>15</w:t>
      </w:r>
      <w:r>
        <w:rPr>
          <w:spacing w:val="-2"/>
        </w:rPr>
        <w:t>号—</w:t>
      </w:r>
    </w:p>
    <w:p>
      <w:pPr>
        <w:pStyle w:val="BodyText"/>
        <w:spacing w:line="240" w:lineRule="auto" w:before="5"/>
        <w:ind w:right="1764"/>
        <w:jc w:val="left"/>
      </w:pPr>
      <w:r>
        <w:rPr>
          <w:w w:val="100"/>
        </w:rPr>
        <w:t>—财务报</w:t>
      </w:r>
      <w:r>
        <w:rPr>
          <w:spacing w:val="-5"/>
          <w:w w:val="100"/>
        </w:rPr>
        <w:t>告</w:t>
      </w:r>
      <w:r>
        <w:rPr>
          <w:w w:val="100"/>
        </w:rPr>
        <w:t>的一般</w:t>
      </w:r>
      <w:r>
        <w:rPr>
          <w:spacing w:val="-5"/>
          <w:w w:val="100"/>
        </w:rPr>
        <w:t>规</w:t>
      </w:r>
      <w:r>
        <w:rPr>
          <w:w w:val="100"/>
        </w:rPr>
        <w:t>定</w:t>
      </w:r>
      <w:r>
        <w:rPr>
          <w:spacing w:val="-106"/>
          <w:w w:val="100"/>
        </w:rPr>
        <w:t>》</w:t>
      </w:r>
      <w:r>
        <w:rPr>
          <w:spacing w:val="1"/>
          <w:w w:val="100"/>
        </w:rPr>
        <w:t>（</w:t>
      </w:r>
      <w:r>
        <w:rPr>
          <w:rFonts w:ascii="Times New Roman" w:hAnsi="Times New Roman" w:cs="Times New Roman" w:eastAsia="Times New Roman" w:hint="default"/>
          <w:w w:val="100"/>
        </w:rPr>
        <w:t>201</w:t>
      </w:r>
      <w:r>
        <w:rPr>
          <w:rFonts w:ascii="Times New Roman" w:hAnsi="Times New Roman" w:cs="Times New Roman" w:eastAsia="Times New Roman" w:hint="default"/>
          <w:spacing w:val="-5"/>
          <w:w w:val="100"/>
        </w:rPr>
        <w:t>4</w:t>
      </w:r>
      <w:r>
        <w:rPr>
          <w:w w:val="100"/>
        </w:rPr>
        <w:t>年修订</w:t>
      </w:r>
      <w:r>
        <w:rPr>
          <w:spacing w:val="-5"/>
          <w:w w:val="100"/>
        </w:rPr>
        <w:t>）</w:t>
      </w:r>
      <w:r>
        <w:rPr>
          <w:w w:val="100"/>
        </w:rPr>
        <w:t>的规</w:t>
      </w:r>
      <w:r>
        <w:rPr>
          <w:spacing w:val="-5"/>
          <w:w w:val="100"/>
        </w:rPr>
        <w:t>定</w:t>
      </w:r>
      <w:r>
        <w:rPr>
          <w:w w:val="100"/>
        </w:rPr>
        <w:t>，</w:t>
      </w:r>
      <w:r>
        <w:rPr>
          <w:spacing w:val="-5"/>
          <w:w w:val="100"/>
        </w:rPr>
        <w:t>编</w:t>
      </w:r>
      <w:r>
        <w:rPr>
          <w:w w:val="100"/>
        </w:rPr>
        <w:t>制财务报</w:t>
      </w:r>
      <w:r>
        <w:rPr>
          <w:spacing w:val="-5"/>
          <w:w w:val="100"/>
        </w:rPr>
        <w:t>表</w:t>
      </w:r>
      <w:r>
        <w:rPr>
          <w:w w:val="100"/>
        </w:rPr>
        <w:t>。</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6"/>
          <w:szCs w:val="26"/>
        </w:rPr>
      </w:pPr>
    </w:p>
    <w:p>
      <w:pPr>
        <w:pStyle w:val="Heading3"/>
        <w:spacing w:line="240" w:lineRule="auto"/>
        <w:ind w:right="1764"/>
        <w:jc w:val="left"/>
        <w:rPr>
          <w:b w:val="0"/>
          <w:bCs w:val="0"/>
        </w:rPr>
      </w:pPr>
      <w:bookmarkStart w:name="2、持续经营" w:id="169"/>
      <w:bookmarkEnd w:id="169"/>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5"/>
        <w:rPr>
          <w:rFonts w:ascii="宋体" w:hAnsi="宋体" w:cs="宋体" w:eastAsia="宋体" w:hint="default"/>
          <w:b/>
          <w:bCs/>
          <w:sz w:val="24"/>
          <w:szCs w:val="24"/>
        </w:rPr>
      </w:pPr>
    </w:p>
    <w:p>
      <w:pPr>
        <w:pStyle w:val="BodyText"/>
        <w:spacing w:line="273" w:lineRule="auto" w:before="0"/>
        <w:ind w:right="1007"/>
        <w:jc w:val="left"/>
      </w:pPr>
      <w:r>
        <w:rPr>
          <w:spacing w:val="-2"/>
        </w:rPr>
        <w:t>本公司对报告期末起</w:t>
      </w:r>
      <w:r>
        <w:rPr>
          <w:rFonts w:ascii="宋体" w:hAnsi="宋体" w:cs="宋体" w:eastAsia="宋体" w:hint="default"/>
          <w:spacing w:val="-2"/>
        </w:rPr>
        <w:t>12</w:t>
      </w:r>
      <w:r>
        <w:rPr>
          <w:spacing w:val="-2"/>
        </w:rPr>
        <w:t>个月的持续经营能力进行了评价，未发现对持续经营能力产生重大怀疑的事项或情</w:t>
      </w:r>
      <w:r>
        <w:rPr>
          <w:spacing w:val="-31"/>
        </w:rPr>
        <w:t> </w:t>
      </w:r>
      <w:r>
        <w:rPr>
          <w:spacing w:val="-31"/>
        </w:rPr>
      </w:r>
      <w:r>
        <w:rPr/>
        <w:t>况。因此，本财务报表系在持续经营假设的基础上编制。</w:t>
      </w:r>
    </w:p>
    <w:p>
      <w:pPr>
        <w:spacing w:line="240" w:lineRule="auto" w:before="6"/>
        <w:rPr>
          <w:rFonts w:ascii="宋体" w:hAnsi="宋体" w:cs="宋体" w:eastAsia="宋体" w:hint="default"/>
          <w:sz w:val="21"/>
          <w:szCs w:val="21"/>
        </w:rPr>
      </w:pPr>
    </w:p>
    <w:p>
      <w:pPr>
        <w:pStyle w:val="Heading2"/>
        <w:spacing w:line="240" w:lineRule="auto"/>
        <w:ind w:right="1764"/>
        <w:jc w:val="left"/>
        <w:rPr>
          <w:b w:val="0"/>
          <w:bCs w:val="0"/>
        </w:rPr>
      </w:pPr>
      <w:bookmarkStart w:name="五、重要会计政策及会计估计" w:id="170"/>
      <w:bookmarkEnd w:id="170"/>
      <w:r>
        <w:rPr>
          <w:b w:val="0"/>
          <w:bCs w:val="0"/>
        </w:rPr>
      </w:r>
      <w:r>
        <w:rPr/>
        <w:t>五、重要会计政策及会计估计</w:t>
      </w:r>
      <w:r>
        <w:rPr>
          <w:b w:val="0"/>
          <w:bCs w:val="0"/>
        </w:rPr>
      </w:r>
    </w:p>
    <w:p>
      <w:pPr>
        <w:spacing w:line="240" w:lineRule="auto" w:before="7"/>
        <w:rPr>
          <w:rFonts w:ascii="宋体" w:hAnsi="宋体" w:cs="宋体" w:eastAsia="宋体" w:hint="default"/>
          <w:b/>
          <w:bCs/>
          <w:sz w:val="27"/>
          <w:szCs w:val="27"/>
        </w:rPr>
      </w:pPr>
    </w:p>
    <w:p>
      <w:pPr>
        <w:spacing w:line="352" w:lineRule="auto" w:before="0"/>
        <w:ind w:left="113" w:right="8128" w:firstLine="0"/>
        <w:jc w:val="left"/>
        <w:rPr>
          <w:rFonts w:ascii="宋体" w:hAnsi="宋体" w:cs="宋体" w:eastAsia="宋体" w:hint="default"/>
          <w:sz w:val="18"/>
          <w:szCs w:val="18"/>
        </w:rPr>
      </w:pPr>
      <w:r>
        <w:rPr>
          <w:rFonts w:ascii="宋体" w:hAnsi="宋体" w:cs="宋体" w:eastAsia="宋体" w:hint="default"/>
          <w:spacing w:val="-3"/>
          <w:sz w:val="18"/>
          <w:szCs w:val="18"/>
        </w:rPr>
        <w:t>具体会计政策和会计估计提示：</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无</w:t>
      </w:r>
    </w:p>
    <w:p>
      <w:pPr>
        <w:spacing w:line="610" w:lineRule="exact" w:before="26"/>
        <w:ind w:left="535" w:right="1007" w:hanging="423"/>
        <w:jc w:val="left"/>
        <w:rPr>
          <w:rFonts w:ascii="宋体" w:hAnsi="宋体" w:cs="宋体" w:eastAsia="宋体" w:hint="default"/>
          <w:sz w:val="21"/>
          <w:szCs w:val="21"/>
        </w:rPr>
      </w:pPr>
      <w:bookmarkStart w:name="1、遵循企业会计准则的声明" w:id="171"/>
      <w:bookmarkEnd w:id="17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spacing w:val="-101"/>
          <w:sz w:val="21"/>
          <w:szCs w:val="21"/>
        </w:rPr>
        <w:t> </w:t>
      </w:r>
      <w:r>
        <w:rPr>
          <w:rFonts w:ascii="宋体" w:hAnsi="宋体" w:cs="宋体" w:eastAsia="宋体" w:hint="default"/>
          <w:spacing w:val="-2"/>
          <w:sz w:val="21"/>
          <w:szCs w:val="21"/>
        </w:rPr>
        <w:t>本公司所编制的财务报表符合企业会计准则的要求，真实、完整地反映了报告期公司的财务状况、经</w:t>
      </w:r>
    </w:p>
    <w:p>
      <w:pPr>
        <w:pStyle w:val="BodyText"/>
        <w:spacing w:line="220" w:lineRule="exact" w:before="0"/>
        <w:ind w:right="1764"/>
        <w:jc w:val="left"/>
      </w:pPr>
      <w:r>
        <w:rPr/>
        <w:t>营成果、现金流量等有关信息。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9"/>
        <w:ind w:right="1764"/>
        <w:jc w:val="left"/>
        <w:rPr>
          <w:b w:val="0"/>
          <w:bCs w:val="0"/>
        </w:rPr>
      </w:pPr>
      <w:bookmarkStart w:name="2、会计期间" w:id="172"/>
      <w:bookmarkEnd w:id="172"/>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0"/>
        <w:ind w:left="535" w:right="1764"/>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8"/>
          <w:szCs w:val="28"/>
        </w:rPr>
      </w:pPr>
    </w:p>
    <w:p>
      <w:pPr>
        <w:pStyle w:val="Heading3"/>
        <w:spacing w:line="240" w:lineRule="auto"/>
        <w:ind w:right="1764"/>
        <w:jc w:val="left"/>
        <w:rPr>
          <w:b w:val="0"/>
          <w:bCs w:val="0"/>
        </w:rPr>
      </w:pPr>
      <w:bookmarkStart w:name="3、营业周期" w:id="173"/>
      <w:bookmarkEnd w:id="173"/>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left="535" w:right="1764"/>
        <w:jc w:val="left"/>
      </w:pPr>
      <w:r>
        <w:rPr/>
        <w:t>本公司营业周期为</w:t>
      </w:r>
      <w:r>
        <w:rPr>
          <w:rFonts w:ascii="宋体" w:hAnsi="宋体" w:cs="宋体" w:eastAsia="宋体" w:hint="default"/>
        </w:rPr>
        <w:t>12</w:t>
      </w:r>
      <w:r>
        <w:rPr/>
        <w:t>个月。</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3"/>
        <w:spacing w:line="240" w:lineRule="auto"/>
        <w:ind w:right="1764"/>
        <w:jc w:val="left"/>
        <w:rPr>
          <w:b w:val="0"/>
          <w:bCs w:val="0"/>
        </w:rPr>
      </w:pPr>
      <w:bookmarkStart w:name="4、记账本位币" w:id="174"/>
      <w:bookmarkEnd w:id="174"/>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5"/>
        <w:rPr>
          <w:rFonts w:ascii="宋体" w:hAnsi="宋体" w:cs="宋体" w:eastAsia="宋体" w:hint="default"/>
          <w:b/>
          <w:bCs/>
          <w:sz w:val="24"/>
          <w:szCs w:val="24"/>
        </w:rPr>
      </w:pPr>
    </w:p>
    <w:p>
      <w:pPr>
        <w:pStyle w:val="BodyText"/>
        <w:spacing w:line="240" w:lineRule="auto" w:before="0"/>
        <w:ind w:left="535" w:right="1764"/>
        <w:jc w:val="left"/>
      </w:pPr>
      <w:r>
        <w:rPr/>
        <w:t>采用人民币为记账本位币。</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Heading3"/>
        <w:spacing w:line="240" w:lineRule="auto"/>
        <w:ind w:right="1764"/>
        <w:jc w:val="left"/>
        <w:rPr>
          <w:b w:val="0"/>
          <w:bCs w:val="0"/>
        </w:rPr>
      </w:pPr>
      <w:bookmarkStart w:name="5、同一控制下和非同一控制下企业合并的会计处理方法" w:id="175"/>
      <w:bookmarkEnd w:id="175"/>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5"/>
        <w:rPr>
          <w:rFonts w:ascii="宋体" w:hAnsi="宋体" w:cs="宋体" w:eastAsia="宋体" w:hint="default"/>
          <w:b/>
          <w:bCs/>
          <w:sz w:val="24"/>
          <w:szCs w:val="24"/>
        </w:rPr>
      </w:pPr>
    </w:p>
    <w:p>
      <w:pPr>
        <w:pStyle w:val="Heading3"/>
        <w:spacing w:line="273" w:lineRule="auto"/>
        <w:ind w:right="1007" w:firstLine="528"/>
        <w:jc w:val="left"/>
        <w:rPr>
          <w:b w:val="0"/>
          <w:bCs w:val="0"/>
        </w:rPr>
      </w:pPr>
      <w:r>
        <w:rPr>
          <w:spacing w:val="-2"/>
        </w:rPr>
        <w:t>（</w:t>
      </w:r>
      <w:r>
        <w:rPr>
          <w:rFonts w:ascii="宋体" w:hAnsi="宋体" w:cs="宋体" w:eastAsia="宋体" w:hint="default"/>
          <w:spacing w:val="-2"/>
        </w:rPr>
        <w:t>1</w:t>
      </w:r>
      <w:r>
        <w:rPr>
          <w:spacing w:val="-2"/>
        </w:rPr>
        <w:t>）分步实现企业合并过程中的各项交易的条款、条件以及经济影响符合以下一种或多种情况，将</w:t>
      </w:r>
      <w:r>
        <w:rPr>
          <w:w w:val="100"/>
        </w:rPr>
        <w:t> </w:t>
      </w:r>
      <w:r>
        <w:rPr/>
        <w:t>多次交易事项作为一揽子交易进行会计处理</w:t>
      </w:r>
      <w:r>
        <w:rPr>
          <w:b w:val="0"/>
          <w:bCs w:val="0"/>
        </w:rPr>
      </w:r>
    </w:p>
    <w:p>
      <w:pPr>
        <w:pStyle w:val="BodyText"/>
        <w:spacing w:line="240" w:lineRule="auto"/>
        <w:ind w:left="535" w:right="1764"/>
        <w:jc w:val="left"/>
      </w:pP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21"/>
        <w:ind w:left="535" w:right="1764"/>
        <w:jc w:val="left"/>
      </w:pPr>
      <w:r>
        <w:rPr>
          <w:rFonts w:ascii="Times New Roman" w:hAnsi="Times New Roman" w:cs="Times New Roman" w:eastAsia="Times New Roman" w:hint="default"/>
        </w:rPr>
        <w:t>2</w:t>
      </w:r>
      <w:r>
        <w:rPr/>
        <w:t>）这些交易整体才能达成一项完整的商业结果；</w:t>
      </w:r>
    </w:p>
    <w:p>
      <w:pPr>
        <w:pStyle w:val="BodyText"/>
        <w:spacing w:line="240" w:lineRule="auto" w:before="21"/>
        <w:ind w:left="535" w:right="1764"/>
        <w:jc w:val="left"/>
      </w:pPr>
      <w:r>
        <w:rPr>
          <w:rFonts w:ascii="Times New Roman" w:hAnsi="Times New Roman" w:cs="Times New Roman" w:eastAsia="Times New Roman" w:hint="default"/>
        </w:rPr>
        <w:t>3</w:t>
      </w:r>
      <w:r>
        <w:rPr/>
        <w:t>）一项交易的发生取决于其他至少一项交易的发生；</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40" w:lineRule="auto" w:before="36"/>
        <w:ind w:left="535" w:right="1764"/>
        <w:jc w:val="left"/>
      </w:pPr>
      <w:r>
        <w:rPr>
          <w:rFonts w:ascii="Times New Roman" w:hAnsi="Times New Roman" w:cs="Times New Roman" w:eastAsia="Times New Roman" w:hint="default"/>
        </w:rPr>
        <w:t>4</w:t>
      </w:r>
      <w:r>
        <w:rPr/>
        <w:t>）一项交易单独看是不经济的，但是和其他交易一并考虑时是经济的。</w:t>
      </w:r>
    </w:p>
    <w:p>
      <w:pPr>
        <w:spacing w:line="273" w:lineRule="auto" w:before="21"/>
        <w:ind w:left="535" w:right="100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）同一控制下的企业合并</w:t>
      </w:r>
      <w:r>
        <w:rPr>
          <w:rFonts w:ascii="宋体" w:hAnsi="宋体" w:cs="宋体" w:eastAsia="宋体" w:hint="default"/>
          <w:b/>
          <w:bCs/>
          <w:spacing w:val="-102"/>
          <w:sz w:val="21"/>
          <w:szCs w:val="21"/>
        </w:rPr>
        <w:t> </w:t>
      </w:r>
      <w:r>
        <w:rPr>
          <w:rFonts w:ascii="宋体" w:hAnsi="宋体" w:cs="宋体" w:eastAsia="宋体" w:hint="default"/>
          <w:spacing w:val="-2"/>
          <w:sz w:val="21"/>
          <w:szCs w:val="21"/>
        </w:rPr>
        <w:t>本公司在企业合并中取得的资产和负债，按照合并日在被合并方资产、负债（包括最终控制方收购被</w:t>
      </w:r>
    </w:p>
    <w:p>
      <w:pPr>
        <w:pStyle w:val="BodyText"/>
        <w:spacing w:line="273" w:lineRule="auto" w:before="8"/>
        <w:ind w:right="1125"/>
        <w:jc w:val="both"/>
      </w:pPr>
      <w:r>
        <w:rPr>
          <w:spacing w:val="-2"/>
        </w:rPr>
        <w:t>合并方而形成的商誉）在最终控制方合并财务报表中的账面价值计量。在合并中取得的净资产账面价值与</w:t>
      </w:r>
      <w:r>
        <w:rPr>
          <w:spacing w:val="-33"/>
        </w:rPr>
        <w:t> </w:t>
      </w:r>
      <w:r>
        <w:rPr>
          <w:spacing w:val="-33"/>
        </w:rPr>
      </w:r>
      <w:r>
        <w:rPr>
          <w:spacing w:val="-2"/>
        </w:rPr>
        <w:t>支付的合并对价账面价值（或发行股份面值总额）的差额，调整资本公积中的股本溢价，资本公积中的股</w:t>
      </w:r>
      <w:r>
        <w:rPr>
          <w:spacing w:val="-33"/>
        </w:rPr>
        <w:t> </w:t>
      </w:r>
      <w:r>
        <w:rPr>
          <w:spacing w:val="-33"/>
        </w:rPr>
      </w:r>
      <w:r>
        <w:rPr/>
        <w:t>本溢价不足冲减的，调整留存收益。</w:t>
      </w:r>
    </w:p>
    <w:p>
      <w:pPr>
        <w:pStyle w:val="BodyText"/>
        <w:spacing w:line="273" w:lineRule="auto"/>
        <w:ind w:right="1007" w:firstLine="422"/>
        <w:jc w:val="left"/>
      </w:pPr>
      <w:r>
        <w:rPr>
          <w:spacing w:val="-2"/>
        </w:rPr>
        <w:t>如果存在或有对价并需要确认预计负债或资产，该预计负债或资产金额与后续或有对价结算金额的差</w:t>
      </w:r>
      <w:r>
        <w:rPr>
          <w:w w:val="100"/>
        </w:rPr>
        <w:t> </w:t>
      </w:r>
      <w:r>
        <w:rPr>
          <w:spacing w:val="-5"/>
          <w:w w:val="100"/>
        </w:rPr>
        <w:t>额，调整资本公积（资本溢价或股本溢价），资本公积不足的，调整留存收益。</w:t>
      </w:r>
    </w:p>
    <w:p>
      <w:pPr>
        <w:pStyle w:val="BodyText"/>
        <w:spacing w:line="273" w:lineRule="auto"/>
        <w:ind w:right="1106" w:firstLine="422"/>
        <w:jc w:val="both"/>
      </w:pPr>
      <w:r>
        <w:rPr>
          <w:spacing w:val="-2"/>
        </w:rPr>
        <w:t>对于通过多次交易最终实现企业合并的，属于一揽子交易的，将各项交易作为一项取得控制权的交易</w:t>
      </w:r>
      <w:r>
        <w:rPr>
          <w:w w:val="100"/>
        </w:rPr>
        <w:t> </w:t>
      </w:r>
      <w:r>
        <w:rPr>
          <w:spacing w:val="-2"/>
        </w:rPr>
        <w:t>进行会计处理；不属于一揽子交易的，在取得控制权日，长期股权投资初始投资成本，与达到合并前的长</w:t>
      </w:r>
      <w:r>
        <w:rPr>
          <w:spacing w:val="-31"/>
        </w:rPr>
        <w:t> </w:t>
      </w:r>
      <w:r>
        <w:rPr>
          <w:spacing w:val="-31"/>
        </w:rPr>
      </w:r>
      <w:r>
        <w:rPr>
          <w:spacing w:val="-2"/>
        </w:rPr>
        <w:t>期股权投资账面价值加上合并日进一步取得股份新支付对价的账面价值之和的差额，调整资本公积；资本</w:t>
      </w:r>
      <w:r>
        <w:rPr>
          <w:spacing w:val="-33"/>
        </w:rPr>
        <w:t> </w:t>
      </w:r>
      <w:r>
        <w:rPr>
          <w:spacing w:val="-33"/>
        </w:rPr>
      </w:r>
      <w:r>
        <w:rPr>
          <w:spacing w:val="-2"/>
        </w:rPr>
        <w:t>公积不足冲减的，调整留存收益。对于合并日之前持有的股权投资，因采用权益法核算或金融工具确认和</w:t>
      </w:r>
      <w:r>
        <w:rPr>
          <w:spacing w:val="-33"/>
        </w:rPr>
        <w:t> </w:t>
      </w:r>
      <w:r>
        <w:rPr>
          <w:spacing w:val="-33"/>
        </w:rPr>
      </w:r>
      <w:r>
        <w:rPr>
          <w:spacing w:val="-2"/>
        </w:rPr>
        <w:t>计量准则核算而确认的其他综合收益，暂不进行会计处理，直至处置该项投资时采用与被投资单位直接处</w:t>
      </w:r>
      <w:r>
        <w:rPr>
          <w:spacing w:val="-33"/>
        </w:rPr>
        <w:t> </w:t>
      </w:r>
      <w:r>
        <w:rPr>
          <w:spacing w:val="-33"/>
        </w:rPr>
      </w:r>
      <w:r>
        <w:rPr>
          <w:spacing w:val="-2"/>
        </w:rPr>
        <w:t>置相关资产或负债相同的基础进行会计处理；因采用权益法核算而确认的被投资单位净资产中除净损益、</w:t>
      </w:r>
      <w:r>
        <w:rPr>
          <w:spacing w:val="-13"/>
        </w:rPr>
        <w:t> </w:t>
      </w:r>
      <w:r>
        <w:rPr>
          <w:spacing w:val="-13"/>
        </w:rPr>
      </w:r>
      <w:r>
        <w:rPr>
          <w:spacing w:val="-2"/>
        </w:rPr>
        <w:t>其他综合收益和利润分配以外的所有者权益其他变动，暂不进行会计处理，直至处置该项投资时转入当期</w:t>
      </w:r>
      <w:r>
        <w:rPr>
          <w:spacing w:val="-33"/>
        </w:rPr>
        <w:t> </w:t>
      </w:r>
      <w:r>
        <w:rPr>
          <w:spacing w:val="-33"/>
        </w:rPr>
      </w:r>
      <w:r>
        <w:rPr/>
        <w:t>损益。</w:t>
      </w:r>
    </w:p>
    <w:p>
      <w:pPr>
        <w:spacing w:line="273" w:lineRule="auto" w:before="7"/>
        <w:ind w:left="535" w:right="100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）非同一控制下的企业合并</w:t>
      </w:r>
      <w:r>
        <w:rPr>
          <w:rFonts w:ascii="宋体" w:hAnsi="宋体" w:cs="宋体" w:eastAsia="宋体" w:hint="default"/>
          <w:b/>
          <w:bCs/>
          <w:spacing w:val="-102"/>
          <w:sz w:val="21"/>
          <w:szCs w:val="21"/>
        </w:rPr>
        <w:t> </w:t>
      </w:r>
      <w:r>
        <w:rPr>
          <w:rFonts w:ascii="宋体" w:hAnsi="宋体" w:cs="宋体" w:eastAsia="宋体" w:hint="default"/>
          <w:spacing w:val="-2"/>
          <w:sz w:val="21"/>
          <w:szCs w:val="21"/>
        </w:rPr>
        <w:t>购买日是指本公司实际取得对被购买方控制权的日期，即被购买方的净资产或生产经营决策的控制权</w:t>
      </w:r>
    </w:p>
    <w:p>
      <w:pPr>
        <w:pStyle w:val="BodyText"/>
        <w:spacing w:line="240" w:lineRule="auto"/>
        <w:ind w:right="1764"/>
        <w:jc w:val="left"/>
      </w:pPr>
      <w:r>
        <w:rPr/>
        <w:t>转移给本公司的日期。同时满足下列条件时，本公司一般认为实现了控制权的转移：</w:t>
      </w:r>
    </w:p>
    <w:p>
      <w:pPr>
        <w:pStyle w:val="BodyText"/>
        <w:spacing w:line="240" w:lineRule="auto" w:before="37"/>
        <w:ind w:left="535" w:right="1764"/>
        <w:jc w:val="left"/>
      </w:pPr>
      <w:r>
        <w:rPr/>
        <w:t>①企业合并合同或协议已获本公司内部权力机构通过。</w:t>
      </w:r>
    </w:p>
    <w:p>
      <w:pPr>
        <w:pStyle w:val="BodyText"/>
        <w:spacing w:line="240" w:lineRule="auto" w:before="37"/>
        <w:ind w:left="535" w:right="1764"/>
        <w:jc w:val="left"/>
      </w:pPr>
      <w:r>
        <w:rPr/>
        <w:t>②企业合并事项需要经过国家有关主管部门审批的，已获得批准。</w:t>
      </w:r>
    </w:p>
    <w:p>
      <w:pPr>
        <w:pStyle w:val="BodyText"/>
        <w:spacing w:line="240" w:lineRule="auto" w:before="37"/>
        <w:ind w:left="535" w:right="1764"/>
        <w:jc w:val="left"/>
      </w:pPr>
      <w:r>
        <w:rPr/>
        <w:t>③已办理了必要的财产权转移手续。</w:t>
      </w:r>
    </w:p>
    <w:p>
      <w:pPr>
        <w:pStyle w:val="BodyText"/>
        <w:spacing w:line="240" w:lineRule="auto" w:before="37"/>
        <w:ind w:left="535" w:right="1764"/>
        <w:jc w:val="left"/>
      </w:pPr>
      <w:r>
        <w:rPr/>
        <w:t>④本公司已支付了合并价款的大部分，并且有能力、有计划支付剩余款项。</w:t>
      </w:r>
    </w:p>
    <w:p>
      <w:pPr>
        <w:pStyle w:val="BodyText"/>
        <w:spacing w:line="273" w:lineRule="auto" w:before="37"/>
        <w:ind w:left="535" w:right="1007"/>
        <w:jc w:val="left"/>
      </w:pPr>
      <w:r>
        <w:rPr/>
        <w:t>⑤本公司实际上已经控制了被购买方的财务和经营政策，并享有相应的利益、承担相应的风险。</w:t>
      </w:r>
      <w:r>
        <w:rPr>
          <w:w w:val="100"/>
        </w:rPr>
        <w:t> </w:t>
      </w:r>
      <w:r>
        <w:rPr>
          <w:spacing w:val="-2"/>
        </w:rPr>
        <w:t>本公司在购买日对作为企业合并对价付出的资产、发生或承担的负债按照公允价值计量，公允价值与</w:t>
      </w:r>
    </w:p>
    <w:p>
      <w:pPr>
        <w:pStyle w:val="BodyText"/>
        <w:spacing w:line="273" w:lineRule="auto" w:before="8"/>
        <w:ind w:left="535" w:right="1007" w:hanging="423"/>
        <w:jc w:val="left"/>
      </w:pPr>
      <w:r>
        <w:rPr/>
        <w:t>其账面价值的差额，计入当期损益。</w:t>
      </w:r>
      <w:r>
        <w:rPr>
          <w:spacing w:val="-101"/>
        </w:rPr>
        <w:t> </w:t>
      </w:r>
      <w:r>
        <w:rPr>
          <w:spacing w:val="-101"/>
        </w:rPr>
      </w:r>
      <w:r>
        <w:rPr>
          <w:spacing w:val="-2"/>
        </w:rPr>
        <w:t>本公司对合并成本大于合并中取得的被购买方可辨认净资产公允价值份额的差额，确认为商誉；合并</w:t>
      </w:r>
    </w:p>
    <w:p>
      <w:pPr>
        <w:pStyle w:val="BodyText"/>
        <w:spacing w:line="273" w:lineRule="auto"/>
        <w:ind w:left="535" w:right="1007" w:hanging="423"/>
        <w:jc w:val="left"/>
      </w:pPr>
      <w:r>
        <w:rPr/>
        <w:t>成本小于合并中取得的被购买方可辨认净资产公允价值份额的差额，经复核后，计入当期损益。</w:t>
      </w:r>
      <w:r>
        <w:rPr>
          <w:w w:val="100"/>
        </w:rPr>
        <w:t> </w:t>
      </w:r>
      <w:r>
        <w:rPr>
          <w:spacing w:val="-2"/>
        </w:rPr>
        <w:t>通过多次交换交易分步实现的非同一控制下企业合并，属于一揽子交易的，将各项交易作为一项取得</w:t>
      </w:r>
    </w:p>
    <w:p>
      <w:pPr>
        <w:pStyle w:val="BodyText"/>
        <w:spacing w:line="273" w:lineRule="auto"/>
        <w:ind w:right="1007"/>
        <w:jc w:val="left"/>
      </w:pPr>
      <w:r>
        <w:rPr>
          <w:spacing w:val="-2"/>
        </w:rPr>
        <w:t>控制权的交易进行会计处理；不属于一揽子交易的，合并日之前持有的股权投资采用权益法核算的，以购</w:t>
      </w:r>
      <w:r>
        <w:rPr>
          <w:spacing w:val="-33"/>
        </w:rPr>
        <w:t> </w:t>
      </w:r>
      <w:r>
        <w:rPr>
          <w:spacing w:val="-33"/>
        </w:rPr>
      </w:r>
      <w:r>
        <w:rPr/>
        <w:t>买日之前所持被购买方的股权投资的账面价值与购买日新增投资成本之和，作为该项投资的初始投资成</w:t>
      </w:r>
      <w:r>
        <w:rPr>
          <w:w w:val="100"/>
        </w:rPr>
        <w:t> </w:t>
      </w:r>
      <w:r>
        <w:rPr>
          <w:spacing w:val="-2"/>
        </w:rPr>
        <w:t>本；购买日之前持有的股权投资因采用权益法核算而确认的其他综合收益，在处置该项投资时采用与被投</w:t>
      </w:r>
      <w:r>
        <w:rPr>
          <w:spacing w:val="-33"/>
        </w:rPr>
        <w:t> </w:t>
      </w:r>
      <w:r>
        <w:rPr>
          <w:spacing w:val="-33"/>
        </w:rPr>
      </w:r>
      <w:r>
        <w:rPr>
          <w:spacing w:val="-2"/>
        </w:rPr>
        <w:t>资单位直接处置相关资产或负债相同的基础进行会计处理。合并日之前持有的股权投资采用金融工具确认</w:t>
      </w:r>
      <w:r>
        <w:rPr>
          <w:spacing w:val="-33"/>
        </w:rPr>
        <w:t> </w:t>
      </w:r>
      <w:r>
        <w:rPr>
          <w:spacing w:val="-33"/>
        </w:rPr>
      </w:r>
      <w:r>
        <w:rPr>
          <w:spacing w:val="-2"/>
        </w:rPr>
        <w:t>和计量准则核算的，以该股权投资在合并日的公允价值加上新增投资成本之和，作为合并日的初始投资成</w:t>
      </w:r>
      <w:r>
        <w:rPr>
          <w:spacing w:val="-33"/>
        </w:rPr>
        <w:t> </w:t>
      </w:r>
      <w:r>
        <w:rPr>
          <w:spacing w:val="-33"/>
        </w:rPr>
      </w:r>
      <w:r>
        <w:rPr>
          <w:spacing w:val="-2"/>
        </w:rPr>
        <w:t>本。原持有股权的公允价值与账面价值之间的差额以及原计入其他综合收益的累计公允价值变动应全部转</w:t>
      </w:r>
      <w:r>
        <w:rPr>
          <w:spacing w:val="-33"/>
        </w:rPr>
        <w:t> </w:t>
      </w:r>
      <w:r>
        <w:rPr>
          <w:spacing w:val="-33"/>
        </w:rPr>
      </w:r>
      <w:r>
        <w:rPr/>
        <w:t>入合并日当期的投资收益。</w:t>
      </w:r>
    </w:p>
    <w:p>
      <w:pPr>
        <w:spacing w:line="273" w:lineRule="auto" w:before="8"/>
        <w:ind w:left="535" w:right="100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）为合并发生的相关费用</w:t>
      </w:r>
      <w:r>
        <w:rPr>
          <w:rFonts w:ascii="宋体" w:hAnsi="宋体" w:cs="宋体" w:eastAsia="宋体" w:hint="default"/>
          <w:b/>
          <w:bCs/>
          <w:spacing w:val="-102"/>
          <w:sz w:val="21"/>
          <w:szCs w:val="21"/>
        </w:rPr>
        <w:t> </w:t>
      </w:r>
      <w:r>
        <w:rPr>
          <w:rFonts w:ascii="宋体" w:hAnsi="宋体" w:cs="宋体" w:eastAsia="宋体" w:hint="default"/>
          <w:spacing w:val="-2"/>
          <w:sz w:val="21"/>
          <w:szCs w:val="21"/>
        </w:rPr>
        <w:t>为企业合并发生的审计、法律服务、评估咨询等中介费用以及其他直接相关费用，于发生时计入当期</w:t>
      </w:r>
    </w:p>
    <w:p>
      <w:pPr>
        <w:pStyle w:val="BodyText"/>
        <w:spacing w:line="240" w:lineRule="auto"/>
        <w:ind w:right="1764"/>
        <w:jc w:val="left"/>
      </w:pPr>
      <w:r>
        <w:rPr/>
        <w:t>损益；为企业合并而发行权益性证券的交易费用，可直接归属于权益性交易的从权益中扣减。</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Heading3"/>
        <w:spacing w:line="240" w:lineRule="auto"/>
        <w:ind w:right="1764"/>
        <w:jc w:val="left"/>
        <w:rPr>
          <w:b w:val="0"/>
          <w:bCs w:val="0"/>
        </w:rPr>
      </w:pPr>
      <w:bookmarkStart w:name="6、合并财务报表的编制方法" w:id="176"/>
      <w:bookmarkEnd w:id="176"/>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left="535" w:right="1764"/>
        <w:jc w:val="left"/>
        <w:rPr>
          <w:b w:val="0"/>
          <w:bCs w:val="0"/>
        </w:rPr>
      </w:pPr>
      <w:r>
        <w:rPr/>
        <w:t>（</w:t>
      </w:r>
      <w:r>
        <w:rPr>
          <w:rFonts w:ascii="宋体" w:hAnsi="宋体" w:cs="宋体" w:eastAsia="宋体" w:hint="default"/>
        </w:rPr>
        <w:t>1</w:t>
      </w:r>
      <w:r>
        <w:rPr/>
        <w:t>）合并范围</w:t>
      </w:r>
      <w:r>
        <w:rPr>
          <w:b w:val="0"/>
          <w:bCs w:val="0"/>
        </w:rPr>
      </w:r>
    </w:p>
    <w:p>
      <w:pPr>
        <w:spacing w:after="0" w:line="240" w:lineRule="auto"/>
        <w:jc w:val="left"/>
        <w:sectPr>
          <w:footerReference w:type="default" r:id="rId25"/>
          <w:pgSz w:w="11910" w:h="16840"/>
          <w:pgMar w:footer="1022" w:header="906" w:top="1100" w:bottom="1220" w:left="1020" w:right="0"/>
          <w:pgNumType w:start="120"/>
        </w:sectPr>
      </w:pPr>
    </w:p>
    <w:p>
      <w:pPr>
        <w:spacing w:line="240" w:lineRule="auto" w:before="8"/>
        <w:rPr>
          <w:rFonts w:ascii="宋体" w:hAnsi="宋体" w:cs="宋体" w:eastAsia="宋体" w:hint="default"/>
          <w:b/>
          <w:bCs/>
          <w:sz w:val="21"/>
          <w:szCs w:val="21"/>
        </w:rPr>
      </w:pPr>
    </w:p>
    <w:p>
      <w:pPr>
        <w:pStyle w:val="BodyText"/>
        <w:spacing w:line="273" w:lineRule="auto" w:before="36"/>
        <w:ind w:right="1120" w:firstLine="422"/>
        <w:jc w:val="both"/>
      </w:pPr>
      <w:r>
        <w:rPr>
          <w:spacing w:val="-2"/>
        </w:rPr>
        <w:t>本公司合并财务报表的合并范围以控制为基础确定，所有子公司（包括本公司所控制的单独主体）均</w:t>
      </w:r>
      <w:r>
        <w:rPr>
          <w:w w:val="100"/>
        </w:rPr>
        <w:t> </w:t>
      </w:r>
      <w:r>
        <w:rPr/>
        <w:t>纳入合并财务报表。</w:t>
      </w:r>
    </w:p>
    <w:p>
      <w:pPr>
        <w:pStyle w:val="BodyText"/>
        <w:spacing w:line="273" w:lineRule="auto"/>
        <w:ind w:left="535" w:right="1007"/>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）合并程序</w:t>
      </w:r>
      <w:r>
        <w:rPr>
          <w:rFonts w:ascii="宋体" w:hAnsi="宋体" w:cs="宋体" w:eastAsia="宋体" w:hint="default"/>
          <w:b/>
          <w:bCs/>
          <w:spacing w:val="-104"/>
        </w:rPr>
        <w:t> </w:t>
      </w:r>
      <w:r>
        <w:rPr>
          <w:spacing w:val="-2"/>
        </w:rPr>
        <w:t>本公司以自身和各子公司的财务报表为基础，根据其他有关资料，编制合并财务报表。本公司编制合</w:t>
      </w:r>
    </w:p>
    <w:p>
      <w:pPr>
        <w:pStyle w:val="BodyText"/>
        <w:spacing w:line="273" w:lineRule="auto"/>
        <w:ind w:right="1126"/>
        <w:jc w:val="both"/>
      </w:pPr>
      <w:r>
        <w:rPr>
          <w:spacing w:val="-2"/>
        </w:rPr>
        <w:t>并财务报表，将整个企业集团视为一个会计主体，依据相关企业会计准则的确认、计量和列报要求，按照</w:t>
      </w:r>
      <w:r>
        <w:rPr>
          <w:spacing w:val="-33"/>
        </w:rPr>
        <w:t> </w:t>
      </w:r>
      <w:r>
        <w:rPr>
          <w:spacing w:val="-33"/>
        </w:rPr>
      </w:r>
      <w:r>
        <w:rPr/>
        <w:t>统一的会计政策，反映本企业集团整体财务状况、经营成果和现金流量。</w:t>
      </w:r>
    </w:p>
    <w:p>
      <w:pPr>
        <w:pStyle w:val="BodyText"/>
        <w:spacing w:line="273" w:lineRule="auto"/>
        <w:ind w:right="1125" w:firstLine="422"/>
        <w:jc w:val="both"/>
      </w:pPr>
      <w:r>
        <w:rPr>
          <w:spacing w:val="-2"/>
        </w:rPr>
        <w:t>所有纳入合并财务报表合并范围的子公司所采用的会计政策、会计期间与本公司一致，如子公司采用</w:t>
      </w:r>
      <w:r>
        <w:rPr>
          <w:w w:val="100"/>
        </w:rPr>
        <w:t> </w:t>
      </w:r>
      <w:r>
        <w:rPr>
          <w:spacing w:val="-2"/>
        </w:rPr>
        <w:t>的会计政策、会计期间与本公司不一致的，在编制合并财务报表时，按本公司的会计政策、会计期间进行</w:t>
      </w:r>
      <w:r>
        <w:rPr>
          <w:spacing w:val="-33"/>
        </w:rPr>
        <w:t> </w:t>
      </w:r>
      <w:r>
        <w:rPr>
          <w:spacing w:val="-33"/>
        </w:rPr>
      </w:r>
      <w:r>
        <w:rPr/>
        <w:t>必要的调整。</w:t>
      </w:r>
    </w:p>
    <w:p>
      <w:pPr>
        <w:pStyle w:val="BodyText"/>
        <w:spacing w:line="273" w:lineRule="auto" w:before="8"/>
        <w:ind w:right="1122" w:firstLine="422"/>
        <w:jc w:val="both"/>
      </w:pPr>
      <w:r>
        <w:rPr>
          <w:spacing w:val="-2"/>
        </w:rPr>
        <w:t>合并财务报表时抵销本公司与各子公司、各子公司相互之间发生的内部交易对合并资产负债表、合并</w:t>
      </w:r>
      <w:r>
        <w:rPr>
          <w:w w:val="100"/>
        </w:rPr>
        <w:t> </w:t>
      </w:r>
      <w:r>
        <w:rPr>
          <w:spacing w:val="-2"/>
        </w:rPr>
        <w:t>利润表、合并现金流量表、合并股东权益变动表的影响。如果站在企业集团合并财务报表角度与以本公司</w:t>
      </w:r>
      <w:r>
        <w:rPr>
          <w:spacing w:val="-33"/>
        </w:rPr>
        <w:t> </w:t>
      </w:r>
      <w:r>
        <w:rPr>
          <w:spacing w:val="-33"/>
        </w:rPr>
      </w:r>
      <w:r>
        <w:rPr/>
        <w:t>或子公司为会计主体对同一交易的认定不同时，从企业集团的角度对该交易予以调整。</w:t>
      </w:r>
    </w:p>
    <w:p>
      <w:pPr>
        <w:pStyle w:val="BodyText"/>
        <w:spacing w:line="273" w:lineRule="auto"/>
        <w:ind w:right="1121" w:firstLine="422"/>
        <w:jc w:val="both"/>
      </w:pPr>
      <w:r>
        <w:rPr>
          <w:spacing w:val="-2"/>
        </w:rPr>
        <w:t>子公司所有者权益、当期净损益和当期综合收益中属于少数股东的份额分别在合并资产负债表中所有</w:t>
      </w:r>
      <w:r>
        <w:rPr>
          <w:w w:val="100"/>
        </w:rPr>
        <w:t> </w:t>
      </w:r>
      <w:r>
        <w:rPr>
          <w:spacing w:val="-2"/>
        </w:rPr>
        <w:t>者权益项目下、合并利润表中净利润项目下和综合收益总额项目下单独列示。子公司少数股东分担的当期</w:t>
      </w:r>
      <w:r>
        <w:rPr>
          <w:spacing w:val="-33"/>
        </w:rPr>
        <w:t> </w:t>
      </w:r>
      <w:r>
        <w:rPr>
          <w:spacing w:val="-33"/>
        </w:rPr>
      </w:r>
      <w:r>
        <w:rPr/>
        <w:t>亏损超过了少数股东在该子公司期初所有者权益中所享有份额而形成的余额，冲减少数股东权益。</w:t>
      </w:r>
    </w:p>
    <w:p>
      <w:pPr>
        <w:pStyle w:val="BodyText"/>
        <w:spacing w:line="273" w:lineRule="auto"/>
        <w:ind w:right="1123" w:firstLine="422"/>
        <w:jc w:val="both"/>
      </w:pPr>
      <w:r>
        <w:rPr>
          <w:spacing w:val="-2"/>
        </w:rPr>
        <w:t>对于同一控制下企业合并取得的子公司，以其资产、负债（包括最终控制方收购该子公司而形成的商</w:t>
      </w:r>
      <w:r>
        <w:rPr>
          <w:w w:val="100"/>
        </w:rPr>
        <w:t> </w:t>
      </w:r>
      <w:r>
        <w:rPr/>
        <w:t>誉）在最终控制方财务报表中的账面价值为基础对其财务报表进行调整。</w:t>
      </w:r>
    </w:p>
    <w:p>
      <w:pPr>
        <w:pStyle w:val="BodyText"/>
        <w:spacing w:line="273" w:lineRule="auto"/>
        <w:ind w:right="1121" w:firstLine="422"/>
        <w:jc w:val="both"/>
      </w:pPr>
      <w:r>
        <w:rPr>
          <w:spacing w:val="-2"/>
        </w:rPr>
        <w:t>对于非同一控制下企业合并取得的子公司，以购买日可辨认净资产公允价值为基础对其财务报表进行</w:t>
      </w:r>
      <w:r>
        <w:rPr>
          <w:w w:val="100"/>
        </w:rPr>
        <w:t> </w:t>
      </w:r>
      <w:r>
        <w:rPr/>
        <w:t>调整</w:t>
      </w:r>
    </w:p>
    <w:p>
      <w:pPr>
        <w:pStyle w:val="BodyText"/>
        <w:spacing w:line="273" w:lineRule="auto" w:before="8"/>
        <w:ind w:left="535" w:right="1007" w:hanging="212"/>
        <w:jc w:val="left"/>
      </w:pPr>
      <w:r>
        <w:rPr>
          <w:rFonts w:ascii="宋体" w:hAnsi="宋体" w:cs="宋体" w:eastAsia="宋体" w:hint="default"/>
        </w:rPr>
        <w:t>1</w:t>
      </w:r>
      <w:r>
        <w:rPr/>
        <w:t>）增加子公司或业务</w:t>
      </w:r>
      <w:r>
        <w:rPr>
          <w:w w:val="100"/>
        </w:rPr>
        <w:t> </w:t>
      </w:r>
      <w:r>
        <w:rPr>
          <w:spacing w:val="-2"/>
        </w:rPr>
        <w:t>在报告期内，若因同一控制下企业合并增加子公司或业务的，则调整合并资产负债表的期初数；将子</w:t>
      </w:r>
    </w:p>
    <w:p>
      <w:pPr>
        <w:pStyle w:val="BodyText"/>
        <w:spacing w:line="273" w:lineRule="auto"/>
        <w:ind w:right="1125"/>
        <w:jc w:val="both"/>
      </w:pPr>
      <w:r>
        <w:rPr>
          <w:spacing w:val="-2"/>
        </w:rPr>
        <w:t>公司或业务合并当期期初至报告期末的收入、费用、利润纳入合并利润表；将子公司或业务合并当期期初</w:t>
      </w:r>
      <w:r>
        <w:rPr>
          <w:spacing w:val="-33"/>
        </w:rPr>
        <w:t> </w:t>
      </w:r>
      <w:r>
        <w:rPr>
          <w:spacing w:val="-33"/>
        </w:rPr>
      </w:r>
      <w:r>
        <w:rPr>
          <w:spacing w:val="-2"/>
        </w:rPr>
        <w:t>至报告期末的现金流量纳入合并现金流量表，同时对比较报表的相关项目进行调整，视同合并后的报告主</w:t>
      </w:r>
      <w:r>
        <w:rPr>
          <w:spacing w:val="-33"/>
        </w:rPr>
        <w:t> </w:t>
      </w:r>
      <w:r>
        <w:rPr>
          <w:spacing w:val="-33"/>
        </w:rPr>
      </w:r>
      <w:r>
        <w:rPr/>
        <w:t>体自最终控制方开始控制时点起一直存在。</w:t>
      </w:r>
    </w:p>
    <w:p>
      <w:pPr>
        <w:pStyle w:val="BodyText"/>
        <w:spacing w:line="273" w:lineRule="auto"/>
        <w:ind w:right="1125" w:firstLine="422"/>
        <w:jc w:val="both"/>
      </w:pPr>
      <w:r>
        <w:rPr>
          <w:spacing w:val="-2"/>
        </w:rPr>
        <w:t>因追加投资等原因能够对同一控制下的被投资方实施控制的，视同参与合并的各方在最终控制方开始</w:t>
      </w:r>
      <w:r>
        <w:rPr>
          <w:w w:val="100"/>
        </w:rPr>
        <w:t> </w:t>
      </w:r>
      <w:r>
        <w:rPr>
          <w:spacing w:val="-2"/>
        </w:rPr>
        <w:t>控制时即以目前的状态存在进行调整。在取得被合并方控制权之前持有的股权投资，在取得原股权之日与</w:t>
      </w:r>
      <w:r>
        <w:rPr>
          <w:spacing w:val="-33"/>
        </w:rPr>
        <w:t> </w:t>
      </w:r>
      <w:r>
        <w:rPr>
          <w:spacing w:val="-33"/>
        </w:rPr>
      </w:r>
      <w:r>
        <w:rPr>
          <w:spacing w:val="-2"/>
        </w:rPr>
        <w:t>合并方和被合并方同处于同一控制之日孰晚日起至合并日之间已确认有关损益、其他综合收益以及其他净</w:t>
      </w:r>
      <w:r>
        <w:rPr>
          <w:spacing w:val="-33"/>
        </w:rPr>
        <w:t> </w:t>
      </w:r>
      <w:r>
        <w:rPr>
          <w:spacing w:val="-33"/>
        </w:rPr>
      </w:r>
      <w:r>
        <w:rPr/>
        <w:t>资产变动，分别冲减比较报表期间的期初留存收益或当期损益。</w:t>
      </w:r>
    </w:p>
    <w:p>
      <w:pPr>
        <w:pStyle w:val="BodyText"/>
        <w:spacing w:line="273" w:lineRule="auto"/>
        <w:ind w:right="1120" w:firstLine="422"/>
        <w:jc w:val="both"/>
      </w:pPr>
      <w:r>
        <w:rPr>
          <w:spacing w:val="-2"/>
        </w:rPr>
        <w:t>在报告期内，若因非同一控制下企业合并增加子公司或业务的，则不调整合并资产负债表期初数；将</w:t>
      </w:r>
      <w:r>
        <w:rPr>
          <w:w w:val="100"/>
        </w:rPr>
        <w:t> </w:t>
      </w:r>
      <w:r>
        <w:rPr>
          <w:spacing w:val="-2"/>
        </w:rPr>
        <w:t>该子公司或业务自购买日至报告期末的收入、费用、利润纳入合并利润表；该子公司或业务自购买日至报</w:t>
      </w:r>
      <w:r>
        <w:rPr>
          <w:spacing w:val="-31"/>
        </w:rPr>
        <w:t> </w:t>
      </w:r>
      <w:r>
        <w:rPr>
          <w:spacing w:val="-31"/>
        </w:rPr>
      </w:r>
      <w:r>
        <w:rPr/>
        <w:t>告期末的现金流量纳入合并现金流量表。</w:t>
      </w:r>
    </w:p>
    <w:p>
      <w:pPr>
        <w:pStyle w:val="BodyText"/>
        <w:spacing w:line="273" w:lineRule="auto"/>
        <w:ind w:right="1125" w:firstLine="422"/>
        <w:jc w:val="both"/>
      </w:pPr>
      <w:r>
        <w:rPr>
          <w:spacing w:val="-2"/>
        </w:rPr>
        <w:t>因追加投资等原因能够对非同一控制下的被投资方实施控制的，对于购买日之前持有的被购买方的股</w:t>
      </w:r>
      <w:r>
        <w:rPr>
          <w:w w:val="100"/>
        </w:rPr>
        <w:t> </w:t>
      </w:r>
      <w:r>
        <w:rPr>
          <w:spacing w:val="-2"/>
        </w:rPr>
        <w:t>权，本公司按照该股权在购买日的公允价值进行重新计量，公允价值与其账面价值的差额计入当期投资收</w:t>
      </w:r>
      <w:r>
        <w:rPr>
          <w:spacing w:val="-33"/>
        </w:rPr>
        <w:t> </w:t>
      </w:r>
      <w:r>
        <w:rPr>
          <w:spacing w:val="-33"/>
        </w:rPr>
      </w:r>
      <w:r>
        <w:rPr>
          <w:spacing w:val="-2"/>
        </w:rPr>
        <w:t>益。购买日之前持有的被购买方的股权涉及权益法核算下的其他综合收益以及除净损益、其他综合收益和</w:t>
      </w:r>
      <w:r>
        <w:rPr>
          <w:spacing w:val="-33"/>
        </w:rPr>
        <w:t> </w:t>
      </w:r>
      <w:r>
        <w:rPr>
          <w:spacing w:val="-33"/>
        </w:rPr>
      </w:r>
      <w:r>
        <w:rPr>
          <w:spacing w:val="-2"/>
        </w:rPr>
        <w:t>利润分配之外的其他所有者权益变动的，与其相关的其他综合收益、其他所有者权益变动转为购买日所属</w:t>
      </w:r>
      <w:r>
        <w:rPr>
          <w:spacing w:val="-33"/>
        </w:rPr>
        <w:t> </w:t>
      </w:r>
      <w:r>
        <w:rPr>
          <w:spacing w:val="-33"/>
        </w:rPr>
      </w:r>
      <w:r>
        <w:rPr/>
        <w:t>当期投资收益，由于被投资方重新计量设定受益计划净负债或净资产变动而产生的其他综合收益除外。</w:t>
      </w:r>
    </w:p>
    <w:p>
      <w:pPr>
        <w:pStyle w:val="BodyText"/>
        <w:spacing w:line="240" w:lineRule="auto" w:before="8"/>
        <w:ind w:left="324" w:right="1764"/>
        <w:jc w:val="left"/>
      </w:pPr>
      <w:r>
        <w:rPr>
          <w:rFonts w:ascii="宋体" w:hAnsi="宋体" w:cs="宋体" w:eastAsia="宋体" w:hint="default"/>
        </w:rPr>
        <w:t>2</w:t>
      </w:r>
      <w:r>
        <w:rPr/>
        <w:t>）处置子公司或业务</w:t>
      </w:r>
    </w:p>
    <w:p>
      <w:pPr>
        <w:pStyle w:val="BodyText"/>
        <w:spacing w:line="273" w:lineRule="auto" w:before="37"/>
        <w:ind w:left="535" w:right="1007"/>
        <w:jc w:val="left"/>
      </w:pPr>
      <w:r>
        <w:rPr/>
        <w:t>①一般处理方法</w:t>
      </w:r>
      <w:r>
        <w:rPr>
          <w:spacing w:val="-102"/>
        </w:rPr>
        <w:t> </w:t>
      </w:r>
      <w:r>
        <w:rPr>
          <w:spacing w:val="-102"/>
        </w:rPr>
      </w:r>
      <w:r>
        <w:rPr>
          <w:spacing w:val="-2"/>
        </w:rPr>
        <w:t>在报告期内，本公司处置子公司或业务，则该子公司或业务期初至处置日的收入、费用、利润纳入合</w:t>
      </w:r>
    </w:p>
    <w:p>
      <w:pPr>
        <w:pStyle w:val="BodyText"/>
        <w:spacing w:line="273" w:lineRule="auto"/>
        <w:ind w:left="535" w:right="1007" w:hanging="423"/>
        <w:jc w:val="left"/>
      </w:pPr>
      <w:r>
        <w:rPr/>
        <w:t>并利润表；该子公司或业务期初至处置日的现金流量纳入合并现金流量表。</w:t>
      </w:r>
      <w:r>
        <w:rPr>
          <w:w w:val="100"/>
        </w:rPr>
        <w:t> </w:t>
      </w:r>
      <w:r>
        <w:rPr>
          <w:spacing w:val="-2"/>
        </w:rPr>
        <w:t>因处置部分股权投资或其他原因丧失了对被投资方控制权时，对于处置后的剩余股权投资，本公司按</w:t>
      </w:r>
    </w:p>
    <w:p>
      <w:pPr>
        <w:pStyle w:val="BodyText"/>
        <w:spacing w:line="273" w:lineRule="auto" w:before="8"/>
        <w:ind w:right="1124"/>
        <w:jc w:val="both"/>
      </w:pPr>
      <w:r>
        <w:rPr>
          <w:spacing w:val="-2"/>
        </w:rPr>
        <w:t>照其在丧失控制权日的公允价值进行重新计量。处置股权取得的对价与剩余股权公允价值之和，减去按原</w:t>
      </w:r>
      <w:r>
        <w:rPr>
          <w:spacing w:val="-33"/>
        </w:rPr>
        <w:t> </w:t>
      </w:r>
      <w:r>
        <w:rPr>
          <w:spacing w:val="-33"/>
        </w:rPr>
      </w:r>
      <w:r>
        <w:rPr>
          <w:spacing w:val="-2"/>
        </w:rPr>
        <w:t>持股比例计算应享有原有子公司自购买日或合并日开始持续计算的净资产的份额与商誉之和的差额，计入</w:t>
      </w:r>
      <w:r>
        <w:rPr>
          <w:spacing w:val="-33"/>
        </w:rPr>
        <w:t> </w:t>
      </w:r>
      <w:r>
        <w:rPr>
          <w:spacing w:val="-33"/>
        </w:rPr>
      </w:r>
      <w:r>
        <w:rPr>
          <w:spacing w:val="-2"/>
        </w:rPr>
        <w:t>丧失控制权当期的投资收益。与原有子公司股权投资相关的其他综合收益或除净损益、其他综合收益及利</w:t>
      </w:r>
    </w:p>
    <w:p>
      <w:pPr>
        <w:spacing w:after="0" w:line="273" w:lineRule="auto"/>
        <w:jc w:val="both"/>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73" w:lineRule="auto" w:before="36"/>
        <w:ind w:right="1125"/>
        <w:jc w:val="both"/>
      </w:pPr>
      <w:r>
        <w:rPr>
          <w:spacing w:val="-2"/>
        </w:rPr>
        <w:t>润分配之外的其他所有者权益变动，在丧失控制权时转为当期投资收益，由于被投资方重新计量设定受益</w:t>
      </w:r>
      <w:r>
        <w:rPr>
          <w:spacing w:val="-33"/>
        </w:rPr>
        <w:t> </w:t>
      </w:r>
      <w:r>
        <w:rPr>
          <w:spacing w:val="-33"/>
        </w:rPr>
      </w:r>
      <w:r>
        <w:rPr/>
        <w:t>计划净负债或净资产变动而产生的其他综合收益除外。</w:t>
      </w:r>
    </w:p>
    <w:p>
      <w:pPr>
        <w:pStyle w:val="BodyText"/>
        <w:spacing w:line="273" w:lineRule="auto"/>
        <w:ind w:left="535" w:right="1007"/>
        <w:jc w:val="left"/>
      </w:pPr>
      <w:r>
        <w:rPr/>
        <w:t>②分步处置子公司</w:t>
      </w:r>
      <w:r>
        <w:rPr>
          <w:spacing w:val="-101"/>
        </w:rPr>
        <w:t> </w:t>
      </w:r>
      <w:r>
        <w:rPr>
          <w:spacing w:val="-101"/>
        </w:rPr>
      </w:r>
      <w:r>
        <w:rPr>
          <w:spacing w:val="-2"/>
        </w:rPr>
        <w:t>通过多次交易分步处置对子公司股权投资直至丧失控制权的，处置对子公司股权投资的各项交易的条</w:t>
      </w:r>
    </w:p>
    <w:p>
      <w:pPr>
        <w:pStyle w:val="BodyText"/>
        <w:spacing w:line="273" w:lineRule="auto"/>
        <w:ind w:right="1125"/>
        <w:jc w:val="both"/>
      </w:pPr>
      <w:r>
        <w:rPr>
          <w:spacing w:val="-2"/>
        </w:rPr>
        <w:t>款、条件以及经济影响符合以下一种或多种情况，通常表明应将多次交易事项作为一揽子交易进行会计处</w:t>
      </w:r>
      <w:r>
        <w:rPr>
          <w:spacing w:val="-33"/>
        </w:rPr>
        <w:t> </w:t>
      </w:r>
      <w:r>
        <w:rPr>
          <w:spacing w:val="-33"/>
        </w:rPr>
      </w:r>
      <w:r>
        <w:rPr/>
        <w:t>理：</w:t>
      </w:r>
    </w:p>
    <w:p>
      <w:pPr>
        <w:pStyle w:val="BodyText"/>
        <w:spacing w:line="273" w:lineRule="auto"/>
        <w:ind w:left="535" w:right="1131"/>
        <w:jc w:val="left"/>
      </w:pPr>
      <w:r>
        <w:rPr>
          <w:rFonts w:ascii="宋体" w:hAnsi="宋体" w:cs="宋体" w:eastAsia="宋体" w:hint="default"/>
        </w:rPr>
        <w:t>A.</w:t>
      </w:r>
      <w:r>
        <w:rPr/>
        <w:t>这些交易是同时或者在考虑了彼此影响的情况下订立的；</w:t>
      </w:r>
      <w:r>
        <w:rPr>
          <w:w w:val="100"/>
        </w:rPr>
        <w:t> </w:t>
      </w:r>
      <w:r>
        <w:rPr>
          <w:rFonts w:ascii="宋体" w:hAnsi="宋体" w:cs="宋体" w:eastAsia="宋体" w:hint="default"/>
        </w:rPr>
        <w:t>B.</w:t>
      </w:r>
      <w:r>
        <w:rPr/>
        <w:t>这些交易整体才能达成一项完整的商业结果；</w:t>
      </w:r>
      <w:r>
        <w:rPr>
          <w:spacing w:val="-100"/>
        </w:rPr>
        <w:t> </w:t>
      </w:r>
      <w:r>
        <w:rPr>
          <w:spacing w:val="-100"/>
        </w:rPr>
      </w:r>
      <w:r>
        <w:rPr>
          <w:rFonts w:ascii="宋体" w:hAnsi="宋体" w:cs="宋体" w:eastAsia="宋体" w:hint="default"/>
        </w:rPr>
        <w:t>C.</w:t>
      </w:r>
      <w:r>
        <w:rPr/>
        <w:t>一项交易的发生取决于其他至少一项交易的发生；</w:t>
      </w:r>
      <w:r>
        <w:rPr>
          <w:spacing w:val="-103"/>
        </w:rPr>
        <w:t> </w:t>
      </w:r>
      <w:r>
        <w:rPr>
          <w:spacing w:val="-103"/>
        </w:rPr>
      </w:r>
      <w:r>
        <w:rPr>
          <w:rFonts w:ascii="宋体" w:hAnsi="宋体" w:cs="宋体" w:eastAsia="宋体" w:hint="default"/>
        </w:rPr>
        <w:t>D.</w:t>
      </w:r>
      <w:r>
        <w:rPr/>
        <w:t>一项交易单独看是不经济的，但是和其他交易一并考虑时是经济的。</w:t>
      </w:r>
      <w:r>
        <w:rPr>
          <w:spacing w:val="-103"/>
        </w:rPr>
        <w:t> </w:t>
      </w:r>
      <w:r>
        <w:rPr>
          <w:spacing w:val="-103"/>
        </w:rPr>
      </w:r>
      <w:r>
        <w:rPr>
          <w:spacing w:val="-2"/>
        </w:rPr>
        <w:t>处置对子公司股权投资直至丧失控制权的各项交易属于一揽子交易的，本公司将各项交易作为一项处</w:t>
      </w:r>
    </w:p>
    <w:p>
      <w:pPr>
        <w:pStyle w:val="BodyText"/>
        <w:spacing w:line="273" w:lineRule="auto"/>
        <w:ind w:right="1125"/>
        <w:jc w:val="both"/>
      </w:pPr>
      <w:r>
        <w:rPr>
          <w:spacing w:val="-2"/>
        </w:rPr>
        <w:t>置子公司并丧失控制权的交易进行会计处理；但是，在丧失控制权之前每一次处置价款与处置投资对应的</w:t>
      </w:r>
      <w:r>
        <w:rPr>
          <w:spacing w:val="-33"/>
        </w:rPr>
        <w:t> </w:t>
      </w:r>
      <w:r>
        <w:rPr>
          <w:spacing w:val="-33"/>
        </w:rPr>
      </w:r>
      <w:r>
        <w:rPr>
          <w:spacing w:val="-2"/>
        </w:rPr>
        <w:t>享有该子公司净资产份额的差额，在合并财务报表中确认为其他综合收益，在丧失控制权时一并转入丧失</w:t>
      </w:r>
      <w:r>
        <w:rPr>
          <w:spacing w:val="-33"/>
        </w:rPr>
        <w:t> </w:t>
      </w:r>
      <w:r>
        <w:rPr>
          <w:spacing w:val="-33"/>
        </w:rPr>
      </w:r>
      <w:r>
        <w:rPr/>
        <w:t>控制权当期的损益。</w:t>
      </w:r>
    </w:p>
    <w:p>
      <w:pPr>
        <w:pStyle w:val="BodyText"/>
        <w:spacing w:line="273" w:lineRule="auto" w:before="8"/>
        <w:ind w:right="1125" w:firstLine="422"/>
        <w:jc w:val="both"/>
      </w:pPr>
      <w:r>
        <w:rPr>
          <w:spacing w:val="-2"/>
        </w:rPr>
        <w:t>处置对子公司股权投资直至丧失控制权的各项交易不属于一揽子交易的，在丧失控制权之前，按不丧</w:t>
      </w:r>
      <w:r>
        <w:rPr>
          <w:w w:val="100"/>
        </w:rPr>
        <w:t> </w:t>
      </w:r>
      <w:r>
        <w:rPr>
          <w:spacing w:val="-2"/>
        </w:rPr>
        <w:t>失控制权的情况下部分处置对子公司的股权投资的相关政策进行会计处理；在丧失控制权时，按处置子公</w:t>
      </w:r>
      <w:r>
        <w:rPr>
          <w:spacing w:val="-33"/>
        </w:rPr>
        <w:t> </w:t>
      </w:r>
      <w:r>
        <w:rPr>
          <w:spacing w:val="-33"/>
        </w:rPr>
      </w:r>
      <w:r>
        <w:rPr/>
        <w:t>司一般处理方法进行会计处理。</w:t>
      </w:r>
    </w:p>
    <w:p>
      <w:pPr>
        <w:pStyle w:val="BodyText"/>
        <w:spacing w:line="273" w:lineRule="auto"/>
        <w:ind w:left="535" w:right="1007" w:hanging="212"/>
        <w:jc w:val="left"/>
      </w:pPr>
      <w:r>
        <w:rPr>
          <w:rFonts w:ascii="宋体" w:hAnsi="宋体" w:cs="宋体" w:eastAsia="宋体" w:hint="default"/>
        </w:rPr>
        <w:t>3</w:t>
      </w:r>
      <w:r>
        <w:rPr/>
        <w:t>）购买子公司少数股权</w:t>
      </w:r>
      <w:r>
        <w:rPr>
          <w:spacing w:val="-103"/>
        </w:rPr>
        <w:t> </w:t>
      </w:r>
      <w:r>
        <w:rPr>
          <w:spacing w:val="-103"/>
        </w:rPr>
      </w:r>
      <w:r>
        <w:rPr>
          <w:spacing w:val="-2"/>
        </w:rPr>
        <w:t>本公司因购买少数股权新取得的长期股权投资与按照新增持股比例计算应享有子公司自购买日（或合</w:t>
      </w:r>
    </w:p>
    <w:p>
      <w:pPr>
        <w:pStyle w:val="BodyText"/>
        <w:spacing w:line="273" w:lineRule="auto" w:before="8"/>
        <w:ind w:right="1125"/>
        <w:jc w:val="both"/>
      </w:pPr>
      <w:r>
        <w:rPr>
          <w:spacing w:val="-2"/>
        </w:rPr>
        <w:t>并日）开始持续计算的净资产份额之间的差额，调整合并资产负债表中的资本公积中的股本溢价，资本公</w:t>
      </w:r>
      <w:r>
        <w:rPr>
          <w:spacing w:val="-33"/>
        </w:rPr>
        <w:t> </w:t>
      </w:r>
      <w:r>
        <w:rPr>
          <w:spacing w:val="-33"/>
        </w:rPr>
      </w:r>
      <w:r>
        <w:rPr/>
        <w:t>积中的股本溢价不足冲减的，调整留存收益。</w:t>
      </w:r>
    </w:p>
    <w:p>
      <w:pPr>
        <w:pStyle w:val="BodyText"/>
        <w:spacing w:line="273" w:lineRule="auto"/>
        <w:ind w:right="1007" w:firstLine="211"/>
        <w:jc w:val="left"/>
      </w:pPr>
      <w:r>
        <w:rPr>
          <w:rFonts w:ascii="宋体" w:hAnsi="宋体" w:cs="宋体" w:eastAsia="宋体" w:hint="default"/>
        </w:rPr>
        <w:t>4</w:t>
      </w:r>
      <w:r>
        <w:rPr/>
        <w:t>）不丧失控制权的情况下部分处置对子公司的股权投资</w:t>
      </w:r>
      <w:r>
        <w:rPr>
          <w:w w:val="100"/>
        </w:rPr>
        <w:t> </w:t>
      </w:r>
      <w:r>
        <w:rPr/>
        <w:t>在不丧失控制权的情况下因部分处置对子公司的长期股权投资而取得的处置价款与处置长期股权投资相</w:t>
      </w:r>
      <w:r>
        <w:rPr>
          <w:w w:val="100"/>
        </w:rPr>
        <w:t> </w:t>
      </w:r>
      <w:r>
        <w:rPr>
          <w:spacing w:val="-2"/>
        </w:rPr>
        <w:t>对应享有子公司自购买日或合并日开始持续计算的净资产份额之间的差额，调整合并资产负债表中的资本</w:t>
      </w:r>
      <w:r>
        <w:rPr>
          <w:spacing w:val="-33"/>
        </w:rPr>
        <w:t> </w:t>
      </w:r>
      <w:r>
        <w:rPr>
          <w:spacing w:val="-33"/>
        </w:rPr>
      </w:r>
      <w:r>
        <w:rPr/>
        <w:t>公积中的股本溢价，资本公积中的股本溢价不足冲减的，调整留存收益。</w:t>
      </w:r>
    </w:p>
    <w:p>
      <w:pPr>
        <w:spacing w:line="240" w:lineRule="auto" w:before="10"/>
        <w:rPr>
          <w:rFonts w:ascii="宋体" w:hAnsi="宋体" w:cs="宋体" w:eastAsia="宋体" w:hint="default"/>
          <w:sz w:val="23"/>
          <w:szCs w:val="23"/>
        </w:rPr>
      </w:pPr>
    </w:p>
    <w:p>
      <w:pPr>
        <w:pStyle w:val="Heading3"/>
        <w:spacing w:line="240" w:lineRule="auto"/>
        <w:ind w:right="1764"/>
        <w:jc w:val="left"/>
        <w:rPr>
          <w:b w:val="0"/>
          <w:bCs w:val="0"/>
        </w:rPr>
      </w:pPr>
      <w:bookmarkStart w:name="7、合营安排分类及共同经营会计处理方法" w:id="177"/>
      <w:bookmarkEnd w:id="177"/>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5"/>
        <w:rPr>
          <w:rFonts w:ascii="宋体" w:hAnsi="宋体" w:cs="宋体" w:eastAsia="宋体" w:hint="default"/>
          <w:b/>
          <w:bCs/>
          <w:sz w:val="24"/>
          <w:szCs w:val="24"/>
        </w:rPr>
      </w:pPr>
    </w:p>
    <w:p>
      <w:pPr>
        <w:pStyle w:val="BodyText"/>
        <w:spacing w:line="273" w:lineRule="auto" w:before="0"/>
        <w:ind w:left="535" w:right="1007" w:hanging="106"/>
        <w:jc w:val="left"/>
      </w:pPr>
      <w:r>
        <w:rPr/>
        <w:t>（</w:t>
      </w:r>
      <w:r>
        <w:rPr>
          <w:rFonts w:ascii="宋体" w:hAnsi="宋体" w:cs="宋体" w:eastAsia="宋体" w:hint="default"/>
        </w:rPr>
        <w:t>1</w:t>
      </w:r>
      <w:r>
        <w:rPr/>
        <w:t>）</w:t>
      </w:r>
      <w:r>
        <w:rPr>
          <w:rFonts w:ascii="宋体" w:hAnsi="宋体" w:cs="宋体" w:eastAsia="宋体" w:hint="default"/>
          <w:b/>
          <w:bCs/>
        </w:rPr>
        <w:t>合营安排的分类</w:t>
      </w:r>
      <w:r>
        <w:rPr>
          <w:rFonts w:ascii="宋体" w:hAnsi="宋体" w:cs="宋体" w:eastAsia="宋体" w:hint="default"/>
          <w:b/>
          <w:bCs/>
          <w:w w:val="100"/>
        </w:rPr>
        <w:t> </w:t>
      </w:r>
      <w:r>
        <w:rPr>
          <w:spacing w:val="-2"/>
        </w:rPr>
        <w:t>本公司根据合营安排的结构、法律形式以及合营安排中约定的条款、其他相关事实和情况等因素，将</w:t>
      </w:r>
    </w:p>
    <w:p>
      <w:pPr>
        <w:pStyle w:val="BodyText"/>
        <w:spacing w:line="273" w:lineRule="auto" w:before="8"/>
        <w:ind w:left="535" w:right="1007" w:hanging="423"/>
        <w:jc w:val="left"/>
      </w:pPr>
      <w:r>
        <w:rPr/>
        <w:t>合营安排分为共同经营和合营企业。</w:t>
      </w:r>
      <w:r>
        <w:rPr>
          <w:spacing w:val="-101"/>
        </w:rPr>
        <w:t> </w:t>
      </w:r>
      <w:r>
        <w:rPr>
          <w:spacing w:val="-101"/>
        </w:rPr>
      </w:r>
      <w:r>
        <w:rPr>
          <w:spacing w:val="-2"/>
        </w:rPr>
        <w:t>未通过单独主体达成的合营安排，划分为共同经营；通过单独主体达成的合营安排，通常划分为合营</w:t>
      </w:r>
    </w:p>
    <w:p>
      <w:pPr>
        <w:pStyle w:val="BodyText"/>
        <w:spacing w:line="273" w:lineRule="auto"/>
        <w:ind w:left="324" w:right="1007" w:hanging="212"/>
        <w:jc w:val="left"/>
      </w:pPr>
      <w:r>
        <w:rPr>
          <w:spacing w:val="-2"/>
        </w:rPr>
        <w:t>企业；但有确凿证据表明满足下列任一条件并且符合相关法律法规规定的合营安排划分为共同经营：</w:t>
      </w:r>
      <w:r>
        <w:rPr>
          <w:spacing w:val="-15"/>
        </w:rPr>
        <w:t> </w:t>
      </w:r>
      <w:r>
        <w:rPr>
          <w:spacing w:val="-15"/>
        </w:rPr>
      </w:r>
      <w:r>
        <w:rPr>
          <w:rFonts w:ascii="宋体" w:hAnsi="宋体" w:cs="宋体" w:eastAsia="宋体" w:hint="default"/>
        </w:rPr>
        <w:t>1</w:t>
      </w:r>
      <w:r>
        <w:rPr/>
        <w:t>）合营安排的法律形式表明，合营方对该安排中的相关资产和负债分别享有权利和承担义务。</w:t>
      </w:r>
    </w:p>
    <w:p>
      <w:pPr>
        <w:pStyle w:val="BodyText"/>
        <w:spacing w:line="240" w:lineRule="auto"/>
        <w:ind w:left="324" w:right="1764"/>
        <w:jc w:val="left"/>
      </w:pPr>
      <w:r>
        <w:rPr>
          <w:rFonts w:ascii="宋体" w:hAnsi="宋体" w:cs="宋体" w:eastAsia="宋体" w:hint="default"/>
        </w:rPr>
        <w:t>2</w:t>
      </w:r>
      <w:r>
        <w:rPr/>
        <w:t>）合营安排的合同条款约定，合营方对该安排中的相关资产和负债分别享有权利和承担义务。</w:t>
      </w:r>
    </w:p>
    <w:p>
      <w:pPr>
        <w:pStyle w:val="BodyText"/>
        <w:spacing w:line="273" w:lineRule="auto" w:before="37"/>
        <w:ind w:right="1007" w:firstLine="211"/>
        <w:jc w:val="left"/>
      </w:pPr>
      <w:r>
        <w:rPr>
          <w:rFonts w:ascii="宋体" w:hAnsi="宋体" w:cs="宋体" w:eastAsia="宋体" w:hint="default"/>
          <w:spacing w:val="-2"/>
        </w:rPr>
        <w:t>3</w:t>
      </w:r>
      <w:r>
        <w:rPr>
          <w:spacing w:val="-2"/>
        </w:rPr>
        <w:t>）其他相关事实和情况表明，合营方对该安排中的相关资产和负债分别享有权利和承担义务，如合营</w:t>
      </w:r>
      <w:r>
        <w:rPr>
          <w:w w:val="100"/>
        </w:rPr>
        <w:t> </w:t>
      </w:r>
      <w:r>
        <w:rPr/>
        <w:t>方享有与合营安排相关的几乎所有产出，并且该安排中负债的清偿持续依赖于合营方的支持。</w:t>
      </w:r>
    </w:p>
    <w:p>
      <w:pPr>
        <w:pStyle w:val="BodyText"/>
        <w:spacing w:line="273" w:lineRule="auto"/>
        <w:ind w:left="535" w:right="1007" w:hanging="212"/>
        <w:jc w:val="left"/>
      </w:pPr>
      <w:r>
        <w:rPr/>
        <w:t>（</w:t>
      </w:r>
      <w:r>
        <w:rPr>
          <w:rFonts w:ascii="宋体" w:hAnsi="宋体" w:cs="宋体" w:eastAsia="宋体" w:hint="default"/>
        </w:rPr>
        <w:t>2</w:t>
      </w:r>
      <w:r>
        <w:rPr/>
        <w:t>）</w:t>
      </w:r>
      <w:r>
        <w:rPr>
          <w:rFonts w:ascii="宋体" w:hAnsi="宋体" w:cs="宋体" w:eastAsia="宋体" w:hint="default"/>
          <w:b/>
          <w:bCs/>
        </w:rPr>
        <w:t>共同经营会计处理方法</w:t>
      </w:r>
      <w:r>
        <w:rPr>
          <w:rFonts w:ascii="宋体" w:hAnsi="宋体" w:cs="宋体" w:eastAsia="宋体" w:hint="default"/>
          <w:b/>
          <w:bCs/>
          <w:w w:val="100"/>
        </w:rPr>
        <w:t> </w:t>
      </w:r>
      <w:r>
        <w:rPr>
          <w:spacing w:val="-2"/>
        </w:rPr>
        <w:t>本公司确认共同经营中利益份额中与本公司相关的下列项目，并按照相关企业会计准则的规定进行会</w:t>
      </w:r>
    </w:p>
    <w:p>
      <w:pPr>
        <w:pStyle w:val="BodyText"/>
        <w:spacing w:line="273" w:lineRule="auto"/>
        <w:ind w:left="324" w:right="4333" w:hanging="212"/>
        <w:jc w:val="left"/>
      </w:pPr>
      <w:r>
        <w:rPr/>
        <w:t>计处理：</w:t>
      </w:r>
      <w:r>
        <w:rPr>
          <w:spacing w:val="-101"/>
        </w:rPr>
        <w:t> </w:t>
      </w:r>
      <w:r>
        <w:rPr>
          <w:rFonts w:ascii="宋体" w:hAnsi="宋体" w:cs="宋体" w:eastAsia="宋体" w:hint="default"/>
          <w:spacing w:val="-2"/>
        </w:rPr>
        <w:t>1</w:t>
      </w:r>
      <w:r>
        <w:rPr>
          <w:spacing w:val="-2"/>
        </w:rPr>
        <w:t>）确认单独所持有的资产，以及按其份额确认共同持有的资产；</w:t>
      </w:r>
    </w:p>
    <w:p>
      <w:pPr>
        <w:pStyle w:val="BodyText"/>
        <w:spacing w:line="240" w:lineRule="auto" w:before="8"/>
        <w:ind w:left="324" w:right="1764"/>
        <w:jc w:val="left"/>
      </w:pPr>
      <w:r>
        <w:rPr>
          <w:rFonts w:ascii="宋体" w:hAnsi="宋体" w:cs="宋体" w:eastAsia="宋体" w:hint="default"/>
        </w:rPr>
        <w:t>2</w:t>
      </w:r>
      <w:r>
        <w:rPr/>
        <w:t>）确认单独所承担的负债，以及按其份额确认共同承担的负债；</w:t>
      </w:r>
    </w:p>
    <w:p>
      <w:pPr>
        <w:pStyle w:val="BodyText"/>
        <w:spacing w:line="240" w:lineRule="auto" w:before="37"/>
        <w:ind w:left="324" w:right="1764"/>
        <w:jc w:val="left"/>
      </w:pPr>
      <w:r>
        <w:rPr>
          <w:rFonts w:ascii="宋体" w:hAnsi="宋体" w:cs="宋体" w:eastAsia="宋体" w:hint="default"/>
        </w:rPr>
        <w:t>3</w:t>
      </w:r>
      <w:r>
        <w:rPr/>
        <w:t>）确认出售其享有的共同经营产出份额所产生的收入；</w:t>
      </w:r>
    </w:p>
    <w:p>
      <w:pPr>
        <w:pStyle w:val="BodyText"/>
        <w:spacing w:line="240" w:lineRule="auto" w:before="37"/>
        <w:ind w:left="324" w:right="1764"/>
        <w:jc w:val="left"/>
      </w:pPr>
      <w:r>
        <w:rPr>
          <w:rFonts w:ascii="宋体" w:hAnsi="宋体" w:cs="宋体" w:eastAsia="宋体" w:hint="default"/>
        </w:rPr>
        <w:t>4</w:t>
      </w:r>
      <w:r>
        <w:rPr/>
        <w:t>）按其份额确认共同经营因出售产出所产生的收入；</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73" w:lineRule="auto" w:before="36"/>
        <w:ind w:left="535" w:right="1007" w:hanging="212"/>
        <w:jc w:val="left"/>
      </w:pPr>
      <w:r>
        <w:rPr>
          <w:rFonts w:ascii="宋体" w:hAnsi="宋体" w:cs="宋体" w:eastAsia="宋体" w:hint="default"/>
        </w:rPr>
        <w:t>5</w:t>
      </w:r>
      <w:r>
        <w:rPr/>
        <w:t>）确认单独所发生的费用，以及按其份额确认共同经营发生的费用。</w:t>
      </w:r>
      <w:r>
        <w:rPr>
          <w:w w:val="100"/>
        </w:rPr>
        <w:t> </w:t>
      </w:r>
      <w:r>
        <w:rPr>
          <w:spacing w:val="-4"/>
          <w:w w:val="100"/>
        </w:rPr>
        <w:t>本公司向共同经营投出或出售资产等（该资产构成业务的除外），在该资产等由共同经营出售给第三</w:t>
      </w:r>
    </w:p>
    <w:p>
      <w:pPr>
        <w:pStyle w:val="BodyText"/>
        <w:spacing w:line="273" w:lineRule="auto"/>
        <w:ind w:right="1126"/>
        <w:jc w:val="both"/>
      </w:pPr>
      <w:r>
        <w:rPr>
          <w:spacing w:val="-7"/>
        </w:rPr>
        <w:t>方之前，仅确认因该交易产生的损益中归属于共同经营其他参与方的部分。投出或出售的资产发生符合《企</w:t>
      </w:r>
      <w:r>
        <w:rPr>
          <w:spacing w:val="-6"/>
        </w:rPr>
        <w:t> </w:t>
      </w:r>
      <w:r>
        <w:rPr>
          <w:spacing w:val="-6"/>
        </w:rPr>
      </w:r>
      <w:r>
        <w:rPr/>
        <w:t>业会计准则第</w:t>
      </w:r>
      <w:r>
        <w:rPr>
          <w:rFonts w:ascii="Times New Roman" w:hAnsi="Times New Roman" w:cs="Times New Roman" w:eastAsia="Times New Roman" w:hint="default"/>
        </w:rPr>
        <w:t>8</w:t>
      </w:r>
      <w:r>
        <w:rPr/>
        <w:t>号——资产减值》等规定的资产减值损失的，本公司全额确认该损失。</w:t>
      </w:r>
    </w:p>
    <w:p>
      <w:pPr>
        <w:pStyle w:val="BodyText"/>
        <w:spacing w:line="273" w:lineRule="auto" w:before="0"/>
        <w:ind w:right="1207" w:firstLine="422"/>
        <w:jc w:val="both"/>
      </w:pPr>
      <w:r>
        <w:rPr>
          <w:spacing w:val="-4"/>
          <w:w w:val="100"/>
        </w:rPr>
        <w:t>本公司自共同经营购买资产等（该资产构成业务的除外），在将该资产等出售给第三方之前，仅确认</w:t>
      </w:r>
      <w:r>
        <w:rPr>
          <w:w w:val="100"/>
        </w:rPr>
        <w:t> </w:t>
      </w:r>
      <w:r>
        <w:rPr>
          <w:spacing w:val="-2"/>
        </w:rPr>
        <w:t>因该交易产生的损益中归属于共同经营其他参与方的部分。购入的资产发生符合《企业会计准则第</w:t>
      </w:r>
      <w:r>
        <w:rPr>
          <w:rFonts w:ascii="Times New Roman" w:hAnsi="Times New Roman" w:cs="Times New Roman" w:eastAsia="Times New Roman" w:hint="default"/>
          <w:spacing w:val="-2"/>
        </w:rPr>
        <w:t>8</w:t>
      </w:r>
      <w:r>
        <w:rPr>
          <w:spacing w:val="-2"/>
        </w:rPr>
        <w:t>号—</w:t>
      </w:r>
    </w:p>
    <w:p>
      <w:pPr>
        <w:pStyle w:val="BodyText"/>
        <w:spacing w:line="273" w:lineRule="auto" w:before="0"/>
        <w:ind w:left="535" w:right="1007" w:hanging="423"/>
        <w:jc w:val="left"/>
      </w:pPr>
      <w:r>
        <w:rPr/>
        <w:t>—资产减值》等规定的资产减值损失的，本公司按承担的份额确认该部分损失。</w:t>
      </w:r>
      <w:r>
        <w:rPr>
          <w:w w:val="100"/>
        </w:rPr>
        <w:t> </w:t>
      </w:r>
      <w:r>
        <w:rPr>
          <w:spacing w:val="-2"/>
        </w:rPr>
        <w:t>本公司对共同经营不享有共同控制，如果本公司享有该共同经营相关资产且承担该共同经营相关负债</w:t>
      </w:r>
    </w:p>
    <w:p>
      <w:pPr>
        <w:pStyle w:val="BodyText"/>
        <w:spacing w:line="240" w:lineRule="auto"/>
        <w:ind w:right="1764"/>
        <w:jc w:val="left"/>
      </w:pPr>
      <w:r>
        <w:rPr/>
        <w:t>的，仍按上述原则进行会计处理，否则，应当按照相关企业会计准则的规定进行会计处理。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90" w:lineRule="atLeast" w:before="141"/>
        <w:ind w:left="535" w:right="1007" w:hanging="423"/>
        <w:jc w:val="left"/>
        <w:rPr>
          <w:rFonts w:ascii="宋体" w:hAnsi="宋体" w:cs="宋体" w:eastAsia="宋体" w:hint="default"/>
          <w:sz w:val="21"/>
          <w:szCs w:val="21"/>
        </w:rPr>
      </w:pPr>
      <w:bookmarkStart w:name="8、现金及现金等价物的确定标准" w:id="178"/>
      <w:bookmarkEnd w:id="17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spacing w:val="-100"/>
          <w:sz w:val="21"/>
          <w:szCs w:val="21"/>
        </w:rPr>
        <w:t> </w:t>
      </w:r>
      <w:r>
        <w:rPr>
          <w:rFonts w:ascii="宋体" w:hAnsi="宋体" w:cs="宋体" w:eastAsia="宋体" w:hint="default"/>
          <w:spacing w:val="-2"/>
          <w:sz w:val="21"/>
          <w:szCs w:val="21"/>
        </w:rPr>
        <w:t>在编制现金流量表时，将本公司库存现金以及可以随时用于支付的存款确认为现金。将同时具备期限</w:t>
      </w:r>
    </w:p>
    <w:p>
      <w:pPr>
        <w:pStyle w:val="BodyText"/>
        <w:spacing w:line="273" w:lineRule="auto" w:before="37"/>
        <w:ind w:right="1007"/>
        <w:jc w:val="left"/>
      </w:pPr>
      <w:r>
        <w:rPr>
          <w:spacing w:val="-4"/>
          <w:w w:val="100"/>
        </w:rPr>
        <w:t>短（一般从购买日起三个月内到期）、流动性强、易于转换为已知金额的现金、价值变动风险很小四个条</w:t>
      </w:r>
      <w:r>
        <w:rPr>
          <w:spacing w:val="-83"/>
          <w:w w:val="100"/>
        </w:rPr>
        <w:t> </w:t>
      </w:r>
      <w:r>
        <w:rPr>
          <w:spacing w:val="-83"/>
          <w:w w:val="100"/>
        </w:rPr>
      </w:r>
      <w:r>
        <w:rPr/>
        <w:t>件的投资，确定为现金等价物。</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3"/>
        <w:spacing w:line="240" w:lineRule="auto"/>
        <w:ind w:right="1764"/>
        <w:jc w:val="left"/>
        <w:rPr>
          <w:b w:val="0"/>
          <w:bCs w:val="0"/>
        </w:rPr>
      </w:pPr>
      <w:bookmarkStart w:name="9、外币业务和外币报表折算" w:id="179"/>
      <w:bookmarkEnd w:id="179"/>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left="535" w:right="1007"/>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）外币业务</w:t>
      </w:r>
      <w:r>
        <w:rPr>
          <w:rFonts w:ascii="宋体" w:hAnsi="宋体" w:cs="宋体" w:eastAsia="宋体" w:hint="default"/>
          <w:b/>
          <w:bCs/>
          <w:spacing w:val="-104"/>
        </w:rPr>
        <w:t> </w:t>
      </w:r>
      <w:r>
        <w:rPr/>
        <w:t>外币业务交易在初始确认时，采用交易发生日的即期汇率作为折算汇率折合成人民币记账。</w:t>
      </w:r>
      <w:r>
        <w:rPr>
          <w:spacing w:val="-102"/>
        </w:rPr>
        <w:t> </w:t>
      </w:r>
      <w:r>
        <w:rPr>
          <w:spacing w:val="-102"/>
        </w:rPr>
      </w:r>
      <w:r>
        <w:rPr>
          <w:spacing w:val="-2"/>
        </w:rPr>
        <w:t>资产负债表日，外币货币性项目按资产负债表日即期汇率折算，由此产生的汇兑差额，除属于与购建</w:t>
      </w:r>
    </w:p>
    <w:p>
      <w:pPr>
        <w:pStyle w:val="BodyText"/>
        <w:spacing w:line="273" w:lineRule="auto"/>
        <w:ind w:right="1125"/>
        <w:jc w:val="both"/>
      </w:pPr>
      <w:r>
        <w:rPr>
          <w:spacing w:val="-2"/>
        </w:rPr>
        <w:t>符合资本化条件的资产相关的外币专门借款产生的汇兑差额按照借款费用资本化的原则处理外，均计入当</w:t>
      </w:r>
      <w:r>
        <w:rPr>
          <w:spacing w:val="-33"/>
        </w:rPr>
        <w:t> </w:t>
      </w:r>
      <w:r>
        <w:rPr>
          <w:spacing w:val="-33"/>
        </w:rPr>
      </w:r>
      <w:r>
        <w:rPr>
          <w:spacing w:val="-2"/>
        </w:rPr>
        <w:t>期损益。以历史成本计量的外币非货币性项目，仍采用交易发生日的即期汇率折算，不改变其记账本位币</w:t>
      </w:r>
      <w:r>
        <w:rPr>
          <w:spacing w:val="-33"/>
        </w:rPr>
        <w:t> </w:t>
      </w:r>
      <w:r>
        <w:rPr>
          <w:spacing w:val="-33"/>
        </w:rPr>
      </w:r>
      <w:r>
        <w:rPr/>
        <w:t>金额。</w:t>
      </w:r>
    </w:p>
    <w:p>
      <w:pPr>
        <w:pStyle w:val="BodyText"/>
        <w:spacing w:line="273" w:lineRule="auto"/>
        <w:ind w:right="1125" w:firstLine="422"/>
        <w:jc w:val="both"/>
      </w:pPr>
      <w:r>
        <w:rPr>
          <w:spacing w:val="-2"/>
        </w:rPr>
        <w:t>以公允价值计量的外币非货币性项目，采用公允价值确定日的即期汇率折算，由此产生的汇兑差额作</w:t>
      </w:r>
      <w:r>
        <w:rPr>
          <w:w w:val="100"/>
        </w:rPr>
        <w:t> </w:t>
      </w:r>
      <w:r>
        <w:rPr>
          <w:spacing w:val="-2"/>
        </w:rPr>
        <w:t>为公允价值变动损益计入当期损益。如属于可供出售外币非货币性项目的，形成的汇兑差额计入其他综合</w:t>
      </w:r>
      <w:r>
        <w:rPr>
          <w:spacing w:val="-33"/>
        </w:rPr>
        <w:t> </w:t>
      </w:r>
      <w:r>
        <w:rPr>
          <w:spacing w:val="-33"/>
        </w:rPr>
      </w:r>
      <w:r>
        <w:rPr/>
        <w:t>收益。</w:t>
      </w:r>
    </w:p>
    <w:p>
      <w:pPr>
        <w:spacing w:line="273" w:lineRule="auto" w:before="8"/>
        <w:ind w:left="535" w:right="100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spacing w:val="-102"/>
          <w:sz w:val="21"/>
          <w:szCs w:val="21"/>
        </w:rPr>
        <w:t> </w:t>
      </w:r>
      <w:r>
        <w:rPr>
          <w:rFonts w:ascii="宋体" w:hAnsi="宋体" w:cs="宋体" w:eastAsia="宋体" w:hint="default"/>
          <w:spacing w:val="-2"/>
          <w:sz w:val="21"/>
          <w:szCs w:val="21"/>
        </w:rPr>
        <w:t>资产负债表中的资产和负债项目，采用资产负债表日的即期汇率折算；所有者权益项目除</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未分配利</w:t>
      </w:r>
    </w:p>
    <w:p>
      <w:pPr>
        <w:pStyle w:val="BodyText"/>
        <w:spacing w:line="256" w:lineRule="auto" w:before="0"/>
        <w:ind w:right="1007"/>
        <w:jc w:val="left"/>
      </w:pPr>
      <w:r>
        <w:rPr>
          <w:spacing w:val="-2"/>
        </w:rPr>
        <w:t>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项目外，其他项目采用发生时的即期汇率折算。利润表中的收入和费用项目，采用当期平均汇率折算。</w:t>
      </w:r>
      <w:r>
        <w:rPr>
          <w:spacing w:val="-29"/>
        </w:rPr>
        <w:t> </w:t>
      </w:r>
      <w:r>
        <w:rPr>
          <w:spacing w:val="-29"/>
        </w:rPr>
      </w:r>
      <w:r>
        <w:rPr/>
        <w:t>按照上述折算产生的外币财务报表折算差额计入其他综合收益。</w:t>
      </w:r>
    </w:p>
    <w:p>
      <w:pPr>
        <w:pStyle w:val="BodyText"/>
        <w:spacing w:line="273" w:lineRule="auto" w:before="22"/>
        <w:ind w:right="1125" w:firstLine="422"/>
        <w:jc w:val="both"/>
      </w:pPr>
      <w:r>
        <w:rPr>
          <w:spacing w:val="-2"/>
        </w:rPr>
        <w:t>处置境外经营时，将资产负债表中其他综合收益项目中列示的、与该境外经营相关的外币财务报表折</w:t>
      </w:r>
      <w:r>
        <w:rPr>
          <w:w w:val="100"/>
        </w:rPr>
        <w:t> </w:t>
      </w:r>
      <w:r>
        <w:rPr>
          <w:spacing w:val="-2"/>
        </w:rPr>
        <w:t>算差额，自其他综合收益项目转入处置当期损益；在处置部分股权投资或其他原因导致持有境外经营权益</w:t>
      </w:r>
      <w:r>
        <w:rPr>
          <w:spacing w:val="-33"/>
        </w:rPr>
        <w:t> </w:t>
      </w:r>
      <w:r>
        <w:rPr>
          <w:spacing w:val="-33"/>
        </w:rPr>
      </w:r>
      <w:r>
        <w:rPr>
          <w:spacing w:val="-2"/>
        </w:rPr>
        <w:t>比例降低但不丧失对境外经营控制权时，与该境外经营处置部分相关的外币报表折算差额将归属于少数股</w:t>
      </w:r>
      <w:r>
        <w:rPr>
          <w:spacing w:val="-33"/>
        </w:rPr>
        <w:t> </w:t>
      </w:r>
      <w:r>
        <w:rPr>
          <w:spacing w:val="-33"/>
        </w:rPr>
      </w:r>
      <w:r>
        <w:rPr>
          <w:spacing w:val="-2"/>
        </w:rPr>
        <w:t>东权益，不转入当期损益。在处置境外经营为联营企业或合营企业的部分股权时，与该境外经营相关的外</w:t>
      </w:r>
      <w:r>
        <w:rPr>
          <w:spacing w:val="-33"/>
        </w:rPr>
        <w:t> </w:t>
      </w:r>
      <w:r>
        <w:rPr>
          <w:spacing w:val="-33"/>
        </w:rPr>
      </w:r>
      <w:r>
        <w:rPr/>
        <w:t>币报表折算差额，按处置该境外经营的比例转入处置当期损益。</w:t>
      </w:r>
    </w:p>
    <w:p>
      <w:pPr>
        <w:spacing w:after="0" w:line="273" w:lineRule="auto"/>
        <w:jc w:val="both"/>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3"/>
        <w:spacing w:line="240" w:lineRule="auto" w:before="36"/>
        <w:ind w:right="1764"/>
        <w:jc w:val="left"/>
        <w:rPr>
          <w:b w:val="0"/>
          <w:bCs w:val="0"/>
        </w:rPr>
      </w:pPr>
      <w:bookmarkStart w:name="10、金融工具" w:id="180"/>
      <w:bookmarkEnd w:id="180"/>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5"/>
        <w:rPr>
          <w:rFonts w:ascii="宋体" w:hAnsi="宋体" w:cs="宋体" w:eastAsia="宋体" w:hint="default"/>
          <w:b/>
          <w:bCs/>
          <w:sz w:val="24"/>
          <w:szCs w:val="24"/>
        </w:rPr>
      </w:pPr>
    </w:p>
    <w:p>
      <w:pPr>
        <w:pStyle w:val="BodyText"/>
        <w:spacing w:line="273" w:lineRule="auto" w:before="0"/>
        <w:ind w:left="535" w:right="1007"/>
        <w:jc w:val="left"/>
      </w:pPr>
      <w:r>
        <w:rPr/>
        <w:t>在本公司成为金融工具合同的一方时确认一项金融资产或金融负债。</w:t>
      </w:r>
      <w:r>
        <w:rPr>
          <w:w w:val="100"/>
        </w:rPr>
        <w:t> </w:t>
      </w:r>
      <w:r>
        <w:rPr>
          <w:spacing w:val="-2"/>
        </w:rPr>
        <w:t>实际利率法是指计算金融资产或金融负债的摊余成本以及将利息收入或利息费用分摊计入各会计期</w:t>
      </w:r>
    </w:p>
    <w:p>
      <w:pPr>
        <w:pStyle w:val="BodyText"/>
        <w:spacing w:line="240" w:lineRule="auto"/>
        <w:ind w:right="1764"/>
        <w:jc w:val="left"/>
      </w:pPr>
      <w:r>
        <w:rPr/>
        <w:t>间的方法。</w:t>
      </w:r>
    </w:p>
    <w:p>
      <w:pPr>
        <w:pStyle w:val="BodyText"/>
        <w:spacing w:line="264" w:lineRule="auto" w:before="37"/>
        <w:ind w:right="1122" w:firstLine="422"/>
        <w:jc w:val="both"/>
      </w:pPr>
      <w:r>
        <w:rPr>
          <w:spacing w:val="-2"/>
        </w:rPr>
        <w:t>实际利率，是指将金融资产或金融负债在预计存续期的估计未来现金流量，折现为该金融资产账面余</w:t>
      </w:r>
      <w:r>
        <w:rPr>
          <w:w w:val="100"/>
        </w:rPr>
        <w:t> </w:t>
      </w:r>
      <w:r>
        <w:rPr>
          <w:spacing w:val="-4"/>
        </w:rPr>
        <w:t>额或该金融负债摊余成本所使用的利率。在确定实际利率时，在考虑金融资产或金融负债所有合同条款</w:t>
      </w:r>
      <w:r>
        <w:rPr>
          <w:rFonts w:ascii="Times New Roman" w:hAnsi="Times New Roman" w:cs="Times New Roman" w:eastAsia="Times New Roman" w:hint="default"/>
          <w:spacing w:val="-4"/>
        </w:rPr>
        <w:t>(</w:t>
      </w:r>
      <w:r>
        <w:rPr>
          <w:spacing w:val="-4"/>
        </w:rPr>
        <w:t>如 </w:t>
      </w:r>
      <w:r>
        <w:rPr/>
        <w:t>提前还款、展期、看涨期权或其他类似期权等</w:t>
      </w:r>
      <w:r>
        <w:rPr>
          <w:rFonts w:ascii="Times New Roman" w:hAnsi="Times New Roman" w:cs="Times New Roman" w:eastAsia="Times New Roman" w:hint="default"/>
        </w:rPr>
        <w:t>)</w:t>
      </w:r>
      <w:r>
        <w:rPr/>
        <w:t>的基础上估计预期现金流量，但不考虑预期信用损失。</w:t>
      </w:r>
    </w:p>
    <w:p>
      <w:pPr>
        <w:pStyle w:val="BodyText"/>
        <w:spacing w:line="273" w:lineRule="auto" w:before="0"/>
        <w:ind w:right="1126" w:firstLine="422"/>
        <w:jc w:val="both"/>
        <w:rPr>
          <w:rFonts w:ascii="Times New Roman" w:hAnsi="Times New Roman" w:cs="Times New Roman" w:eastAsia="Times New Roman" w:hint="default"/>
        </w:rPr>
      </w:pPr>
      <w:r>
        <w:rPr>
          <w:spacing w:val="-2"/>
        </w:rPr>
        <w:t>金融资产或金融负债的摊余成本是以该金融资产或金融负债的初始确认金额扣除已偿还的本金，加上</w:t>
      </w:r>
      <w:r>
        <w:rPr>
          <w:w w:val="100"/>
        </w:rPr>
        <w:t> </w:t>
      </w:r>
      <w:r>
        <w:rPr>
          <w:spacing w:val="-2"/>
        </w:rPr>
        <w:t>或减去采用实际利率法将该初始确认金额与到期日金额之间的差额进行摊销形成的累计摊销额，再扣除累</w:t>
      </w:r>
      <w:r>
        <w:rPr>
          <w:spacing w:val="-33"/>
        </w:rPr>
        <w:t> </w:t>
      </w:r>
      <w:r>
        <w:rPr>
          <w:spacing w:val="-33"/>
        </w:rPr>
      </w:r>
      <w:r>
        <w:rPr/>
        <w:t>计计提的损失准备</w:t>
      </w:r>
      <w:r>
        <w:rPr>
          <w:rFonts w:ascii="Times New Roman" w:hAnsi="Times New Roman" w:cs="Times New Roman" w:eastAsia="Times New Roman" w:hint="default"/>
        </w:rPr>
        <w:t>(</w:t>
      </w:r>
      <w:r>
        <w:rPr/>
        <w:t>仅适用于金融资产</w:t>
      </w:r>
      <w:r>
        <w:rPr>
          <w:rFonts w:ascii="Times New Roman" w:hAnsi="Times New Roman" w:cs="Times New Roman" w:eastAsia="Times New Roman" w:hint="default"/>
        </w:rPr>
        <w:t>)</w:t>
      </w:r>
    </w:p>
    <w:p>
      <w:pPr>
        <w:spacing w:line="273" w:lineRule="auto" w:before="0"/>
        <w:ind w:left="535" w:right="1007"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金融资产分类和计量</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本公司根据所管理金融资产的业务模式和金融资产的合同现金流量特征，将金融资产划分为以下三</w:t>
      </w:r>
    </w:p>
    <w:p>
      <w:pPr>
        <w:pStyle w:val="BodyText"/>
        <w:spacing w:line="240" w:lineRule="auto"/>
        <w:ind w:right="1764"/>
        <w:jc w:val="left"/>
      </w:pPr>
      <w:r>
        <w:rPr/>
        <w:t>类：</w:t>
      </w:r>
    </w:p>
    <w:p>
      <w:pPr>
        <w:pStyle w:val="BodyText"/>
        <w:spacing w:line="240" w:lineRule="auto" w:before="37"/>
        <w:ind w:left="430" w:right="1764"/>
        <w:jc w:val="left"/>
      </w:pPr>
      <w:r>
        <w:rPr/>
        <w:t>（</w:t>
      </w:r>
      <w:r>
        <w:rPr>
          <w:rFonts w:ascii="宋体" w:hAnsi="宋体" w:cs="宋体" w:eastAsia="宋体" w:hint="default"/>
        </w:rPr>
        <w:t>1</w:t>
      </w:r>
      <w:r>
        <w:rPr/>
        <w:t>）以摊余成本计量的金融资产。</w:t>
      </w:r>
    </w:p>
    <w:p>
      <w:pPr>
        <w:pStyle w:val="BodyText"/>
        <w:spacing w:line="240" w:lineRule="auto" w:before="37"/>
        <w:ind w:left="430" w:right="1764"/>
        <w:jc w:val="left"/>
      </w:pPr>
      <w:r>
        <w:rPr/>
        <w:t>（</w:t>
      </w:r>
      <w:r>
        <w:rPr>
          <w:rFonts w:ascii="宋体" w:hAnsi="宋体" w:cs="宋体" w:eastAsia="宋体" w:hint="default"/>
        </w:rPr>
        <w:t>2</w:t>
      </w:r>
      <w:r>
        <w:rPr/>
        <w:t>）以公允价值计量且其变动计入其他综合收益的金融资产。</w:t>
      </w:r>
    </w:p>
    <w:p>
      <w:pPr>
        <w:pStyle w:val="BodyText"/>
        <w:spacing w:line="273" w:lineRule="auto" w:before="37"/>
        <w:ind w:left="535" w:right="1007" w:hanging="106"/>
        <w:jc w:val="left"/>
      </w:pPr>
      <w:r>
        <w:rPr/>
        <w:t>（</w:t>
      </w:r>
      <w:r>
        <w:rPr>
          <w:rFonts w:ascii="宋体" w:hAnsi="宋体" w:cs="宋体" w:eastAsia="宋体" w:hint="default"/>
        </w:rPr>
        <w:t>3</w:t>
      </w:r>
      <w:r>
        <w:rPr/>
        <w:t>）以公允价值计量且其变动计入当期损益的金融资产。</w:t>
      </w:r>
      <w:r>
        <w:rPr>
          <w:w w:val="100"/>
        </w:rPr>
        <w:t> </w:t>
      </w:r>
      <w:r>
        <w:rPr>
          <w:spacing w:val="-2"/>
        </w:rPr>
        <w:t>金融资产在初始确认时以公允价值计量，但是因销售商品或提供服务等产生的应收账款或应收票据未</w:t>
      </w:r>
    </w:p>
    <w:p>
      <w:pPr>
        <w:pStyle w:val="BodyText"/>
        <w:spacing w:line="273" w:lineRule="auto"/>
        <w:ind w:left="535" w:right="1007" w:hanging="423"/>
        <w:jc w:val="left"/>
      </w:pPr>
      <w:r>
        <w:rPr/>
        <w:t>包含重大融资成分或不考虑不超过一年的融资成分的，按照交易价格进行初始计量。</w:t>
      </w:r>
      <w:r>
        <w:rPr>
          <w:w w:val="100"/>
        </w:rPr>
        <w:t> </w:t>
      </w:r>
      <w:r>
        <w:rPr>
          <w:spacing w:val="-2"/>
        </w:rPr>
        <w:t>对于以公允价值计量且其变动计入当期损益的金融资产，相关交易费用直接计入当期损益，其他类别</w:t>
      </w:r>
    </w:p>
    <w:p>
      <w:pPr>
        <w:pStyle w:val="BodyText"/>
        <w:spacing w:line="273" w:lineRule="auto"/>
        <w:ind w:left="535" w:right="1007" w:hanging="423"/>
        <w:jc w:val="left"/>
      </w:pPr>
      <w:r>
        <w:rPr/>
        <w:t>的金融资产相关交易费用计入其初始确认金额。</w:t>
      </w:r>
      <w:r>
        <w:rPr>
          <w:spacing w:val="-100"/>
        </w:rPr>
        <w:t> </w:t>
      </w:r>
      <w:r>
        <w:rPr>
          <w:spacing w:val="-100"/>
        </w:rPr>
      </w:r>
      <w:r>
        <w:rPr>
          <w:spacing w:val="-2"/>
        </w:rPr>
        <w:t>金融资产的后续计量取决于其分类，当且仅当本公司改变管理金融资产的业务模式时，才对所有受影</w:t>
      </w:r>
    </w:p>
    <w:p>
      <w:pPr>
        <w:pStyle w:val="BodyText"/>
        <w:spacing w:line="240" w:lineRule="auto"/>
        <w:ind w:right="1764"/>
        <w:jc w:val="left"/>
      </w:pPr>
      <w:r>
        <w:rPr/>
        <w:t>响的相关金融资产进行重分类。</w:t>
      </w:r>
    </w:p>
    <w:p>
      <w:pPr>
        <w:pStyle w:val="BodyText"/>
        <w:spacing w:line="273" w:lineRule="auto" w:before="37"/>
        <w:ind w:left="535" w:right="1007" w:hanging="106"/>
        <w:jc w:val="left"/>
      </w:pPr>
      <w:r>
        <w:rPr/>
        <w:t>（</w:t>
      </w:r>
      <w:r>
        <w:rPr>
          <w:rFonts w:ascii="宋体" w:hAnsi="宋体" w:cs="宋体" w:eastAsia="宋体" w:hint="default"/>
        </w:rPr>
        <w:t>1</w:t>
      </w:r>
      <w:r>
        <w:rPr/>
        <w:t>）分类为以摊余成本计量的金融资产</w:t>
      </w:r>
      <w:r>
        <w:rPr>
          <w:w w:val="100"/>
        </w:rPr>
        <w:t> </w:t>
      </w:r>
      <w:r>
        <w:rPr>
          <w:spacing w:val="-2"/>
        </w:rPr>
        <w:t>金融资产的合同条款规定在特定日期产生的现金流量仅为对本金和以未偿付本金金额为基础的利息</w:t>
      </w:r>
    </w:p>
    <w:p>
      <w:pPr>
        <w:pStyle w:val="BodyText"/>
        <w:spacing w:line="273" w:lineRule="auto" w:before="8"/>
        <w:ind w:right="1106"/>
        <w:jc w:val="both"/>
      </w:pPr>
      <w:r>
        <w:rPr>
          <w:spacing w:val="-2"/>
        </w:rPr>
        <w:t>的支付，且管理该金融资产的业务模式是以收取合同现金流量为目标，则本公司将该金融资产分类为以摊</w:t>
      </w:r>
      <w:r>
        <w:rPr>
          <w:spacing w:val="-33"/>
        </w:rPr>
        <w:t> </w:t>
      </w:r>
      <w:r>
        <w:rPr>
          <w:spacing w:val="-33"/>
        </w:rPr>
      </w:r>
      <w:r>
        <w:rPr>
          <w:spacing w:val="-2"/>
        </w:rPr>
        <w:t>余成本计量的金融资产。本公司分类为以摊余成本计量的金融资产包括货币资金、应收票据及应收账款、</w:t>
      </w:r>
      <w:r>
        <w:rPr>
          <w:spacing w:val="-13"/>
        </w:rPr>
        <w:t> </w:t>
      </w:r>
      <w:r>
        <w:rPr>
          <w:spacing w:val="-13"/>
        </w:rPr>
      </w:r>
      <w:r>
        <w:rPr/>
        <w:t>其他应收款等。</w:t>
      </w:r>
    </w:p>
    <w:p>
      <w:pPr>
        <w:pStyle w:val="BodyText"/>
        <w:spacing w:line="273" w:lineRule="auto"/>
        <w:ind w:right="1122" w:firstLine="422"/>
        <w:jc w:val="both"/>
      </w:pPr>
      <w:r>
        <w:rPr>
          <w:spacing w:val="-2"/>
        </w:rPr>
        <w:t>本公司对此类金融资产采用实际利率法确认利息收入，按摊余成本进行后续计量，其发生减值时或终</w:t>
      </w:r>
      <w:r>
        <w:rPr>
          <w:w w:val="100"/>
        </w:rPr>
        <w:t> </w:t>
      </w:r>
      <w:r>
        <w:rPr>
          <w:spacing w:val="-2"/>
        </w:rPr>
        <w:t>止确认、修改产生的利得或损失，计入当期损益。除下列情况外，本公司根据金融资产账面余额乘以实际</w:t>
      </w:r>
      <w:r>
        <w:rPr>
          <w:spacing w:val="-33"/>
        </w:rPr>
        <w:t> </w:t>
      </w:r>
      <w:r>
        <w:rPr>
          <w:spacing w:val="-33"/>
        </w:rPr>
      </w:r>
      <w:r>
        <w:rPr/>
        <w:t>利率计算确定利息收入：</w:t>
      </w:r>
    </w:p>
    <w:p>
      <w:pPr>
        <w:pStyle w:val="BodyText"/>
        <w:spacing w:line="256" w:lineRule="auto"/>
        <w:ind w:right="1212" w:firstLine="427"/>
        <w:jc w:val="both"/>
      </w:pPr>
      <w:r>
        <w:rPr>
          <w:rFonts w:ascii="Times New Roman" w:hAnsi="Times New Roman" w:cs="Times New Roman" w:eastAsia="Times New Roman" w:hint="default"/>
          <w:spacing w:val="-2"/>
        </w:rPr>
        <w:t>1</w:t>
      </w:r>
      <w:r>
        <w:rPr>
          <w:spacing w:val="-2"/>
        </w:rPr>
        <w:t>）对于购入或源生的已发生信用减值的金融资产，本公司自初始确认起，按照该金融资产的摊余成</w:t>
      </w:r>
      <w:r>
        <w:rPr>
          <w:w w:val="100"/>
        </w:rPr>
        <w:t> </w:t>
      </w:r>
      <w:r>
        <w:rPr/>
        <w:t>本和经信用调整的实际利率计算确定其利息收入。</w:t>
      </w:r>
    </w:p>
    <w:p>
      <w:pPr>
        <w:pStyle w:val="BodyText"/>
        <w:spacing w:line="264" w:lineRule="auto" w:before="22"/>
        <w:ind w:right="1125" w:firstLine="340"/>
        <w:jc w:val="both"/>
      </w:pPr>
      <w:r>
        <w:rPr>
          <w:rFonts w:ascii="Times New Roman" w:hAnsi="Times New Roman" w:cs="Times New Roman" w:eastAsia="Times New Roman" w:hint="default"/>
          <w:spacing w:val="-3"/>
        </w:rPr>
        <w:t>2</w:t>
      </w:r>
      <w:r>
        <w:rPr>
          <w:spacing w:val="-3"/>
        </w:rPr>
        <w:t>）对于购入或源生的未发生信用减值、但在后续期间成为已发生信用减值的金融资产，本公司在后续</w:t>
      </w:r>
      <w:r>
        <w:rPr>
          <w:w w:val="100"/>
        </w:rPr>
        <w:t> </w:t>
      </w:r>
      <w:r>
        <w:rPr>
          <w:spacing w:val="-2"/>
        </w:rPr>
        <w:t>期间，按照该金融资产的摊余成本和实际利率计算确定其利息收入。若该金融工具在后续期间因其信用风</w:t>
      </w:r>
      <w:r>
        <w:rPr>
          <w:spacing w:val="-33"/>
        </w:rPr>
        <w:t> </w:t>
      </w:r>
      <w:r>
        <w:rPr>
          <w:spacing w:val="-33"/>
        </w:rPr>
      </w:r>
      <w:r>
        <w:rPr/>
        <w:t>险有所改善而不再存在信用减值，本公司转按实际利率乘以该金融资产账面余额来计算确定利息收入。</w:t>
      </w:r>
    </w:p>
    <w:p>
      <w:pPr>
        <w:pStyle w:val="BodyText"/>
        <w:spacing w:line="273" w:lineRule="auto" w:before="16"/>
        <w:ind w:left="535" w:right="1007"/>
        <w:jc w:val="left"/>
      </w:pPr>
      <w:r>
        <w:rPr/>
        <w:t>（</w:t>
      </w:r>
      <w:r>
        <w:rPr>
          <w:rFonts w:ascii="宋体" w:hAnsi="宋体" w:cs="宋体" w:eastAsia="宋体" w:hint="default"/>
        </w:rPr>
        <w:t>2</w:t>
      </w:r>
      <w:r>
        <w:rPr/>
        <w:t>）分类为以公允价值计量且其变动计入其他综合收益的金融资产</w:t>
      </w:r>
      <w:r>
        <w:rPr>
          <w:w w:val="100"/>
        </w:rPr>
        <w:t> </w:t>
      </w:r>
      <w:r>
        <w:rPr>
          <w:spacing w:val="-2"/>
        </w:rPr>
        <w:t>金融资产的合同条款规定在特定日期产生的现金流量仅为对本金和以未偿付本金金额为基础的利息</w:t>
      </w:r>
    </w:p>
    <w:p>
      <w:pPr>
        <w:pStyle w:val="BodyText"/>
        <w:spacing w:line="273" w:lineRule="auto"/>
        <w:ind w:right="1007"/>
        <w:jc w:val="left"/>
      </w:pPr>
      <w:r>
        <w:rPr>
          <w:spacing w:val="-2"/>
        </w:rPr>
        <w:t>的支付，且管理该金融资产的业务模式既以收取合同现金流量为目标又以出售该金融资产为目标，则本公</w:t>
      </w:r>
      <w:r>
        <w:rPr>
          <w:spacing w:val="-33"/>
        </w:rPr>
        <w:t> </w:t>
      </w:r>
      <w:r>
        <w:rPr>
          <w:spacing w:val="-33"/>
        </w:rPr>
      </w:r>
      <w:r>
        <w:rPr/>
        <w:t>司将该金融资产分类为以公允价值计量且其变动计入其他综合收益的金融资产。</w:t>
      </w:r>
    </w:p>
    <w:p>
      <w:pPr>
        <w:pStyle w:val="BodyText"/>
        <w:spacing w:line="273" w:lineRule="auto"/>
        <w:ind w:right="1123" w:firstLine="422"/>
        <w:jc w:val="both"/>
      </w:pPr>
      <w:r>
        <w:rPr>
          <w:spacing w:val="-2"/>
        </w:rPr>
        <w:t>本公司对此类金融资产采用实际利率法确认利息收入。除利息收入、减值损失及汇兑差额确认为当期</w:t>
      </w:r>
      <w:r>
        <w:rPr>
          <w:w w:val="100"/>
        </w:rPr>
        <w:t> </w:t>
      </w:r>
      <w:r>
        <w:rPr>
          <w:spacing w:val="-2"/>
        </w:rPr>
        <w:t>损益外，其余公允价值变动计入其他综合收益。当该金融资产终止确认时，之前计入其他综合收益的累计</w:t>
      </w:r>
      <w:r>
        <w:rPr>
          <w:spacing w:val="-31"/>
        </w:rPr>
        <w:t> </w:t>
      </w:r>
      <w:r>
        <w:rPr>
          <w:spacing w:val="-31"/>
        </w:rPr>
      </w:r>
      <w:r>
        <w:rPr/>
        <w:t>利得或损失从其他综合收益中转出，计入当期损益。</w:t>
      </w:r>
    </w:p>
    <w:p>
      <w:pPr>
        <w:pStyle w:val="BodyText"/>
        <w:spacing w:line="240" w:lineRule="auto"/>
        <w:ind w:left="535" w:right="1007"/>
        <w:jc w:val="left"/>
      </w:pPr>
      <w:r>
        <w:rPr/>
        <w:t>以公允价值计量且变动计入其他综合收益的应收票据及应收账款列报为应收款项融资，其他此类金融</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73" w:lineRule="auto" w:before="36"/>
        <w:ind w:right="1125"/>
        <w:jc w:val="both"/>
      </w:pPr>
      <w:r>
        <w:rPr>
          <w:spacing w:val="-2"/>
        </w:rPr>
        <w:t>资产列报为其他债权投资，其中：自资产负债表日起一年内到期的其他债权投资列报为一年内到期的非流</w:t>
      </w:r>
      <w:r>
        <w:rPr>
          <w:spacing w:val="-33"/>
        </w:rPr>
        <w:t> </w:t>
      </w:r>
      <w:r>
        <w:rPr>
          <w:spacing w:val="-33"/>
        </w:rPr>
      </w:r>
      <w:r>
        <w:rPr/>
        <w:t>动资产，原到期日在一年以内的其他债权投资列报为其他流动资产。</w:t>
      </w:r>
    </w:p>
    <w:p>
      <w:pPr>
        <w:pStyle w:val="BodyText"/>
        <w:spacing w:line="273" w:lineRule="auto"/>
        <w:ind w:left="535" w:right="1007"/>
        <w:jc w:val="left"/>
      </w:pPr>
      <w:r>
        <w:rPr/>
        <w:t>（</w:t>
      </w:r>
      <w:r>
        <w:rPr>
          <w:rFonts w:ascii="宋体" w:hAnsi="宋体" w:cs="宋体" w:eastAsia="宋体" w:hint="default"/>
        </w:rPr>
        <w:t>3</w:t>
      </w:r>
      <w:r>
        <w:rPr/>
        <w:t>）指定为以公允价值计量且其变动计入其他综合收益的金融资产</w:t>
      </w:r>
      <w:r>
        <w:rPr>
          <w:w w:val="100"/>
        </w:rPr>
        <w:t> </w:t>
      </w:r>
      <w:r>
        <w:rPr>
          <w:spacing w:val="-2"/>
        </w:rPr>
        <w:t>在初始确认时，本公司可以单项金融资产为基础不可撤销地将非交易性权益工具投资指定为以公允价</w:t>
      </w:r>
    </w:p>
    <w:p>
      <w:pPr>
        <w:pStyle w:val="BodyText"/>
        <w:spacing w:line="273" w:lineRule="auto"/>
        <w:ind w:left="535" w:right="1007" w:hanging="423"/>
        <w:jc w:val="left"/>
      </w:pPr>
      <w:r>
        <w:rPr/>
        <w:t>值计量且其变动计入其他综合收益的金融资产。</w:t>
      </w:r>
      <w:r>
        <w:rPr>
          <w:spacing w:val="-99"/>
        </w:rPr>
        <w:t> </w:t>
      </w:r>
      <w:r>
        <w:rPr>
          <w:spacing w:val="-99"/>
        </w:rPr>
      </w:r>
      <w:r>
        <w:rPr>
          <w:spacing w:val="-2"/>
        </w:rPr>
        <w:t>此类金融资产的公允价值变动计入其他综合收益，不需计提减值准备。该金融资产终止确认时，之前</w:t>
      </w:r>
    </w:p>
    <w:p>
      <w:pPr>
        <w:pStyle w:val="BodyText"/>
        <w:spacing w:line="273" w:lineRule="auto"/>
        <w:ind w:right="1125"/>
        <w:jc w:val="both"/>
      </w:pPr>
      <w:r>
        <w:rPr>
          <w:spacing w:val="-2"/>
        </w:rPr>
        <w:t>计入其他综合收益的累计利得或损失从其他综合收益中转出，计入留存收益。本公司持有该权益工具投资</w:t>
      </w:r>
      <w:r>
        <w:rPr>
          <w:spacing w:val="-33"/>
        </w:rPr>
        <w:t> </w:t>
      </w:r>
      <w:r>
        <w:rPr>
          <w:spacing w:val="-33"/>
        </w:rPr>
      </w:r>
      <w:r>
        <w:rPr>
          <w:spacing w:val="-2"/>
        </w:rPr>
        <w:t>期间，在本公司收取股利的权利已经确立，与股利相关的经济利益很可能流入本公司，且股利的金额能够</w:t>
      </w:r>
      <w:r>
        <w:rPr>
          <w:spacing w:val="-33"/>
        </w:rPr>
        <w:t> </w:t>
      </w:r>
      <w:r>
        <w:rPr>
          <w:spacing w:val="-33"/>
        </w:rPr>
      </w:r>
      <w:r>
        <w:rPr/>
        <w:t>可靠计量时，确认股利收入并计入当期损益。本公司对此类金融资产在其他权益工具投资项目下列报。</w:t>
      </w:r>
    </w:p>
    <w:p>
      <w:pPr>
        <w:pStyle w:val="BodyText"/>
        <w:spacing w:line="273" w:lineRule="auto" w:before="8"/>
        <w:ind w:right="1124" w:firstLine="422"/>
        <w:jc w:val="both"/>
      </w:pPr>
      <w:r>
        <w:rPr>
          <w:spacing w:val="-2"/>
        </w:rPr>
        <w:t>权益工具投资满足下列条件之一的，属于以公允价值计量且其变动计入当期损益的金融资产：取得该</w:t>
      </w:r>
      <w:r>
        <w:rPr>
          <w:w w:val="100"/>
        </w:rPr>
        <w:t> </w:t>
      </w:r>
      <w:r>
        <w:rPr>
          <w:spacing w:val="-2"/>
        </w:rPr>
        <w:t>金融资产的目的主要是为了近期出售；初始确认时属于集中管理的可辨认金融资产工具组合的一部分，且</w:t>
      </w:r>
      <w:r>
        <w:rPr>
          <w:spacing w:val="-32"/>
        </w:rPr>
        <w:t> </w:t>
      </w:r>
      <w:r>
        <w:rPr>
          <w:spacing w:val="-32"/>
        </w:rPr>
      </w:r>
      <w:r>
        <w:rPr>
          <w:spacing w:val="-2"/>
        </w:rPr>
        <w:t>有客观证据表明近期实际存在短期获利模式；属于衍生工具（符合财务担保合同定义的以及被指定为有效</w:t>
      </w:r>
      <w:r>
        <w:rPr>
          <w:spacing w:val="-33"/>
        </w:rPr>
        <w:t> </w:t>
      </w:r>
      <w:r>
        <w:rPr>
          <w:spacing w:val="-33"/>
        </w:rPr>
      </w:r>
      <w:r>
        <w:rPr>
          <w:spacing w:val="-9"/>
          <w:w w:val="100"/>
        </w:rPr>
        <w:t>套期工具的衍生工具除外）。</w:t>
      </w:r>
    </w:p>
    <w:p>
      <w:pPr>
        <w:pStyle w:val="BodyText"/>
        <w:spacing w:line="273" w:lineRule="auto"/>
        <w:ind w:left="535" w:right="1007" w:hanging="106"/>
        <w:jc w:val="left"/>
      </w:pPr>
      <w:r>
        <w:rPr/>
        <w:t>（</w:t>
      </w:r>
      <w:r>
        <w:rPr>
          <w:rFonts w:ascii="宋体" w:hAnsi="宋体" w:cs="宋体" w:eastAsia="宋体" w:hint="default"/>
        </w:rPr>
        <w:t>4</w:t>
      </w:r>
      <w:r>
        <w:rPr/>
        <w:t>）分类为以公允价值计量且其变动计入当期损益的金融资产</w:t>
      </w:r>
      <w:r>
        <w:rPr>
          <w:w w:val="100"/>
        </w:rPr>
        <w:t> </w:t>
      </w:r>
      <w:r>
        <w:rPr>
          <w:spacing w:val="-2"/>
        </w:rPr>
        <w:t>不符合分类为以摊余成本计量或以公允价值计量且其变动计入其他综合收益的金融资产条件、亦不指</w:t>
      </w:r>
    </w:p>
    <w:p>
      <w:pPr>
        <w:pStyle w:val="BodyText"/>
        <w:spacing w:line="273" w:lineRule="auto"/>
        <w:ind w:right="1007"/>
        <w:jc w:val="left"/>
      </w:pPr>
      <w:r>
        <w:rPr>
          <w:spacing w:val="-2"/>
        </w:rPr>
        <w:t>定为以公允价值计量且其变动计入其他综合收益的金融资产均分类为以公允价值计量且其变动计入当期</w:t>
      </w:r>
      <w:r>
        <w:rPr>
          <w:spacing w:val="-16"/>
        </w:rPr>
        <w:t> </w:t>
      </w:r>
      <w:r>
        <w:rPr>
          <w:spacing w:val="-16"/>
        </w:rPr>
      </w:r>
      <w:r>
        <w:rPr/>
        <w:t>损益的金融资产。</w:t>
      </w:r>
    </w:p>
    <w:p>
      <w:pPr>
        <w:pStyle w:val="BodyText"/>
        <w:spacing w:line="273" w:lineRule="auto"/>
        <w:ind w:right="1007" w:firstLine="422"/>
        <w:jc w:val="left"/>
      </w:pPr>
      <w:r>
        <w:rPr>
          <w:spacing w:val="-2"/>
        </w:rPr>
        <w:t>本公司对此类金融资产采用公允价值进行后续计量，将公允价值变动形成的利得或损失以及与此类金</w:t>
      </w:r>
      <w:r>
        <w:rPr>
          <w:w w:val="100"/>
        </w:rPr>
        <w:t> </w:t>
      </w:r>
      <w:r>
        <w:rPr/>
        <w:t>融资产相关的股利和利息收入计入当期损益。</w:t>
      </w:r>
    </w:p>
    <w:p>
      <w:pPr>
        <w:pStyle w:val="BodyText"/>
        <w:spacing w:line="240" w:lineRule="auto" w:before="8"/>
        <w:ind w:left="535" w:right="1764"/>
        <w:jc w:val="left"/>
      </w:pPr>
      <w:r>
        <w:rPr/>
        <w:t>本公司对此类金融资产根据其流动性在交易性金融资产、其他非流动金融资产项目列报。</w:t>
      </w:r>
    </w:p>
    <w:p>
      <w:pPr>
        <w:pStyle w:val="BodyText"/>
        <w:spacing w:line="273" w:lineRule="auto" w:before="37"/>
        <w:ind w:left="535" w:right="1007" w:hanging="106"/>
        <w:jc w:val="left"/>
      </w:pPr>
      <w:r>
        <w:rPr/>
        <w:t>（</w:t>
      </w:r>
      <w:r>
        <w:rPr>
          <w:rFonts w:ascii="宋体" w:hAnsi="宋体" w:cs="宋体" w:eastAsia="宋体" w:hint="default"/>
        </w:rPr>
        <w:t>5</w:t>
      </w:r>
      <w:r>
        <w:rPr/>
        <w:t>）指定为以公允价值计量且其变动计入当期损益的金融资产</w:t>
      </w:r>
      <w:r>
        <w:rPr>
          <w:w w:val="100"/>
        </w:rPr>
        <w:t> </w:t>
      </w:r>
      <w:r>
        <w:rPr>
          <w:spacing w:val="-2"/>
        </w:rPr>
        <w:t>在初始确认时，本公司为了消除或显著减少会计错配，可以单项金融资产为基础不可撤销地将金融资</w:t>
      </w:r>
    </w:p>
    <w:p>
      <w:pPr>
        <w:pStyle w:val="BodyText"/>
        <w:spacing w:line="273" w:lineRule="auto"/>
        <w:ind w:left="535" w:right="1007" w:hanging="423"/>
        <w:jc w:val="left"/>
      </w:pPr>
      <w:r>
        <w:rPr/>
        <w:t>产指定为以公允价值计量且其变动计入当期损益的金融资产。</w:t>
      </w:r>
      <w:r>
        <w:rPr>
          <w:spacing w:val="-103"/>
        </w:rPr>
        <w:t> </w:t>
      </w:r>
      <w:r>
        <w:rPr>
          <w:spacing w:val="-103"/>
        </w:rPr>
      </w:r>
      <w:r>
        <w:rPr>
          <w:spacing w:val="-2"/>
        </w:rPr>
        <w:t>混合合同包含一项或多项嵌入衍生工具，且其主合同不属于以上金融资产的，本公司可以将其整体指</w:t>
      </w:r>
    </w:p>
    <w:p>
      <w:pPr>
        <w:pStyle w:val="BodyText"/>
        <w:spacing w:line="273" w:lineRule="auto"/>
        <w:ind w:left="535" w:right="1764" w:hanging="423"/>
        <w:jc w:val="left"/>
      </w:pPr>
      <w:r>
        <w:rPr>
          <w:spacing w:val="-2"/>
        </w:rPr>
        <w:t>定为以公允价值计量且其变动计入当期损益的金融工具。但下列情况除外：</w:t>
      </w:r>
      <w:r>
        <w:rPr>
          <w:spacing w:val="-40"/>
        </w:rPr>
        <w:t> </w:t>
      </w:r>
      <w:r>
        <w:rPr>
          <w:spacing w:val="-40"/>
        </w:rPr>
      </w:r>
      <w:r>
        <w:rPr>
          <w:rFonts w:ascii="宋体" w:hAnsi="宋体" w:cs="宋体" w:eastAsia="宋体" w:hint="default"/>
        </w:rPr>
        <w:t>1</w:t>
      </w:r>
      <w:r>
        <w:rPr/>
        <w:t>）嵌入衍生工具不会对混合合同的现金流量产生重大改变。</w:t>
      </w:r>
    </w:p>
    <w:p>
      <w:pPr>
        <w:pStyle w:val="BodyText"/>
        <w:spacing w:line="273" w:lineRule="auto"/>
        <w:ind w:right="1007" w:firstLine="422"/>
        <w:jc w:val="left"/>
      </w:pPr>
      <w:r>
        <w:rPr>
          <w:rFonts w:ascii="宋体" w:hAnsi="宋体" w:cs="宋体" w:eastAsia="宋体" w:hint="default"/>
        </w:rPr>
        <w:t>2)</w:t>
      </w:r>
      <w:r>
        <w:rPr>
          <w:rFonts w:ascii="宋体" w:hAnsi="宋体" w:cs="宋体" w:eastAsia="宋体" w:hint="default"/>
          <w:spacing w:val="-2"/>
        </w:rPr>
        <w:t> </w:t>
      </w:r>
      <w:r>
        <w:rPr/>
        <w:t>在初次确定类似的混合合同是否需要分拆时，几乎不需分析就能明确其包含的嵌入衍生工具不应</w:t>
      </w:r>
      <w:r>
        <w:rPr>
          <w:w w:val="100"/>
        </w:rPr>
        <w:t> </w:t>
      </w:r>
      <w:r>
        <w:rPr>
          <w:spacing w:val="-2"/>
        </w:rPr>
        <w:t>分拆。如嵌入贷款的提前还款权，允许持有人以接近摊余成本的金额提前偿还贷款，该提前还款权不需要</w:t>
      </w:r>
      <w:r>
        <w:rPr>
          <w:spacing w:val="-33"/>
        </w:rPr>
        <w:t> </w:t>
      </w:r>
      <w:r>
        <w:rPr>
          <w:spacing w:val="-33"/>
        </w:rPr>
      </w:r>
      <w:r>
        <w:rPr/>
        <w:t>分拆。</w:t>
      </w:r>
    </w:p>
    <w:p>
      <w:pPr>
        <w:pStyle w:val="BodyText"/>
        <w:spacing w:line="273" w:lineRule="auto"/>
        <w:ind w:right="1007" w:firstLine="422"/>
        <w:jc w:val="left"/>
      </w:pPr>
      <w:r>
        <w:rPr>
          <w:spacing w:val="-2"/>
        </w:rPr>
        <w:t>本公司对此类金融资产采用公允价值进行后续计量，将公允价值变动形成的利得或损失以及与此类金</w:t>
      </w:r>
      <w:r>
        <w:rPr>
          <w:w w:val="100"/>
        </w:rPr>
        <w:t> </w:t>
      </w:r>
      <w:r>
        <w:rPr/>
        <w:t>融资产相关的股利和利息收入计入当期损益。</w:t>
      </w:r>
    </w:p>
    <w:p>
      <w:pPr>
        <w:pStyle w:val="BodyText"/>
        <w:spacing w:line="240" w:lineRule="auto"/>
        <w:ind w:left="535" w:right="1764"/>
        <w:jc w:val="left"/>
      </w:pPr>
      <w:r>
        <w:rPr/>
        <w:t>本公司对此类金融资产根据其流动性在交易性金融资产、其他非流动金融资产项目列报。</w:t>
      </w:r>
    </w:p>
    <w:p>
      <w:pPr>
        <w:spacing w:line="273" w:lineRule="auto" w:before="157"/>
        <w:ind w:left="535" w:right="1007"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金融负债分类和计量</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本公司根据所发行金融工具的合同条款及其所反映的经济实质而非仅以法律形式，结合金融负债和权</w:t>
      </w:r>
    </w:p>
    <w:p>
      <w:pPr>
        <w:pStyle w:val="BodyText"/>
        <w:spacing w:line="273" w:lineRule="auto"/>
        <w:ind w:right="1125"/>
        <w:jc w:val="both"/>
      </w:pPr>
      <w:r>
        <w:rPr>
          <w:spacing w:val="-2"/>
        </w:rPr>
        <w:t>益工具的定义，在初始确认时将该金融工具或其组成部分分类为金融负债或权益工具。金融负债在初始确</w:t>
      </w:r>
      <w:r>
        <w:rPr>
          <w:spacing w:val="-33"/>
        </w:rPr>
        <w:t> </w:t>
      </w:r>
      <w:r>
        <w:rPr>
          <w:spacing w:val="-33"/>
        </w:rPr>
      </w:r>
      <w:r>
        <w:rPr>
          <w:spacing w:val="-2"/>
        </w:rPr>
        <w:t>认时分类为：以公允价值计量且其变动计入当期损益的金融负债、其他金融负债、被指定为有效套期工具</w:t>
      </w:r>
      <w:r>
        <w:rPr>
          <w:spacing w:val="-33"/>
        </w:rPr>
        <w:t> </w:t>
      </w:r>
      <w:r>
        <w:rPr>
          <w:spacing w:val="-33"/>
        </w:rPr>
      </w:r>
      <w:r>
        <w:rPr/>
        <w:t>的衍生工具。</w:t>
      </w:r>
    </w:p>
    <w:p>
      <w:pPr>
        <w:pStyle w:val="BodyText"/>
        <w:spacing w:line="273" w:lineRule="auto"/>
        <w:ind w:right="1007" w:firstLine="422"/>
        <w:jc w:val="left"/>
      </w:pPr>
      <w:r>
        <w:rPr>
          <w:spacing w:val="-2"/>
        </w:rPr>
        <w:t>金融负债在初始确认时以公允价值计量。对于以公允价值计量且其变动计入当期损益的金融负债，相</w:t>
      </w:r>
      <w:r>
        <w:rPr>
          <w:w w:val="100"/>
        </w:rPr>
        <w:t> </w:t>
      </w:r>
      <w:r>
        <w:rPr/>
        <w:t>关的交易费用直接计入当期损益；对于其他类别的金融负债，相关交易费用计入初始确认金额。</w:t>
      </w:r>
    </w:p>
    <w:p>
      <w:pPr>
        <w:pStyle w:val="BodyText"/>
        <w:spacing w:line="240" w:lineRule="auto"/>
        <w:ind w:left="535" w:right="1764"/>
        <w:jc w:val="left"/>
      </w:pPr>
      <w:r>
        <w:rPr/>
        <w:t>金融负债的后续计量取决于其分类：</w:t>
      </w:r>
    </w:p>
    <w:p>
      <w:pPr>
        <w:pStyle w:val="BodyText"/>
        <w:spacing w:line="273" w:lineRule="auto" w:before="37"/>
        <w:ind w:left="535" w:right="1007"/>
        <w:jc w:val="left"/>
      </w:pPr>
      <w:r>
        <w:rPr>
          <w:rFonts w:ascii="宋体" w:hAnsi="宋体" w:cs="宋体" w:eastAsia="宋体" w:hint="default"/>
        </w:rPr>
        <w:t>(1) </w:t>
      </w:r>
      <w:r>
        <w:rPr/>
        <w:t>以公允价值计量且其变动计入当期损益的金融负债</w:t>
      </w:r>
      <w:r>
        <w:rPr>
          <w:w w:val="100"/>
        </w:rPr>
        <w:t> </w:t>
      </w:r>
      <w:r>
        <w:rPr>
          <w:spacing w:val="-2"/>
        </w:rPr>
        <w:t>此类金融负债包括交易性金融负债（含属于金融负债的衍生工具）和初始确认时指定为以公允价值计</w:t>
      </w:r>
    </w:p>
    <w:p>
      <w:pPr>
        <w:pStyle w:val="BodyText"/>
        <w:spacing w:line="273" w:lineRule="auto"/>
        <w:ind w:left="535" w:right="1007" w:hanging="423"/>
        <w:jc w:val="left"/>
      </w:pPr>
      <w:r>
        <w:rPr/>
        <w:t>量且其变动计入当期损益的金融负债。</w:t>
      </w:r>
      <w:r>
        <w:rPr>
          <w:spacing w:val="-100"/>
        </w:rPr>
        <w:t> </w:t>
      </w:r>
      <w:r>
        <w:rPr>
          <w:spacing w:val="-100"/>
        </w:rPr>
      </w:r>
      <w:r>
        <w:rPr>
          <w:spacing w:val="-2"/>
        </w:rPr>
        <w:t>满足下列条件之一的，属于交易性金融负债：承担相关金融负债的目的主要是为了在近期内出售或回</w:t>
      </w:r>
    </w:p>
    <w:p>
      <w:pPr>
        <w:spacing w:after="0" w:line="273"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73" w:lineRule="auto" w:before="36"/>
        <w:ind w:right="1007"/>
        <w:jc w:val="left"/>
      </w:pPr>
      <w:r>
        <w:rPr>
          <w:spacing w:val="-2"/>
        </w:rPr>
        <w:t>购；属于集中管理的可辨认金融工具组合的一部分，且有客观证据表明企业近期采用短期获利方式模式；</w:t>
      </w:r>
      <w:r>
        <w:rPr>
          <w:spacing w:val="-13"/>
        </w:rPr>
        <w:t> </w:t>
      </w:r>
      <w:r>
        <w:rPr>
          <w:spacing w:val="-13"/>
        </w:rPr>
      </w:r>
      <w:r>
        <w:rPr>
          <w:spacing w:val="-2"/>
        </w:rPr>
        <w:t>属于衍生工具，但是，被指定且为有效套期工具的衍生工具、符合财务担保合同的衍生工具除外。交易性</w:t>
      </w:r>
      <w:r>
        <w:rPr>
          <w:spacing w:val="-33"/>
        </w:rPr>
        <w:t> </w:t>
      </w:r>
      <w:r>
        <w:rPr>
          <w:spacing w:val="-33"/>
        </w:rPr>
      </w:r>
      <w:r>
        <w:rPr>
          <w:spacing w:val="-4"/>
          <w:w w:val="100"/>
        </w:rPr>
        <w:t>金融负债（含属于金融负债的衍生工具），按照公允价值进行后续计量，除与套期会计有关外，所有公允</w:t>
      </w:r>
      <w:r>
        <w:rPr>
          <w:spacing w:val="-80"/>
          <w:w w:val="100"/>
        </w:rPr>
        <w:t> </w:t>
      </w:r>
      <w:r>
        <w:rPr>
          <w:spacing w:val="-80"/>
          <w:w w:val="100"/>
        </w:rPr>
      </w:r>
      <w:r>
        <w:rPr/>
        <w:t>价值变动均计入当期损益。</w:t>
      </w:r>
    </w:p>
    <w:p>
      <w:pPr>
        <w:pStyle w:val="BodyText"/>
        <w:spacing w:line="273" w:lineRule="auto"/>
        <w:ind w:right="1121" w:firstLine="422"/>
        <w:jc w:val="both"/>
      </w:pPr>
      <w:r>
        <w:rPr>
          <w:spacing w:val="-2"/>
        </w:rPr>
        <w:t>在初始确认时，为了提供更相关的会计信息，本公司将满足下列条件之一的金融负债不可撤销地指定</w:t>
      </w:r>
      <w:r>
        <w:rPr>
          <w:w w:val="100"/>
        </w:rPr>
        <w:t> </w:t>
      </w:r>
      <w:r>
        <w:rPr/>
        <w:t>为以公允价值计量且其变动计入当期损益的金融负债：</w:t>
      </w:r>
    </w:p>
    <w:p>
      <w:pPr>
        <w:pStyle w:val="BodyText"/>
        <w:spacing w:line="240" w:lineRule="auto"/>
        <w:ind w:left="535" w:right="1764"/>
        <w:jc w:val="left"/>
      </w:pPr>
      <w:r>
        <w:rPr>
          <w:rFonts w:ascii="宋体" w:hAnsi="宋体" w:cs="宋体" w:eastAsia="宋体" w:hint="default"/>
        </w:rPr>
        <w:t>1)</w:t>
      </w:r>
      <w:r>
        <w:rPr>
          <w:rFonts w:ascii="宋体" w:hAnsi="宋体" w:cs="宋体" w:eastAsia="宋体" w:hint="default"/>
          <w:spacing w:val="3"/>
        </w:rPr>
        <w:t> </w:t>
      </w:r>
      <w:r>
        <w:rPr/>
        <w:t>能够消除或显著减少会计错配。</w:t>
      </w:r>
    </w:p>
    <w:p>
      <w:pPr>
        <w:pStyle w:val="BodyText"/>
        <w:spacing w:line="273" w:lineRule="auto" w:before="37"/>
        <w:ind w:right="1212" w:firstLine="422"/>
        <w:jc w:val="both"/>
      </w:pPr>
      <w:r>
        <w:rPr>
          <w:rFonts w:ascii="宋体" w:hAnsi="宋体" w:cs="宋体" w:eastAsia="宋体" w:hint="default"/>
        </w:rPr>
        <w:t>2)</w:t>
      </w:r>
      <w:r>
        <w:rPr>
          <w:rFonts w:ascii="宋体" w:hAnsi="宋体" w:cs="宋体" w:eastAsia="宋体" w:hint="default"/>
          <w:spacing w:val="-4"/>
        </w:rPr>
        <w:t> </w:t>
      </w:r>
      <w:r>
        <w:rPr/>
        <w:t>根据正式书面文件载明的企业风险管理或投资策略，以公允价值为基础对金融负债组合或金融资</w:t>
      </w:r>
      <w:r>
        <w:rPr>
          <w:w w:val="100"/>
        </w:rPr>
        <w:t> </w:t>
      </w:r>
      <w:r>
        <w:rPr/>
        <w:t>产和金融负债组合进行管理和业绩评价，并在企业内部以此为基础向关键管理人员报告。</w:t>
      </w:r>
    </w:p>
    <w:p>
      <w:pPr>
        <w:pStyle w:val="BodyText"/>
        <w:spacing w:line="273" w:lineRule="auto" w:before="8"/>
        <w:ind w:right="1121" w:firstLine="422"/>
        <w:jc w:val="both"/>
      </w:pPr>
      <w:r>
        <w:rPr>
          <w:spacing w:val="-2"/>
        </w:rPr>
        <w:t>本公司对此类金融负债采用公允价值进行后续计量，除由本公司自身信用风险变动引起的公允价值变</w:t>
      </w:r>
      <w:r>
        <w:rPr>
          <w:w w:val="100"/>
        </w:rPr>
        <w:t> </w:t>
      </w:r>
      <w:r>
        <w:rPr>
          <w:spacing w:val="-2"/>
        </w:rPr>
        <w:t>动计入其他综合收益之外，其他公允价值变动计入当期损益。除非由本公司自身信用风险变动引起的公允</w:t>
      </w:r>
      <w:r>
        <w:rPr>
          <w:spacing w:val="-33"/>
        </w:rPr>
        <w:t> </w:t>
      </w:r>
      <w:r>
        <w:rPr>
          <w:spacing w:val="-33"/>
        </w:rPr>
      </w:r>
      <w:r>
        <w:rPr>
          <w:spacing w:val="-2"/>
        </w:rPr>
        <w:t>价值变动计入其他综合收益会造成或扩大损益中的会计错配，本公司将所有公允价值变动（包括自身信用</w:t>
      </w:r>
      <w:r>
        <w:rPr>
          <w:spacing w:val="-33"/>
        </w:rPr>
        <w:t> </w:t>
      </w:r>
      <w:r>
        <w:rPr>
          <w:spacing w:val="-33"/>
        </w:rPr>
      </w:r>
      <w:r>
        <w:rPr/>
        <w:t>风险变动的影响金额）计入当期损益。</w:t>
      </w:r>
    </w:p>
    <w:p>
      <w:pPr>
        <w:pStyle w:val="BodyText"/>
        <w:spacing w:line="273" w:lineRule="auto"/>
        <w:ind w:left="535" w:right="1007" w:hanging="106"/>
        <w:jc w:val="left"/>
      </w:pPr>
      <w:r>
        <w:rPr>
          <w:rFonts w:ascii="宋体" w:hAnsi="宋体" w:cs="宋体" w:eastAsia="宋体" w:hint="default"/>
        </w:rPr>
        <w:t>(2) </w:t>
      </w:r>
      <w:r>
        <w:rPr/>
        <w:t>其他金融负债</w:t>
      </w:r>
      <w:r>
        <w:rPr>
          <w:spacing w:val="-101"/>
        </w:rPr>
        <w:t> </w:t>
      </w:r>
      <w:r>
        <w:rPr>
          <w:spacing w:val="-101"/>
        </w:rPr>
      </w:r>
      <w:r>
        <w:rPr>
          <w:spacing w:val="-5"/>
        </w:rPr>
        <w:t>除下列各项外，公司将金融负债分类为以摊余成本计量的金融负债，对此类金融负债采用实际利率法，</w:t>
      </w:r>
    </w:p>
    <w:p>
      <w:pPr>
        <w:pStyle w:val="BodyText"/>
        <w:spacing w:line="273" w:lineRule="auto"/>
        <w:ind w:left="430" w:right="3301" w:hanging="317"/>
        <w:jc w:val="left"/>
      </w:pPr>
      <w:r>
        <w:rPr>
          <w:spacing w:val="-2"/>
        </w:rPr>
        <w:t>按照摊余成本进行后续计量，终止确认或摊销产生的利得或损失计入当期损益：</w:t>
      </w:r>
      <w:r>
        <w:rPr>
          <w:spacing w:val="-33"/>
        </w:rPr>
        <w:t> </w:t>
      </w:r>
      <w:r>
        <w:rPr>
          <w:spacing w:val="-33"/>
        </w:rPr>
      </w:r>
      <w:r>
        <w:rPr>
          <w:rFonts w:ascii="宋体" w:hAnsi="宋体" w:cs="宋体" w:eastAsia="宋体" w:hint="default"/>
        </w:rPr>
        <w:t>1)</w:t>
      </w:r>
      <w:r>
        <w:rPr>
          <w:rFonts w:ascii="宋体" w:hAnsi="宋体" w:cs="宋体" w:eastAsia="宋体" w:hint="default"/>
          <w:spacing w:val="-2"/>
        </w:rPr>
        <w:t> </w:t>
      </w:r>
      <w:r>
        <w:rPr/>
        <w:t>以公允价值计量且其变动计入当期损益的金融负债。</w:t>
      </w:r>
    </w:p>
    <w:p>
      <w:pPr>
        <w:pStyle w:val="BodyText"/>
        <w:spacing w:line="240" w:lineRule="auto"/>
        <w:ind w:left="430" w:right="1764"/>
        <w:jc w:val="left"/>
      </w:pPr>
      <w:r>
        <w:rPr>
          <w:rFonts w:ascii="宋体" w:hAnsi="宋体" w:cs="宋体" w:eastAsia="宋体" w:hint="default"/>
        </w:rPr>
        <w:t>2)</w:t>
      </w:r>
      <w:r>
        <w:rPr>
          <w:rFonts w:ascii="宋体" w:hAnsi="宋体" w:cs="宋体" w:eastAsia="宋体" w:hint="default"/>
          <w:spacing w:val="1"/>
        </w:rPr>
        <w:t> </w:t>
      </w:r>
      <w:r>
        <w:rPr/>
        <w:t>金融资产转移不符合终止确认条件或继续涉入被转移金融资产所形成的金融负债。</w:t>
      </w:r>
    </w:p>
    <w:p>
      <w:pPr>
        <w:pStyle w:val="BodyText"/>
        <w:spacing w:line="256" w:lineRule="auto" w:before="37"/>
        <w:ind w:right="1196" w:firstLine="316"/>
        <w:jc w:val="left"/>
      </w:pPr>
      <w:r>
        <w:rPr>
          <w:rFonts w:ascii="宋体" w:hAnsi="宋体" w:cs="宋体" w:eastAsia="宋体" w:hint="default"/>
        </w:rPr>
        <w:t>3)</w:t>
      </w:r>
      <w:r>
        <w:rPr>
          <w:rFonts w:ascii="宋体" w:hAnsi="宋体" w:cs="宋体" w:eastAsia="宋体" w:hint="default"/>
          <w:spacing w:val="-1"/>
        </w:rPr>
        <w:t> </w:t>
      </w:r>
      <w:r>
        <w:rPr/>
        <w:t>不属于本条前两类情形的财务担保合同，以及不属于本条第</w:t>
      </w:r>
      <w:r>
        <w:rPr>
          <w:rFonts w:ascii="Times New Roman" w:hAnsi="Times New Roman" w:cs="Times New Roman" w:eastAsia="Times New Roman" w:hint="default"/>
        </w:rPr>
        <w:t>1</w:t>
      </w:r>
      <w:r>
        <w:rPr/>
        <w:t>）类情形的以低于市场利率贷款的贷</w:t>
      </w:r>
      <w:r>
        <w:rPr>
          <w:w w:val="100"/>
        </w:rPr>
        <w:t> </w:t>
      </w:r>
      <w:r>
        <w:rPr/>
        <w:t>款承诺。</w:t>
      </w:r>
    </w:p>
    <w:p>
      <w:pPr>
        <w:pStyle w:val="BodyText"/>
        <w:spacing w:line="273" w:lineRule="auto" w:before="22"/>
        <w:ind w:right="1126" w:firstLine="422"/>
        <w:jc w:val="both"/>
      </w:pPr>
      <w:r>
        <w:rPr>
          <w:spacing w:val="-2"/>
        </w:rPr>
        <w:t>财务担保合同是指当特定债务人到期不能按照最初或修改后的债务工具条款偿付债务时，要求发行方</w:t>
      </w:r>
      <w:r>
        <w:rPr>
          <w:w w:val="100"/>
        </w:rPr>
        <w:t> </w:t>
      </w:r>
      <w:r>
        <w:rPr>
          <w:spacing w:val="-2"/>
        </w:rPr>
        <w:t>向蒙受损失的合同持有人赔付特定金额的合同。不属于指定为以公允价值计量且其变动计入当期损益的金</w:t>
      </w:r>
      <w:r>
        <w:rPr>
          <w:spacing w:val="-33"/>
        </w:rPr>
        <w:t> </w:t>
      </w:r>
      <w:r>
        <w:rPr>
          <w:spacing w:val="-33"/>
        </w:rPr>
      </w:r>
      <w:r>
        <w:rPr>
          <w:spacing w:val="-2"/>
        </w:rPr>
        <w:t>融负债的财务担保合同，在初始确认后按照损失准备金额以及初始确认金额扣除担保期内的累计摊销额后</w:t>
      </w:r>
      <w:r>
        <w:rPr>
          <w:spacing w:val="-33"/>
        </w:rPr>
        <w:t> </w:t>
      </w:r>
      <w:r>
        <w:rPr>
          <w:spacing w:val="-33"/>
        </w:rPr>
      </w:r>
      <w:r>
        <w:rPr/>
        <w:t>的余额孰高进行计量。</w:t>
      </w:r>
    </w:p>
    <w:p>
      <w:pPr>
        <w:pStyle w:val="Heading3"/>
        <w:spacing w:line="240" w:lineRule="auto" w:before="128"/>
        <w:ind w:left="535" w:right="1764"/>
        <w:jc w:val="left"/>
        <w:rPr>
          <w:b w:val="0"/>
          <w:bCs w:val="0"/>
        </w:rPr>
      </w:pPr>
      <w:r>
        <w:rPr>
          <w:rFonts w:ascii="宋体" w:hAnsi="宋体" w:cs="宋体" w:eastAsia="宋体" w:hint="default"/>
        </w:rPr>
        <w:t>3.</w:t>
      </w:r>
      <w:r>
        <w:rPr/>
        <w:t>金融资产和金融负债的终止确认</w:t>
      </w:r>
      <w:r>
        <w:rPr>
          <w:b w:val="0"/>
          <w:bCs w:val="0"/>
        </w:rPr>
      </w:r>
    </w:p>
    <w:p>
      <w:pPr>
        <w:pStyle w:val="BodyText"/>
        <w:spacing w:line="273" w:lineRule="auto" w:before="37"/>
        <w:ind w:left="430" w:right="1394" w:firstLine="105"/>
        <w:jc w:val="left"/>
      </w:pPr>
      <w:r>
        <w:rPr>
          <w:spacing w:val="-2"/>
        </w:rPr>
        <w:t>（</w:t>
      </w:r>
      <w:r>
        <w:rPr>
          <w:rFonts w:ascii="宋体" w:hAnsi="宋体" w:cs="宋体" w:eastAsia="宋体" w:hint="default"/>
          <w:spacing w:val="-2"/>
        </w:rPr>
        <w:t>1</w:t>
      </w:r>
      <w:r>
        <w:rPr>
          <w:spacing w:val="-2"/>
        </w:rPr>
        <w:t>）金融资产满足下列条件之一的，终止确认金融资产，即从其账户和资产负债表内予以转销：</w:t>
      </w:r>
      <w:r>
        <w:rPr>
          <w:w w:val="100"/>
        </w:rPr>
        <w:t> </w:t>
      </w:r>
      <w:r>
        <w:rPr>
          <w:rFonts w:ascii="宋体" w:hAnsi="宋体" w:cs="宋体" w:eastAsia="宋体" w:hint="default"/>
        </w:rPr>
        <w:t>1)</w:t>
      </w:r>
      <w:r>
        <w:rPr>
          <w:rFonts w:ascii="宋体" w:hAnsi="宋体" w:cs="宋体" w:eastAsia="宋体" w:hint="default"/>
          <w:spacing w:val="-1"/>
        </w:rPr>
        <w:t> </w:t>
      </w:r>
      <w:r>
        <w:rPr/>
        <w:t>收取该金融资产现金流量的合同权利终止。</w:t>
      </w:r>
    </w:p>
    <w:p>
      <w:pPr>
        <w:pStyle w:val="BodyText"/>
        <w:spacing w:line="240" w:lineRule="auto"/>
        <w:ind w:left="430" w:right="1764"/>
        <w:jc w:val="left"/>
      </w:pPr>
      <w:r>
        <w:rPr>
          <w:rFonts w:ascii="宋体" w:hAnsi="宋体" w:cs="宋体" w:eastAsia="宋体" w:hint="default"/>
        </w:rPr>
        <w:t>2)</w:t>
      </w:r>
      <w:r>
        <w:rPr>
          <w:rFonts w:ascii="宋体" w:hAnsi="宋体" w:cs="宋体" w:eastAsia="宋体" w:hint="default"/>
          <w:spacing w:val="-2"/>
        </w:rPr>
        <w:t> </w:t>
      </w:r>
      <w:r>
        <w:rPr/>
        <w:t>该金融资产已转移，且该转移满足金融资产终止确认的规定。</w:t>
      </w:r>
    </w:p>
    <w:p>
      <w:pPr>
        <w:pStyle w:val="BodyText"/>
        <w:spacing w:line="266" w:lineRule="auto" w:before="37"/>
        <w:ind w:left="535" w:right="1007"/>
        <w:jc w:val="left"/>
      </w:pPr>
      <w:r>
        <w:rPr/>
        <w:t>（</w:t>
      </w:r>
      <w:r>
        <w:rPr>
          <w:rFonts w:ascii="Times New Roman" w:hAnsi="Times New Roman" w:cs="Times New Roman" w:eastAsia="Times New Roman" w:hint="default"/>
        </w:rPr>
        <w:t>2</w:t>
      </w:r>
      <w:r>
        <w:rPr/>
        <w:t>）金融负债终止确认条件</w:t>
      </w:r>
      <w:r>
        <w:rPr>
          <w:w w:val="100"/>
        </w:rPr>
        <w:t> </w:t>
      </w:r>
      <w:r>
        <w:rPr>
          <w:spacing w:val="-4"/>
          <w:w w:val="100"/>
        </w:rPr>
        <w:t>金融负债（或其一部分）的现时义务已经解除的，则终止确认该金融负债（或该部分金融负债）。</w:t>
      </w:r>
      <w:r>
        <w:rPr>
          <w:spacing w:val="-90"/>
          <w:w w:val="100"/>
        </w:rPr>
        <w:t> </w:t>
      </w:r>
      <w:r>
        <w:rPr>
          <w:spacing w:val="-90"/>
          <w:w w:val="100"/>
        </w:rPr>
      </w:r>
      <w:r>
        <w:rPr>
          <w:spacing w:val="-2"/>
        </w:rPr>
        <w:t>本公司与借出方之间签订协议，以承担新金融负债方式替换原金融负债，且新金融负债与原金融负债</w:t>
      </w:r>
    </w:p>
    <w:p>
      <w:pPr>
        <w:pStyle w:val="BodyText"/>
        <w:spacing w:line="273" w:lineRule="auto" w:before="14"/>
        <w:ind w:right="1126"/>
        <w:jc w:val="both"/>
      </w:pPr>
      <w:r>
        <w:rPr>
          <w:spacing w:val="-2"/>
        </w:rPr>
        <w:t>的合同条款实质上不同的，或对原金融负债（或其一部分）的合同条款做出实质性修改的，则终止确认原</w:t>
      </w:r>
      <w:r>
        <w:rPr>
          <w:spacing w:val="-33"/>
        </w:rPr>
        <w:t> </w:t>
      </w:r>
      <w:r>
        <w:rPr>
          <w:spacing w:val="-33"/>
        </w:rPr>
      </w:r>
      <w:r>
        <w:rPr>
          <w:spacing w:val="-2"/>
        </w:rPr>
        <w:t>金融负债，同时确认一项新金融负债，账面价值与支付的对价（包括转出的非现金资产或承担的负债）之</w:t>
      </w:r>
      <w:r>
        <w:rPr>
          <w:spacing w:val="-33"/>
        </w:rPr>
        <w:t> </w:t>
      </w:r>
      <w:r>
        <w:rPr>
          <w:spacing w:val="-33"/>
        </w:rPr>
      </w:r>
      <w:r>
        <w:rPr/>
        <w:t>间的差额，计入当期损益。</w:t>
      </w:r>
    </w:p>
    <w:p>
      <w:pPr>
        <w:pStyle w:val="BodyText"/>
        <w:spacing w:line="273" w:lineRule="auto"/>
        <w:ind w:right="1121" w:firstLine="422"/>
        <w:jc w:val="both"/>
      </w:pPr>
      <w:r>
        <w:rPr>
          <w:spacing w:val="-2"/>
        </w:rPr>
        <w:t>本公司回购金融负债一部分的，按照继续确认部分和终止确认部分在回购日各自的公允价值占整体公</w:t>
      </w:r>
      <w:r>
        <w:rPr>
          <w:w w:val="100"/>
        </w:rPr>
        <w:t> </w:t>
      </w:r>
      <w:r>
        <w:rPr>
          <w:spacing w:val="-7"/>
        </w:rPr>
        <w:t>允价值的比例，对该金融负债整体的账面价值进行分配。分配给终止确认部分的账面价值与支付的对价（包</w:t>
      </w:r>
      <w:r>
        <w:rPr>
          <w:spacing w:val="-6"/>
        </w:rPr>
        <w:t> </w:t>
      </w:r>
      <w:r>
        <w:rPr>
          <w:spacing w:val="-6"/>
        </w:rPr>
      </w:r>
      <w:r>
        <w:rPr/>
        <w:t>括转出的非现金资产或承担的负债）之间的差额，应当计入当期损益。</w:t>
      </w:r>
    </w:p>
    <w:p>
      <w:pPr>
        <w:spacing w:line="273" w:lineRule="auto" w:before="7"/>
        <w:ind w:left="535" w:right="1007" w:firstLine="105"/>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金融资产转移的确认依据和计量方法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本公司在发生金融资产转移时，评估其保留金融资产所有权上的风险和报酬的程度，并分别下列情形</w:t>
      </w:r>
    </w:p>
    <w:p>
      <w:pPr>
        <w:pStyle w:val="BodyText"/>
        <w:spacing w:line="240" w:lineRule="auto"/>
        <w:ind w:right="1764"/>
        <w:jc w:val="left"/>
      </w:pPr>
      <w:r>
        <w:rPr/>
        <w:t>处理：</w:t>
      </w:r>
    </w:p>
    <w:p>
      <w:pPr>
        <w:pStyle w:val="BodyText"/>
        <w:spacing w:line="273" w:lineRule="auto" w:before="37"/>
        <w:ind w:right="1139" w:firstLine="168"/>
        <w:jc w:val="left"/>
      </w:pPr>
      <w:r>
        <w:rPr>
          <w:rFonts w:ascii="宋体" w:hAnsi="宋体" w:cs="宋体" w:eastAsia="宋体" w:hint="default"/>
        </w:rPr>
        <w:t>(1)</w:t>
      </w:r>
      <w:r>
        <w:rPr>
          <w:rFonts w:ascii="宋体" w:hAnsi="宋体" w:cs="宋体" w:eastAsia="宋体" w:hint="default"/>
          <w:spacing w:val="-6"/>
        </w:rPr>
        <w:t> </w:t>
      </w:r>
      <w:r>
        <w:rPr/>
        <w:t>转移了金融资产所有权上几乎所有风险和报酬的，则终止确认该金融资产，并将转移中产生或保留</w:t>
      </w:r>
      <w:r>
        <w:rPr>
          <w:w w:val="100"/>
        </w:rPr>
        <w:t> </w:t>
      </w:r>
      <w:r>
        <w:rPr/>
        <w:t>的权利和义务单独确认为资产或负债。</w:t>
      </w:r>
    </w:p>
    <w:p>
      <w:pPr>
        <w:pStyle w:val="BodyText"/>
        <w:spacing w:line="240" w:lineRule="auto"/>
        <w:ind w:left="281" w:right="1764"/>
        <w:jc w:val="left"/>
      </w:pPr>
      <w:r>
        <w:rPr>
          <w:rFonts w:ascii="宋体" w:hAnsi="宋体" w:cs="宋体" w:eastAsia="宋体" w:hint="default"/>
        </w:rPr>
        <w:t>(2)</w:t>
      </w:r>
      <w:r>
        <w:rPr>
          <w:rFonts w:ascii="宋体" w:hAnsi="宋体" w:cs="宋体" w:eastAsia="宋体" w:hint="default"/>
          <w:spacing w:val="-4"/>
        </w:rPr>
        <w:t> </w:t>
      </w:r>
      <w:r>
        <w:rPr/>
        <w:t>保留了金融资产所有权上几乎所有风险和报酬的，则继续确认该金融资产。</w:t>
      </w:r>
    </w:p>
    <w:p>
      <w:pPr>
        <w:pStyle w:val="BodyText"/>
        <w:spacing w:line="240" w:lineRule="auto" w:before="37"/>
        <w:ind w:left="281" w:right="1007"/>
        <w:jc w:val="left"/>
      </w:pPr>
      <w:r>
        <w:rPr>
          <w:rFonts w:ascii="宋体" w:hAnsi="宋体" w:cs="宋体" w:eastAsia="宋体" w:hint="default"/>
          <w:w w:val="100"/>
        </w:rPr>
        <w:t>(3)</w:t>
      </w:r>
      <w:r>
        <w:rPr>
          <w:rFonts w:ascii="宋体" w:hAnsi="宋体" w:cs="宋体" w:eastAsia="宋体" w:hint="default"/>
        </w:rPr>
        <w:t> </w:t>
      </w:r>
      <w:r>
        <w:rPr>
          <w:spacing w:val="-5"/>
          <w:w w:val="100"/>
        </w:rPr>
        <w:t>既</w:t>
      </w:r>
      <w:r>
        <w:rPr>
          <w:w w:val="100"/>
        </w:rPr>
        <w:t>没有转</w:t>
      </w:r>
      <w:r>
        <w:rPr>
          <w:spacing w:val="-5"/>
          <w:w w:val="100"/>
        </w:rPr>
        <w:t>移</w:t>
      </w:r>
      <w:r>
        <w:rPr>
          <w:w w:val="100"/>
        </w:rPr>
        <w:t>也没有</w:t>
      </w:r>
      <w:r>
        <w:rPr>
          <w:spacing w:val="-5"/>
          <w:w w:val="100"/>
        </w:rPr>
        <w:t>保</w:t>
      </w:r>
      <w:r>
        <w:rPr>
          <w:w w:val="100"/>
        </w:rPr>
        <w:t>留金融</w:t>
      </w:r>
      <w:r>
        <w:rPr>
          <w:spacing w:val="-5"/>
          <w:w w:val="100"/>
        </w:rPr>
        <w:t>资</w:t>
      </w:r>
      <w:r>
        <w:rPr>
          <w:w w:val="100"/>
        </w:rPr>
        <w:t>产所</w:t>
      </w:r>
      <w:r>
        <w:rPr>
          <w:spacing w:val="-5"/>
          <w:w w:val="100"/>
        </w:rPr>
        <w:t>有</w:t>
      </w:r>
      <w:r>
        <w:rPr>
          <w:w w:val="100"/>
        </w:rPr>
        <w:t>权</w:t>
      </w:r>
      <w:r>
        <w:rPr>
          <w:spacing w:val="-5"/>
          <w:w w:val="100"/>
        </w:rPr>
        <w:t>上</w:t>
      </w:r>
      <w:r>
        <w:rPr>
          <w:w w:val="100"/>
        </w:rPr>
        <w:t>几乎所有</w:t>
      </w:r>
      <w:r>
        <w:rPr>
          <w:spacing w:val="-5"/>
          <w:w w:val="100"/>
        </w:rPr>
        <w:t>风</w:t>
      </w:r>
      <w:r>
        <w:rPr>
          <w:w w:val="100"/>
        </w:rPr>
        <w:t>险和报</w:t>
      </w:r>
      <w:r>
        <w:rPr>
          <w:spacing w:val="-5"/>
          <w:w w:val="100"/>
        </w:rPr>
        <w:t>酬</w:t>
      </w:r>
      <w:r>
        <w:rPr>
          <w:w w:val="100"/>
        </w:rPr>
        <w:t>的（即</w:t>
      </w:r>
      <w:r>
        <w:rPr>
          <w:spacing w:val="-5"/>
          <w:w w:val="100"/>
        </w:rPr>
        <w:t>除</w:t>
      </w:r>
      <w:r>
        <w:rPr>
          <w:w w:val="100"/>
        </w:rPr>
        <w:t>本条</w:t>
      </w:r>
      <w:r>
        <w:rPr>
          <w:spacing w:val="3"/>
          <w:w w:val="100"/>
        </w:rPr>
        <w:t>（</w:t>
      </w:r>
      <w:r>
        <w:rPr>
          <w:rFonts w:ascii="Times New Roman" w:hAnsi="Times New Roman" w:cs="Times New Roman" w:eastAsia="Times New Roman" w:hint="default"/>
          <w:w w:val="100"/>
        </w:rPr>
        <w:t>1</w:t>
      </w:r>
      <w:r>
        <w:rPr>
          <w:spacing w:val="-106"/>
          <w:w w:val="100"/>
        </w:rPr>
        <w:t>）</w:t>
      </w:r>
      <w:r>
        <w:rPr>
          <w:spacing w:val="-111"/>
          <w:w w:val="100"/>
        </w:rPr>
        <w:t>、</w:t>
      </w:r>
      <w:r>
        <w:rPr>
          <w:w w:val="100"/>
        </w:rPr>
        <w:t>（</w:t>
      </w:r>
      <w:r>
        <w:rPr>
          <w:rFonts w:ascii="Times New Roman" w:hAnsi="Times New Roman" w:cs="Times New Roman" w:eastAsia="Times New Roman" w:hint="default"/>
          <w:w w:val="100"/>
        </w:rPr>
        <w:t>2</w:t>
      </w:r>
      <w:r>
        <w:rPr>
          <w:w w:val="100"/>
        </w:rPr>
        <w:t>）</w:t>
      </w:r>
      <w:r>
        <w:rPr>
          <w:spacing w:val="-5"/>
          <w:w w:val="100"/>
        </w:rPr>
        <w:t>之</w:t>
      </w:r>
      <w:r>
        <w:rPr>
          <w:w w:val="100"/>
        </w:rPr>
        <w:t>外</w:t>
      </w:r>
      <w:r>
        <w:rPr>
          <w:spacing w:val="-5"/>
          <w:w w:val="100"/>
        </w:rPr>
        <w:t>的</w:t>
      </w:r>
      <w:r>
        <w:rPr>
          <w:w w:val="100"/>
        </w:rPr>
        <w:t>其他</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40" w:lineRule="auto" w:before="36"/>
        <w:ind w:right="1764"/>
        <w:jc w:val="left"/>
      </w:pPr>
      <w:r>
        <w:rPr>
          <w:w w:val="100"/>
        </w:rPr>
        <w:t>情形</w:t>
      </w:r>
      <w:r>
        <w:rPr>
          <w:spacing w:val="-106"/>
          <w:w w:val="100"/>
        </w:rPr>
        <w:t>）</w:t>
      </w:r>
      <w:r>
        <w:rPr>
          <w:w w:val="100"/>
        </w:rPr>
        <w:t>，则</w:t>
      </w:r>
      <w:r>
        <w:rPr>
          <w:spacing w:val="-5"/>
          <w:w w:val="100"/>
        </w:rPr>
        <w:t>根</w:t>
      </w:r>
      <w:r>
        <w:rPr>
          <w:w w:val="100"/>
        </w:rPr>
        <w:t>据其是</w:t>
      </w:r>
      <w:r>
        <w:rPr>
          <w:spacing w:val="-5"/>
          <w:w w:val="100"/>
        </w:rPr>
        <w:t>否</w:t>
      </w:r>
      <w:r>
        <w:rPr>
          <w:w w:val="100"/>
        </w:rPr>
        <w:t>保留了</w:t>
      </w:r>
      <w:r>
        <w:rPr>
          <w:spacing w:val="-5"/>
          <w:w w:val="100"/>
        </w:rPr>
        <w:t>对</w:t>
      </w:r>
      <w:r>
        <w:rPr>
          <w:w w:val="100"/>
        </w:rPr>
        <w:t>金融资</w:t>
      </w:r>
      <w:r>
        <w:rPr>
          <w:spacing w:val="-5"/>
          <w:w w:val="100"/>
        </w:rPr>
        <w:t>产</w:t>
      </w:r>
      <w:r>
        <w:rPr>
          <w:w w:val="100"/>
        </w:rPr>
        <w:t>的控</w:t>
      </w:r>
      <w:r>
        <w:rPr>
          <w:spacing w:val="-5"/>
          <w:w w:val="100"/>
        </w:rPr>
        <w:t>制</w:t>
      </w:r>
      <w:r>
        <w:rPr>
          <w:w w:val="100"/>
        </w:rPr>
        <w:t>，</w:t>
      </w:r>
      <w:r>
        <w:rPr>
          <w:spacing w:val="-5"/>
          <w:w w:val="100"/>
        </w:rPr>
        <w:t>分</w:t>
      </w:r>
      <w:r>
        <w:rPr>
          <w:w w:val="100"/>
        </w:rPr>
        <w:t>别下列情</w:t>
      </w:r>
      <w:r>
        <w:rPr>
          <w:spacing w:val="-5"/>
          <w:w w:val="100"/>
        </w:rPr>
        <w:t>形</w:t>
      </w:r>
      <w:r>
        <w:rPr>
          <w:w w:val="100"/>
        </w:rPr>
        <w:t>处</w:t>
      </w:r>
      <w:r>
        <w:rPr>
          <w:spacing w:val="2"/>
          <w:w w:val="100"/>
        </w:rPr>
        <w:t>理</w:t>
      </w:r>
      <w:r>
        <w:rPr>
          <w:w w:val="100"/>
        </w:rPr>
        <w:t>：</w:t>
      </w:r>
    </w:p>
    <w:p>
      <w:pPr>
        <w:pStyle w:val="BodyText"/>
        <w:spacing w:line="273" w:lineRule="auto" w:before="37"/>
        <w:ind w:right="1197"/>
        <w:jc w:val="left"/>
      </w:pPr>
      <w:r>
        <w:rPr>
          <w:rFonts w:ascii="宋体" w:hAnsi="宋体" w:cs="宋体" w:eastAsia="宋体" w:hint="default"/>
        </w:rPr>
        <w:t>1)</w:t>
      </w:r>
      <w:r>
        <w:rPr>
          <w:rFonts w:ascii="宋体" w:hAnsi="宋体" w:cs="宋体" w:eastAsia="宋体" w:hint="default"/>
          <w:spacing w:val="-1"/>
        </w:rPr>
        <w:t> </w:t>
      </w:r>
      <w:r>
        <w:rPr/>
        <w:t>未保留对该金融资产控制的，则终止确认该金融资产，并将转移中产生或保留的权利和义务单独确认</w:t>
      </w:r>
      <w:r>
        <w:rPr>
          <w:w w:val="100"/>
        </w:rPr>
        <w:t> </w:t>
      </w:r>
      <w:r>
        <w:rPr/>
        <w:t>为资产或负债。</w:t>
      </w:r>
    </w:p>
    <w:p>
      <w:pPr>
        <w:pStyle w:val="BodyText"/>
        <w:spacing w:line="273" w:lineRule="auto" w:before="8"/>
        <w:ind w:right="1007"/>
        <w:jc w:val="left"/>
      </w:pPr>
      <w:r>
        <w:rPr>
          <w:rFonts w:ascii="宋体" w:hAnsi="宋体" w:cs="宋体" w:eastAsia="宋体" w:hint="default"/>
        </w:rPr>
        <w:t>2)</w:t>
      </w:r>
      <w:r>
        <w:rPr>
          <w:rFonts w:ascii="宋体" w:hAnsi="宋体" w:cs="宋体" w:eastAsia="宋体" w:hint="default"/>
          <w:spacing w:val="-1"/>
        </w:rPr>
        <w:t> </w:t>
      </w:r>
      <w:r>
        <w:rPr/>
        <w:t>保留了对该金融资产控制的，则按照其继续涉入被转移金融资产的程度继续确认有关金融资产，并相</w:t>
      </w:r>
      <w:r>
        <w:rPr>
          <w:w w:val="100"/>
        </w:rPr>
        <w:t> </w:t>
      </w:r>
      <w:r>
        <w:rPr>
          <w:spacing w:val="-2"/>
        </w:rPr>
        <w:t>应确认相关负债。继续涉入被转移金融资产的程度，是指本公司承担的被转移金融资产价值变动风险或报</w:t>
      </w:r>
      <w:r>
        <w:rPr>
          <w:spacing w:val="-33"/>
        </w:rPr>
        <w:t> </w:t>
      </w:r>
      <w:r>
        <w:rPr>
          <w:spacing w:val="-33"/>
        </w:rPr>
      </w:r>
      <w:r>
        <w:rPr/>
        <w:t>酬的程度。</w:t>
      </w:r>
    </w:p>
    <w:p>
      <w:pPr>
        <w:pStyle w:val="BodyText"/>
        <w:spacing w:line="273" w:lineRule="auto"/>
        <w:ind w:right="1007" w:firstLine="422"/>
        <w:jc w:val="left"/>
      </w:pPr>
      <w:r>
        <w:rPr>
          <w:spacing w:val="-2"/>
        </w:rPr>
        <w:t>在判断金融资产转移是否满足上述金融资产终止确认条件时，采用实质重于形式的原则。公司将金融</w:t>
      </w:r>
      <w:r>
        <w:rPr>
          <w:w w:val="100"/>
        </w:rPr>
        <w:t> </w:t>
      </w:r>
      <w:r>
        <w:rPr/>
        <w:t>资产转移区分为金融资产整体转移和部分转移。</w:t>
      </w:r>
    </w:p>
    <w:p>
      <w:pPr>
        <w:pStyle w:val="BodyText"/>
        <w:spacing w:line="240" w:lineRule="auto"/>
        <w:ind w:left="641" w:right="1764"/>
        <w:jc w:val="left"/>
      </w:pPr>
      <w:r>
        <w:rPr>
          <w:rFonts w:ascii="宋体" w:hAnsi="宋体" w:cs="宋体" w:eastAsia="宋体" w:hint="default"/>
        </w:rPr>
        <w:t>(1)</w:t>
      </w:r>
      <w:r>
        <w:rPr>
          <w:rFonts w:ascii="宋体" w:hAnsi="宋体" w:cs="宋体" w:eastAsia="宋体" w:hint="default"/>
          <w:spacing w:val="1"/>
        </w:rPr>
        <w:t> </w:t>
      </w:r>
      <w:r>
        <w:rPr/>
        <w:t>金融资产整体转移满足终止确认条件的，将下列两项金额的差额计入当期损益：</w:t>
      </w:r>
    </w:p>
    <w:p>
      <w:pPr>
        <w:pStyle w:val="BodyText"/>
        <w:spacing w:line="240" w:lineRule="auto" w:before="37"/>
        <w:ind w:left="430" w:right="1764"/>
        <w:jc w:val="left"/>
      </w:pPr>
      <w:r>
        <w:rPr>
          <w:rFonts w:ascii="宋体" w:hAnsi="宋体" w:cs="宋体" w:eastAsia="宋体" w:hint="default"/>
        </w:rPr>
        <w:t>1)</w:t>
      </w:r>
      <w:r>
        <w:rPr>
          <w:rFonts w:ascii="宋体" w:hAnsi="宋体" w:cs="宋体" w:eastAsia="宋体" w:hint="default"/>
          <w:spacing w:val="-1"/>
        </w:rPr>
        <w:t> </w:t>
      </w:r>
      <w:r>
        <w:rPr/>
        <w:t>被转移金融资产在终止确认日的账面价值。</w:t>
      </w:r>
    </w:p>
    <w:p>
      <w:pPr>
        <w:pStyle w:val="BodyText"/>
        <w:spacing w:line="273" w:lineRule="auto" w:before="37"/>
        <w:ind w:right="1110" w:firstLine="316"/>
        <w:jc w:val="left"/>
      </w:pPr>
      <w:r>
        <w:rPr>
          <w:rFonts w:ascii="宋体" w:hAnsi="宋体" w:cs="宋体" w:eastAsia="宋体" w:hint="default"/>
        </w:rPr>
        <w:t>2)</w:t>
      </w:r>
      <w:r>
        <w:rPr>
          <w:rFonts w:ascii="宋体" w:hAnsi="宋体" w:cs="宋体" w:eastAsia="宋体" w:hint="default"/>
          <w:spacing w:val="-20"/>
        </w:rPr>
        <w:t> </w:t>
      </w:r>
      <w:r>
        <w:rPr/>
        <w:t>因转移金融资产而收到的对价，与原直接计入其他综合收益的公允价值变动累计额中对应终止确认</w:t>
      </w:r>
      <w:r>
        <w:rPr>
          <w:w w:val="100"/>
        </w:rPr>
        <w:t> </w:t>
      </w:r>
      <w:r>
        <w:rPr/>
        <w:t>部分的金额（涉及转移的金融资产为以公允价值计量且其变动计入其他综合收益的金融资产）之和。</w:t>
      </w:r>
    </w:p>
    <w:p>
      <w:pPr>
        <w:pStyle w:val="BodyText"/>
        <w:spacing w:line="273" w:lineRule="auto"/>
        <w:ind w:right="1007" w:firstLine="422"/>
        <w:jc w:val="left"/>
      </w:pPr>
      <w:r>
        <w:rPr>
          <w:rFonts w:ascii="宋体" w:hAnsi="宋体" w:cs="宋体" w:eastAsia="宋体" w:hint="default"/>
        </w:rPr>
        <w:t>(2)</w:t>
      </w:r>
      <w:r>
        <w:rPr>
          <w:rFonts w:ascii="宋体" w:hAnsi="宋体" w:cs="宋体" w:eastAsia="宋体" w:hint="default"/>
          <w:spacing w:val="-1"/>
        </w:rPr>
        <w:t> </w:t>
      </w:r>
      <w:r>
        <w:rPr/>
        <w:t>金融资产部分转移且该被转移部分整体满足终止确认条件的，将转移前金融资产整体的账面价</w:t>
      </w:r>
      <w:r>
        <w:rPr>
          <w:w w:val="100"/>
        </w:rPr>
        <w:t> </w:t>
      </w:r>
      <w:r>
        <w:rPr>
          <w:spacing w:val="-2"/>
        </w:rPr>
        <w:t>值，在终止确认部分和继续确认部分（在此种情形下，所保留的服务资产应当视同继续确认金融资产的一</w:t>
      </w:r>
      <w:r>
        <w:rPr>
          <w:spacing w:val="-33"/>
        </w:rPr>
        <w:t> </w:t>
      </w:r>
      <w:r>
        <w:rPr>
          <w:spacing w:val="-33"/>
        </w:rPr>
      </w:r>
      <w:r>
        <w:rPr/>
        <w:t>部分）之间，按照转移日各自的相对公允价值进行分摊，并将下列两项金额的差额计入当期损益：</w:t>
      </w:r>
    </w:p>
    <w:p>
      <w:pPr>
        <w:pStyle w:val="BodyText"/>
        <w:spacing w:line="240" w:lineRule="auto"/>
        <w:ind w:left="430" w:right="1764"/>
        <w:jc w:val="left"/>
      </w:pPr>
      <w:r>
        <w:rPr>
          <w:rFonts w:ascii="宋体" w:hAnsi="宋体" w:cs="宋体" w:eastAsia="宋体" w:hint="default"/>
        </w:rPr>
        <w:t>1)</w:t>
      </w:r>
      <w:r>
        <w:rPr>
          <w:rFonts w:ascii="宋体" w:hAnsi="宋体" w:cs="宋体" w:eastAsia="宋体" w:hint="default"/>
          <w:spacing w:val="2"/>
        </w:rPr>
        <w:t> </w:t>
      </w:r>
      <w:r>
        <w:rPr/>
        <w:t>终止确认部分在终止确认日的账面价值。</w:t>
      </w:r>
    </w:p>
    <w:p>
      <w:pPr>
        <w:pStyle w:val="BodyText"/>
        <w:spacing w:line="273" w:lineRule="auto" w:before="37"/>
        <w:ind w:right="1007" w:firstLine="316"/>
        <w:jc w:val="left"/>
      </w:pPr>
      <w:r>
        <w:rPr>
          <w:rFonts w:ascii="宋体" w:hAnsi="宋体" w:cs="宋体" w:eastAsia="宋体" w:hint="default"/>
          <w:spacing w:val="-2"/>
        </w:rPr>
        <w:t>2</w:t>
      </w:r>
      <w:r>
        <w:rPr>
          <w:spacing w:val="-2"/>
        </w:rPr>
        <w:t>）终止确认部分收到的对价，与原计入其他综合收益的公允价值变动累计额中对应终止确认部分的金</w:t>
      </w:r>
      <w:r>
        <w:rPr>
          <w:w w:val="100"/>
        </w:rPr>
        <w:t> </w:t>
      </w:r>
      <w:r>
        <w:rPr/>
        <w:t>额（涉及转移的金融资产为以公允价值计量且其变动计入其他综合收益的金融资产）之和。</w:t>
      </w:r>
    </w:p>
    <w:p>
      <w:pPr>
        <w:pStyle w:val="BodyText"/>
        <w:spacing w:line="273" w:lineRule="auto"/>
        <w:ind w:left="535" w:right="1007"/>
        <w:jc w:val="left"/>
      </w:pPr>
      <w:r>
        <w:rPr/>
        <w:t>金融资产转移不满足终止确认条件的，继续确认该金融资产，所收到的对价确认为一项金融负债。</w:t>
      </w:r>
      <w:r>
        <w:rPr>
          <w:w w:val="100"/>
        </w:rPr>
        <w:t> </w:t>
      </w:r>
      <w:r>
        <w:rPr>
          <w:rFonts w:ascii="宋体" w:hAnsi="宋体" w:cs="宋体" w:eastAsia="宋体" w:hint="default"/>
          <w:b/>
          <w:bCs/>
        </w:rPr>
        <w:t>5.</w:t>
      </w:r>
      <w:r>
        <w:rPr>
          <w:rFonts w:ascii="宋体" w:hAnsi="宋体" w:cs="宋体" w:eastAsia="宋体" w:hint="default"/>
          <w:b/>
          <w:bCs/>
        </w:rPr>
        <w:t>金融资产和金融负债公允价值的确定方法</w:t>
      </w:r>
      <w:r>
        <w:rPr>
          <w:rFonts w:ascii="宋体" w:hAnsi="宋体" w:cs="宋体" w:eastAsia="宋体" w:hint="default"/>
          <w:b/>
          <w:bCs/>
          <w:w w:val="100"/>
        </w:rPr>
        <w:t> </w:t>
      </w:r>
      <w:r>
        <w:rPr>
          <w:spacing w:val="-2"/>
        </w:rPr>
        <w:t>存在活跃市场的金融资产或金融负债，以活跃市场的报价确定其公允价值，除非该项金融资产存在针</w:t>
      </w:r>
    </w:p>
    <w:p>
      <w:pPr>
        <w:pStyle w:val="BodyText"/>
        <w:spacing w:line="273" w:lineRule="auto"/>
        <w:ind w:right="1007"/>
        <w:jc w:val="left"/>
      </w:pPr>
      <w:r>
        <w:rPr>
          <w:spacing w:val="-2"/>
        </w:rPr>
        <w:t>对资产本身的限售期。对于针对资产本身的限售的金融资产，按照活跃市场的报价扣除市场参与者因承担</w:t>
      </w:r>
      <w:r>
        <w:rPr>
          <w:spacing w:val="-33"/>
        </w:rPr>
        <w:t> </w:t>
      </w:r>
      <w:r>
        <w:rPr>
          <w:spacing w:val="-33"/>
        </w:rPr>
      </w:r>
      <w:r>
        <w:rPr>
          <w:spacing w:val="-2"/>
        </w:rPr>
        <w:t>指定期间内无法在公开市场上出售该金融资产的风险而要求获得的补偿金额后确定。活跃市场的报价包括</w:t>
      </w:r>
      <w:r>
        <w:rPr>
          <w:spacing w:val="-33"/>
        </w:rPr>
        <w:t> </w:t>
      </w:r>
      <w:r>
        <w:rPr>
          <w:spacing w:val="-33"/>
        </w:rPr>
      </w:r>
      <w:r>
        <w:rPr>
          <w:spacing w:val="-4"/>
        </w:rPr>
        <w:t>易于且可定期从交易所、交易商、经纪人、行业集团、定价机构或监管机构等获得相关资产或负债的报价，</w:t>
      </w:r>
      <w:r>
        <w:rPr>
          <w:spacing w:val="-47"/>
        </w:rPr>
        <w:t> </w:t>
      </w:r>
      <w:r>
        <w:rPr>
          <w:spacing w:val="-47"/>
        </w:rPr>
      </w:r>
      <w:r>
        <w:rPr/>
        <w:t>且能代表在公平交易基础上实际并经常发生的市场交易。</w:t>
      </w:r>
    </w:p>
    <w:p>
      <w:pPr>
        <w:pStyle w:val="BodyText"/>
        <w:spacing w:line="273" w:lineRule="auto" w:before="8"/>
        <w:ind w:left="535" w:right="1007"/>
        <w:jc w:val="left"/>
      </w:pPr>
      <w:r>
        <w:rPr/>
        <w:t>初始取得或衍生的金融资产或承担的金融负债，以市场交易价格作为确定其公允价值的基础。</w:t>
      </w:r>
      <w:r>
        <w:rPr>
          <w:w w:val="100"/>
        </w:rPr>
        <w:t> </w:t>
      </w:r>
      <w:r>
        <w:rPr>
          <w:spacing w:val="-2"/>
        </w:rPr>
        <w:t>不存在活跃市场的金融资产或金融负债，采用估值技术确定其公允价值。在估值时，本公司采用在当</w:t>
      </w:r>
    </w:p>
    <w:p>
      <w:pPr>
        <w:pStyle w:val="BodyText"/>
        <w:spacing w:line="273" w:lineRule="auto"/>
        <w:ind w:right="1125"/>
        <w:jc w:val="both"/>
      </w:pPr>
      <w:r>
        <w:rPr>
          <w:spacing w:val="-2"/>
        </w:rPr>
        <w:t>前情况下适用并且有足够可利用数据和其他信息支持的估值技术，选择与市场参与者在相关资产或负债的</w:t>
      </w:r>
      <w:r>
        <w:rPr>
          <w:spacing w:val="-33"/>
        </w:rPr>
        <w:t> </w:t>
      </w:r>
      <w:r>
        <w:rPr>
          <w:spacing w:val="-33"/>
        </w:rPr>
      </w:r>
      <w:r>
        <w:rPr>
          <w:spacing w:val="-2"/>
        </w:rPr>
        <w:t>交易中所考虑的资产或负债特征相一致的输入值，并尽可能优先使用相关可观察输入值。在相关可观察输</w:t>
      </w:r>
      <w:r>
        <w:rPr>
          <w:spacing w:val="-33"/>
        </w:rPr>
        <w:t> </w:t>
      </w:r>
      <w:r>
        <w:rPr>
          <w:spacing w:val="-33"/>
        </w:rPr>
      </w:r>
      <w:r>
        <w:rPr/>
        <w:t>入值无法取得或取得不切实可行的情况下，使用不可观察输入值。</w:t>
      </w:r>
    </w:p>
    <w:p>
      <w:pPr>
        <w:pStyle w:val="BodyText"/>
        <w:spacing w:line="273" w:lineRule="auto" w:before="8"/>
        <w:ind w:left="535" w:right="1007"/>
        <w:jc w:val="left"/>
      </w:pPr>
      <w:r>
        <w:rPr>
          <w:rFonts w:ascii="宋体" w:hAnsi="宋体" w:cs="宋体" w:eastAsia="宋体" w:hint="default"/>
          <w:b/>
          <w:bCs/>
        </w:rPr>
        <w:t>6.</w:t>
      </w:r>
      <w:r>
        <w:rPr>
          <w:rFonts w:ascii="宋体" w:hAnsi="宋体" w:cs="宋体" w:eastAsia="宋体" w:hint="default"/>
          <w:b/>
          <w:bCs/>
        </w:rPr>
        <w:t>金融工具减值</w:t>
      </w:r>
      <w:r>
        <w:rPr>
          <w:rFonts w:ascii="宋体" w:hAnsi="宋体" w:cs="宋体" w:eastAsia="宋体" w:hint="default"/>
          <w:b/>
          <w:bCs/>
          <w:w w:val="100"/>
        </w:rPr>
        <w:t> </w:t>
      </w:r>
      <w:r>
        <w:rPr>
          <w:spacing w:val="-2"/>
        </w:rPr>
        <w:t>本公司以预期信用损失为基础，对分类为以摊余成本计量的金融资产、分类为以公允价值计量且其变</w:t>
      </w:r>
    </w:p>
    <w:p>
      <w:pPr>
        <w:pStyle w:val="BodyText"/>
        <w:spacing w:line="273" w:lineRule="auto"/>
        <w:ind w:left="535" w:right="1007" w:hanging="423"/>
        <w:jc w:val="left"/>
      </w:pPr>
      <w:r>
        <w:rPr/>
        <w:t>动计入其他综合收益的金融资产以及财务担保合同，进行减值会计处理并确认损失准备。</w:t>
      </w:r>
      <w:r>
        <w:rPr>
          <w:w w:val="100"/>
        </w:rPr>
        <w:t> </w:t>
      </w:r>
      <w:r>
        <w:rPr>
          <w:spacing w:val="-2"/>
        </w:rPr>
        <w:t>预期信用损失，是指以发生违约的风险为权重的金融工具信用损失的加权平均值。信用损失，是指本</w:t>
      </w:r>
    </w:p>
    <w:p>
      <w:pPr>
        <w:pStyle w:val="BodyText"/>
        <w:spacing w:line="273" w:lineRule="auto"/>
        <w:ind w:right="1106"/>
        <w:jc w:val="both"/>
      </w:pPr>
      <w:r>
        <w:rPr>
          <w:spacing w:val="-2"/>
        </w:rPr>
        <w:t>公司按照原实际利率折现的、根据合同应收的所有合同现金流量与预期收取的所有现金流量之间的差额，</w:t>
      </w:r>
      <w:r>
        <w:rPr>
          <w:spacing w:val="-13"/>
        </w:rPr>
        <w:t> </w:t>
      </w:r>
      <w:r>
        <w:rPr>
          <w:spacing w:val="-13"/>
        </w:rPr>
      </w:r>
      <w:r>
        <w:rPr>
          <w:spacing w:val="-2"/>
        </w:rPr>
        <w:t>即全部现金短缺的现值。其中，对于本公司购买或源生的已发生信用减值的金融资产，应按照该金融资产</w:t>
      </w:r>
      <w:r>
        <w:rPr>
          <w:spacing w:val="-33"/>
        </w:rPr>
        <w:t> </w:t>
      </w:r>
      <w:r>
        <w:rPr>
          <w:spacing w:val="-33"/>
        </w:rPr>
      </w:r>
      <w:r>
        <w:rPr/>
        <w:t>经信用调整的实际利率折现。</w:t>
      </w:r>
    </w:p>
    <w:p>
      <w:pPr>
        <w:pStyle w:val="BodyText"/>
        <w:spacing w:line="273" w:lineRule="auto"/>
        <w:ind w:right="1007" w:firstLine="422"/>
        <w:jc w:val="left"/>
      </w:pPr>
      <w:r>
        <w:rPr>
          <w:spacing w:val="-2"/>
        </w:rPr>
        <w:t>对由收入准则规范的交易形成的应收款项，本公司运用简化计量方法，按照相当于整个存续期内预期</w:t>
      </w:r>
      <w:r>
        <w:rPr>
          <w:w w:val="100"/>
        </w:rPr>
        <w:t> </w:t>
      </w:r>
      <w:r>
        <w:rPr/>
        <w:t>信用损失的金额计量损失准备。</w:t>
      </w:r>
    </w:p>
    <w:p>
      <w:pPr>
        <w:pStyle w:val="BodyText"/>
        <w:spacing w:line="273" w:lineRule="auto"/>
        <w:ind w:right="1121" w:firstLine="422"/>
        <w:jc w:val="both"/>
      </w:pPr>
      <w:r>
        <w:rPr>
          <w:spacing w:val="-2"/>
        </w:rPr>
        <w:t>对于购买或源生的已发生信用减值的金融资产，在资产负债表日仅将自初始确认后整个存续期内预期</w:t>
      </w:r>
      <w:r>
        <w:rPr>
          <w:w w:val="100"/>
        </w:rPr>
        <w:t> </w:t>
      </w:r>
      <w:r>
        <w:rPr>
          <w:spacing w:val="-2"/>
        </w:rPr>
        <w:t>信用损失的累计变动确认为损失准备。在每个资产负债表日，将整个存续期内预期信用损失的变动金额作</w:t>
      </w:r>
      <w:r>
        <w:rPr>
          <w:spacing w:val="-33"/>
        </w:rPr>
        <w:t> </w:t>
      </w:r>
      <w:r>
        <w:rPr>
          <w:spacing w:val="-33"/>
        </w:rPr>
      </w:r>
      <w:r>
        <w:rPr>
          <w:spacing w:val="-2"/>
        </w:rPr>
        <w:t>为减值损失或利得计入当期损益。即使该资产负债表日确定的整个存续期内预期信用损失小于初始确认时</w:t>
      </w:r>
      <w:r>
        <w:rPr>
          <w:spacing w:val="-33"/>
        </w:rPr>
        <w:t> </w:t>
      </w:r>
      <w:r>
        <w:rPr>
          <w:spacing w:val="-33"/>
        </w:rPr>
      </w:r>
      <w:r>
        <w:rPr/>
        <w:t>估计现金流量所反映的预期信用损失的金额，也将预期信用损失的有利变动确认为减值利得。</w:t>
      </w:r>
    </w:p>
    <w:p>
      <w:pPr>
        <w:pStyle w:val="BodyText"/>
        <w:spacing w:line="240" w:lineRule="auto"/>
        <w:ind w:left="535" w:right="1007"/>
        <w:jc w:val="left"/>
      </w:pPr>
      <w:r>
        <w:rPr/>
        <w:t>除上述采用简化计量方法和购买或源生的已发生信用减值以外的其他金融资产，本公司在每个资产负</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73" w:lineRule="auto" w:before="36"/>
        <w:ind w:left="153" w:right="482"/>
        <w:jc w:val="left"/>
      </w:pPr>
      <w:r>
        <w:rPr>
          <w:spacing w:val="-2"/>
        </w:rPr>
        <w:t>债表日评估相关金融工具的信用风险自初始确认后是否已显著增加，并按照下列情形分别计量其损失准</w:t>
      </w:r>
      <w:r>
        <w:rPr>
          <w:spacing w:val="-16"/>
        </w:rPr>
        <w:t> </w:t>
      </w:r>
      <w:r>
        <w:rPr>
          <w:spacing w:val="-16"/>
        </w:rPr>
      </w:r>
      <w:r>
        <w:rPr/>
        <w:t>备、确认预期信用损失及其变动：</w:t>
      </w:r>
    </w:p>
    <w:p>
      <w:pPr>
        <w:pStyle w:val="BodyText"/>
        <w:spacing w:line="273" w:lineRule="auto"/>
        <w:ind w:left="153" w:right="1129" w:hanging="44"/>
        <w:jc w:val="both"/>
      </w:pPr>
      <w:r>
        <w:rPr>
          <w:spacing w:val="-3"/>
        </w:rPr>
        <w:t>（</w:t>
      </w:r>
      <w:r>
        <w:rPr>
          <w:rFonts w:ascii="宋体" w:hAnsi="宋体" w:cs="宋体" w:eastAsia="宋体" w:hint="default"/>
          <w:spacing w:val="-3"/>
        </w:rPr>
        <w:t>1</w:t>
      </w:r>
      <w:r>
        <w:rPr>
          <w:spacing w:val="-3"/>
        </w:rPr>
        <w:t>）如果该金融工具的信用风险自初始确认后并未显著增加，处于第一阶段，则按照相当于该金融工具未</w:t>
      </w:r>
      <w:r>
        <w:rPr>
          <w:spacing w:val="-50"/>
        </w:rPr>
        <w:t> </w:t>
      </w:r>
      <w:r>
        <w:rPr>
          <w:spacing w:val="-50"/>
        </w:rPr>
      </w:r>
      <w:r>
        <w:rPr/>
        <w:t>来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个月内预期信用损失的金额计量其损失准备，并按照账面余额和实际利率计算利息收入。</w:t>
      </w:r>
    </w:p>
    <w:p>
      <w:pPr>
        <w:pStyle w:val="BodyText"/>
        <w:spacing w:line="273" w:lineRule="auto" w:before="0"/>
        <w:ind w:left="153" w:right="1126" w:hanging="44"/>
        <w:jc w:val="both"/>
      </w:pPr>
      <w:r>
        <w:rPr>
          <w:spacing w:val="-4"/>
        </w:rPr>
        <w:t>（</w:t>
      </w:r>
      <w:r>
        <w:rPr>
          <w:rFonts w:ascii="宋体" w:hAnsi="宋体" w:cs="宋体" w:eastAsia="宋体" w:hint="default"/>
          <w:spacing w:val="-4"/>
        </w:rPr>
        <w:t>2</w:t>
      </w:r>
      <w:r>
        <w:rPr>
          <w:spacing w:val="-4"/>
        </w:rPr>
        <w:t>）如果该金融工具的信用风险自初始确认后已显著增加但尚未发生信用减值的，处于第二阶段，则按照 </w:t>
      </w:r>
      <w:r>
        <w:rPr>
          <w:spacing w:val="-2"/>
        </w:rPr>
        <w:t>相当于该金融工具整个存续期内预期信用损失的金额计量其损失准备，并按照账面余额和实际利率计算利</w:t>
      </w:r>
      <w:r>
        <w:rPr>
          <w:spacing w:val="-77"/>
        </w:rPr>
        <w:t> </w:t>
      </w:r>
      <w:r>
        <w:rPr>
          <w:spacing w:val="-77"/>
        </w:rPr>
      </w:r>
      <w:r>
        <w:rPr/>
        <w:t>息收入。</w:t>
      </w:r>
    </w:p>
    <w:p>
      <w:pPr>
        <w:pStyle w:val="BodyText"/>
        <w:spacing w:line="273" w:lineRule="auto"/>
        <w:ind w:left="153" w:right="1130" w:hanging="44"/>
        <w:jc w:val="both"/>
      </w:pPr>
      <w:r>
        <w:rPr>
          <w:spacing w:val="-4"/>
        </w:rPr>
        <w:t>（</w:t>
      </w:r>
      <w:r>
        <w:rPr>
          <w:rFonts w:ascii="宋体" w:hAnsi="宋体" w:cs="宋体" w:eastAsia="宋体" w:hint="default"/>
          <w:spacing w:val="-4"/>
        </w:rPr>
        <w:t>3</w:t>
      </w:r>
      <w:r>
        <w:rPr>
          <w:spacing w:val="-4"/>
        </w:rPr>
        <w:t>）如果该金融工具自初始确认后已经发生信用减值的，处于第三阶段，本公司按照相当于该金融工具整 </w:t>
      </w:r>
      <w:r>
        <w:rPr/>
        <w:t>个存续期内预期信用损失的金额计量其损失准备，并按照摊余成本和实际利率计算利息收入。</w:t>
      </w:r>
    </w:p>
    <w:p>
      <w:pPr>
        <w:pStyle w:val="BodyText"/>
        <w:spacing w:line="273" w:lineRule="auto" w:before="8"/>
        <w:ind w:left="153" w:right="1125" w:firstLine="422"/>
        <w:jc w:val="both"/>
      </w:pPr>
      <w:r>
        <w:rPr>
          <w:spacing w:val="-2"/>
        </w:rPr>
        <w:t>金融工具信用损失准备的增加或转回金额，作为减值损失或利得计入当期损益。除分类为以公允价值</w:t>
      </w:r>
      <w:r>
        <w:rPr>
          <w:w w:val="100"/>
        </w:rPr>
        <w:t> </w:t>
      </w:r>
      <w:r>
        <w:rPr>
          <w:spacing w:val="-2"/>
        </w:rPr>
        <w:t>计量且其变动计入其他综合收益的金融资产外，信用损失准备抵减金融资产的账面余额。对于分类为以公</w:t>
      </w:r>
      <w:r>
        <w:rPr>
          <w:spacing w:val="-33"/>
        </w:rPr>
        <w:t> </w:t>
      </w:r>
      <w:r>
        <w:rPr>
          <w:spacing w:val="-33"/>
        </w:rPr>
      </w:r>
      <w:r>
        <w:rPr>
          <w:spacing w:val="-2"/>
        </w:rPr>
        <w:t>允价值计量且其变动计入其他综合收益的金融资产，本公司在其他综合收益中确认其信用损失准备，不减</w:t>
      </w:r>
      <w:r>
        <w:rPr>
          <w:spacing w:val="-33"/>
        </w:rPr>
        <w:t> </w:t>
      </w:r>
      <w:r>
        <w:rPr>
          <w:spacing w:val="-33"/>
        </w:rPr>
      </w:r>
      <w:r>
        <w:rPr/>
        <w:t>少该金融资产在资产负债表中列示的账面价值。</w:t>
      </w:r>
    </w:p>
    <w:p>
      <w:pPr>
        <w:pStyle w:val="BodyText"/>
        <w:spacing w:line="268" w:lineRule="auto"/>
        <w:ind w:left="153" w:right="1102" w:firstLine="422"/>
        <w:jc w:val="both"/>
      </w:pPr>
      <w:r>
        <w:rPr>
          <w:spacing w:val="-2"/>
        </w:rPr>
        <w:t>本公司在前一会计期间已经按照相当于金融工具整个存续期内预期信用损失的金额计量了损失准备，</w:t>
      </w:r>
      <w:r>
        <w:rPr>
          <w:w w:val="100"/>
        </w:rPr>
        <w:t> </w:t>
      </w:r>
      <w:r>
        <w:rPr>
          <w:spacing w:val="-2"/>
        </w:rPr>
        <w:t>但在当期资产负债表日，该金融工具已不再属于自初始确认后信用风险显著增加的情形的，本公司在当期</w:t>
      </w:r>
      <w:r>
        <w:rPr>
          <w:spacing w:val="-30"/>
        </w:rPr>
        <w:t> </w:t>
      </w:r>
      <w:r>
        <w:rPr>
          <w:spacing w:val="-30"/>
        </w:rPr>
      </w:r>
      <w:r>
        <w:rPr>
          <w:spacing w:val="-2"/>
        </w:rPr>
        <w:t>资产负债表日按照相当于未来</w:t>
      </w:r>
      <w:r>
        <w:rPr>
          <w:rFonts w:ascii="Times New Roman" w:hAnsi="Times New Roman" w:cs="Times New Roman" w:eastAsia="Times New Roman" w:hint="default"/>
          <w:spacing w:val="-2"/>
        </w:rPr>
        <w:t>12</w:t>
      </w:r>
      <w:r>
        <w:rPr>
          <w:spacing w:val="-2"/>
        </w:rPr>
        <w:t>个月内预期信用损失的金额计量该金融工具的损失准备，由此形成的损失</w:t>
      </w:r>
      <w:r>
        <w:rPr>
          <w:spacing w:val="-30"/>
        </w:rPr>
        <w:t> </w:t>
      </w:r>
      <w:r>
        <w:rPr>
          <w:spacing w:val="-30"/>
        </w:rPr>
      </w:r>
      <w:r>
        <w:rPr/>
        <w:t>准备的转回金额作为减值利得计入当期损益。</w:t>
      </w:r>
    </w:p>
    <w:p>
      <w:pPr>
        <w:pStyle w:val="BodyText"/>
        <w:spacing w:line="273" w:lineRule="auto" w:before="12"/>
        <w:ind w:left="575" w:right="482"/>
        <w:jc w:val="left"/>
      </w:pPr>
      <w:r>
        <w:rPr/>
        <w:t>（</w:t>
      </w:r>
      <w:r>
        <w:rPr>
          <w:rFonts w:ascii="宋体" w:hAnsi="宋体" w:cs="宋体" w:eastAsia="宋体" w:hint="default"/>
        </w:rPr>
        <w:t>1</w:t>
      </w:r>
      <w:r>
        <w:rPr/>
        <w:t>）信用风险显著增加</w:t>
      </w:r>
      <w:r>
        <w:rPr>
          <w:spacing w:val="-103"/>
        </w:rPr>
        <w:t> </w:t>
      </w:r>
      <w:r>
        <w:rPr>
          <w:spacing w:val="-103"/>
        </w:rPr>
      </w:r>
      <w:r>
        <w:rPr>
          <w:spacing w:val="-2"/>
        </w:rPr>
        <w:t>本公司利用可获得的合理且有依据的前瞻性信息，通过比较金融工具在资产负债表日发生违约的风险</w:t>
      </w:r>
    </w:p>
    <w:p>
      <w:pPr>
        <w:pStyle w:val="BodyText"/>
        <w:spacing w:line="273" w:lineRule="auto" w:before="8"/>
        <w:ind w:left="153" w:right="482"/>
        <w:jc w:val="left"/>
      </w:pPr>
      <w:r>
        <w:rPr>
          <w:spacing w:val="-2"/>
        </w:rPr>
        <w:t>与在初始确认日发生违约的风险，以确定金融工具的信用风险自初始确认后是否已显著增加。对于财务担</w:t>
      </w:r>
      <w:r>
        <w:rPr>
          <w:spacing w:val="-33"/>
        </w:rPr>
        <w:t> </w:t>
      </w:r>
      <w:r>
        <w:rPr>
          <w:spacing w:val="-33"/>
        </w:rPr>
      </w:r>
      <w:r>
        <w:rPr>
          <w:spacing w:val="-4"/>
        </w:rPr>
        <w:t>保合同，本公司在应用金融工具减值规定时，将本公司成为做出不可撤销承诺的一方之日作为初始确认日。</w:t>
      </w:r>
    </w:p>
    <w:p>
      <w:pPr>
        <w:pStyle w:val="BodyText"/>
        <w:spacing w:line="273" w:lineRule="auto"/>
        <w:ind w:left="575" w:right="482"/>
        <w:jc w:val="left"/>
      </w:pPr>
      <w:r>
        <w:rPr>
          <w:spacing w:val="-2"/>
        </w:rPr>
        <w:t>本公司在评估信用风险是否显著增加时会考虑如下因素：</w:t>
      </w:r>
      <w:r>
        <w:rPr>
          <w:spacing w:val="-55"/>
        </w:rPr>
        <w:t> </w:t>
      </w:r>
      <w:r>
        <w:rPr>
          <w:spacing w:val="-55"/>
        </w:rPr>
      </w:r>
      <w:r>
        <w:rPr>
          <w:rFonts w:ascii="宋体" w:hAnsi="宋体" w:cs="宋体" w:eastAsia="宋体" w:hint="default"/>
        </w:rPr>
        <w:t>1</w:t>
      </w:r>
      <w:r>
        <w:rPr/>
        <w:t>）债务人经营成果实际或预期是否发生显著变化；</w:t>
      </w:r>
    </w:p>
    <w:p>
      <w:pPr>
        <w:pStyle w:val="BodyText"/>
        <w:spacing w:line="240" w:lineRule="auto"/>
        <w:ind w:left="575" w:right="482"/>
        <w:jc w:val="left"/>
      </w:pPr>
      <w:r>
        <w:rPr>
          <w:rFonts w:ascii="宋体" w:hAnsi="宋体" w:cs="宋体" w:eastAsia="宋体" w:hint="default"/>
        </w:rPr>
        <w:t>2</w:t>
      </w:r>
      <w:r>
        <w:rPr/>
        <w:t>）债务人所处的监管、经济或技术环境是否发生显著不利变化；</w:t>
      </w:r>
    </w:p>
    <w:p>
      <w:pPr>
        <w:pStyle w:val="BodyText"/>
        <w:spacing w:line="273" w:lineRule="auto" w:before="37"/>
        <w:ind w:left="153" w:right="482" w:firstLine="422"/>
        <w:jc w:val="left"/>
      </w:pPr>
      <w:r>
        <w:rPr>
          <w:rFonts w:ascii="宋体" w:hAnsi="宋体" w:cs="宋体" w:eastAsia="宋体" w:hint="default"/>
          <w:spacing w:val="-2"/>
        </w:rPr>
        <w:t>3</w:t>
      </w:r>
      <w:r>
        <w:rPr>
          <w:spacing w:val="-2"/>
        </w:rPr>
        <w:t>）作为债务抵押的担保物价值或第三方提供的担保或信用增级质量是否发生显著变化，这些变化预</w:t>
      </w:r>
      <w:r>
        <w:rPr>
          <w:w w:val="100"/>
        </w:rPr>
        <w:t> </w:t>
      </w:r>
      <w:r>
        <w:rPr/>
        <w:t>期将降低债务人按合同规定期限还款的经济动机或者影响违约概率；</w:t>
      </w:r>
    </w:p>
    <w:p>
      <w:pPr>
        <w:pStyle w:val="BodyText"/>
        <w:spacing w:line="240" w:lineRule="auto"/>
        <w:ind w:left="575" w:right="482"/>
        <w:jc w:val="left"/>
      </w:pPr>
      <w:r>
        <w:rPr>
          <w:rFonts w:ascii="宋体" w:hAnsi="宋体" w:cs="宋体" w:eastAsia="宋体" w:hint="default"/>
        </w:rPr>
        <w:t>4</w:t>
      </w:r>
      <w:r>
        <w:rPr/>
        <w:t>）债务人预期表现和还款行为是否发生显著变化；</w:t>
      </w:r>
    </w:p>
    <w:p>
      <w:pPr>
        <w:pStyle w:val="BodyText"/>
        <w:spacing w:line="273" w:lineRule="auto" w:before="37"/>
        <w:ind w:left="575" w:right="482"/>
        <w:jc w:val="left"/>
      </w:pPr>
      <w:r>
        <w:rPr>
          <w:rFonts w:ascii="宋体" w:hAnsi="宋体" w:cs="宋体" w:eastAsia="宋体" w:hint="default"/>
        </w:rPr>
        <w:t>5</w:t>
      </w:r>
      <w:r>
        <w:rPr/>
        <w:t>）本公司对金融工具信用管理方法是否发生变化等。</w:t>
      </w:r>
      <w:r>
        <w:rPr>
          <w:w w:val="100"/>
        </w:rPr>
        <w:t> </w:t>
      </w:r>
      <w:r>
        <w:rPr>
          <w:spacing w:val="-2"/>
        </w:rPr>
        <w:t>于资产负债表日，若本公司判断金融工具只具有较低的信用风险，则本公司假定该金融工具的信用风</w:t>
      </w:r>
    </w:p>
    <w:p>
      <w:pPr>
        <w:pStyle w:val="BodyText"/>
        <w:spacing w:line="273" w:lineRule="auto"/>
        <w:ind w:left="153" w:right="1122"/>
        <w:jc w:val="both"/>
      </w:pPr>
      <w:r>
        <w:rPr>
          <w:spacing w:val="-2"/>
        </w:rPr>
        <w:t>险自初始确认后并未显著增加。如果金融工具的违约风险较低，借款人在短期内履行其合同现金流量义务</w:t>
      </w:r>
      <w:r>
        <w:rPr>
          <w:spacing w:val="-30"/>
        </w:rPr>
        <w:t> </w:t>
      </w:r>
      <w:r>
        <w:rPr>
          <w:spacing w:val="-30"/>
        </w:rPr>
      </w:r>
      <w:r>
        <w:rPr>
          <w:spacing w:val="-2"/>
        </w:rPr>
        <w:t>的能力很强，并且即使较长时期内经济形势和经营环境存在不利变化，但未必一定降低借款人履行其合同</w:t>
      </w:r>
      <w:r>
        <w:rPr>
          <w:spacing w:val="-33"/>
        </w:rPr>
        <w:t> </w:t>
      </w:r>
      <w:r>
        <w:rPr>
          <w:spacing w:val="-33"/>
        </w:rPr>
      </w:r>
      <w:r>
        <w:rPr/>
        <w:t>现金流量义务的能力，则该金融工具被视为具有较低的信用风险。</w:t>
      </w:r>
    </w:p>
    <w:p>
      <w:pPr>
        <w:pStyle w:val="BodyText"/>
        <w:spacing w:line="273" w:lineRule="auto"/>
        <w:ind w:left="575" w:right="482" w:hanging="77"/>
        <w:jc w:val="left"/>
      </w:pPr>
      <w:r>
        <w:rPr/>
        <w:t>（</w:t>
      </w:r>
      <w:r>
        <w:rPr>
          <w:rFonts w:ascii="宋体" w:hAnsi="宋体" w:cs="宋体" w:eastAsia="宋体" w:hint="default"/>
        </w:rPr>
        <w:t>2</w:t>
      </w:r>
      <w:r>
        <w:rPr/>
        <w:t>）已发生信用减值的金融资产</w:t>
      </w:r>
      <w:r>
        <w:rPr>
          <w:spacing w:val="-103"/>
        </w:rPr>
        <w:t> </w:t>
      </w:r>
      <w:r>
        <w:rPr>
          <w:spacing w:val="-103"/>
        </w:rPr>
      </w:r>
      <w:r>
        <w:rPr>
          <w:spacing w:val="-2"/>
        </w:rPr>
        <w:t>当对金融资产预期未来现金流量具有不利影响的一项或多项事件发生时，该金融资产成为已发生信用</w:t>
      </w:r>
    </w:p>
    <w:p>
      <w:pPr>
        <w:pStyle w:val="BodyText"/>
        <w:spacing w:line="273" w:lineRule="auto"/>
        <w:ind w:left="575" w:right="482" w:hanging="423"/>
        <w:jc w:val="left"/>
      </w:pPr>
      <w:r>
        <w:rPr>
          <w:spacing w:val="-2"/>
        </w:rPr>
        <w:t>减值的金融资产。金融资产已发生信用减值的证据包括下列可观察信息：</w:t>
      </w:r>
      <w:r>
        <w:rPr>
          <w:spacing w:val="-38"/>
        </w:rPr>
        <w:t> </w:t>
      </w:r>
      <w:r>
        <w:rPr>
          <w:spacing w:val="-38"/>
        </w:rPr>
      </w:r>
      <w:r>
        <w:rPr>
          <w:rFonts w:ascii="宋体" w:hAnsi="宋体" w:cs="宋体" w:eastAsia="宋体" w:hint="default"/>
        </w:rPr>
        <w:t>1</w:t>
      </w:r>
      <w:r>
        <w:rPr/>
        <w:t>）发行方或债务人发生重大财务困难；</w:t>
      </w:r>
    </w:p>
    <w:p>
      <w:pPr>
        <w:pStyle w:val="BodyText"/>
        <w:spacing w:line="240" w:lineRule="auto" w:before="8"/>
        <w:ind w:left="575" w:right="482"/>
        <w:jc w:val="left"/>
      </w:pPr>
      <w:r>
        <w:rPr>
          <w:rFonts w:ascii="宋体" w:hAnsi="宋体" w:cs="宋体" w:eastAsia="宋体" w:hint="default"/>
        </w:rPr>
        <w:t>2</w:t>
      </w:r>
      <w:r>
        <w:rPr/>
        <w:t>）债务人违反合同，如偿付利息或本金违约或逾期等；</w:t>
      </w:r>
    </w:p>
    <w:p>
      <w:pPr>
        <w:pStyle w:val="BodyText"/>
        <w:spacing w:line="273" w:lineRule="auto" w:before="37"/>
        <w:ind w:left="153" w:right="482" w:firstLine="422"/>
        <w:jc w:val="left"/>
      </w:pPr>
      <w:r>
        <w:rPr>
          <w:rFonts w:ascii="宋体" w:hAnsi="宋体" w:cs="宋体" w:eastAsia="宋体" w:hint="default"/>
          <w:spacing w:val="-2"/>
        </w:rPr>
        <w:t>3</w:t>
      </w:r>
      <w:r>
        <w:rPr>
          <w:spacing w:val="-2"/>
        </w:rPr>
        <w:t>）债权人出于与债务人财务困难有关的经济或合同考虑，给予债务人在任何其他情况下都不会做出</w:t>
      </w:r>
      <w:r>
        <w:rPr>
          <w:w w:val="100"/>
        </w:rPr>
        <w:t> </w:t>
      </w:r>
      <w:r>
        <w:rPr/>
        <w:t>的让步；</w:t>
      </w:r>
    </w:p>
    <w:p>
      <w:pPr>
        <w:pStyle w:val="BodyText"/>
        <w:spacing w:line="240" w:lineRule="auto"/>
        <w:ind w:left="575" w:right="482"/>
        <w:jc w:val="left"/>
      </w:pPr>
      <w:r>
        <w:rPr>
          <w:rFonts w:ascii="宋体" w:hAnsi="宋体" w:cs="宋体" w:eastAsia="宋体" w:hint="default"/>
        </w:rPr>
        <w:t>4</w:t>
      </w:r>
      <w:r>
        <w:rPr/>
        <w:t>）债务人很可能破产或进行其他财务重组；</w:t>
      </w:r>
    </w:p>
    <w:p>
      <w:pPr>
        <w:pStyle w:val="BodyText"/>
        <w:spacing w:line="240" w:lineRule="auto" w:before="37"/>
        <w:ind w:left="575" w:right="482"/>
        <w:jc w:val="left"/>
      </w:pPr>
      <w:r>
        <w:rPr>
          <w:rFonts w:ascii="宋体" w:hAnsi="宋体" w:cs="宋体" w:eastAsia="宋体" w:hint="default"/>
        </w:rPr>
        <w:t>5</w:t>
      </w:r>
      <w:r>
        <w:rPr/>
        <w:t>）发行方或债务人财务困难导致该金融资产的活跃市场消失；</w:t>
      </w:r>
    </w:p>
    <w:p>
      <w:pPr>
        <w:pStyle w:val="BodyText"/>
        <w:spacing w:line="273" w:lineRule="auto" w:before="37"/>
        <w:ind w:left="575" w:right="482"/>
        <w:jc w:val="left"/>
      </w:pPr>
      <w:r>
        <w:rPr>
          <w:rFonts w:ascii="宋体" w:hAnsi="宋体" w:cs="宋体" w:eastAsia="宋体" w:hint="default"/>
        </w:rPr>
        <w:t>6</w:t>
      </w:r>
      <w:r>
        <w:rPr/>
        <w:t>）以大幅折扣购买或源生一项金融资产，该折扣反映了发生信用损失的事实。</w:t>
      </w:r>
      <w:r>
        <w:rPr>
          <w:w w:val="100"/>
        </w:rPr>
        <w:t> </w:t>
      </w:r>
      <w:r>
        <w:rPr>
          <w:spacing w:val="-2"/>
        </w:rPr>
        <w:t>金融资产发生信用减值，有可能是多个事件的共同作用所致，未必是可单独识别的事件所致。</w:t>
      </w:r>
    </w:p>
    <w:p>
      <w:pPr>
        <w:pStyle w:val="BodyText"/>
        <w:spacing w:line="240" w:lineRule="auto"/>
        <w:ind w:left="575" w:right="482"/>
        <w:jc w:val="left"/>
      </w:pPr>
      <w:r>
        <w:rPr/>
        <w:t>（</w:t>
      </w:r>
      <w:r>
        <w:rPr>
          <w:rFonts w:ascii="宋体" w:hAnsi="宋体" w:cs="宋体" w:eastAsia="宋体" w:hint="default"/>
        </w:rPr>
        <w:t>3</w:t>
      </w:r>
      <w:r>
        <w:rPr/>
        <w:t>）预期信用损失的确定</w:t>
      </w:r>
    </w:p>
    <w:p>
      <w:pPr>
        <w:spacing w:after="0" w:line="240" w:lineRule="auto"/>
        <w:jc w:val="left"/>
        <w:sectPr>
          <w:pgSz w:w="11910" w:h="16840"/>
          <w:pgMar w:header="906" w:footer="1022" w:top="1100" w:bottom="1220" w:left="980" w:right="0"/>
        </w:sectPr>
      </w:pPr>
    </w:p>
    <w:p>
      <w:pPr>
        <w:spacing w:line="240" w:lineRule="auto" w:before="8"/>
        <w:rPr>
          <w:rFonts w:ascii="宋体" w:hAnsi="宋体" w:cs="宋体" w:eastAsia="宋体" w:hint="default"/>
          <w:sz w:val="21"/>
          <w:szCs w:val="21"/>
        </w:rPr>
      </w:pPr>
    </w:p>
    <w:p>
      <w:pPr>
        <w:pStyle w:val="BodyText"/>
        <w:spacing w:line="273" w:lineRule="auto" w:before="36"/>
        <w:ind w:right="1007" w:firstLine="422"/>
        <w:jc w:val="left"/>
      </w:pPr>
      <w:r>
        <w:rPr>
          <w:spacing w:val="-2"/>
        </w:rPr>
        <w:t>本公司基于单项和组合评估金融工具的预期信用损失，在评估预期信用损失时，考虑有关过去事项、</w:t>
      </w:r>
      <w:r>
        <w:rPr>
          <w:w w:val="100"/>
        </w:rPr>
        <w:t> </w:t>
      </w:r>
      <w:r>
        <w:rPr/>
        <w:t>当前状况以及未来经济状况预测的合理且有依据的信息。</w:t>
      </w:r>
    </w:p>
    <w:p>
      <w:pPr>
        <w:pStyle w:val="BodyText"/>
        <w:spacing w:line="273" w:lineRule="auto"/>
        <w:ind w:right="1007" w:firstLine="422"/>
        <w:jc w:val="left"/>
      </w:pPr>
      <w:r>
        <w:rPr>
          <w:spacing w:val="-5"/>
        </w:rPr>
        <w:t>本公司以共同信用风险特征为依据，将金融工具分为不同组合。本公司采用的共同信用风险特征包括：</w:t>
      </w:r>
      <w:r>
        <w:rPr>
          <w:w w:val="100"/>
        </w:rPr>
        <w:t> </w:t>
      </w:r>
      <w:r>
        <w:rPr/>
        <w:t>金融工具类型、信用风险评级、账龄组合、逾期账龄组合、合同结算周期、债务人所处行业等。相关金融</w:t>
      </w:r>
      <w:r>
        <w:rPr>
          <w:w w:val="100"/>
        </w:rPr>
        <w:t> </w:t>
      </w:r>
      <w:r>
        <w:rPr/>
        <w:t>工具的单项评估标准和组合信用风险特征详见相关金融工具的会计政策。</w:t>
      </w:r>
    </w:p>
    <w:p>
      <w:pPr>
        <w:pStyle w:val="BodyText"/>
        <w:spacing w:line="240" w:lineRule="auto"/>
        <w:ind w:left="535" w:right="1764"/>
        <w:jc w:val="left"/>
      </w:pPr>
      <w:r>
        <w:rPr/>
        <w:t>本公司按照下列方法确定相关金融工具的预期信用损失：</w:t>
      </w:r>
    </w:p>
    <w:p>
      <w:pPr>
        <w:pStyle w:val="BodyText"/>
        <w:spacing w:line="240" w:lineRule="auto" w:before="37"/>
        <w:ind w:left="535" w:right="0"/>
        <w:jc w:val="left"/>
      </w:pPr>
      <w:r>
        <w:rPr>
          <w:rFonts w:ascii="Times New Roman" w:hAnsi="Times New Roman" w:cs="Times New Roman" w:eastAsia="Times New Roman" w:hint="default"/>
        </w:rPr>
        <w:t>1</w:t>
      </w:r>
      <w:r>
        <w:rPr/>
        <w:t>）对于金融资产，信用损失为本公司应收取的合同现金流量与预期收取的现金流量之间差额的现值。</w:t>
      </w:r>
    </w:p>
    <w:p>
      <w:pPr>
        <w:pStyle w:val="BodyText"/>
        <w:spacing w:line="256" w:lineRule="auto" w:before="21"/>
        <w:ind w:right="1107" w:firstLine="422"/>
        <w:jc w:val="left"/>
      </w:pPr>
      <w:r>
        <w:rPr>
          <w:rFonts w:ascii="Times New Roman" w:hAnsi="Times New Roman" w:cs="Times New Roman" w:eastAsia="Times New Roman" w:hint="default"/>
        </w:rPr>
        <w:t>2</w:t>
      </w:r>
      <w:r>
        <w:rPr/>
        <w:t>）</w:t>
      </w:r>
      <w:r>
        <w:rPr>
          <w:spacing w:val="-18"/>
        </w:rPr>
        <w:t> </w:t>
      </w:r>
      <w:r>
        <w:rPr/>
        <w:t>对于财务担保合同，信用损失为本公司就该合同持有人发生的信用损失向其做出赔付的预计付款</w:t>
      </w:r>
      <w:r>
        <w:rPr>
          <w:w w:val="100"/>
        </w:rPr>
        <w:t> </w:t>
      </w:r>
      <w:r>
        <w:rPr/>
        <w:t>额，减去本公司预期向该合同持有人、债务人或任何其他方收取的金额之间差额的现值。</w:t>
      </w:r>
    </w:p>
    <w:p>
      <w:pPr>
        <w:pStyle w:val="BodyText"/>
        <w:spacing w:line="256" w:lineRule="auto" w:before="23"/>
        <w:ind w:right="1007" w:firstLine="422"/>
        <w:jc w:val="left"/>
      </w:pPr>
      <w:r>
        <w:rPr>
          <w:rFonts w:ascii="Times New Roman" w:hAnsi="Times New Roman" w:cs="Times New Roman" w:eastAsia="Times New Roman" w:hint="default"/>
          <w:spacing w:val="-2"/>
        </w:rPr>
        <w:t>3</w:t>
      </w:r>
      <w:r>
        <w:rPr>
          <w:spacing w:val="-2"/>
        </w:rPr>
        <w:t>）对于资产负债表日已发生信用减值但并非购买或源生已发生信用减值的金融资产，信用损失为该</w:t>
      </w:r>
      <w:r>
        <w:rPr>
          <w:w w:val="100"/>
        </w:rPr>
        <w:t> </w:t>
      </w:r>
      <w:r>
        <w:rPr/>
        <w:t>金融资产账面余额与按原实际利率折现的估计未来现金流量的现值之间的差额。</w:t>
      </w:r>
    </w:p>
    <w:p>
      <w:pPr>
        <w:pStyle w:val="BodyText"/>
        <w:spacing w:line="273" w:lineRule="auto" w:before="22"/>
        <w:ind w:right="1125" w:firstLine="422"/>
        <w:jc w:val="both"/>
      </w:pPr>
      <w:r>
        <w:rPr>
          <w:spacing w:val="-2"/>
        </w:rPr>
        <w:t>本公司计量金融工具预期信用损失的方法反映的因素包括：通过评价一系列可能的结果而确定的无偏</w:t>
      </w:r>
      <w:r>
        <w:rPr>
          <w:w w:val="100"/>
        </w:rPr>
        <w:t> </w:t>
      </w:r>
      <w:r>
        <w:rPr>
          <w:spacing w:val="-2"/>
        </w:rPr>
        <w:t>概率加权平均金额；货币时间价值；在资产负债表日无须付出不必要的额外成本或努力即可获得的有关过</w:t>
      </w:r>
      <w:r>
        <w:rPr>
          <w:spacing w:val="-33"/>
        </w:rPr>
        <w:t> </w:t>
      </w:r>
      <w:r>
        <w:rPr>
          <w:spacing w:val="-33"/>
        </w:rPr>
      </w:r>
      <w:r>
        <w:rPr/>
        <w:t>去事项、当前状况以及未来经济状况预测的合理且有依据的信息。</w:t>
      </w:r>
    </w:p>
    <w:p>
      <w:pPr>
        <w:pStyle w:val="BodyText"/>
        <w:spacing w:line="273" w:lineRule="auto" w:before="8"/>
        <w:ind w:left="535" w:right="1007"/>
        <w:jc w:val="left"/>
      </w:pPr>
      <w:r>
        <w:rPr/>
        <w:t>（</w:t>
      </w:r>
      <w:r>
        <w:rPr>
          <w:rFonts w:ascii="宋体" w:hAnsi="宋体" w:cs="宋体" w:eastAsia="宋体" w:hint="default"/>
        </w:rPr>
        <w:t>4</w:t>
      </w:r>
      <w:r>
        <w:rPr/>
        <w:t>）减记金融资产</w:t>
      </w:r>
      <w:r>
        <w:rPr>
          <w:spacing w:val="-100"/>
        </w:rPr>
        <w:t> </w:t>
      </w:r>
      <w:r>
        <w:rPr>
          <w:spacing w:val="-100"/>
        </w:rPr>
      </w:r>
      <w:r>
        <w:rPr>
          <w:spacing w:val="-2"/>
        </w:rPr>
        <w:t>当本公司不再合理预期金融资产合同现金流量能够全部或部分收回的，直接减记该金融资产的账面余</w:t>
      </w:r>
    </w:p>
    <w:p>
      <w:pPr>
        <w:spacing w:line="273" w:lineRule="auto" w:before="7"/>
        <w:ind w:left="535" w:right="5762" w:hanging="423"/>
        <w:jc w:val="left"/>
        <w:rPr>
          <w:rFonts w:ascii="宋体" w:hAnsi="宋体" w:cs="宋体" w:eastAsia="宋体" w:hint="default"/>
          <w:sz w:val="21"/>
          <w:szCs w:val="21"/>
        </w:rPr>
      </w:pPr>
      <w:r>
        <w:rPr>
          <w:rFonts w:ascii="宋体" w:hAnsi="宋体" w:cs="宋体" w:eastAsia="宋体" w:hint="default"/>
          <w:spacing w:val="-1"/>
          <w:sz w:val="21"/>
          <w:szCs w:val="21"/>
        </w:rPr>
        <w:t>额。这种减记构成相关金融资产的终止确认。</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b/>
          <w:bCs/>
          <w:sz w:val="21"/>
          <w:szCs w:val="21"/>
        </w:rPr>
        <w:t>7.</w:t>
      </w:r>
      <w:r>
        <w:rPr>
          <w:rFonts w:ascii="宋体" w:hAnsi="宋体" w:cs="宋体" w:eastAsia="宋体" w:hint="default"/>
          <w:b/>
          <w:bCs/>
          <w:sz w:val="21"/>
          <w:szCs w:val="21"/>
        </w:rPr>
        <w:t>金融资产及金融负债的抵销</w:t>
      </w:r>
      <w:r>
        <w:rPr>
          <w:rFonts w:ascii="宋体" w:hAnsi="宋体" w:cs="宋体" w:eastAsia="宋体" w:hint="default"/>
          <w:sz w:val="21"/>
          <w:szCs w:val="21"/>
        </w:rPr>
      </w:r>
    </w:p>
    <w:p>
      <w:pPr>
        <w:pStyle w:val="BodyText"/>
        <w:spacing w:line="273" w:lineRule="auto"/>
        <w:ind w:right="1007" w:firstLine="422"/>
        <w:jc w:val="left"/>
      </w:pPr>
      <w:r>
        <w:rPr>
          <w:spacing w:val="-2"/>
        </w:rPr>
        <w:t>金融资产和金融负债在资产负债表内分别列示，没有相互抵销。但是，同时满足下列条件的，以相互</w:t>
      </w:r>
      <w:r>
        <w:rPr>
          <w:w w:val="100"/>
        </w:rPr>
        <w:t> </w:t>
      </w:r>
      <w:r>
        <w:rPr/>
        <w:t>抵销后的净额在资产负债表内列示：</w:t>
      </w:r>
    </w:p>
    <w:p>
      <w:pPr>
        <w:pStyle w:val="BodyText"/>
        <w:spacing w:line="240" w:lineRule="auto"/>
        <w:ind w:left="535" w:right="1764"/>
        <w:jc w:val="left"/>
      </w:pPr>
      <w:r>
        <w:rPr/>
        <w:t>（</w:t>
      </w:r>
      <w:r>
        <w:rPr>
          <w:rFonts w:ascii="Times New Roman" w:hAnsi="Times New Roman" w:cs="Times New Roman" w:eastAsia="Times New Roman" w:hint="default"/>
        </w:rPr>
        <w:t>1</w:t>
      </w:r>
      <w:r>
        <w:rPr/>
        <w:t>）本公司具有抵销已确认金额的法定权利，且该种法定权利是当前可执行的；</w:t>
      </w:r>
    </w:p>
    <w:p>
      <w:pPr>
        <w:pStyle w:val="BodyText"/>
        <w:spacing w:line="240" w:lineRule="auto" w:before="21"/>
        <w:ind w:left="535" w:right="1764"/>
        <w:jc w:val="left"/>
      </w:pPr>
      <w:r>
        <w:rPr/>
        <w:t>（</w:t>
      </w:r>
      <w:r>
        <w:rPr>
          <w:rFonts w:ascii="Times New Roman" w:hAnsi="Times New Roman" w:cs="Times New Roman" w:eastAsia="Times New Roman" w:hint="default"/>
        </w:rPr>
        <w:t>2</w:t>
      </w:r>
      <w:r>
        <w:rPr/>
        <w:t>）本公司计划以净额结算，或同时变现该金融资产和清偿该金融负债。</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6"/>
          <w:szCs w:val="26"/>
        </w:rPr>
      </w:pPr>
    </w:p>
    <w:p>
      <w:pPr>
        <w:pStyle w:val="Heading3"/>
        <w:spacing w:line="240" w:lineRule="auto"/>
        <w:ind w:right="1764"/>
        <w:jc w:val="left"/>
        <w:rPr>
          <w:b w:val="0"/>
          <w:bCs w:val="0"/>
        </w:rPr>
      </w:pPr>
      <w:bookmarkStart w:name="11、应收票据" w:id="181"/>
      <w:bookmarkEnd w:id="181"/>
      <w:r>
        <w:rPr>
          <w:b w:val="0"/>
          <w:bCs w:val="0"/>
        </w:rPr>
      </w:r>
      <w:r>
        <w:rPr>
          <w:rFonts w:ascii="Times New Roman" w:hAnsi="Times New Roman" w:cs="Times New Roman" w:eastAsia="Times New Roman" w:hint="default"/>
        </w:rPr>
        <w:t>11</w:t>
      </w:r>
      <w:r>
        <w:rPr/>
        <w:t>、应收票据</w:t>
      </w:r>
      <w:r>
        <w:rPr>
          <w:b w:val="0"/>
          <w:bCs w:val="0"/>
        </w:rPr>
      </w:r>
    </w:p>
    <w:p>
      <w:pPr>
        <w:spacing w:line="240" w:lineRule="auto" w:before="0"/>
        <w:rPr>
          <w:rFonts w:ascii="宋体" w:hAnsi="宋体" w:cs="宋体" w:eastAsia="宋体" w:hint="default"/>
          <w:b/>
          <w:bCs/>
          <w:sz w:val="22"/>
          <w:szCs w:val="22"/>
        </w:rPr>
      </w:pPr>
    </w:p>
    <w:p>
      <w:pPr>
        <w:spacing w:line="240" w:lineRule="auto" w:before="3"/>
        <w:rPr>
          <w:rFonts w:ascii="宋体" w:hAnsi="宋体" w:cs="宋体" w:eastAsia="宋体" w:hint="default"/>
          <w:b/>
          <w:bCs/>
          <w:sz w:val="26"/>
          <w:szCs w:val="26"/>
        </w:rPr>
      </w:pPr>
    </w:p>
    <w:p>
      <w:pPr>
        <w:pStyle w:val="BodyText"/>
        <w:spacing w:line="256" w:lineRule="auto" w:before="0"/>
        <w:ind w:right="1007" w:firstLine="422"/>
        <w:jc w:val="left"/>
      </w:pPr>
      <w:r>
        <w:rPr>
          <w:spacing w:val="-2"/>
        </w:rPr>
        <w:t>本公司对应收票据的预期信用损失的确定方法及会计处理方法详见本附注四／（十一）</w:t>
      </w:r>
      <w:r>
        <w:rPr>
          <w:rFonts w:ascii="Times New Roman" w:hAnsi="Times New Roman" w:cs="Times New Roman" w:eastAsia="Times New Roman" w:hint="default"/>
          <w:spacing w:val="-2"/>
        </w:rPr>
        <w:t>6.</w:t>
      </w:r>
      <w:r>
        <w:rPr>
          <w:spacing w:val="-2"/>
        </w:rPr>
        <w:t>金融工具减</w:t>
      </w:r>
      <w:r>
        <w:rPr>
          <w:w w:val="100"/>
        </w:rPr>
        <w:t> </w:t>
      </w:r>
      <w:r>
        <w:rPr/>
        <w:t>值。</w:t>
      </w:r>
    </w:p>
    <w:p>
      <w:pPr>
        <w:pStyle w:val="BodyText"/>
        <w:tabs>
          <w:tab w:pos="6417" w:val="left" w:leader="none"/>
        </w:tabs>
        <w:spacing w:line="273" w:lineRule="auto" w:before="22"/>
        <w:ind w:left="535" w:right="1122"/>
        <w:jc w:val="left"/>
      </w:pPr>
      <w:r>
        <w:rPr>
          <w:spacing w:val="-2"/>
        </w:rPr>
        <w:t>本公司对单项金额重大且在初始确认后已经发生信用减值的</w:t>
        <w:tab/>
        <w:t>应收票据单独确定其信用损失。</w:t>
      </w:r>
      <w:r>
        <w:rPr>
          <w:spacing w:val="-76"/>
        </w:rPr>
        <w:t> </w:t>
      </w:r>
      <w:r>
        <w:rPr>
          <w:spacing w:val="-76"/>
        </w:rPr>
      </w:r>
      <w:r>
        <w:rPr>
          <w:spacing w:val="-2"/>
        </w:rPr>
        <w:t>当在单项工具层面无法以合理成本评估预期信用损失的充分证据时，本公司参考历史信用损失经验，</w:t>
      </w:r>
    </w:p>
    <w:p>
      <w:pPr>
        <w:pStyle w:val="BodyText"/>
        <w:tabs>
          <w:tab w:pos="6417" w:val="left" w:leader="none"/>
        </w:tabs>
        <w:spacing w:line="273" w:lineRule="auto"/>
        <w:ind w:right="1123"/>
        <w:jc w:val="left"/>
      </w:pPr>
      <w:r>
        <w:rPr>
          <w:spacing w:val="-2"/>
        </w:rPr>
        <w:t>结合当前状况以及对未来经济状况的判断，依据信用风险特征将</w:t>
        <w:tab/>
      </w:r>
      <w:r>
        <w:rPr>
          <w:spacing w:val="-3"/>
        </w:rPr>
        <w:t>应收票据划分为若干组合，在组合基</w:t>
      </w:r>
      <w:r>
        <w:rPr>
          <w:spacing w:val="-78"/>
        </w:rPr>
        <w:t> </w:t>
      </w:r>
      <w:r>
        <w:rPr>
          <w:spacing w:val="-78"/>
        </w:rPr>
      </w:r>
      <w:r>
        <w:rPr/>
        <w:t>础上计算预期信用损失。确定组合的依据如下：</w:t>
      </w:r>
    </w:p>
    <w:tbl>
      <w:tblPr>
        <w:tblW w:w="0" w:type="auto"/>
        <w:jc w:val="left"/>
        <w:tblInd w:w="103" w:type="dxa"/>
        <w:tblLayout w:type="fixed"/>
        <w:tblCellMar>
          <w:top w:w="0" w:type="dxa"/>
          <w:left w:w="0" w:type="dxa"/>
          <w:bottom w:w="0" w:type="dxa"/>
          <w:right w:w="0" w:type="dxa"/>
        </w:tblCellMar>
        <w:tblLook w:val="01E0"/>
      </w:tblPr>
      <w:tblGrid>
        <w:gridCol w:w="1345"/>
        <w:gridCol w:w="4475"/>
        <w:gridCol w:w="2715"/>
      </w:tblGrid>
      <w:tr>
        <w:trPr>
          <w:trHeight w:val="358" w:hRule="exact"/>
        </w:trPr>
        <w:tc>
          <w:tcPr>
            <w:tcW w:w="13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296"/>
              <w:jc w:val="right"/>
              <w:rPr>
                <w:rFonts w:ascii="宋体" w:hAnsi="宋体" w:cs="宋体" w:eastAsia="宋体" w:hint="default"/>
                <w:sz w:val="18"/>
                <w:szCs w:val="18"/>
              </w:rPr>
            </w:pPr>
            <w:r>
              <w:rPr>
                <w:rFonts w:ascii="宋体" w:hAnsi="宋体" w:cs="宋体" w:eastAsia="宋体" w:hint="default"/>
                <w:spacing w:val="-2"/>
                <w:sz w:val="18"/>
                <w:szCs w:val="18"/>
              </w:rPr>
              <w:t>组合名称</w:t>
            </w:r>
          </w:p>
        </w:tc>
        <w:tc>
          <w:tcPr>
            <w:tcW w:w="44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8" w:right="0"/>
              <w:jc w:val="center"/>
              <w:rPr>
                <w:rFonts w:ascii="宋体" w:hAnsi="宋体" w:cs="宋体" w:eastAsia="宋体" w:hint="default"/>
                <w:sz w:val="18"/>
                <w:szCs w:val="18"/>
              </w:rPr>
            </w:pPr>
            <w:r>
              <w:rPr>
                <w:rFonts w:ascii="宋体" w:hAnsi="宋体" w:cs="宋体" w:eastAsia="宋体" w:hint="default"/>
                <w:spacing w:val="-3"/>
                <w:sz w:val="18"/>
                <w:szCs w:val="18"/>
              </w:rPr>
              <w:t>确定组合的依据</w:t>
            </w:r>
          </w:p>
        </w:tc>
        <w:tc>
          <w:tcPr>
            <w:tcW w:w="271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663" w:hRule="exact"/>
        </w:trPr>
        <w:tc>
          <w:tcPr>
            <w:tcW w:w="13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238"/>
              <w:jc w:val="right"/>
              <w:rPr>
                <w:rFonts w:ascii="宋体" w:hAnsi="宋体" w:cs="宋体" w:eastAsia="宋体" w:hint="default"/>
                <w:sz w:val="18"/>
                <w:szCs w:val="18"/>
              </w:rPr>
            </w:pPr>
            <w:r>
              <w:rPr>
                <w:rFonts w:ascii="宋体" w:hAnsi="宋体" w:cs="宋体" w:eastAsia="宋体" w:hint="default"/>
                <w:spacing w:val="-2"/>
                <w:sz w:val="18"/>
                <w:szCs w:val="18"/>
              </w:rPr>
              <w:t>银行承兑票据</w:t>
            </w:r>
          </w:p>
        </w:tc>
        <w:tc>
          <w:tcPr>
            <w:tcW w:w="4475"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10"/>
              <w:ind w:left="4" w:right="-4"/>
              <w:jc w:val="left"/>
              <w:rPr>
                <w:rFonts w:ascii="宋体" w:hAnsi="宋体" w:cs="宋体" w:eastAsia="宋体" w:hint="default"/>
                <w:sz w:val="18"/>
                <w:szCs w:val="18"/>
              </w:rPr>
            </w:pPr>
            <w:r>
              <w:rPr>
                <w:rFonts w:ascii="宋体" w:hAnsi="宋体" w:cs="宋体" w:eastAsia="宋体" w:hint="default"/>
                <w:spacing w:val="-5"/>
                <w:sz w:val="18"/>
                <w:szCs w:val="18"/>
              </w:rPr>
              <w:t>历史上未发生票据违约，信用损失风险极低，在短期内履</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行其支付合同现金流量义务的能力很强</w:t>
            </w:r>
          </w:p>
        </w:tc>
        <w:tc>
          <w:tcPr>
            <w:tcW w:w="2715" w:type="dxa"/>
            <w:tcBorders>
              <w:top w:val="single" w:sz="12" w:space="0" w:color="000000"/>
              <w:left w:val="single" w:sz="6" w:space="0" w:color="000000"/>
              <w:bottom w:val="single" w:sz="12" w:space="0" w:color="000000"/>
              <w:right w:val="nil" w:sz="6" w:space="0" w:color="auto"/>
            </w:tcBorders>
          </w:tcPr>
          <w:p>
            <w:pPr>
              <w:pStyle w:val="TableParagraph"/>
              <w:spacing w:line="319" w:lineRule="auto" w:before="10"/>
              <w:ind w:left="4" w:right="176"/>
              <w:jc w:val="left"/>
              <w:rPr>
                <w:rFonts w:ascii="宋体" w:hAnsi="宋体" w:cs="宋体" w:eastAsia="宋体" w:hint="default"/>
                <w:sz w:val="18"/>
                <w:szCs w:val="18"/>
              </w:rPr>
            </w:pPr>
            <w:r>
              <w:rPr>
                <w:rFonts w:ascii="宋体" w:hAnsi="宋体" w:cs="宋体" w:eastAsia="宋体" w:hint="default"/>
                <w:spacing w:val="-3"/>
                <w:sz w:val="18"/>
                <w:szCs w:val="18"/>
              </w:rPr>
              <w:t>参考历史信用损失经验不计提坏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账准备</w:t>
            </w:r>
          </w:p>
        </w:tc>
      </w:tr>
      <w:tr>
        <w:trPr>
          <w:trHeight w:val="662" w:hRule="exact"/>
        </w:trPr>
        <w:tc>
          <w:tcPr>
            <w:tcW w:w="13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238"/>
              <w:jc w:val="right"/>
              <w:rPr>
                <w:rFonts w:ascii="宋体" w:hAnsi="宋体" w:cs="宋体" w:eastAsia="宋体" w:hint="default"/>
                <w:sz w:val="18"/>
                <w:szCs w:val="18"/>
              </w:rPr>
            </w:pPr>
            <w:r>
              <w:rPr>
                <w:rFonts w:ascii="宋体" w:hAnsi="宋体" w:cs="宋体" w:eastAsia="宋体" w:hint="default"/>
                <w:spacing w:val="-2"/>
                <w:sz w:val="18"/>
                <w:szCs w:val="18"/>
              </w:rPr>
              <w:t>商业承兑汇票</w:t>
            </w:r>
          </w:p>
        </w:tc>
        <w:tc>
          <w:tcPr>
            <w:tcW w:w="44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以商业承兑汇票的账龄作为信用风险特征</w:t>
            </w:r>
          </w:p>
        </w:tc>
        <w:tc>
          <w:tcPr>
            <w:tcW w:w="2715"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4" w:right="176"/>
              <w:jc w:val="left"/>
              <w:rPr>
                <w:rFonts w:ascii="宋体" w:hAnsi="宋体" w:cs="宋体" w:eastAsia="宋体" w:hint="default"/>
                <w:sz w:val="18"/>
                <w:szCs w:val="18"/>
              </w:rPr>
            </w:pPr>
            <w:r>
              <w:rPr>
                <w:rFonts w:ascii="宋体" w:hAnsi="宋体" w:cs="宋体" w:eastAsia="宋体" w:hint="default"/>
                <w:spacing w:val="-3"/>
                <w:sz w:val="18"/>
                <w:szCs w:val="18"/>
              </w:rPr>
              <w:t>按账龄与整个存续期预期信用损</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失率对照表计提</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Heading3"/>
        <w:spacing w:line="240" w:lineRule="auto" w:before="36"/>
        <w:ind w:right="1764"/>
        <w:jc w:val="left"/>
        <w:rPr>
          <w:b w:val="0"/>
          <w:bCs w:val="0"/>
        </w:rPr>
      </w:pPr>
      <w:bookmarkStart w:name="12、应收账款" w:id="182"/>
      <w:bookmarkEnd w:id="182"/>
      <w:r>
        <w:rPr>
          <w:b w:val="0"/>
          <w:bCs w:val="0"/>
        </w:rPr>
      </w:r>
      <w:r>
        <w:rPr>
          <w:rFonts w:ascii="Times New Roman" w:hAnsi="Times New Roman" w:cs="Times New Roman" w:eastAsia="Times New Roman" w:hint="default"/>
        </w:rPr>
        <w:t>12</w:t>
      </w:r>
      <w:r>
        <w:rPr/>
        <w:t>、应收账款</w:t>
      </w:r>
      <w:r>
        <w:rPr>
          <w:b w:val="0"/>
          <w:bCs w:val="0"/>
        </w:rPr>
      </w:r>
    </w:p>
    <w:p>
      <w:pPr>
        <w:spacing w:line="240" w:lineRule="auto" w:before="0"/>
        <w:rPr>
          <w:rFonts w:ascii="宋体" w:hAnsi="宋体" w:cs="宋体" w:eastAsia="宋体" w:hint="default"/>
          <w:b/>
          <w:bCs/>
          <w:sz w:val="22"/>
          <w:szCs w:val="22"/>
        </w:rPr>
      </w:pPr>
    </w:p>
    <w:p>
      <w:pPr>
        <w:spacing w:line="240" w:lineRule="auto" w:before="8"/>
        <w:rPr>
          <w:rFonts w:ascii="宋体" w:hAnsi="宋体" w:cs="宋体" w:eastAsia="宋体" w:hint="default"/>
          <w:b/>
          <w:bCs/>
          <w:sz w:val="26"/>
          <w:szCs w:val="26"/>
        </w:rPr>
      </w:pPr>
    </w:p>
    <w:p>
      <w:pPr>
        <w:pStyle w:val="BodyText"/>
        <w:spacing w:line="240" w:lineRule="auto" w:before="0"/>
        <w:ind w:left="521" w:right="1007"/>
        <w:jc w:val="left"/>
      </w:pPr>
      <w:r>
        <w:rPr>
          <w:spacing w:val="-3"/>
        </w:rPr>
        <w:t>本公司对应收账款的预期信用损失的确定方法及会计处理方法详见本附注四／（十）</w:t>
      </w:r>
      <w:r>
        <w:rPr>
          <w:rFonts w:ascii="Times New Roman" w:hAnsi="Times New Roman" w:cs="Times New Roman" w:eastAsia="Times New Roman" w:hint="default"/>
          <w:spacing w:val="-3"/>
        </w:rPr>
        <w:t>6.</w:t>
      </w:r>
      <w:r>
        <w:rPr>
          <w:spacing w:val="-3"/>
        </w:rPr>
        <w:t>金融工具减值。</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73" w:lineRule="auto" w:before="36"/>
        <w:ind w:left="535" w:right="1007"/>
        <w:jc w:val="left"/>
      </w:pPr>
      <w:r>
        <w:rPr/>
        <w:t>本公司对单项金额重大且在初始确认后已经发生信用减值的应收账款单独确定其信用损失。</w:t>
      </w:r>
      <w:r>
        <w:rPr>
          <w:spacing w:val="-102"/>
        </w:rPr>
        <w:t> </w:t>
      </w:r>
      <w:r>
        <w:rPr>
          <w:spacing w:val="-102"/>
        </w:rPr>
      </w:r>
      <w:r>
        <w:rPr>
          <w:spacing w:val="-2"/>
        </w:rPr>
        <w:t>当在单项工具层面无法以合理成本评估预期信用损失的充分证据时，本公司参考历史信用损失经验，</w:t>
      </w:r>
    </w:p>
    <w:p>
      <w:pPr>
        <w:pStyle w:val="BodyText"/>
        <w:spacing w:line="273" w:lineRule="auto"/>
        <w:ind w:right="1007"/>
        <w:jc w:val="left"/>
      </w:pPr>
      <w:r>
        <w:rPr>
          <w:spacing w:val="-2"/>
        </w:rPr>
        <w:t>结合当前状况以及对未来经济状况的判断，依据信用风险特征将应收账款划分为若干组合，在组合基础上</w:t>
      </w:r>
      <w:r>
        <w:rPr>
          <w:spacing w:val="-33"/>
        </w:rPr>
        <w:t> </w:t>
      </w:r>
      <w:r>
        <w:rPr>
          <w:spacing w:val="-33"/>
        </w:rPr>
      </w:r>
      <w:r>
        <w:rPr/>
        <w:t>计算预期信用损失。确定组合的依据如下：</w:t>
      </w:r>
    </w:p>
    <w:tbl>
      <w:tblPr>
        <w:tblW w:w="0" w:type="auto"/>
        <w:jc w:val="left"/>
        <w:tblInd w:w="103" w:type="dxa"/>
        <w:tblLayout w:type="fixed"/>
        <w:tblCellMar>
          <w:top w:w="0" w:type="dxa"/>
          <w:left w:w="0" w:type="dxa"/>
          <w:bottom w:w="0" w:type="dxa"/>
          <w:right w:w="0" w:type="dxa"/>
        </w:tblCellMar>
        <w:tblLook w:val="01E0"/>
      </w:tblPr>
      <w:tblGrid>
        <w:gridCol w:w="1345"/>
        <w:gridCol w:w="4720"/>
        <w:gridCol w:w="3464"/>
      </w:tblGrid>
      <w:tr>
        <w:trPr>
          <w:trHeight w:val="353" w:hRule="exact"/>
        </w:trPr>
        <w:tc>
          <w:tcPr>
            <w:tcW w:w="13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07"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47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pacing w:val="-3"/>
                <w:sz w:val="18"/>
                <w:szCs w:val="18"/>
              </w:rPr>
              <w:t>确定组合的依据</w:t>
            </w:r>
          </w:p>
        </w:tc>
        <w:tc>
          <w:tcPr>
            <w:tcW w:w="34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667" w:hRule="exact"/>
        </w:trPr>
        <w:tc>
          <w:tcPr>
            <w:tcW w:w="13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组合一</w:t>
            </w:r>
          </w:p>
        </w:tc>
        <w:tc>
          <w:tcPr>
            <w:tcW w:w="47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pacing w:val="-3"/>
                <w:sz w:val="18"/>
                <w:szCs w:val="18"/>
              </w:rPr>
              <w:t>本组合以应收款项的账龄作为信用风险特征</w:t>
            </w:r>
          </w:p>
        </w:tc>
        <w:tc>
          <w:tcPr>
            <w:tcW w:w="3464"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5"/>
              <w:ind w:left="4" w:right="27"/>
              <w:jc w:val="left"/>
              <w:rPr>
                <w:rFonts w:ascii="宋体" w:hAnsi="宋体" w:cs="宋体" w:eastAsia="宋体" w:hint="default"/>
                <w:sz w:val="18"/>
                <w:szCs w:val="18"/>
              </w:rPr>
            </w:pPr>
            <w:r>
              <w:rPr>
                <w:rFonts w:ascii="宋体" w:hAnsi="宋体" w:cs="宋体" w:eastAsia="宋体" w:hint="default"/>
                <w:spacing w:val="-3"/>
                <w:sz w:val="18"/>
                <w:szCs w:val="18"/>
              </w:rPr>
              <w:t>按账龄与整个存续期预期信用损失率对照表</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计提</w:t>
            </w:r>
          </w:p>
        </w:tc>
      </w:tr>
      <w:tr>
        <w:trPr>
          <w:trHeight w:val="350" w:hRule="exact"/>
        </w:trPr>
        <w:tc>
          <w:tcPr>
            <w:tcW w:w="13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组合二</w:t>
            </w:r>
          </w:p>
        </w:tc>
        <w:tc>
          <w:tcPr>
            <w:tcW w:w="47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本组合包括合并范围内关联往来，具有较低信用风险特征</w:t>
            </w:r>
          </w:p>
        </w:tc>
        <w:tc>
          <w:tcPr>
            <w:tcW w:w="346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不计提坏账准备</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3"/>
        <w:spacing w:line="240" w:lineRule="auto" w:before="36"/>
        <w:ind w:right="1764"/>
        <w:jc w:val="left"/>
        <w:rPr>
          <w:b w:val="0"/>
          <w:bCs w:val="0"/>
        </w:rPr>
      </w:pPr>
      <w:bookmarkStart w:name="13、应收款项融资" w:id="183"/>
      <w:bookmarkEnd w:id="183"/>
      <w:r>
        <w:rPr>
          <w:b w:val="0"/>
          <w:bCs w:val="0"/>
        </w:rPr>
      </w:r>
      <w:r>
        <w:rPr>
          <w:rFonts w:ascii="Times New Roman" w:hAnsi="Times New Roman" w:cs="Times New Roman" w:eastAsia="Times New Roman" w:hint="default"/>
        </w:rPr>
        <w:t>13</w:t>
      </w:r>
      <w:r>
        <w:rPr/>
        <w:t>、应收款项融资</w:t>
      </w:r>
      <w:r>
        <w:rPr>
          <w:b w:val="0"/>
          <w:bCs w:val="0"/>
        </w:rPr>
      </w:r>
    </w:p>
    <w:p>
      <w:pPr>
        <w:spacing w:line="240" w:lineRule="auto" w:before="0"/>
        <w:rPr>
          <w:rFonts w:ascii="宋体" w:hAnsi="宋体" w:cs="宋体" w:eastAsia="宋体" w:hint="default"/>
          <w:b/>
          <w:bCs/>
          <w:sz w:val="22"/>
          <w:szCs w:val="22"/>
        </w:rPr>
      </w:pPr>
    </w:p>
    <w:p>
      <w:pPr>
        <w:spacing w:line="240" w:lineRule="auto" w:before="3"/>
        <w:rPr>
          <w:rFonts w:ascii="宋体" w:hAnsi="宋体" w:cs="宋体" w:eastAsia="宋体" w:hint="default"/>
          <w:b/>
          <w:bCs/>
          <w:sz w:val="26"/>
          <w:szCs w:val="26"/>
        </w:rPr>
      </w:pPr>
    </w:p>
    <w:p>
      <w:pPr>
        <w:pStyle w:val="BodyText"/>
        <w:spacing w:line="259" w:lineRule="auto" w:before="0"/>
        <w:ind w:right="1007" w:firstLine="422"/>
        <w:jc w:val="left"/>
      </w:pPr>
      <w:r>
        <w:rPr>
          <w:spacing w:val="-2"/>
        </w:rPr>
        <w:t>本公司对应收款项融资的预期信用损失的确定方法及会计处理方法详见本附注四／（十一）</w:t>
      </w:r>
      <w:r>
        <w:rPr>
          <w:rFonts w:ascii="Times New Roman" w:hAnsi="Times New Roman" w:cs="Times New Roman" w:eastAsia="Times New Roman" w:hint="default"/>
          <w:spacing w:val="-2"/>
        </w:rPr>
        <w:t>6.</w:t>
      </w:r>
      <w:r>
        <w:rPr>
          <w:spacing w:val="-2"/>
        </w:rPr>
        <w:t>金融工</w:t>
      </w:r>
      <w:r>
        <w:rPr>
          <w:w w:val="100"/>
        </w:rPr>
        <w:t> </w:t>
      </w:r>
      <w:r>
        <w:rPr/>
        <w:t>具减值。</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3"/>
        <w:spacing w:line="240" w:lineRule="auto"/>
        <w:ind w:right="1764"/>
        <w:jc w:val="left"/>
        <w:rPr>
          <w:b w:val="0"/>
          <w:bCs w:val="0"/>
        </w:rPr>
      </w:pPr>
      <w:bookmarkStart w:name="14、其他应收款" w:id="184"/>
      <w:bookmarkEnd w:id="184"/>
      <w:r>
        <w:rPr>
          <w:b w:val="0"/>
          <w:bCs w:val="0"/>
        </w:rPr>
      </w:r>
      <w:r>
        <w:rPr>
          <w:rFonts w:ascii="Times New Roman" w:hAnsi="Times New Roman" w:cs="Times New Roman" w:eastAsia="Times New Roman" w:hint="default"/>
        </w:rPr>
        <w:t>14</w:t>
      </w:r>
      <w:r>
        <w:rPr/>
        <w:t>、其他应收款</w:t>
      </w:r>
      <w:r>
        <w:rPr>
          <w:b w:val="0"/>
          <w:bCs w:val="0"/>
        </w:rPr>
      </w:r>
    </w:p>
    <w:p>
      <w:pPr>
        <w:spacing w:line="240" w:lineRule="auto" w:before="1"/>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其他应收款的预期信用损失的确定方法及会计处理方法</w:t>
      </w:r>
    </w:p>
    <w:p>
      <w:pPr>
        <w:pStyle w:val="BodyText"/>
        <w:spacing w:line="256" w:lineRule="auto" w:before="84"/>
        <w:ind w:right="1007" w:firstLine="422"/>
        <w:jc w:val="left"/>
      </w:pPr>
      <w:r>
        <w:rPr>
          <w:spacing w:val="-1"/>
        </w:rPr>
        <w:t>本公司对其他应收款的预期信用损失的确定方法及会计处理方法详见本附注四／（十）</w:t>
      </w:r>
      <w:r>
        <w:rPr>
          <w:rFonts w:ascii="Times New Roman" w:hAnsi="Times New Roman" w:cs="Times New Roman" w:eastAsia="Times New Roman" w:hint="default"/>
          <w:spacing w:val="-1"/>
        </w:rPr>
        <w:t>6.</w:t>
      </w:r>
      <w:r>
        <w:rPr>
          <w:spacing w:val="-1"/>
        </w:rPr>
        <w:t>金融工具减</w:t>
      </w:r>
      <w:r>
        <w:rPr>
          <w:w w:val="100"/>
        </w:rPr>
        <w:t> </w:t>
      </w:r>
      <w:r>
        <w:rPr/>
        <w:t>值。</w:t>
      </w:r>
    </w:p>
    <w:p>
      <w:pPr>
        <w:pStyle w:val="BodyText"/>
        <w:spacing w:line="273" w:lineRule="auto" w:before="22"/>
        <w:ind w:left="535" w:right="1007"/>
        <w:jc w:val="left"/>
      </w:pPr>
      <w:r>
        <w:rPr/>
        <w:t>本公司对单项金额重大且在初始确认后已经发生信用减值的其他应收款单独确定其信用损失。</w:t>
      </w:r>
      <w:r>
        <w:rPr>
          <w:w w:val="100"/>
        </w:rPr>
        <w:t> </w:t>
      </w:r>
      <w:r>
        <w:rPr>
          <w:spacing w:val="-2"/>
        </w:rPr>
        <w:t>当在单项工具层面无法以合理成本评估预期信用损失的充分证据时，本公司参考历史信用损失经验，</w:t>
      </w:r>
    </w:p>
    <w:p>
      <w:pPr>
        <w:pStyle w:val="BodyText"/>
        <w:spacing w:line="273" w:lineRule="auto" w:before="8"/>
        <w:ind w:right="1007"/>
        <w:jc w:val="left"/>
      </w:pPr>
      <w:r>
        <w:rPr>
          <w:spacing w:val="-2"/>
        </w:rPr>
        <w:t>结合当前状况以及对未来经济状况的判断，依据信用风险特征将其他应收款划分为若干组合，在组合基础</w:t>
      </w:r>
      <w:r>
        <w:rPr>
          <w:spacing w:val="-33"/>
        </w:rPr>
        <w:t> </w:t>
      </w:r>
      <w:r>
        <w:rPr>
          <w:spacing w:val="-33"/>
        </w:rPr>
      </w:r>
      <w:r>
        <w:rPr/>
        <w:t>上计算预期信用损失。确定组合的依据如下：</w:t>
      </w:r>
    </w:p>
    <w:tbl>
      <w:tblPr>
        <w:tblW w:w="0" w:type="auto"/>
        <w:jc w:val="left"/>
        <w:tblInd w:w="103" w:type="dxa"/>
        <w:tblLayout w:type="fixed"/>
        <w:tblCellMar>
          <w:top w:w="0" w:type="dxa"/>
          <w:left w:w="0" w:type="dxa"/>
          <w:bottom w:w="0" w:type="dxa"/>
          <w:right w:w="0" w:type="dxa"/>
        </w:tblCellMar>
        <w:tblLook w:val="01E0"/>
      </w:tblPr>
      <w:tblGrid>
        <w:gridCol w:w="1345"/>
        <w:gridCol w:w="4475"/>
        <w:gridCol w:w="3767"/>
      </w:tblGrid>
      <w:tr>
        <w:trPr>
          <w:trHeight w:val="353" w:hRule="exact"/>
        </w:trPr>
        <w:tc>
          <w:tcPr>
            <w:tcW w:w="13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07"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44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8" w:right="0"/>
              <w:jc w:val="center"/>
              <w:rPr>
                <w:rFonts w:ascii="宋体" w:hAnsi="宋体" w:cs="宋体" w:eastAsia="宋体" w:hint="default"/>
                <w:sz w:val="18"/>
                <w:szCs w:val="18"/>
              </w:rPr>
            </w:pPr>
            <w:r>
              <w:rPr>
                <w:rFonts w:ascii="宋体" w:hAnsi="宋体" w:cs="宋体" w:eastAsia="宋体" w:hint="default"/>
                <w:spacing w:val="-3"/>
                <w:sz w:val="18"/>
                <w:szCs w:val="18"/>
              </w:rPr>
              <w:t>确定组合的依据</w:t>
            </w:r>
          </w:p>
        </w:tc>
        <w:tc>
          <w:tcPr>
            <w:tcW w:w="376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667" w:hRule="exact"/>
        </w:trPr>
        <w:tc>
          <w:tcPr>
            <w:tcW w:w="13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组合一</w:t>
            </w:r>
          </w:p>
        </w:tc>
        <w:tc>
          <w:tcPr>
            <w:tcW w:w="44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pacing w:val="-3"/>
                <w:sz w:val="18"/>
                <w:szCs w:val="18"/>
              </w:rPr>
              <w:t>本组合以其他应收款的账龄作为信用风险特征</w:t>
            </w:r>
          </w:p>
        </w:tc>
        <w:tc>
          <w:tcPr>
            <w:tcW w:w="3767"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5"/>
              <w:ind w:left="4" w:right="8"/>
              <w:jc w:val="left"/>
              <w:rPr>
                <w:rFonts w:ascii="宋体" w:hAnsi="宋体" w:cs="宋体" w:eastAsia="宋体" w:hint="default"/>
                <w:sz w:val="18"/>
                <w:szCs w:val="18"/>
              </w:rPr>
            </w:pPr>
            <w:r>
              <w:rPr>
                <w:rFonts w:ascii="宋体" w:hAnsi="宋体" w:cs="宋体" w:eastAsia="宋体" w:hint="default"/>
                <w:spacing w:val="3"/>
                <w:sz w:val="18"/>
                <w:szCs w:val="18"/>
              </w:rPr>
              <w:t>按账龄与整个存续期预期信用损失率对照表计</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z w:val="18"/>
                <w:szCs w:val="18"/>
              </w:rPr>
              <w:t>提</w:t>
            </w:r>
          </w:p>
        </w:tc>
      </w:tr>
      <w:tr>
        <w:trPr>
          <w:trHeight w:val="351" w:hRule="exact"/>
        </w:trPr>
        <w:tc>
          <w:tcPr>
            <w:tcW w:w="13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组合二</w:t>
            </w:r>
          </w:p>
        </w:tc>
        <w:tc>
          <w:tcPr>
            <w:tcW w:w="44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4" w:right="-4"/>
              <w:jc w:val="left"/>
              <w:rPr>
                <w:rFonts w:ascii="宋体" w:hAnsi="宋体" w:cs="宋体" w:eastAsia="宋体" w:hint="default"/>
                <w:sz w:val="18"/>
                <w:szCs w:val="18"/>
              </w:rPr>
            </w:pPr>
            <w:r>
              <w:rPr>
                <w:rFonts w:ascii="宋体" w:hAnsi="宋体" w:cs="宋体" w:eastAsia="宋体" w:hint="default"/>
                <w:spacing w:val="-5"/>
                <w:sz w:val="18"/>
                <w:szCs w:val="18"/>
              </w:rPr>
              <w:t>本组合包括合并范围内关联往来，具有较低信用风险特征</w:t>
            </w:r>
          </w:p>
        </w:tc>
        <w:tc>
          <w:tcPr>
            <w:tcW w:w="376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pacing w:val="-3"/>
                <w:sz w:val="18"/>
                <w:szCs w:val="18"/>
              </w:rPr>
              <w:t>不计提坏账准备</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3"/>
        <w:spacing w:line="240" w:lineRule="auto" w:before="36"/>
        <w:ind w:right="1764"/>
        <w:jc w:val="left"/>
        <w:rPr>
          <w:b w:val="0"/>
          <w:bCs w:val="0"/>
        </w:rPr>
      </w:pPr>
      <w:bookmarkStart w:name="15、存货" w:id="185"/>
      <w:bookmarkEnd w:id="185"/>
      <w:r>
        <w:rPr>
          <w:b w:val="0"/>
          <w:bCs w:val="0"/>
        </w:rPr>
      </w:r>
      <w:r>
        <w:rPr>
          <w:rFonts w:ascii="Times New Roman" w:hAnsi="Times New Roman" w:cs="Times New Roman" w:eastAsia="Times New Roman" w:hint="default"/>
        </w:rPr>
        <w:t>15</w:t>
      </w:r>
      <w:r>
        <w:rPr/>
        <w:t>、存货</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left="535" w:right="1007" w:hanging="106"/>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）存货的分类</w:t>
      </w:r>
      <w:r>
        <w:rPr>
          <w:rFonts w:ascii="宋体" w:hAnsi="宋体" w:cs="宋体" w:eastAsia="宋体" w:hint="default"/>
          <w:b/>
          <w:bCs/>
          <w:spacing w:val="-104"/>
        </w:rPr>
        <w:t> </w:t>
      </w:r>
      <w:r>
        <w:rPr>
          <w:spacing w:val="-2"/>
        </w:rPr>
        <w:t>存货是指本公司在日常活动中持有以备出售的产成品或商品、处在生产过程中的在产品、在生产过程</w:t>
      </w:r>
    </w:p>
    <w:p>
      <w:pPr>
        <w:pStyle w:val="BodyText"/>
        <w:spacing w:line="240" w:lineRule="auto"/>
        <w:ind w:right="1764"/>
        <w:jc w:val="left"/>
      </w:pPr>
      <w:r>
        <w:rPr/>
        <w:t>或提供劳务过程中耗用的材料和物料等。主要包括在产品、库存商品、发出商品等。</w:t>
      </w:r>
    </w:p>
    <w:p>
      <w:pPr>
        <w:spacing w:line="273" w:lineRule="auto" w:before="37"/>
        <w:ind w:left="535" w:right="1764" w:hanging="21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）存货的计价方法</w:t>
      </w:r>
      <w:r>
        <w:rPr>
          <w:rFonts w:ascii="宋体" w:hAnsi="宋体" w:cs="宋体" w:eastAsia="宋体" w:hint="default"/>
          <w:b/>
          <w:bCs/>
          <w:spacing w:val="-103"/>
          <w:sz w:val="21"/>
          <w:szCs w:val="21"/>
        </w:rPr>
        <w:t> </w:t>
      </w:r>
      <w:r>
        <w:rPr>
          <w:rFonts w:ascii="宋体" w:hAnsi="宋体" w:cs="宋体" w:eastAsia="宋体" w:hint="default"/>
          <w:spacing w:val="-2"/>
          <w:sz w:val="21"/>
          <w:szCs w:val="21"/>
        </w:rPr>
        <w:t>存货在取得时，按成本进行初始计量，包括采购成本、加工成本和其他成本。</w:t>
      </w:r>
    </w:p>
    <w:p>
      <w:pPr>
        <w:pStyle w:val="BodyText"/>
        <w:spacing w:line="273" w:lineRule="auto" w:before="8"/>
        <w:ind w:right="1007" w:firstLine="422"/>
        <w:jc w:val="left"/>
      </w:pPr>
      <w:r>
        <w:rPr>
          <w:spacing w:val="-2"/>
        </w:rPr>
        <w:t>存货发出的计价方法：网络产品销售业务存货发出按加权平均法，系统集成业务等存货发出按个别计</w:t>
      </w:r>
      <w:r>
        <w:rPr>
          <w:w w:val="100"/>
        </w:rPr>
        <w:t> </w:t>
      </w:r>
      <w:r>
        <w:rPr/>
        <w:t>价法。</w:t>
      </w:r>
    </w:p>
    <w:p>
      <w:pPr>
        <w:pStyle w:val="Heading3"/>
        <w:spacing w:line="240" w:lineRule="auto" w:before="7"/>
        <w:ind w:left="324" w:right="1764"/>
        <w:jc w:val="left"/>
        <w:rPr>
          <w:b w:val="0"/>
          <w:bCs w:val="0"/>
        </w:rPr>
      </w:pPr>
      <w:r>
        <w:rPr/>
        <w:t>（</w:t>
      </w:r>
      <w:r>
        <w:rPr>
          <w:rFonts w:ascii="宋体" w:hAnsi="宋体" w:cs="宋体" w:eastAsia="宋体" w:hint="default"/>
        </w:rPr>
        <w:t>3</w:t>
      </w:r>
      <w:r>
        <w:rPr/>
        <w:t>）存货可变现净值的确定依据及存货跌价准备的计提方法</w:t>
      </w:r>
      <w:r>
        <w:rPr>
          <w:b w:val="0"/>
          <w:bCs w:val="0"/>
        </w:rPr>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b/>
          <w:bCs/>
          <w:sz w:val="21"/>
          <w:szCs w:val="21"/>
        </w:rPr>
      </w:pPr>
    </w:p>
    <w:p>
      <w:pPr>
        <w:pStyle w:val="BodyText"/>
        <w:spacing w:line="273" w:lineRule="auto" w:before="36"/>
        <w:ind w:right="1120" w:firstLine="422"/>
        <w:jc w:val="both"/>
      </w:pPr>
      <w:r>
        <w:rPr>
          <w:spacing w:val="-2"/>
        </w:rPr>
        <w:t>产成品、库存商品和用于出售的材料等直接用于出售的商品存货，在正常生产经营过程中，以该存货</w:t>
      </w:r>
      <w:r>
        <w:rPr>
          <w:w w:val="100"/>
        </w:rPr>
        <w:t> </w:t>
      </w:r>
      <w:r>
        <w:rPr>
          <w:spacing w:val="-2"/>
        </w:rPr>
        <w:t>的估计售价减去估计的销售费用和相关税费后的金额，确定其可变现净值；需要经过加工的材料存货，在</w:t>
      </w:r>
      <w:r>
        <w:rPr>
          <w:spacing w:val="-33"/>
        </w:rPr>
        <w:t> </w:t>
      </w:r>
      <w:r>
        <w:rPr>
          <w:spacing w:val="-33"/>
        </w:rPr>
      </w:r>
      <w:r>
        <w:rPr>
          <w:spacing w:val="-2"/>
        </w:rPr>
        <w:t>正常生产经营过程中，以所生产的产成品的估计售价减去至完工时估计将要发生的成本、估计的销售费用</w:t>
      </w:r>
      <w:r>
        <w:rPr>
          <w:spacing w:val="-33"/>
        </w:rPr>
        <w:t> </w:t>
      </w:r>
      <w:r>
        <w:rPr>
          <w:spacing w:val="-33"/>
        </w:rPr>
      </w:r>
      <w:r>
        <w:rPr>
          <w:spacing w:val="-2"/>
        </w:rPr>
        <w:t>和相关税费后的金额，确定其可变现净值；为执行销售合同或者劳务合同而持有的存货，其可变现净值以</w:t>
      </w:r>
      <w:r>
        <w:rPr>
          <w:spacing w:val="-33"/>
        </w:rPr>
        <w:t> </w:t>
      </w:r>
      <w:r>
        <w:rPr>
          <w:spacing w:val="-33"/>
        </w:rPr>
      </w:r>
      <w:r>
        <w:rPr>
          <w:spacing w:val="-2"/>
        </w:rPr>
        <w:t>合同价格为基础计算，若持有存货的数量多于销售合同订购数量的，超出部分的存货的可变现净值以一般</w:t>
      </w:r>
      <w:r>
        <w:rPr>
          <w:spacing w:val="-33"/>
        </w:rPr>
        <w:t> </w:t>
      </w:r>
      <w:r>
        <w:rPr>
          <w:spacing w:val="-33"/>
        </w:rPr>
      </w:r>
      <w:r>
        <w:rPr/>
        <w:t>销售价格为基础计算。</w:t>
      </w:r>
    </w:p>
    <w:p>
      <w:pPr>
        <w:pStyle w:val="BodyText"/>
        <w:spacing w:line="273" w:lineRule="auto"/>
        <w:ind w:right="1119" w:firstLine="422"/>
        <w:jc w:val="both"/>
      </w:pPr>
      <w:r>
        <w:rPr>
          <w:spacing w:val="-2"/>
        </w:rPr>
        <w:t>期末按照单个存货项目计提存货跌价准备；但对于数量繁多、单价较低的存货，按照存货类别计提存</w:t>
      </w:r>
      <w:r>
        <w:rPr>
          <w:w w:val="100"/>
        </w:rPr>
        <w:t> </w:t>
      </w:r>
      <w:r>
        <w:rPr>
          <w:spacing w:val="-2"/>
        </w:rPr>
        <w:t>货跌价准备；与在同一地区生产和销售的产品系列相关、具有相同或类似最终用途或目的，且难以与其他</w:t>
      </w:r>
      <w:r>
        <w:rPr>
          <w:spacing w:val="-33"/>
        </w:rPr>
        <w:t> </w:t>
      </w:r>
      <w:r>
        <w:rPr>
          <w:spacing w:val="-33"/>
        </w:rPr>
      </w:r>
      <w:r>
        <w:rPr/>
        <w:t>项目分开计量的存货，则合并计提存货跌价准备。</w:t>
      </w:r>
    </w:p>
    <w:p>
      <w:pPr>
        <w:pStyle w:val="BodyText"/>
        <w:spacing w:line="273" w:lineRule="auto" w:before="8"/>
        <w:ind w:right="1121" w:firstLine="422"/>
        <w:jc w:val="both"/>
      </w:pPr>
      <w:r>
        <w:rPr>
          <w:spacing w:val="-2"/>
        </w:rPr>
        <w:t>除有明确证据表明资产负债表日市场价格异常外，存货项目的可变现净值以资产负债表日市场价格为</w:t>
      </w:r>
      <w:r>
        <w:rPr>
          <w:w w:val="100"/>
        </w:rPr>
        <w:t> </w:t>
      </w:r>
      <w:r>
        <w:rPr/>
        <w:t>基础确定。</w:t>
      </w:r>
    </w:p>
    <w:p>
      <w:pPr>
        <w:pStyle w:val="BodyText"/>
        <w:spacing w:line="240" w:lineRule="auto"/>
        <w:ind w:left="535" w:right="1764"/>
        <w:jc w:val="left"/>
      </w:pPr>
      <w:r>
        <w:rPr/>
        <w:t>本期期末存货项目的可变现净值以资产负债表日市场价格为基础确定。</w:t>
      </w:r>
    </w:p>
    <w:p>
      <w:pPr>
        <w:spacing w:line="273" w:lineRule="auto" w:before="37"/>
        <w:ind w:left="535" w:right="8537" w:hanging="21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spacing w:val="-103"/>
          <w:sz w:val="21"/>
          <w:szCs w:val="21"/>
        </w:rPr>
        <w:t> </w:t>
      </w:r>
      <w:r>
        <w:rPr>
          <w:rFonts w:ascii="宋体" w:hAnsi="宋体" w:cs="宋体" w:eastAsia="宋体" w:hint="default"/>
          <w:sz w:val="21"/>
          <w:szCs w:val="21"/>
        </w:rPr>
        <w:t>采用永续盘存制</w:t>
      </w:r>
    </w:p>
    <w:p>
      <w:pPr>
        <w:spacing w:line="273" w:lineRule="auto" w:before="8"/>
        <w:ind w:left="324" w:right="706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）低值易耗品和包装物的摊销方法</w:t>
      </w:r>
      <w:r>
        <w:rPr>
          <w:rFonts w:ascii="宋体" w:hAnsi="宋体" w:cs="宋体" w:eastAsia="宋体" w:hint="default"/>
          <w:b/>
          <w:bCs/>
          <w:spacing w:val="-100"/>
          <w:sz w:val="21"/>
          <w:szCs w:val="21"/>
        </w:rPr>
        <w:t> </w:t>
      </w:r>
      <w:r>
        <w:rPr>
          <w:rFonts w:ascii="宋体" w:hAnsi="宋体" w:cs="宋体" w:eastAsia="宋体" w:hint="default"/>
          <w:sz w:val="21"/>
          <w:szCs w:val="21"/>
        </w:rPr>
        <w:t>1</w:t>
      </w:r>
      <w:r>
        <w:rPr>
          <w:rFonts w:ascii="宋体" w:hAnsi="宋体" w:cs="宋体" w:eastAsia="宋体" w:hint="default"/>
          <w:sz w:val="21"/>
          <w:szCs w:val="21"/>
        </w:rPr>
        <w:t>）低值易耗品采用一次转销法；</w:t>
      </w:r>
    </w:p>
    <w:p>
      <w:pPr>
        <w:pStyle w:val="BodyText"/>
        <w:spacing w:line="240" w:lineRule="auto"/>
        <w:ind w:left="324" w:right="1764"/>
        <w:jc w:val="left"/>
      </w:pPr>
      <w:r>
        <w:rPr>
          <w:rFonts w:ascii="宋体" w:hAnsi="宋体" w:cs="宋体" w:eastAsia="宋体" w:hint="default"/>
        </w:rPr>
        <w:t>2</w:t>
      </w:r>
      <w:r>
        <w:rPr/>
        <w:t>）包装物采用一次转销法。</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Heading3"/>
        <w:spacing w:line="240" w:lineRule="auto"/>
        <w:ind w:right="1764"/>
        <w:jc w:val="left"/>
        <w:rPr>
          <w:b w:val="0"/>
          <w:bCs w:val="0"/>
        </w:rPr>
      </w:pPr>
      <w:bookmarkStart w:name="16、合同资产" w:id="186"/>
      <w:bookmarkEnd w:id="186"/>
      <w:r>
        <w:rPr>
          <w:b w:val="0"/>
          <w:bCs w:val="0"/>
        </w:rPr>
      </w:r>
      <w:r>
        <w:rPr>
          <w:rFonts w:ascii="Times New Roman" w:hAnsi="Times New Roman" w:cs="Times New Roman" w:eastAsia="Times New Roman" w:hint="default"/>
        </w:rPr>
        <w:t>16</w:t>
      </w:r>
      <w:r>
        <w:rPr/>
        <w:t>、合同资产</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764"/>
        <w:jc w:val="left"/>
        <w:rPr>
          <w:b w:val="0"/>
          <w:bCs w:val="0"/>
        </w:rPr>
      </w:pPr>
      <w:bookmarkStart w:name="17、合同成本" w:id="187"/>
      <w:bookmarkEnd w:id="187"/>
      <w:r>
        <w:rPr>
          <w:b w:val="0"/>
          <w:bCs w:val="0"/>
        </w:rPr>
      </w:r>
      <w:r>
        <w:rPr>
          <w:rFonts w:ascii="Times New Roman" w:hAnsi="Times New Roman" w:cs="Times New Roman" w:eastAsia="Times New Roman" w:hint="default"/>
        </w:rPr>
        <w:t>17</w:t>
      </w:r>
      <w:r>
        <w:rPr/>
        <w:t>、合同成本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18、持有待售资产" w:id="188"/>
      <w:bookmarkEnd w:id="188"/>
      <w:r>
        <w:rPr>
          <w:b w:val="0"/>
          <w:bCs w:val="0"/>
        </w:rPr>
      </w:r>
      <w:r>
        <w:rPr>
          <w:rFonts w:ascii="Times New Roman" w:hAnsi="Times New Roman" w:cs="Times New Roman" w:eastAsia="Times New Roman" w:hint="default"/>
        </w:rPr>
        <w:t>18</w:t>
      </w:r>
      <w:r>
        <w:rPr/>
        <w:t>、持有待售资产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19、债权投资" w:id="189"/>
      <w:bookmarkEnd w:id="189"/>
      <w:r>
        <w:rPr>
          <w:b w:val="0"/>
          <w:bCs w:val="0"/>
        </w:rPr>
      </w:r>
      <w:r>
        <w:rPr>
          <w:rFonts w:ascii="Times New Roman" w:hAnsi="Times New Roman" w:cs="Times New Roman" w:eastAsia="Times New Roman" w:hint="default"/>
        </w:rPr>
        <w:t>19</w:t>
      </w:r>
      <w:r>
        <w:rPr/>
        <w:t>、债权投资</w:t>
      </w:r>
      <w:r>
        <w:rPr>
          <w:b w:val="0"/>
          <w:bCs w:val="0"/>
        </w:rPr>
      </w:r>
    </w:p>
    <w:p>
      <w:pPr>
        <w:pStyle w:val="BodyText"/>
        <w:spacing w:line="610" w:lineRule="atLeast" w:before="4"/>
        <w:ind w:left="535" w:right="1007" w:hanging="423"/>
        <w:jc w:val="left"/>
      </w:pPr>
      <w:bookmarkStart w:name="20、其他债权投资" w:id="190"/>
      <w:bookmarkEnd w:id="190"/>
      <w:r>
        <w:rPr/>
      </w:r>
      <w:r>
        <w:rPr>
          <w:rFonts w:ascii="Times New Roman" w:hAnsi="Times New Roman" w:cs="Times New Roman" w:eastAsia="Times New Roman" w:hint="default"/>
          <w:b/>
          <w:bCs/>
        </w:rPr>
        <w:t>20</w:t>
      </w:r>
      <w:r>
        <w:rPr>
          <w:rFonts w:ascii="宋体" w:hAnsi="宋体" w:cs="宋体" w:eastAsia="宋体" w:hint="default"/>
          <w:b/>
          <w:bCs/>
        </w:rPr>
        <w:t>、其他债权投资</w:t>
      </w:r>
      <w:r>
        <w:rPr>
          <w:rFonts w:ascii="宋体" w:hAnsi="宋体" w:cs="宋体" w:eastAsia="宋体" w:hint="default"/>
          <w:b/>
          <w:bCs/>
          <w:spacing w:val="-102"/>
        </w:rPr>
        <w:t> </w:t>
      </w:r>
      <w:r>
        <w:rPr>
          <w:spacing w:val="-2"/>
        </w:rPr>
        <w:t>本公司对其他债权投资的预期信用损失的确定方法及会计处理方法详见本附注四／（十）</w:t>
      </w:r>
      <w:r>
        <w:rPr>
          <w:rFonts w:ascii="Times New Roman" w:hAnsi="Times New Roman" w:cs="Times New Roman" w:eastAsia="Times New Roman" w:hint="default"/>
          <w:spacing w:val="-2"/>
        </w:rPr>
        <w:t>6.</w:t>
      </w:r>
      <w:r>
        <w:rPr>
          <w:spacing w:val="-2"/>
        </w:rPr>
        <w:t>金融工具</w:t>
      </w:r>
    </w:p>
    <w:p>
      <w:pPr>
        <w:pStyle w:val="BodyText"/>
        <w:spacing w:line="240" w:lineRule="auto" w:before="22"/>
        <w:ind w:right="1764"/>
        <w:jc w:val="left"/>
      </w:pPr>
      <w:r>
        <w:rPr/>
        <w:t>减值。</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3"/>
        <w:spacing w:line="240" w:lineRule="auto"/>
        <w:ind w:right="1764"/>
        <w:jc w:val="left"/>
        <w:rPr>
          <w:b w:val="0"/>
          <w:bCs w:val="0"/>
        </w:rPr>
      </w:pPr>
      <w:bookmarkStart w:name="21、长期应收款" w:id="191"/>
      <w:bookmarkEnd w:id="191"/>
      <w:r>
        <w:rPr>
          <w:b w:val="0"/>
          <w:bCs w:val="0"/>
        </w:rPr>
      </w:r>
      <w:r>
        <w:rPr>
          <w:rFonts w:ascii="Times New Roman" w:hAnsi="Times New Roman" w:cs="Times New Roman" w:eastAsia="Times New Roman" w:hint="default"/>
        </w:rPr>
        <w:t>21</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22、长期股权投资" w:id="192"/>
      <w:bookmarkEnd w:id="192"/>
      <w:r>
        <w:rPr>
          <w:b w:val="0"/>
          <w:bCs w:val="0"/>
        </w:rPr>
      </w:r>
      <w:r>
        <w:rPr>
          <w:rFonts w:ascii="Times New Roman" w:hAnsi="Times New Roman" w:cs="Times New Roman" w:eastAsia="Times New Roman" w:hint="default"/>
        </w:rPr>
        <w:t>22</w:t>
      </w:r>
      <w:r>
        <w:rPr/>
        <w:t>、长期股权投资</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left="535" w:right="1764"/>
        <w:jc w:val="left"/>
        <w:rPr>
          <w:b w:val="0"/>
          <w:bCs w:val="0"/>
        </w:rPr>
      </w:pPr>
      <w:r>
        <w:rPr>
          <w:rFonts w:ascii="宋体" w:hAnsi="宋体" w:cs="宋体" w:eastAsia="宋体" w:hint="default"/>
        </w:rPr>
        <w:t>1.</w:t>
      </w:r>
      <w:r>
        <w:rPr/>
        <w:t>初始投资成本的确定</w:t>
      </w:r>
      <w:r>
        <w:rPr>
          <w:b w:val="0"/>
          <w:bCs w:val="0"/>
        </w:rPr>
      </w:r>
    </w:p>
    <w:p>
      <w:pPr>
        <w:pStyle w:val="BodyText"/>
        <w:spacing w:line="256" w:lineRule="auto" w:before="37"/>
        <w:ind w:right="1207" w:firstLine="422"/>
        <w:jc w:val="both"/>
      </w:pPr>
      <w:r>
        <w:rPr>
          <w:spacing w:val="-2"/>
        </w:rPr>
        <w:t>（</w:t>
      </w:r>
      <w:r>
        <w:rPr>
          <w:rFonts w:ascii="Times New Roman" w:hAnsi="Times New Roman" w:cs="Times New Roman" w:eastAsia="Times New Roman" w:hint="default"/>
          <w:spacing w:val="-2"/>
        </w:rPr>
        <w:t>1</w:t>
      </w:r>
      <w:r>
        <w:rPr>
          <w:spacing w:val="-2"/>
        </w:rPr>
        <w:t>）企业合并形成的长期股权投资，具体会计政策详见本附注四／（六）同一控制下和非同一控制</w:t>
      </w:r>
      <w:r>
        <w:rPr>
          <w:w w:val="100"/>
        </w:rPr>
        <w:t> </w:t>
      </w:r>
      <w:r>
        <w:rPr/>
        <w:t>下企业合并的会计处理方法。</w:t>
      </w:r>
    </w:p>
    <w:p>
      <w:pPr>
        <w:pStyle w:val="BodyText"/>
        <w:spacing w:line="259" w:lineRule="auto" w:before="22"/>
        <w:ind w:left="535" w:right="1007"/>
        <w:jc w:val="left"/>
      </w:pPr>
      <w:r>
        <w:rPr/>
        <w:t>（</w:t>
      </w:r>
      <w:r>
        <w:rPr>
          <w:rFonts w:ascii="Times New Roman" w:hAnsi="Times New Roman" w:cs="Times New Roman" w:eastAsia="Times New Roman" w:hint="default"/>
        </w:rPr>
        <w:t>2</w:t>
      </w:r>
      <w:r>
        <w:rPr/>
        <w:t>）其他方式取得的长期股权投资</w:t>
      </w:r>
      <w:r>
        <w:rPr>
          <w:spacing w:val="-102"/>
        </w:rPr>
        <w:t> </w:t>
      </w:r>
      <w:r>
        <w:rPr>
          <w:spacing w:val="-102"/>
        </w:rPr>
      </w:r>
      <w:r>
        <w:rPr>
          <w:spacing w:val="-2"/>
        </w:rPr>
        <w:t>以支付现金方式取得的长期股权投资，按照实际支付的购买价款作为初始投资成本。初始投资成本包</w:t>
      </w:r>
    </w:p>
    <w:p>
      <w:pPr>
        <w:pStyle w:val="BodyText"/>
        <w:spacing w:line="273" w:lineRule="auto" w:before="20"/>
        <w:ind w:left="535" w:right="1007" w:hanging="423"/>
        <w:jc w:val="left"/>
      </w:pPr>
      <w:r>
        <w:rPr/>
        <w:t>括与取得长期股权投资直接相关的费用、税金及其他必要支出。</w:t>
      </w:r>
      <w:r>
        <w:rPr>
          <w:spacing w:val="-102"/>
        </w:rPr>
        <w:t> </w:t>
      </w:r>
      <w:r>
        <w:rPr>
          <w:spacing w:val="-102"/>
        </w:rPr>
      </w:r>
      <w:r>
        <w:rPr>
          <w:spacing w:val="-2"/>
        </w:rPr>
        <w:t>以发行权益性证券取得的长期股权投资，按照发行权益性证券的公允价值作为初始投资成本；发行或</w:t>
      </w:r>
    </w:p>
    <w:p>
      <w:pPr>
        <w:pStyle w:val="BodyText"/>
        <w:spacing w:line="240" w:lineRule="auto"/>
        <w:ind w:right="1764"/>
        <w:jc w:val="left"/>
      </w:pPr>
      <w:r>
        <w:rPr/>
        <w:t>取得自身权益工具时发生的交易费用，可直接归属于权益性交易的从权益中扣减。</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73" w:lineRule="auto" w:before="36"/>
        <w:ind w:right="1124" w:firstLine="422"/>
        <w:jc w:val="both"/>
      </w:pPr>
      <w:r>
        <w:rPr>
          <w:spacing w:val="-2"/>
        </w:rPr>
        <w:t>在非货币性资产交换具备商业实质和换入资产或换出资产的公允价值能够可靠计量的前提下，非货币</w:t>
      </w:r>
      <w:r>
        <w:rPr>
          <w:w w:val="100"/>
        </w:rPr>
        <w:t> </w:t>
      </w:r>
      <w:r>
        <w:rPr>
          <w:spacing w:val="-2"/>
        </w:rPr>
        <w:t>性资产交换换入的长期股权投资以换出资产的公允价值为基础确定其初始投资成本，除非有确凿证据表明</w:t>
      </w:r>
      <w:r>
        <w:rPr>
          <w:spacing w:val="-33"/>
        </w:rPr>
        <w:t> </w:t>
      </w:r>
      <w:r>
        <w:rPr>
          <w:spacing w:val="-33"/>
        </w:rPr>
      </w:r>
      <w:r>
        <w:rPr>
          <w:spacing w:val="-2"/>
        </w:rPr>
        <w:t>换入资产的公允价值更加可靠；不满足上述前提的非货币性资产交换，以换出资产的账面价值和应支付的</w:t>
      </w:r>
      <w:r>
        <w:rPr>
          <w:spacing w:val="-32"/>
        </w:rPr>
        <w:t> </w:t>
      </w:r>
      <w:r>
        <w:rPr>
          <w:spacing w:val="-32"/>
        </w:rPr>
      </w:r>
      <w:r>
        <w:rPr/>
        <w:t>相关税费作为换入长期股权投资的初始投资成本。</w:t>
      </w:r>
    </w:p>
    <w:p>
      <w:pPr>
        <w:spacing w:line="273" w:lineRule="auto" w:before="7"/>
        <w:ind w:left="535" w:right="1764" w:firstLine="0"/>
        <w:jc w:val="left"/>
        <w:rPr>
          <w:rFonts w:ascii="宋体" w:hAnsi="宋体" w:cs="宋体" w:eastAsia="宋体" w:hint="default"/>
          <w:sz w:val="21"/>
          <w:szCs w:val="21"/>
        </w:rPr>
      </w:pPr>
      <w:r>
        <w:rPr>
          <w:rFonts w:ascii="宋体" w:hAnsi="宋体" w:cs="宋体" w:eastAsia="宋体" w:hint="default"/>
          <w:spacing w:val="-2"/>
          <w:sz w:val="21"/>
          <w:szCs w:val="21"/>
        </w:rPr>
        <w:t>通过债务重组取得的长期股权投资，其初始投资成本按照公允价值为基础确定。</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后续计量及损益确认</w:t>
      </w:r>
      <w:r>
        <w:rPr>
          <w:rFonts w:ascii="宋体" w:hAnsi="宋体" w:cs="宋体" w:eastAsia="宋体" w:hint="default"/>
          <w:sz w:val="21"/>
          <w:szCs w:val="21"/>
        </w:rPr>
      </w:r>
    </w:p>
    <w:p>
      <w:pPr>
        <w:pStyle w:val="BodyText"/>
        <w:spacing w:line="256" w:lineRule="auto"/>
        <w:ind w:left="535" w:right="1007"/>
        <w:jc w:val="left"/>
      </w:pPr>
      <w:r>
        <w:rPr/>
        <w:t>（</w:t>
      </w:r>
      <w:r>
        <w:rPr>
          <w:rFonts w:ascii="Times New Roman" w:hAnsi="Times New Roman" w:cs="Times New Roman" w:eastAsia="Times New Roman" w:hint="default"/>
        </w:rPr>
        <w:t>1</w:t>
      </w:r>
      <w:r>
        <w:rPr/>
        <w:t>）成本法</w:t>
      </w:r>
      <w:r>
        <w:rPr>
          <w:spacing w:val="-99"/>
        </w:rPr>
        <w:t> </w:t>
      </w:r>
      <w:r>
        <w:rPr>
          <w:spacing w:val="-2"/>
        </w:rPr>
        <w:t>本公司能够对被投资单位实施控制的长期股权投资采用成本法核算，并按照初始投资成本计价，追加</w:t>
      </w:r>
    </w:p>
    <w:p>
      <w:pPr>
        <w:pStyle w:val="BodyText"/>
        <w:spacing w:line="273" w:lineRule="auto" w:before="22"/>
        <w:ind w:left="535" w:right="1007" w:hanging="423"/>
        <w:jc w:val="left"/>
      </w:pPr>
      <w:r>
        <w:rPr/>
        <w:t>或收回投资调整长期股权投资的成本。</w:t>
      </w:r>
      <w:r>
        <w:rPr>
          <w:spacing w:val="-100"/>
        </w:rPr>
        <w:t> </w:t>
      </w:r>
      <w:r>
        <w:rPr>
          <w:spacing w:val="-100"/>
        </w:rPr>
      </w:r>
      <w:r>
        <w:rPr>
          <w:spacing w:val="-2"/>
        </w:rPr>
        <w:t>除取得投资时实际支付的价款或对价中包含的已宣告但尚未发放的现金股利或利润外，本公司按照享</w:t>
      </w:r>
    </w:p>
    <w:p>
      <w:pPr>
        <w:pStyle w:val="BodyText"/>
        <w:spacing w:line="240" w:lineRule="auto"/>
        <w:ind w:right="1764"/>
        <w:jc w:val="left"/>
      </w:pPr>
      <w:r>
        <w:rPr/>
        <w:t>有被投资单位宣告分派的现金股利或利润确认为当期投资收益。</w:t>
      </w:r>
    </w:p>
    <w:p>
      <w:pPr>
        <w:pStyle w:val="BodyText"/>
        <w:spacing w:line="256" w:lineRule="auto" w:before="37"/>
        <w:ind w:left="535" w:right="1007"/>
        <w:jc w:val="left"/>
      </w:pPr>
      <w:r>
        <w:rPr/>
        <w:t>（</w:t>
      </w:r>
      <w:r>
        <w:rPr>
          <w:rFonts w:ascii="Times New Roman" w:hAnsi="Times New Roman" w:cs="Times New Roman" w:eastAsia="Times New Roman" w:hint="default"/>
        </w:rPr>
        <w:t>2</w:t>
      </w:r>
      <w:r>
        <w:rPr/>
        <w:t>）权益法</w:t>
      </w:r>
      <w:r>
        <w:rPr>
          <w:spacing w:val="-99"/>
        </w:rPr>
        <w:t> </w:t>
      </w:r>
      <w:r>
        <w:rPr>
          <w:spacing w:val="-2"/>
        </w:rPr>
        <w:t>本公司对联营企业和合营企业的长期股权投资采用权益法核算；对于其中一部分通过风险投资机构、</w:t>
      </w:r>
    </w:p>
    <w:p>
      <w:pPr>
        <w:pStyle w:val="BodyText"/>
        <w:spacing w:line="273" w:lineRule="auto" w:before="22"/>
        <w:ind w:right="1007"/>
        <w:jc w:val="left"/>
      </w:pPr>
      <w:r>
        <w:rPr>
          <w:spacing w:val="-2"/>
        </w:rPr>
        <w:t>共同基金、信托公司或包括投连险基金在内的类似主体间接持有的联营企业的权益性投资，采用公允价值</w:t>
      </w:r>
      <w:r>
        <w:rPr>
          <w:spacing w:val="-33"/>
        </w:rPr>
        <w:t> </w:t>
      </w:r>
      <w:r>
        <w:rPr>
          <w:spacing w:val="-33"/>
        </w:rPr>
      </w:r>
      <w:r>
        <w:rPr/>
        <w:t>计量且其变动计入损益。</w:t>
      </w:r>
    </w:p>
    <w:p>
      <w:pPr>
        <w:pStyle w:val="BodyText"/>
        <w:spacing w:line="273" w:lineRule="auto"/>
        <w:ind w:right="1126" w:firstLine="422"/>
        <w:jc w:val="both"/>
      </w:pPr>
      <w:r>
        <w:rPr>
          <w:spacing w:val="-2"/>
        </w:rPr>
        <w:t>长期股权投资的初始投资成本大于投资时应享有被投资单位可辨认净资产公允价值份额的差额，不调</w:t>
      </w:r>
      <w:r>
        <w:rPr>
          <w:w w:val="100"/>
        </w:rPr>
        <w:t> </w:t>
      </w:r>
      <w:r>
        <w:rPr>
          <w:spacing w:val="-2"/>
        </w:rPr>
        <w:t>整长期股权投资的初始投资成本；初始投资成本小于投资时应享有被投资单位可辨认净资产公允价值份额</w:t>
      </w:r>
      <w:r>
        <w:rPr>
          <w:spacing w:val="-33"/>
        </w:rPr>
        <w:t> </w:t>
      </w:r>
      <w:r>
        <w:rPr>
          <w:spacing w:val="-33"/>
        </w:rPr>
      </w:r>
      <w:r>
        <w:rPr/>
        <w:t>的差额，计入当期损益。</w:t>
      </w:r>
    </w:p>
    <w:p>
      <w:pPr>
        <w:pStyle w:val="BodyText"/>
        <w:spacing w:line="273" w:lineRule="auto"/>
        <w:ind w:right="1007" w:firstLine="422"/>
        <w:jc w:val="left"/>
      </w:pPr>
      <w:r>
        <w:rPr/>
        <w:t>本公司取得长期股权投资后，按照应享有或应分担的被投资单位实现的净损益和其他综合收益的份</w:t>
      </w:r>
      <w:r>
        <w:rPr>
          <w:w w:val="100"/>
        </w:rPr>
        <w:t> </w:t>
      </w:r>
      <w:r>
        <w:rPr>
          <w:spacing w:val="-2"/>
        </w:rPr>
        <w:t>额，分别确认投资收益和其他综合收益，同时调整长期股权投资的账面价值；并按照被投资单位宣告分派</w:t>
      </w:r>
      <w:r>
        <w:rPr>
          <w:spacing w:val="-33"/>
        </w:rPr>
        <w:t> </w:t>
      </w:r>
      <w:r>
        <w:rPr>
          <w:spacing w:val="-33"/>
        </w:rPr>
      </w:r>
      <w:r>
        <w:rPr>
          <w:spacing w:val="-2"/>
        </w:rPr>
        <w:t>的利润或现金股利计算应享有的部分，相应减少长期股权投资的账面价值；对于被投资单位除净损益、其</w:t>
      </w:r>
      <w:r>
        <w:rPr>
          <w:spacing w:val="-33"/>
        </w:rPr>
        <w:t> </w:t>
      </w:r>
      <w:r>
        <w:rPr>
          <w:spacing w:val="-33"/>
        </w:rPr>
      </w:r>
      <w:r>
        <w:rPr/>
        <w:t>他综合收益和利润分配以外所有者权益的其他变动，调整长期股权投资的账面价值并计入所有者权益。</w:t>
      </w:r>
    </w:p>
    <w:p>
      <w:pPr>
        <w:pStyle w:val="BodyText"/>
        <w:spacing w:line="273" w:lineRule="auto"/>
        <w:ind w:right="1121" w:firstLine="422"/>
        <w:jc w:val="both"/>
      </w:pPr>
      <w:r>
        <w:rPr>
          <w:spacing w:val="-2"/>
        </w:rPr>
        <w:t>本公司在确认应享有被投资单位净损益的份额时，以取得投资时被投资单位各项可辨认资产等的公允</w:t>
      </w:r>
      <w:r>
        <w:rPr>
          <w:w w:val="100"/>
        </w:rPr>
        <w:t> </w:t>
      </w:r>
      <w:r>
        <w:rPr>
          <w:spacing w:val="-2"/>
        </w:rPr>
        <w:t>价值为基础，对被投资单位的净利润进行调整后确认。本公司与联营企业、合营企业之间发生的未实现内</w:t>
      </w:r>
      <w:r>
        <w:rPr>
          <w:spacing w:val="-33"/>
        </w:rPr>
        <w:t> </w:t>
      </w:r>
      <w:r>
        <w:rPr>
          <w:spacing w:val="-33"/>
        </w:rPr>
      </w:r>
      <w:r>
        <w:rPr/>
        <w:t>部交易损益按照应享有的比例计算归属于本公司的部分予以抵销，在此基础上确认投资损益。</w:t>
      </w:r>
    </w:p>
    <w:p>
      <w:pPr>
        <w:pStyle w:val="BodyText"/>
        <w:spacing w:line="273" w:lineRule="auto" w:before="8"/>
        <w:ind w:right="1120" w:firstLine="422"/>
        <w:jc w:val="both"/>
      </w:pPr>
      <w:r>
        <w:rPr>
          <w:spacing w:val="-2"/>
        </w:rPr>
        <w:t>本公司确认应分担被投资单位发生的亏损时，按照以下顺序进行处理：首先，冲减长期股权投资的账</w:t>
      </w:r>
      <w:r>
        <w:rPr>
          <w:w w:val="100"/>
        </w:rPr>
        <w:t> </w:t>
      </w:r>
      <w:r>
        <w:rPr>
          <w:spacing w:val="-2"/>
        </w:rPr>
        <w:t>面价值。其次，长期股权投资的账面价值不足以冲减的，以其他实质上构成对被投资单位净投资的长期权</w:t>
      </w:r>
      <w:r>
        <w:rPr>
          <w:spacing w:val="-33"/>
        </w:rPr>
        <w:t> </w:t>
      </w:r>
      <w:r>
        <w:rPr>
          <w:spacing w:val="-33"/>
        </w:rPr>
      </w:r>
      <w:r>
        <w:rPr>
          <w:spacing w:val="-2"/>
        </w:rPr>
        <w:t>益账面价值为限继续确认投资损失，冲减长期应收项目等的账面价值。最后，经过上述处理，按照投资合</w:t>
      </w:r>
      <w:r>
        <w:rPr>
          <w:spacing w:val="-33"/>
        </w:rPr>
        <w:t> </w:t>
      </w:r>
      <w:r>
        <w:rPr>
          <w:spacing w:val="-33"/>
        </w:rPr>
      </w:r>
      <w:r>
        <w:rPr/>
        <w:t>同或协议约定企业仍承担额外义务的，按预计承担的义务确认预计负债，计入当期投资损失。</w:t>
      </w:r>
    </w:p>
    <w:p>
      <w:pPr>
        <w:pStyle w:val="BodyText"/>
        <w:spacing w:line="273" w:lineRule="auto"/>
        <w:ind w:right="1120" w:firstLine="422"/>
        <w:jc w:val="both"/>
      </w:pPr>
      <w:r>
        <w:rPr>
          <w:spacing w:val="-2"/>
        </w:rPr>
        <w:t>被投资单位以后期间实现盈利的，公司在扣除未确认的亏损分担额后，按与上述相反的顺序处理，减</w:t>
      </w:r>
      <w:r>
        <w:rPr>
          <w:w w:val="100"/>
        </w:rPr>
        <w:t> </w:t>
      </w:r>
      <w:r>
        <w:rPr>
          <w:spacing w:val="-2"/>
        </w:rPr>
        <w:t>记已确认预计负债的账面余额、恢复其他实质上构成对被投资单位净投资的长期权益及长期股权投资的账</w:t>
      </w:r>
      <w:r>
        <w:rPr>
          <w:spacing w:val="-31"/>
        </w:rPr>
        <w:t> </w:t>
      </w:r>
      <w:r>
        <w:rPr>
          <w:spacing w:val="-31"/>
        </w:rPr>
      </w:r>
      <w:r>
        <w:rPr/>
        <w:t>面价值后，恢复确认投资收益。</w:t>
      </w:r>
    </w:p>
    <w:p>
      <w:pPr>
        <w:pStyle w:val="Heading3"/>
        <w:spacing w:line="240" w:lineRule="auto" w:before="7"/>
        <w:ind w:left="535" w:right="1764"/>
        <w:jc w:val="left"/>
        <w:rPr>
          <w:b w:val="0"/>
          <w:bCs w:val="0"/>
        </w:rPr>
      </w:pPr>
      <w:r>
        <w:rPr>
          <w:rFonts w:ascii="宋体" w:hAnsi="宋体" w:cs="宋体" w:eastAsia="宋体" w:hint="default"/>
        </w:rPr>
        <w:t>3.</w:t>
      </w:r>
      <w:r>
        <w:rPr/>
        <w:t>长期股权投资核算方法的转换</w:t>
      </w:r>
      <w:r>
        <w:rPr>
          <w:b w:val="0"/>
          <w:bCs w:val="0"/>
        </w:rPr>
      </w:r>
    </w:p>
    <w:p>
      <w:pPr>
        <w:pStyle w:val="BodyText"/>
        <w:spacing w:line="273" w:lineRule="auto" w:before="37"/>
        <w:ind w:left="535" w:right="1007" w:hanging="212"/>
        <w:jc w:val="left"/>
      </w:pPr>
      <w:r>
        <w:rPr/>
        <w:t>（</w:t>
      </w:r>
      <w:r>
        <w:rPr>
          <w:rFonts w:ascii="宋体" w:hAnsi="宋体" w:cs="宋体" w:eastAsia="宋体" w:hint="default"/>
        </w:rPr>
        <w:t>1</w:t>
      </w:r>
      <w:r>
        <w:rPr/>
        <w:t>）公允价值计量转权益法核算</w:t>
      </w:r>
      <w:r>
        <w:rPr>
          <w:spacing w:val="-103"/>
        </w:rPr>
        <w:t> </w:t>
      </w:r>
      <w:r>
        <w:rPr>
          <w:spacing w:val="-103"/>
        </w:rPr>
      </w:r>
      <w:r>
        <w:rPr>
          <w:spacing w:val="-2"/>
        </w:rPr>
        <w:t>本公司原持有的对被投资单位不具有控制、共同控制或重大影响的按金融工具确认和计量准则进行会</w:t>
      </w:r>
    </w:p>
    <w:p>
      <w:pPr>
        <w:pStyle w:val="BodyText"/>
        <w:spacing w:line="266" w:lineRule="auto"/>
        <w:ind w:right="1007"/>
        <w:jc w:val="left"/>
      </w:pPr>
      <w:r>
        <w:rPr/>
        <w:t>计处理的权益性投资，因追加投资等原因能够对被投资单位施加重大影响或实施共同控制但不构成控制</w:t>
      </w:r>
      <w:r>
        <w:rPr>
          <w:w w:val="100"/>
        </w:rPr>
        <w:t> </w:t>
      </w:r>
      <w:r>
        <w:rPr>
          <w:spacing w:val="-2"/>
        </w:rPr>
        <w:t>的，按照《企业会计准则第</w:t>
      </w:r>
      <w:r>
        <w:rPr>
          <w:rFonts w:ascii="Times New Roman" w:hAnsi="Times New Roman" w:cs="Times New Roman" w:eastAsia="Times New Roman" w:hint="default"/>
          <w:spacing w:val="-2"/>
        </w:rPr>
        <w:t>22</w:t>
      </w:r>
      <w:r>
        <w:rPr>
          <w:spacing w:val="-2"/>
        </w:rPr>
        <w:t>号——金融工具确认和计量》确定的原持有的股权投资的公允价值加上新增</w:t>
      </w:r>
      <w:r>
        <w:rPr>
          <w:spacing w:val="-31"/>
        </w:rPr>
        <w:t> </w:t>
      </w:r>
      <w:r>
        <w:rPr>
          <w:spacing w:val="-31"/>
        </w:rPr>
      </w:r>
      <w:r>
        <w:rPr/>
        <w:t>投资成本之和，作为改按权益法核算的初始投资成本。</w:t>
      </w:r>
    </w:p>
    <w:p>
      <w:pPr>
        <w:pStyle w:val="BodyText"/>
        <w:spacing w:line="273" w:lineRule="auto" w:before="14"/>
        <w:ind w:right="1125" w:firstLine="422"/>
        <w:jc w:val="both"/>
      </w:pPr>
      <w:r>
        <w:rPr>
          <w:spacing w:val="-2"/>
        </w:rPr>
        <w:t>原持有的股权投资分类为可供出售金融资产的，其公允价值与账面价值之间的差额，以及原计入其他</w:t>
      </w:r>
      <w:r>
        <w:rPr>
          <w:w w:val="100"/>
        </w:rPr>
        <w:t> </w:t>
      </w:r>
      <w:r>
        <w:rPr/>
        <w:t>综合收益的累计公允价值变动转入改按权益法核算的当期损益。</w:t>
      </w:r>
    </w:p>
    <w:p>
      <w:pPr>
        <w:pStyle w:val="BodyText"/>
        <w:spacing w:line="273" w:lineRule="auto"/>
        <w:ind w:right="1007" w:firstLine="422"/>
        <w:jc w:val="left"/>
      </w:pPr>
      <w:r>
        <w:rPr/>
        <w:t>按权益法核算的初始投资成本小于按照追加投资后全新的持股比例计算确定的应享有被投资单位在</w:t>
      </w:r>
      <w:r>
        <w:rPr>
          <w:w w:val="100"/>
        </w:rPr>
        <w:t> </w:t>
      </w:r>
      <w:r>
        <w:rPr>
          <w:spacing w:val="-2"/>
        </w:rPr>
        <w:t>追加投资日可辨认净资产公允价值份额之间的差额，调整长期股权投资的账面价值，并计入当期营业外收</w:t>
      </w:r>
      <w:r>
        <w:rPr>
          <w:spacing w:val="-33"/>
        </w:rPr>
        <w:t> </w:t>
      </w:r>
      <w:r>
        <w:rPr>
          <w:spacing w:val="-33"/>
        </w:rPr>
      </w:r>
      <w:r>
        <w:rPr/>
        <w:t>入。</w:t>
      </w:r>
    </w:p>
    <w:p>
      <w:pPr>
        <w:pStyle w:val="BodyText"/>
        <w:spacing w:line="240" w:lineRule="auto"/>
        <w:ind w:left="324" w:right="1764"/>
        <w:jc w:val="left"/>
      </w:pPr>
      <w:r>
        <w:rPr/>
        <w:t>（</w:t>
      </w:r>
      <w:r>
        <w:rPr>
          <w:rFonts w:ascii="宋体" w:hAnsi="宋体" w:cs="宋体" w:eastAsia="宋体" w:hint="default"/>
        </w:rPr>
        <w:t>2</w:t>
      </w:r>
      <w:r>
        <w:rPr/>
        <w:t>）公允价值计量或权益法核算转成本法核算</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73" w:lineRule="auto" w:before="36"/>
        <w:ind w:right="1121" w:firstLine="422"/>
        <w:jc w:val="both"/>
      </w:pPr>
      <w:r>
        <w:rPr>
          <w:spacing w:val="-2"/>
        </w:rPr>
        <w:t>本公司原持有的对被投资单位不具有控制、共同控制或重大影响的按金融工具确认和计量准则进行会</w:t>
      </w:r>
      <w:r>
        <w:rPr>
          <w:w w:val="100"/>
        </w:rPr>
        <w:t> </w:t>
      </w:r>
      <w:r>
        <w:rPr>
          <w:spacing w:val="-2"/>
        </w:rPr>
        <w:t>计处理的权益性投资，或原持有对联营企业、合营企业的长期股权投资，因追加投资等原因能够对非同一</w:t>
      </w:r>
      <w:r>
        <w:rPr>
          <w:spacing w:val="-31"/>
        </w:rPr>
        <w:t> </w:t>
      </w:r>
      <w:r>
        <w:rPr>
          <w:spacing w:val="-31"/>
        </w:rPr>
      </w:r>
      <w:r>
        <w:rPr>
          <w:spacing w:val="-2"/>
        </w:rPr>
        <w:t>控制下的被投资单位实施控制的，在编制个别财务报表时，按照原持有的股权投资账面价值加上新增投资</w:t>
      </w:r>
      <w:r>
        <w:rPr>
          <w:spacing w:val="-33"/>
        </w:rPr>
        <w:t> </w:t>
      </w:r>
      <w:r>
        <w:rPr>
          <w:spacing w:val="-33"/>
        </w:rPr>
      </w:r>
      <w:r>
        <w:rPr/>
        <w:t>成本之和，作为改按成本法核算的初始投资成本。</w:t>
      </w:r>
    </w:p>
    <w:p>
      <w:pPr>
        <w:pStyle w:val="BodyText"/>
        <w:spacing w:line="273" w:lineRule="auto"/>
        <w:ind w:right="1007" w:firstLine="422"/>
        <w:jc w:val="left"/>
      </w:pPr>
      <w:r>
        <w:rPr>
          <w:spacing w:val="-2"/>
        </w:rPr>
        <w:t>购买日之前持有的股权投资因采用权益法核算而确认的其他综合收益，在处置该项投资时采用与被投</w:t>
      </w:r>
      <w:r>
        <w:rPr>
          <w:w w:val="100"/>
        </w:rPr>
        <w:t> </w:t>
      </w:r>
      <w:r>
        <w:rPr/>
        <w:t>资单位直接处置相关资产或负债相同的基础进行会计处理。</w:t>
      </w:r>
    </w:p>
    <w:p>
      <w:pPr>
        <w:pStyle w:val="BodyText"/>
        <w:spacing w:line="256" w:lineRule="auto"/>
        <w:ind w:right="1007" w:firstLine="422"/>
        <w:jc w:val="left"/>
      </w:pPr>
      <w:r>
        <w:rPr>
          <w:spacing w:val="-2"/>
        </w:rPr>
        <w:t>购买日之前持有的股权投资按照《企业会计准则第</w:t>
      </w:r>
      <w:r>
        <w:rPr>
          <w:rFonts w:ascii="Times New Roman" w:hAnsi="Times New Roman" w:cs="Times New Roman" w:eastAsia="Times New Roman" w:hint="default"/>
          <w:spacing w:val="-2"/>
        </w:rPr>
        <w:t>22</w:t>
      </w:r>
      <w:r>
        <w:rPr>
          <w:spacing w:val="-2"/>
        </w:rPr>
        <w:t>号——金融工具确认和计量》的有关规定进行会</w:t>
      </w:r>
      <w:r>
        <w:rPr>
          <w:w w:val="100"/>
        </w:rPr>
        <w:t> </w:t>
      </w:r>
      <w:r>
        <w:rPr/>
        <w:t>计处理的，原计入其他综合收益的累计公允价值变动在改按成本法核算时转入当期损益。</w:t>
      </w:r>
    </w:p>
    <w:p>
      <w:pPr>
        <w:pStyle w:val="BodyText"/>
        <w:spacing w:line="273" w:lineRule="auto" w:before="22"/>
        <w:ind w:left="535" w:right="1007" w:hanging="212"/>
        <w:jc w:val="left"/>
      </w:pPr>
      <w:r>
        <w:rPr/>
        <w:t>（</w:t>
      </w:r>
      <w:r>
        <w:rPr>
          <w:rFonts w:ascii="宋体" w:hAnsi="宋体" w:cs="宋体" w:eastAsia="宋体" w:hint="default"/>
        </w:rPr>
        <w:t>3</w:t>
      </w:r>
      <w:r>
        <w:rPr/>
        <w:t>）权益法核算转公允价值计量</w:t>
      </w:r>
      <w:r>
        <w:rPr>
          <w:spacing w:val="-103"/>
        </w:rPr>
        <w:t> </w:t>
      </w:r>
      <w:r>
        <w:rPr>
          <w:spacing w:val="-103"/>
        </w:rPr>
      </w:r>
      <w:r>
        <w:rPr>
          <w:spacing w:val="-2"/>
        </w:rPr>
        <w:t>本公司因处置部分股权投资等原因丧失了对被投资单位的共同控制或重大影响的，处置后的剩余股权</w:t>
      </w:r>
    </w:p>
    <w:p>
      <w:pPr>
        <w:pStyle w:val="BodyText"/>
        <w:spacing w:line="256" w:lineRule="auto"/>
        <w:ind w:right="1007"/>
        <w:jc w:val="left"/>
      </w:pPr>
      <w:r>
        <w:rPr>
          <w:spacing w:val="-2"/>
        </w:rPr>
        <w:t>改按《企业会计准则第</w:t>
      </w:r>
      <w:r>
        <w:rPr>
          <w:rFonts w:ascii="Times New Roman" w:hAnsi="Times New Roman" w:cs="Times New Roman" w:eastAsia="Times New Roman" w:hint="default"/>
          <w:spacing w:val="-2"/>
        </w:rPr>
        <w:t>22</w:t>
      </w:r>
      <w:r>
        <w:rPr>
          <w:spacing w:val="-2"/>
        </w:rPr>
        <w:t>号——金融工具确认和计量》核算，其在丧失共同控制或重大影响之日的公允价</w:t>
      </w:r>
      <w:r>
        <w:rPr>
          <w:spacing w:val="-31"/>
        </w:rPr>
        <w:t> </w:t>
      </w:r>
      <w:r>
        <w:rPr>
          <w:spacing w:val="-31"/>
        </w:rPr>
      </w:r>
      <w:r>
        <w:rPr/>
        <w:t>值与账面价值之间的差额计入当期损益。</w:t>
      </w:r>
    </w:p>
    <w:p>
      <w:pPr>
        <w:pStyle w:val="BodyText"/>
        <w:spacing w:line="273" w:lineRule="auto" w:before="22"/>
        <w:ind w:right="1007" w:firstLine="422"/>
        <w:jc w:val="left"/>
      </w:pPr>
      <w:r>
        <w:rPr>
          <w:spacing w:val="-2"/>
        </w:rPr>
        <w:t>原股权投资因采用权益法核算而确认的其他综合收益，在终止采用权益法核算时采用与被投资单位直</w:t>
      </w:r>
      <w:r>
        <w:rPr>
          <w:w w:val="100"/>
        </w:rPr>
        <w:t> </w:t>
      </w:r>
      <w:r>
        <w:rPr/>
        <w:t>接处置相关资产或负债相同的基础进行会计处理。</w:t>
      </w:r>
    </w:p>
    <w:p>
      <w:pPr>
        <w:pStyle w:val="BodyText"/>
        <w:spacing w:line="273" w:lineRule="auto" w:before="8"/>
        <w:ind w:left="535" w:right="1007" w:hanging="212"/>
        <w:jc w:val="left"/>
      </w:pPr>
      <w:r>
        <w:rPr/>
        <w:t>（</w:t>
      </w:r>
      <w:r>
        <w:rPr>
          <w:rFonts w:ascii="宋体" w:hAnsi="宋体" w:cs="宋体" w:eastAsia="宋体" w:hint="default"/>
        </w:rPr>
        <w:t>4</w:t>
      </w:r>
      <w:r>
        <w:rPr/>
        <w:t>）成本法转权益法</w:t>
      </w:r>
      <w:r>
        <w:rPr>
          <w:w w:val="100"/>
        </w:rPr>
        <w:t> </w:t>
      </w:r>
      <w:r>
        <w:rPr>
          <w:spacing w:val="-2"/>
        </w:rPr>
        <w:t>本公司因处置部分权益性投资等原因丧失了对被投资单位的控制的，在编制个别财务报表时，处置后</w:t>
      </w:r>
    </w:p>
    <w:p>
      <w:pPr>
        <w:pStyle w:val="BodyText"/>
        <w:spacing w:line="273" w:lineRule="auto"/>
        <w:ind w:right="1007"/>
        <w:jc w:val="left"/>
      </w:pPr>
      <w:r>
        <w:rPr>
          <w:spacing w:val="-2"/>
        </w:rPr>
        <w:t>的剩余股权能够对被投资单位实施共同控制或施加重大影响的，改按权益法核算，并对该剩余股权视同自</w:t>
      </w:r>
      <w:r>
        <w:rPr>
          <w:spacing w:val="-33"/>
        </w:rPr>
        <w:t> </w:t>
      </w:r>
      <w:r>
        <w:rPr>
          <w:spacing w:val="-33"/>
        </w:rPr>
      </w:r>
      <w:r>
        <w:rPr/>
        <w:t>取得时即采用权益法核算进行调整。</w:t>
      </w:r>
    </w:p>
    <w:p>
      <w:pPr>
        <w:pStyle w:val="BodyText"/>
        <w:spacing w:line="273" w:lineRule="auto"/>
        <w:ind w:left="535" w:right="1007" w:hanging="212"/>
        <w:jc w:val="left"/>
      </w:pPr>
      <w:r>
        <w:rPr/>
        <w:t>（</w:t>
      </w:r>
      <w:r>
        <w:rPr>
          <w:rFonts w:ascii="宋体" w:hAnsi="宋体" w:cs="宋体" w:eastAsia="宋体" w:hint="default"/>
        </w:rPr>
        <w:t>5</w:t>
      </w:r>
      <w:r>
        <w:rPr/>
        <w:t>）成本法转公允价值计量</w:t>
      </w:r>
      <w:r>
        <w:rPr>
          <w:spacing w:val="-100"/>
        </w:rPr>
        <w:t> </w:t>
      </w:r>
      <w:r>
        <w:rPr>
          <w:spacing w:val="-100"/>
        </w:rPr>
      </w:r>
      <w:r>
        <w:rPr>
          <w:spacing w:val="-2"/>
        </w:rPr>
        <w:t>本公司因处置部分权益性投资等原因丧失了对被投资单位的控制的，在编制个别财务报表时，处置后</w:t>
      </w:r>
    </w:p>
    <w:p>
      <w:pPr>
        <w:pStyle w:val="BodyText"/>
        <w:spacing w:line="256" w:lineRule="auto"/>
        <w:ind w:right="1007"/>
        <w:jc w:val="left"/>
      </w:pPr>
      <w:r>
        <w:rPr/>
        <w:t>的剩余股权不能对被投资单位实施共同控制或施加重大影响的，改按《企业会计准则第</w:t>
      </w:r>
      <w:r>
        <w:rPr>
          <w:rFonts w:ascii="Times New Roman" w:hAnsi="Times New Roman" w:cs="Times New Roman" w:eastAsia="Times New Roman" w:hint="default"/>
        </w:rPr>
        <w:t>22</w:t>
      </w:r>
      <w:r>
        <w:rPr/>
        <w:t>号——金融工具</w:t>
      </w:r>
      <w:r>
        <w:rPr>
          <w:w w:val="100"/>
        </w:rPr>
        <w:t> </w:t>
      </w:r>
      <w:r>
        <w:rPr>
          <w:spacing w:val="-4"/>
        </w:rPr>
        <w:t>确认和计量》的有关规定进行会计处理，其在丧失控制之日的公允价值与账面价值间的差额计入当期损益。</w:t>
      </w:r>
    </w:p>
    <w:p>
      <w:pPr>
        <w:spacing w:line="273" w:lineRule="auto" w:before="22"/>
        <w:ind w:left="535" w:right="1007"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长期股权投资的处置</w:t>
      </w:r>
      <w:r>
        <w:rPr>
          <w:rFonts w:ascii="宋体" w:hAnsi="宋体" w:cs="宋体" w:eastAsia="宋体" w:hint="default"/>
          <w:b/>
          <w:bCs/>
          <w:spacing w:val="-103"/>
          <w:sz w:val="21"/>
          <w:szCs w:val="21"/>
        </w:rPr>
        <w:t> </w:t>
      </w:r>
      <w:r>
        <w:rPr>
          <w:rFonts w:ascii="宋体" w:hAnsi="宋体" w:cs="宋体" w:eastAsia="宋体" w:hint="default"/>
          <w:spacing w:val="-2"/>
          <w:sz w:val="21"/>
          <w:szCs w:val="21"/>
        </w:rPr>
        <w:t>处置长期股权投资，其账面价值与实际取得价款之间的差额，应当计入当期损益。采用权益法核算的</w:t>
      </w:r>
    </w:p>
    <w:p>
      <w:pPr>
        <w:pStyle w:val="BodyText"/>
        <w:spacing w:line="273" w:lineRule="auto"/>
        <w:ind w:right="1007"/>
        <w:jc w:val="left"/>
      </w:pPr>
      <w:r>
        <w:rPr>
          <w:spacing w:val="-2"/>
        </w:rPr>
        <w:t>长期股权投资，在处置该项投资时，采用与被投资单位直接处置相关资产或负债相同的基础，按相应比例</w:t>
      </w:r>
      <w:r>
        <w:rPr>
          <w:spacing w:val="-33"/>
        </w:rPr>
        <w:t> </w:t>
      </w:r>
      <w:r>
        <w:rPr>
          <w:spacing w:val="-33"/>
        </w:rPr>
      </w:r>
      <w:r>
        <w:rPr/>
        <w:t>对原计入其他综合收益的部分进行会计处理。</w:t>
      </w:r>
    </w:p>
    <w:p>
      <w:pPr>
        <w:pStyle w:val="BodyText"/>
        <w:spacing w:line="273" w:lineRule="auto"/>
        <w:ind w:right="1007" w:firstLine="422"/>
        <w:jc w:val="left"/>
      </w:pPr>
      <w:r>
        <w:rPr>
          <w:spacing w:val="-2"/>
        </w:rPr>
        <w:t>处置对子公司股权投资的各项交易的条款、条件以及经济影响符合以下一种或多种情况，将多次交易</w:t>
      </w:r>
      <w:r>
        <w:rPr>
          <w:w w:val="100"/>
        </w:rPr>
        <w:t> </w:t>
      </w:r>
      <w:r>
        <w:rPr/>
        <w:t>事项作为一揽子交易进行会计处理：</w:t>
      </w:r>
    </w:p>
    <w:p>
      <w:pPr>
        <w:pStyle w:val="BodyText"/>
        <w:spacing w:line="240" w:lineRule="auto"/>
        <w:ind w:left="535" w:right="1764"/>
        <w:jc w:val="left"/>
      </w:pPr>
      <w:r>
        <w:rPr/>
        <w:t>（</w:t>
      </w:r>
      <w:r>
        <w:rPr>
          <w:rFonts w:ascii="宋体" w:hAnsi="宋体" w:cs="宋体" w:eastAsia="宋体" w:hint="default"/>
        </w:rPr>
        <w:t>1</w:t>
      </w:r>
      <w:r>
        <w:rPr/>
        <w:t>）这些交易是同时或者在考虑了彼此影响的情况下订立的；</w:t>
      </w:r>
    </w:p>
    <w:p>
      <w:pPr>
        <w:pStyle w:val="BodyText"/>
        <w:spacing w:line="240" w:lineRule="auto" w:before="37"/>
        <w:ind w:left="535" w:right="1764"/>
        <w:jc w:val="left"/>
      </w:pPr>
      <w:r>
        <w:rPr/>
        <w:t>（</w:t>
      </w:r>
      <w:r>
        <w:rPr>
          <w:rFonts w:ascii="宋体" w:hAnsi="宋体" w:cs="宋体" w:eastAsia="宋体" w:hint="default"/>
        </w:rPr>
        <w:t>2</w:t>
      </w:r>
      <w:r>
        <w:rPr/>
        <w:t>）这些交易整体才能达成一项完整的商业结果；</w:t>
      </w:r>
    </w:p>
    <w:p>
      <w:pPr>
        <w:pStyle w:val="BodyText"/>
        <w:spacing w:line="240" w:lineRule="auto" w:before="37"/>
        <w:ind w:left="535" w:right="1764"/>
        <w:jc w:val="left"/>
      </w:pPr>
      <w:r>
        <w:rPr/>
        <w:t>（</w:t>
      </w:r>
      <w:r>
        <w:rPr>
          <w:rFonts w:ascii="宋体" w:hAnsi="宋体" w:cs="宋体" w:eastAsia="宋体" w:hint="default"/>
        </w:rPr>
        <w:t>3</w:t>
      </w:r>
      <w:r>
        <w:rPr/>
        <w:t>）一项交易的发生取决于其他至少一项交易的发生；</w:t>
      </w:r>
    </w:p>
    <w:p>
      <w:pPr>
        <w:pStyle w:val="BodyText"/>
        <w:spacing w:line="273" w:lineRule="auto" w:before="37"/>
        <w:ind w:left="535" w:right="1007"/>
        <w:jc w:val="left"/>
      </w:pPr>
      <w:r>
        <w:rPr/>
        <w:t>（</w:t>
      </w:r>
      <w:r>
        <w:rPr>
          <w:rFonts w:ascii="宋体" w:hAnsi="宋体" w:cs="宋体" w:eastAsia="宋体" w:hint="default"/>
        </w:rPr>
        <w:t>4</w:t>
      </w:r>
      <w:r>
        <w:rPr/>
        <w:t>）一项交易单独看是不经济的，但是和其他交易一并考虑时是经济的。</w:t>
      </w:r>
      <w:r>
        <w:rPr>
          <w:w w:val="100"/>
        </w:rPr>
        <w:t> </w:t>
      </w:r>
      <w:r>
        <w:rPr>
          <w:spacing w:val="-2"/>
        </w:rPr>
        <w:t>因处置部分股权投资或其他原因丧失了对原有子公司控制权的，不属于一揽子交易的，区分个别财务</w:t>
      </w:r>
    </w:p>
    <w:p>
      <w:pPr>
        <w:pStyle w:val="BodyText"/>
        <w:spacing w:line="240" w:lineRule="auto"/>
        <w:ind w:right="1764"/>
        <w:jc w:val="left"/>
      </w:pPr>
      <w:r>
        <w:rPr/>
        <w:t>报表和合并财务报表进行相关会计处理：</w:t>
      </w:r>
    </w:p>
    <w:p>
      <w:pPr>
        <w:pStyle w:val="BodyText"/>
        <w:spacing w:line="268" w:lineRule="auto" w:before="37"/>
        <w:ind w:right="1007" w:firstLine="422"/>
        <w:jc w:val="left"/>
      </w:pPr>
      <w:r>
        <w:rPr/>
        <w:t>（</w:t>
      </w:r>
      <w:r>
        <w:rPr>
          <w:rFonts w:ascii="Times New Roman" w:hAnsi="Times New Roman" w:cs="Times New Roman" w:eastAsia="Times New Roman" w:hint="default"/>
        </w:rPr>
        <w:t>1</w:t>
      </w:r>
      <w:r>
        <w:rPr/>
        <w:t>）在个别财务报表中，对于处置的股权，其账面价值与实际取得价款之间的差额计入当期损益。</w:t>
      </w:r>
      <w:r>
        <w:rPr>
          <w:w w:val="100"/>
        </w:rPr>
        <w:t> </w:t>
      </w:r>
      <w:r>
        <w:rPr>
          <w:spacing w:val="-2"/>
        </w:rPr>
        <w:t>处置后的剩余股权能够对被投资单位实施共同控制或施加重大影响的，改按权益法核算，并对该剩余股权</w:t>
      </w:r>
      <w:r>
        <w:rPr>
          <w:spacing w:val="-33"/>
        </w:rPr>
        <w:t> </w:t>
      </w:r>
      <w:r>
        <w:rPr>
          <w:spacing w:val="-33"/>
        </w:rPr>
      </w:r>
      <w:r>
        <w:rPr>
          <w:spacing w:val="-2"/>
        </w:rPr>
        <w:t>视同自取得时即采用权益法核算进行调整；处置后的剩余股权不能对被投资单位实施共同控制或施加重大</w:t>
      </w:r>
      <w:r>
        <w:rPr>
          <w:spacing w:val="-33"/>
        </w:rPr>
        <w:t> </w:t>
      </w:r>
      <w:r>
        <w:rPr>
          <w:spacing w:val="-33"/>
        </w:rPr>
      </w:r>
      <w:r>
        <w:rPr>
          <w:spacing w:val="-2"/>
        </w:rPr>
        <w:t>影响的，改按《企业会计准则第</w:t>
      </w:r>
      <w:r>
        <w:rPr>
          <w:rFonts w:ascii="宋体" w:hAnsi="宋体" w:cs="宋体" w:eastAsia="宋体" w:hint="default"/>
          <w:spacing w:val="-2"/>
        </w:rPr>
        <w:t>22</w:t>
      </w:r>
      <w:r>
        <w:rPr>
          <w:spacing w:val="-2"/>
        </w:rPr>
        <w:t>号——金融工具确认和计量》的有关规定进行会计处理，其在丧失控制</w:t>
      </w:r>
      <w:r>
        <w:rPr>
          <w:spacing w:val="-30"/>
        </w:rPr>
        <w:t> </w:t>
      </w:r>
      <w:r>
        <w:rPr>
          <w:spacing w:val="-30"/>
        </w:rPr>
      </w:r>
      <w:r>
        <w:rPr/>
        <w:t>之日的公允价值与账面价值间的差额计入当期损益。</w:t>
      </w:r>
    </w:p>
    <w:p>
      <w:pPr>
        <w:pStyle w:val="BodyText"/>
        <w:spacing w:line="268" w:lineRule="auto" w:before="12"/>
        <w:ind w:right="1007" w:firstLine="422"/>
        <w:jc w:val="left"/>
      </w:pPr>
      <w:r>
        <w:rPr/>
        <w:t>（</w:t>
      </w:r>
      <w:r>
        <w:rPr>
          <w:rFonts w:ascii="Times New Roman" w:hAnsi="Times New Roman" w:cs="Times New Roman" w:eastAsia="Times New Roman" w:hint="default"/>
        </w:rPr>
        <w:t>2</w:t>
      </w:r>
      <w:r>
        <w:rPr/>
        <w:t>）在合并财务报表中，对于在丧失对子公司控制权以前的各项交易，处置价款与处置长期股权投</w:t>
      </w:r>
      <w:r>
        <w:rPr>
          <w:w w:val="100"/>
        </w:rPr>
        <w:t> </w:t>
      </w:r>
      <w:r>
        <w:rPr/>
        <w:t>资相应对享有子公司自购买日或合并日开始持续计算的净资产份额之间的差额，调整资本公积（股本溢</w:t>
      </w:r>
      <w:r>
        <w:rPr>
          <w:w w:val="100"/>
        </w:rPr>
        <w:t> </w:t>
      </w:r>
      <w:r>
        <w:rPr>
          <w:spacing w:val="-4"/>
          <w:w w:val="100"/>
        </w:rPr>
        <w:t>价），资本公积不足冲减的，调整留存收益；在丧失对子公司控制权时，对于剩余股权，按照其在丧失控</w:t>
      </w:r>
      <w:r>
        <w:rPr>
          <w:spacing w:val="-83"/>
          <w:w w:val="100"/>
        </w:rPr>
        <w:t> </w:t>
      </w:r>
      <w:r>
        <w:rPr>
          <w:spacing w:val="-83"/>
          <w:w w:val="100"/>
        </w:rPr>
      </w:r>
      <w:r>
        <w:rPr>
          <w:spacing w:val="-2"/>
        </w:rPr>
        <w:t>制权日的公允价值进行重新计量。处置股权取得的对价与剩余股权公允价值之和，减去按原持股比例计算</w:t>
      </w:r>
      <w:r>
        <w:rPr>
          <w:spacing w:val="-33"/>
        </w:rPr>
        <w:t> </w:t>
      </w:r>
      <w:r>
        <w:rPr>
          <w:spacing w:val="-33"/>
        </w:rPr>
      </w:r>
      <w:r>
        <w:rPr>
          <w:spacing w:val="-2"/>
        </w:rPr>
        <w:t>应享有原有子公司自购买日开始持续计算的净资产的份额之间的差额，计入丧失控制权当期的投资收益，</w:t>
      </w:r>
    </w:p>
    <w:p>
      <w:pPr>
        <w:spacing w:after="0" w:line="268"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73" w:lineRule="auto" w:before="36"/>
        <w:ind w:left="535" w:right="1007" w:hanging="423"/>
        <w:jc w:val="left"/>
      </w:pPr>
      <w:r>
        <w:rPr/>
        <w:t>同时冲减商誉。与原有子公司股权投资相关的其他综合收益等，在丧失控制权时转为当期投资收益。</w:t>
      </w:r>
      <w:r>
        <w:rPr>
          <w:spacing w:val="-103"/>
        </w:rPr>
        <w:t> </w:t>
      </w:r>
      <w:r>
        <w:rPr>
          <w:spacing w:val="-103"/>
        </w:rPr>
      </w:r>
      <w:r>
        <w:rPr>
          <w:spacing w:val="-2"/>
        </w:rPr>
        <w:t>处置对子公司股权投资直至丧失控制权的各项交易属于一揽子交易的，将各项交易作为一项处置子公</w:t>
      </w:r>
    </w:p>
    <w:p>
      <w:pPr>
        <w:pStyle w:val="BodyText"/>
        <w:spacing w:line="240" w:lineRule="auto"/>
        <w:ind w:right="1007"/>
        <w:jc w:val="left"/>
      </w:pPr>
      <w:r>
        <w:rPr/>
        <w:t>司股权投资并丧失控制权的交易进行会计处理，区分个别财务报表和合并财务报表进行相关会计处理：</w:t>
      </w:r>
    </w:p>
    <w:p>
      <w:pPr>
        <w:pStyle w:val="BodyText"/>
        <w:spacing w:line="256" w:lineRule="auto" w:before="37"/>
        <w:ind w:right="1207" w:firstLine="422"/>
        <w:jc w:val="both"/>
      </w:pPr>
      <w:r>
        <w:rPr>
          <w:spacing w:val="-2"/>
        </w:rPr>
        <w:t>（</w:t>
      </w:r>
      <w:r>
        <w:rPr>
          <w:rFonts w:ascii="Times New Roman" w:hAnsi="Times New Roman" w:cs="Times New Roman" w:eastAsia="Times New Roman" w:hint="default"/>
          <w:spacing w:val="-2"/>
        </w:rPr>
        <w:t>1</w:t>
      </w:r>
      <w:r>
        <w:rPr>
          <w:spacing w:val="-2"/>
        </w:rPr>
        <w:t>）在个别财务报表中，在丧失控制权之前每一次处置价款与处置的股权对应的长期股权投资账面</w:t>
      </w:r>
      <w:r>
        <w:rPr>
          <w:w w:val="100"/>
        </w:rPr>
        <w:t> </w:t>
      </w:r>
      <w:r>
        <w:rPr/>
        <w:t>价值之间的差额，确认为其他综合收益，在丧失控制权时一并转入丧失控制权当期的损益。</w:t>
      </w:r>
    </w:p>
    <w:p>
      <w:pPr>
        <w:pStyle w:val="BodyText"/>
        <w:spacing w:line="256" w:lineRule="auto" w:before="22"/>
        <w:ind w:right="1207" w:firstLine="422"/>
        <w:jc w:val="both"/>
      </w:pPr>
      <w:r>
        <w:rPr>
          <w:spacing w:val="-2"/>
        </w:rPr>
        <w:t>（</w:t>
      </w:r>
      <w:r>
        <w:rPr>
          <w:rFonts w:ascii="Times New Roman" w:hAnsi="Times New Roman" w:cs="Times New Roman" w:eastAsia="Times New Roman" w:hint="default"/>
          <w:spacing w:val="-2"/>
        </w:rPr>
        <w:t>2</w:t>
      </w:r>
      <w:r>
        <w:rPr>
          <w:spacing w:val="-2"/>
        </w:rPr>
        <w:t>）在合并财务报表中，在丧失控制权之前每一次处置价款与处置投资对应的享有该子公司净资产</w:t>
      </w:r>
      <w:r>
        <w:rPr>
          <w:w w:val="100"/>
        </w:rPr>
        <w:t> </w:t>
      </w:r>
      <w:r>
        <w:rPr/>
        <w:t>份额的差额，确认为其他综合收益，在丧失控制权时一并转入丧失控制权当期的损益。</w:t>
      </w:r>
    </w:p>
    <w:p>
      <w:pPr>
        <w:spacing w:line="273" w:lineRule="auto" w:before="22"/>
        <w:ind w:left="535" w:right="1007"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共同控制、重大影响的判断标准</w:t>
      </w:r>
      <w:r>
        <w:rPr>
          <w:rFonts w:ascii="宋体" w:hAnsi="宋体" w:cs="宋体" w:eastAsia="宋体" w:hint="default"/>
          <w:b/>
          <w:bCs/>
          <w:spacing w:val="-101"/>
          <w:sz w:val="21"/>
          <w:szCs w:val="21"/>
        </w:rPr>
        <w:t> </w:t>
      </w:r>
      <w:r>
        <w:rPr>
          <w:rFonts w:ascii="宋体" w:hAnsi="宋体" w:cs="宋体" w:eastAsia="宋体" w:hint="default"/>
          <w:spacing w:val="-2"/>
          <w:sz w:val="21"/>
          <w:szCs w:val="21"/>
        </w:rPr>
        <w:t>如果本公司按照相关约定与其他参与方集体控制某项安排，并且对该安排回报具有重大影响的活动决</w:t>
      </w:r>
    </w:p>
    <w:p>
      <w:pPr>
        <w:pStyle w:val="BodyText"/>
        <w:spacing w:line="273" w:lineRule="auto" w:before="8"/>
        <w:ind w:right="1007"/>
        <w:jc w:val="left"/>
      </w:pPr>
      <w:r>
        <w:rPr>
          <w:spacing w:val="-2"/>
        </w:rPr>
        <w:t>策，需要经过分享控制权的参与方一致同意时才存在，则视为本公司与其他参与方共同控制某项安排，该</w:t>
      </w:r>
      <w:r>
        <w:rPr>
          <w:spacing w:val="-33"/>
        </w:rPr>
        <w:t> </w:t>
      </w:r>
      <w:r>
        <w:rPr>
          <w:spacing w:val="-33"/>
        </w:rPr>
      </w:r>
      <w:r>
        <w:rPr/>
        <w:t>安排即属于合营安排。</w:t>
      </w:r>
    </w:p>
    <w:p>
      <w:pPr>
        <w:pStyle w:val="BodyText"/>
        <w:spacing w:line="273" w:lineRule="auto"/>
        <w:ind w:right="1125" w:firstLine="422"/>
        <w:jc w:val="both"/>
      </w:pPr>
      <w:r>
        <w:rPr>
          <w:spacing w:val="-2"/>
        </w:rPr>
        <w:t>合营安排通过单独主体达成的，根据相关约定判断本公司对该单独主体的净资产享有权利时，将该单</w:t>
      </w:r>
      <w:r>
        <w:rPr>
          <w:w w:val="100"/>
        </w:rPr>
        <w:t> </w:t>
      </w:r>
      <w:r>
        <w:rPr>
          <w:spacing w:val="-2"/>
        </w:rPr>
        <w:t>独主体作为合营企业，采用权益法核算。若根据相关约定判断本公司并非对该单独主体的净资产享有权利</w:t>
      </w:r>
      <w:r>
        <w:rPr>
          <w:spacing w:val="-33"/>
        </w:rPr>
        <w:t> </w:t>
      </w:r>
      <w:r>
        <w:rPr>
          <w:spacing w:val="-33"/>
        </w:rPr>
      </w:r>
      <w:r>
        <w:rPr>
          <w:spacing w:val="-2"/>
        </w:rPr>
        <w:t>时，该单独主体作为共同经营，本公司确认与共同经营利益份额相关的项目，并按照相关企业会计准则的</w:t>
      </w:r>
      <w:r>
        <w:rPr>
          <w:spacing w:val="-33"/>
        </w:rPr>
        <w:t> </w:t>
      </w:r>
      <w:r>
        <w:rPr>
          <w:spacing w:val="-33"/>
        </w:rPr>
      </w:r>
      <w:r>
        <w:rPr/>
        <w:t>规定进行会计处理。</w:t>
      </w:r>
    </w:p>
    <w:p>
      <w:pPr>
        <w:pStyle w:val="BodyText"/>
        <w:spacing w:line="266" w:lineRule="auto"/>
        <w:ind w:right="1104" w:firstLine="422"/>
        <w:jc w:val="both"/>
      </w:pPr>
      <w:r>
        <w:rPr>
          <w:spacing w:val="-2"/>
        </w:rPr>
        <w:t>重大影响，是指投资方对被投资单位的财务和经营政策有参与决策的权力，但并不能够控制或者与其</w:t>
      </w:r>
      <w:r>
        <w:rPr>
          <w:w w:val="100"/>
        </w:rPr>
        <w:t> </w:t>
      </w:r>
      <w:r>
        <w:rPr>
          <w:spacing w:val="-2"/>
        </w:rPr>
        <w:t>他方一起共同控制这些政策的制定。本公司通过以下一种或多种情形，并综合考虑所有事实和情况后，判</w:t>
      </w:r>
      <w:r>
        <w:rPr>
          <w:spacing w:val="-33"/>
        </w:rPr>
        <w:t> </w:t>
      </w:r>
      <w:r>
        <w:rPr>
          <w:spacing w:val="-33"/>
        </w:rPr>
      </w:r>
      <w:r>
        <w:rPr>
          <w:spacing w:val="-6"/>
          <w:w w:val="100"/>
        </w:rPr>
        <w:t>断对被投资单位具有重大影响：（</w:t>
      </w:r>
      <w:r>
        <w:rPr>
          <w:rFonts w:ascii="Times New Roman" w:hAnsi="Times New Roman" w:cs="Times New Roman" w:eastAsia="Times New Roman" w:hint="default"/>
          <w:spacing w:val="-6"/>
          <w:w w:val="100"/>
        </w:rPr>
        <w:t>1</w:t>
      </w:r>
      <w:r>
        <w:rPr>
          <w:spacing w:val="-6"/>
          <w:w w:val="100"/>
        </w:rPr>
        <w:t>）在被投资单位的董事会或类似权力机构中派有代表；（</w:t>
      </w:r>
      <w:r>
        <w:rPr>
          <w:rFonts w:ascii="Times New Roman" w:hAnsi="Times New Roman" w:cs="Times New Roman" w:eastAsia="Times New Roman" w:hint="default"/>
          <w:spacing w:val="-6"/>
          <w:w w:val="100"/>
        </w:rPr>
        <w:t>2</w:t>
      </w:r>
      <w:r>
        <w:rPr>
          <w:spacing w:val="-6"/>
          <w:w w:val="100"/>
        </w:rPr>
        <w:t>）参与被投资</w:t>
      </w:r>
      <w:r>
        <w:rPr>
          <w:spacing w:val="-103"/>
          <w:w w:val="100"/>
        </w:rPr>
        <w:t> </w:t>
      </w:r>
      <w:r>
        <w:rPr>
          <w:spacing w:val="-103"/>
          <w:w w:val="100"/>
        </w:rPr>
      </w:r>
      <w:r>
        <w:rPr>
          <w:spacing w:val="-6"/>
          <w:w w:val="100"/>
        </w:rPr>
        <w:t>单位财务和经营政策制定过程；（</w:t>
      </w:r>
      <w:r>
        <w:rPr>
          <w:rFonts w:ascii="Times New Roman" w:hAnsi="Times New Roman" w:cs="Times New Roman" w:eastAsia="Times New Roman" w:hint="default"/>
          <w:spacing w:val="-6"/>
          <w:w w:val="100"/>
        </w:rPr>
        <w:t>3</w:t>
      </w:r>
      <w:r>
        <w:rPr>
          <w:spacing w:val="-6"/>
          <w:w w:val="100"/>
        </w:rPr>
        <w:t>）与被投资单位之间发生重要交易；（</w:t>
      </w:r>
      <w:r>
        <w:rPr>
          <w:rFonts w:ascii="Times New Roman" w:hAnsi="Times New Roman" w:cs="Times New Roman" w:eastAsia="Times New Roman" w:hint="default"/>
          <w:spacing w:val="-6"/>
          <w:w w:val="100"/>
        </w:rPr>
        <w:t>4</w:t>
      </w:r>
      <w:r>
        <w:rPr>
          <w:spacing w:val="-6"/>
          <w:w w:val="100"/>
        </w:rPr>
        <w:t>）向被投资单位派出管理人员；</w:t>
      </w:r>
    </w:p>
    <w:p>
      <w:pPr>
        <w:pStyle w:val="BodyText"/>
        <w:spacing w:line="287" w:lineRule="exact" w:before="0"/>
        <w:ind w:right="1764"/>
        <w:jc w:val="left"/>
      </w:pPr>
      <w:r>
        <w:rPr/>
        <w:t>（</w:t>
      </w:r>
      <w:r>
        <w:rPr>
          <w:rFonts w:ascii="Times New Roman" w:hAnsi="Times New Roman" w:cs="Times New Roman" w:eastAsia="Times New Roman" w:hint="default"/>
        </w:rPr>
        <w:t>5</w:t>
      </w:r>
      <w:r>
        <w:rPr/>
        <w:t>）向被投资单位提供关键技术资料。</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6"/>
          <w:szCs w:val="26"/>
        </w:rPr>
      </w:pPr>
    </w:p>
    <w:p>
      <w:pPr>
        <w:pStyle w:val="Heading3"/>
        <w:spacing w:line="240" w:lineRule="auto"/>
        <w:ind w:right="1764"/>
        <w:jc w:val="left"/>
        <w:rPr>
          <w:b w:val="0"/>
          <w:bCs w:val="0"/>
        </w:rPr>
      </w:pPr>
      <w:bookmarkStart w:name="23、投资性房地产" w:id="193"/>
      <w:bookmarkEnd w:id="193"/>
      <w:r>
        <w:rPr>
          <w:b w:val="0"/>
          <w:bCs w:val="0"/>
        </w:rPr>
      </w:r>
      <w:r>
        <w:rPr>
          <w:rFonts w:ascii="Times New Roman" w:hAnsi="Times New Roman" w:cs="Times New Roman" w:eastAsia="Times New Roman" w:hint="default"/>
        </w:rPr>
        <w:t>23</w:t>
      </w:r>
      <w:r>
        <w:rPr/>
        <w:t>、投资性房地产</w:t>
      </w:r>
      <w:r>
        <w:rPr>
          <w:b w:val="0"/>
          <w:bCs w:val="0"/>
        </w:rPr>
      </w:r>
    </w:p>
    <w:p>
      <w:pPr>
        <w:spacing w:line="240" w:lineRule="auto" w:before="9"/>
        <w:rPr>
          <w:rFonts w:ascii="宋体" w:hAnsi="宋体" w:cs="宋体" w:eastAsia="宋体" w:hint="default"/>
          <w:b/>
          <w:bCs/>
          <w:sz w:val="26"/>
          <w:szCs w:val="26"/>
        </w:rPr>
      </w:pPr>
    </w:p>
    <w:p>
      <w:pPr>
        <w:spacing w:line="360" w:lineRule="auto" w:before="0"/>
        <w:ind w:left="113" w:right="8661" w:firstLine="0"/>
        <w:jc w:val="left"/>
        <w:rPr>
          <w:rFonts w:ascii="宋体" w:hAnsi="宋体" w:cs="宋体" w:eastAsia="宋体" w:hint="default"/>
          <w:sz w:val="18"/>
          <w:szCs w:val="18"/>
        </w:rPr>
      </w:pPr>
      <w:r>
        <w:rPr>
          <w:rFonts w:ascii="宋体" w:hAnsi="宋体" w:cs="宋体" w:eastAsia="宋体" w:hint="default"/>
          <w:spacing w:val="-2"/>
          <w:sz w:val="18"/>
          <w:szCs w:val="18"/>
        </w:rPr>
        <w:t>投资性房地产计量模式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成本法计量</w:t>
      </w:r>
      <w:r>
        <w:rPr>
          <w:rFonts w:ascii="宋体" w:hAnsi="宋体" w:cs="宋体" w:eastAsia="宋体" w:hint="default"/>
          <w:w w:val="101"/>
          <w:sz w:val="18"/>
          <w:szCs w:val="18"/>
        </w:rPr>
        <w:t> </w:t>
      </w:r>
      <w:r>
        <w:rPr>
          <w:rFonts w:ascii="宋体" w:hAnsi="宋体" w:cs="宋体" w:eastAsia="宋体" w:hint="default"/>
          <w:spacing w:val="-3"/>
          <w:sz w:val="18"/>
          <w:szCs w:val="18"/>
        </w:rPr>
        <w:t>折旧或摊销方法</w:t>
      </w:r>
    </w:p>
    <w:p>
      <w:pPr>
        <w:pStyle w:val="BodyText"/>
        <w:spacing w:line="273" w:lineRule="auto" w:before="0"/>
        <w:ind w:right="1102" w:firstLine="422"/>
        <w:jc w:val="both"/>
      </w:pPr>
      <w:r>
        <w:rPr>
          <w:spacing w:val="-2"/>
        </w:rPr>
        <w:t>投资性房地产是指为赚取租金或资本增值，或两者兼有而持有的房地产，包括已出租的土地使用权、</w:t>
      </w:r>
      <w:r>
        <w:rPr>
          <w:w w:val="100"/>
        </w:rPr>
        <w:t> </w:t>
      </w:r>
      <w:r>
        <w:rPr>
          <w:spacing w:val="-2"/>
        </w:rPr>
        <w:t>持有并准备增值后转让的土地使用权、已出租的建筑物（含自行建造或开发活动完成后用于出租的建筑物</w:t>
      </w:r>
      <w:r>
        <w:rPr>
          <w:spacing w:val="-33"/>
        </w:rPr>
        <w:t> </w:t>
      </w:r>
      <w:r>
        <w:rPr>
          <w:spacing w:val="-33"/>
        </w:rPr>
      </w:r>
      <w:r>
        <w:rPr>
          <w:spacing w:val="-6"/>
          <w:w w:val="100"/>
        </w:rPr>
        <w:t>以及正在建造或开发过程中将来用于出租的建筑物）。</w:t>
      </w:r>
    </w:p>
    <w:p>
      <w:pPr>
        <w:pStyle w:val="BodyText"/>
        <w:spacing w:line="273" w:lineRule="auto" w:before="8"/>
        <w:ind w:right="1121" w:firstLine="422"/>
        <w:jc w:val="both"/>
      </w:pPr>
      <w:r>
        <w:rPr>
          <w:spacing w:val="-2"/>
        </w:rPr>
        <w:t>公司对现有投资性房地产采用成本模式计量。对按照成本模式计量的投资性房地产－出租用建筑物采</w:t>
      </w:r>
      <w:r>
        <w:rPr>
          <w:w w:val="100"/>
        </w:rPr>
        <w:t> </w:t>
      </w:r>
      <w:r>
        <w:rPr/>
        <w:t>用与本公司固定资产相同的折旧政策，出租用土地使用权按与无形资产相同的摊销政策执行。</w:t>
      </w:r>
    </w:p>
    <w:p>
      <w:pPr>
        <w:pStyle w:val="BodyText"/>
        <w:spacing w:line="273" w:lineRule="auto"/>
        <w:ind w:right="1121" w:firstLine="422"/>
        <w:jc w:val="both"/>
      </w:pPr>
      <w:r>
        <w:rPr>
          <w:spacing w:val="-2"/>
        </w:rPr>
        <w:t>投资性房地产的用途改变为自用时，自改变之日起，本公司将该投资性房地产转换为固定资产或无形</w:t>
      </w:r>
      <w:r>
        <w:rPr>
          <w:w w:val="100"/>
        </w:rPr>
        <w:t> </w:t>
      </w:r>
      <w:r>
        <w:rPr>
          <w:spacing w:val="-2"/>
        </w:rPr>
        <w:t>资产。自用房地产的用途改变为赚取租金或资本增值时，自改变之日起，本公司将固定资产或无形资产转</w:t>
      </w:r>
      <w:r>
        <w:rPr>
          <w:spacing w:val="-33"/>
        </w:rPr>
        <w:t> </w:t>
      </w:r>
      <w:r>
        <w:rPr>
          <w:spacing w:val="-33"/>
        </w:rPr>
      </w:r>
      <w:r>
        <w:rPr/>
        <w:t>换为投资性房地产。发生转换时，以转换前的账面价值作为转换后的入账价值。</w:t>
      </w:r>
    </w:p>
    <w:p>
      <w:pPr>
        <w:pStyle w:val="BodyText"/>
        <w:spacing w:line="273" w:lineRule="auto" w:before="8"/>
        <w:ind w:right="1125" w:firstLine="422"/>
        <w:jc w:val="both"/>
      </w:pPr>
      <w:r>
        <w:rPr>
          <w:spacing w:val="-2"/>
        </w:rPr>
        <w:t>当投资性房地产被处置，或者永久退出使用且预计不能从其处置中取得经济利益时，终止确认该项投</w:t>
      </w:r>
      <w:r>
        <w:rPr>
          <w:w w:val="100"/>
        </w:rPr>
        <w:t> </w:t>
      </w:r>
      <w:r>
        <w:rPr>
          <w:spacing w:val="-2"/>
        </w:rPr>
        <w:t>资性房地产。投资性房地产出售、转让、报废或毁损的处置收入扣除其账面价值和相关税费后的金额计入</w:t>
      </w:r>
      <w:r>
        <w:rPr>
          <w:spacing w:val="-33"/>
        </w:rPr>
        <w:t> </w:t>
      </w:r>
      <w:r>
        <w:rPr>
          <w:spacing w:val="-33"/>
        </w:rPr>
      </w:r>
      <w:r>
        <w:rPr/>
        <w:t>当期损益。</w:t>
      </w:r>
    </w:p>
    <w:p>
      <w:pPr>
        <w:spacing w:after="0" w:line="273" w:lineRule="auto"/>
        <w:jc w:val="both"/>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3"/>
        <w:spacing w:line="240" w:lineRule="auto" w:before="36"/>
        <w:ind w:right="1764"/>
        <w:jc w:val="left"/>
        <w:rPr>
          <w:b w:val="0"/>
          <w:bCs w:val="0"/>
        </w:rPr>
      </w:pPr>
      <w:bookmarkStart w:name="24、固定资产" w:id="194"/>
      <w:bookmarkEnd w:id="194"/>
      <w:r>
        <w:rPr>
          <w:b w:val="0"/>
          <w:bCs w:val="0"/>
        </w:rPr>
      </w:r>
      <w:r>
        <w:rPr>
          <w:rFonts w:ascii="Times New Roman" w:hAnsi="Times New Roman" w:cs="Times New Roman" w:eastAsia="Times New Roman" w:hint="default"/>
        </w:rPr>
        <w:t>24</w:t>
      </w:r>
      <w:r>
        <w:rPr/>
        <w:t>、固定资产</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764"/>
        <w:jc w:val="left"/>
        <w:rPr>
          <w:b w:val="0"/>
          <w:bCs w:val="0"/>
        </w:rPr>
      </w:pPr>
      <w:bookmarkStart w:name="（1）确认条件" w:id="195"/>
      <w:bookmarkEnd w:id="195"/>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10"/>
        <w:rPr>
          <w:rFonts w:ascii="宋体" w:hAnsi="宋体" w:cs="宋体" w:eastAsia="宋体" w:hint="default"/>
          <w:b/>
          <w:bCs/>
          <w:sz w:val="26"/>
          <w:szCs w:val="26"/>
        </w:rPr>
      </w:pPr>
    </w:p>
    <w:p>
      <w:pPr>
        <w:spacing w:line="321" w:lineRule="auto" w:before="0"/>
        <w:ind w:left="113" w:right="1007" w:firstLine="0"/>
        <w:jc w:val="left"/>
        <w:rPr>
          <w:rFonts w:ascii="宋体" w:hAnsi="宋体" w:cs="宋体" w:eastAsia="宋体" w:hint="default"/>
          <w:sz w:val="18"/>
          <w:szCs w:val="18"/>
        </w:rPr>
      </w:pPr>
      <w:r>
        <w:rPr>
          <w:rFonts w:ascii="宋体" w:hAnsi="宋体" w:cs="宋体" w:eastAsia="宋体" w:hint="default"/>
          <w:spacing w:val="-4"/>
          <w:sz w:val="18"/>
          <w:szCs w:val="18"/>
        </w:rPr>
        <w:t>固定资产指为生产商品、提供劳务、出租或经营管理而持有，并且使用寿命超过一个会计年度的有形资产。固定资产在同时</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满足下列条件时予以确认：</w:t>
      </w:r>
    </w:p>
    <w:p>
      <w:pPr>
        <w:spacing w:before="53"/>
        <w:ind w:left="295" w:right="176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与该固定资产有关的经济利益很可能流入企业；</w:t>
      </w:r>
    </w:p>
    <w:p>
      <w:pPr>
        <w:spacing w:before="101"/>
        <w:ind w:left="295" w:right="176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该固定资产的成本能够可靠地计量。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5"/>
          <w:szCs w:val="25"/>
        </w:rPr>
      </w:pPr>
    </w:p>
    <w:p>
      <w:pPr>
        <w:pStyle w:val="Heading3"/>
        <w:spacing w:line="240" w:lineRule="auto"/>
        <w:ind w:right="1764"/>
        <w:jc w:val="left"/>
        <w:rPr>
          <w:b w:val="0"/>
          <w:bCs w:val="0"/>
        </w:rPr>
      </w:pPr>
      <w:bookmarkStart w:name="（2）折旧方法" w:id="196"/>
      <w:bookmarkEnd w:id="196"/>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20-50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1.90-4.75</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19</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19</w:t>
            </w:r>
          </w:p>
        </w:tc>
      </w:tr>
    </w:tbl>
    <w:p>
      <w:pPr>
        <w:pStyle w:val="BodyText"/>
        <w:spacing w:line="260" w:lineRule="exact" w:before="0"/>
        <w:ind w:left="324" w:right="1764"/>
        <w:jc w:val="left"/>
      </w:pPr>
      <w:r>
        <w:rPr>
          <w:rFonts w:ascii="宋体" w:hAnsi="宋体" w:cs="宋体" w:eastAsia="宋体" w:hint="default"/>
        </w:rPr>
        <w:t>1.</w:t>
      </w:r>
      <w:r>
        <w:rPr/>
        <w:t>固定资产折旧</w:t>
      </w:r>
    </w:p>
    <w:p>
      <w:pPr>
        <w:pStyle w:val="BodyText"/>
        <w:spacing w:line="273" w:lineRule="auto" w:before="37"/>
        <w:ind w:right="1007" w:firstLine="422"/>
        <w:jc w:val="left"/>
      </w:pPr>
      <w:r>
        <w:rPr/>
        <w:t>固定资产折旧按其入账价值减去预计净残值后在预计使用寿命内计提。对计提了减值准备的固定资</w:t>
      </w:r>
      <w:r>
        <w:rPr>
          <w:w w:val="100"/>
        </w:rPr>
        <w:t> </w:t>
      </w:r>
      <w:r>
        <w:rPr>
          <w:spacing w:val="-2"/>
        </w:rPr>
        <w:t>产，则在未来期间按扣除减值准备后的账面价值及依据尚可使用年限确定折旧额；已提足折旧仍继续使用</w:t>
      </w:r>
      <w:r>
        <w:rPr>
          <w:spacing w:val="-33"/>
        </w:rPr>
        <w:t> </w:t>
      </w:r>
      <w:r>
        <w:rPr>
          <w:spacing w:val="-33"/>
        </w:rPr>
      </w:r>
      <w:r>
        <w:rPr/>
        <w:t>的固定资产不计提折旧。</w:t>
      </w:r>
    </w:p>
    <w:p>
      <w:pPr>
        <w:pStyle w:val="BodyText"/>
        <w:spacing w:line="273" w:lineRule="auto"/>
        <w:ind w:right="1007" w:firstLine="422"/>
        <w:jc w:val="left"/>
      </w:pPr>
      <w:r>
        <w:rPr>
          <w:spacing w:val="-2"/>
        </w:rPr>
        <w:t>公司根据固定资产的性质和使用情况，确定固定资产的使用寿命和预计净残值。并在年度终了，对固</w:t>
      </w:r>
      <w:r>
        <w:rPr>
          <w:w w:val="100"/>
        </w:rPr>
        <w:t> </w:t>
      </w:r>
      <w:r>
        <w:rPr/>
        <w:t>定资产的使用寿命、预计净残值和折旧方法进行复核，如与原先估计数存在差异的，进行相应的调整。</w:t>
      </w:r>
    </w:p>
    <w:p>
      <w:pPr>
        <w:pStyle w:val="BodyText"/>
        <w:spacing w:line="240" w:lineRule="auto"/>
        <w:ind w:left="535" w:right="1764"/>
        <w:jc w:val="left"/>
      </w:pPr>
      <w:r>
        <w:rPr/>
        <w:t>各类固定资产的折旧方法、折旧年限和年折旧率如上：</w:t>
      </w:r>
    </w:p>
    <w:p>
      <w:pPr>
        <w:spacing w:line="240" w:lineRule="auto" w:before="9"/>
        <w:rPr>
          <w:rFonts w:ascii="宋体" w:hAnsi="宋体" w:cs="宋体" w:eastAsia="宋体" w:hint="default"/>
          <w:sz w:val="26"/>
          <w:szCs w:val="26"/>
        </w:rPr>
      </w:pPr>
    </w:p>
    <w:p>
      <w:pPr>
        <w:pStyle w:val="BodyText"/>
        <w:spacing w:line="273" w:lineRule="auto" w:before="0"/>
        <w:ind w:left="473" w:right="1007" w:hanging="149"/>
        <w:jc w:val="left"/>
      </w:pPr>
      <w:r>
        <w:rPr>
          <w:rFonts w:ascii="宋体" w:hAnsi="宋体" w:cs="宋体" w:eastAsia="宋体" w:hint="default"/>
        </w:rPr>
        <w:t>2.</w:t>
      </w:r>
      <w:r>
        <w:rPr/>
        <w:t>固定资产的后续支出</w:t>
      </w:r>
      <w:r>
        <w:rPr>
          <w:w w:val="100"/>
        </w:rPr>
        <w:t> </w:t>
      </w:r>
      <w:r>
        <w:rPr>
          <w:spacing w:val="-2"/>
        </w:rPr>
        <w:t>与固定资产有关的后续支出，符合固定资产确认条件的，计入固定资产成本；不符合固定资产确认条</w:t>
      </w:r>
      <w:r>
        <w:rPr>
          <w:w w:val="100"/>
        </w:rPr>
        <w:t> </w:t>
      </w:r>
      <w:r>
        <w:rPr/>
        <w:t>件的，在发生时计入当期损</w:t>
      </w:r>
    </w:p>
    <w:p>
      <w:pPr>
        <w:pStyle w:val="BodyText"/>
        <w:spacing w:line="240" w:lineRule="auto"/>
        <w:ind w:left="175" w:right="1764"/>
        <w:jc w:val="left"/>
      </w:pPr>
      <w:r>
        <w:rPr/>
        <w:t>益。</w:t>
      </w:r>
    </w:p>
    <w:p>
      <w:pPr>
        <w:pStyle w:val="BodyText"/>
        <w:spacing w:line="273" w:lineRule="auto" w:before="37"/>
        <w:ind w:left="535" w:right="1007" w:hanging="212"/>
        <w:jc w:val="left"/>
      </w:pPr>
      <w:r>
        <w:rPr>
          <w:rFonts w:ascii="宋体" w:hAnsi="宋体" w:cs="宋体" w:eastAsia="宋体" w:hint="default"/>
        </w:rPr>
        <w:t>3.</w:t>
      </w:r>
      <w:r>
        <w:rPr/>
        <w:t>固定资产处置</w:t>
      </w:r>
      <w:r>
        <w:rPr>
          <w:spacing w:val="-102"/>
        </w:rPr>
        <w:t> </w:t>
      </w:r>
      <w:r>
        <w:rPr>
          <w:spacing w:val="-102"/>
        </w:rPr>
      </w:r>
      <w:r>
        <w:rPr>
          <w:spacing w:val="-2"/>
        </w:rPr>
        <w:t>当固定资产被处置、或者预期通过使用或处置不能产生经济利益时，终止确认该固定资产。固定资产</w:t>
      </w:r>
    </w:p>
    <w:p>
      <w:pPr>
        <w:pStyle w:val="BodyText"/>
        <w:spacing w:line="240" w:lineRule="auto"/>
        <w:ind w:right="1764"/>
        <w:jc w:val="left"/>
      </w:pPr>
      <w:r>
        <w:rPr/>
        <w:t>出售、转让、报废或毁损的处置收入扣除其账面价值和相关税费后的金额计入当期损益。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Heading3"/>
        <w:spacing w:line="240" w:lineRule="auto"/>
        <w:ind w:right="1764"/>
        <w:jc w:val="left"/>
        <w:rPr>
          <w:b w:val="0"/>
          <w:bCs w:val="0"/>
        </w:rPr>
      </w:pPr>
      <w:bookmarkStart w:name="（3）融资租入固定资产的认定依据、计价和折旧方法" w:id="197"/>
      <w:bookmarkEnd w:id="197"/>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10"/>
        <w:rPr>
          <w:rFonts w:ascii="宋体" w:hAnsi="宋体" w:cs="宋体" w:eastAsia="宋体" w:hint="default"/>
          <w:b/>
          <w:bCs/>
          <w:sz w:val="26"/>
          <w:szCs w:val="26"/>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当本公司租入的固定资产符合下列一项或数项标准时，确认为融资租入固定资产：</w:t>
      </w:r>
    </w:p>
    <w:p>
      <w:pPr>
        <w:spacing w:before="119"/>
        <w:ind w:left="295" w:right="176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4"/>
          <w:sz w:val="18"/>
          <w:szCs w:val="18"/>
        </w:rPr>
        <w:t> </w:t>
      </w:r>
      <w:r>
        <w:rPr>
          <w:rFonts w:ascii="宋体" w:hAnsi="宋体" w:cs="宋体" w:eastAsia="宋体" w:hint="default"/>
          <w:spacing w:val="-3"/>
          <w:sz w:val="18"/>
          <w:szCs w:val="18"/>
        </w:rPr>
        <w:t>在租赁期届满时，租赁资产的所有权转移给本公司。</w:t>
      </w:r>
    </w:p>
    <w:p>
      <w:pPr>
        <w:spacing w:before="96"/>
        <w:ind w:left="295" w:right="100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本公司有购买租赁资产的选择权，所订立的购买价款预计将远低于行使选择权时租赁资产的公允价值，因而在租赁开</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2"/>
        <w:rPr>
          <w:rFonts w:ascii="宋体" w:hAnsi="宋体" w:cs="宋体" w:eastAsia="宋体" w:hint="default"/>
          <w:sz w:val="23"/>
          <w:szCs w:val="23"/>
        </w:rPr>
      </w:pPr>
    </w:p>
    <w:p>
      <w:pPr>
        <w:spacing w:before="46"/>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始日就可以合理确定本公司将会行使这种选择权。</w:t>
      </w:r>
    </w:p>
    <w:p>
      <w:pPr>
        <w:spacing w:before="115"/>
        <w:ind w:left="295" w:right="176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41"/>
          <w:sz w:val="18"/>
          <w:szCs w:val="18"/>
        </w:rPr>
        <w:t> </w:t>
      </w:r>
      <w:r>
        <w:rPr>
          <w:rFonts w:ascii="宋体" w:hAnsi="宋体" w:cs="宋体" w:eastAsia="宋体" w:hint="default"/>
          <w:spacing w:val="-3"/>
          <w:sz w:val="18"/>
          <w:szCs w:val="18"/>
        </w:rPr>
        <w:t>即使资产的所有权不转移，但租赁期占租赁资产使用寿命的大部分。</w:t>
      </w:r>
    </w:p>
    <w:p>
      <w:pPr>
        <w:spacing w:before="106"/>
        <w:ind w:left="295" w:right="176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本公司在租赁开始日的最低租赁付款额现值，几乎相当于租赁开始日租赁资产公允价值。</w:t>
      </w:r>
    </w:p>
    <w:p>
      <w:pPr>
        <w:spacing w:line="324" w:lineRule="auto" w:before="102"/>
        <w:ind w:left="113" w:right="1007" w:firstLine="182"/>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4"/>
          <w:sz w:val="18"/>
          <w:szCs w:val="18"/>
        </w:rPr>
        <w:t> </w:t>
      </w:r>
      <w:r>
        <w:rPr>
          <w:rFonts w:ascii="宋体" w:hAnsi="宋体" w:cs="宋体" w:eastAsia="宋体" w:hint="default"/>
          <w:spacing w:val="-3"/>
          <w:sz w:val="18"/>
          <w:szCs w:val="18"/>
        </w:rPr>
        <w:t>租赁资产性质特殊，如果不作较大改造，只有本公司才能使用。</w:t>
      </w:r>
      <w:r>
        <w:rPr>
          <w:rFonts w:ascii="宋体" w:hAnsi="宋体" w:cs="宋体" w:eastAsia="宋体" w:hint="default"/>
          <w:w w:val="101"/>
          <w:sz w:val="18"/>
          <w:szCs w:val="18"/>
        </w:rPr>
        <w:t> </w:t>
      </w:r>
      <w:r>
        <w:rPr>
          <w:rFonts w:ascii="宋体" w:hAnsi="宋体" w:cs="宋体" w:eastAsia="宋体" w:hint="default"/>
          <w:spacing w:val="-4"/>
          <w:sz w:val="18"/>
          <w:szCs w:val="18"/>
        </w:rPr>
        <w:t>融资租赁租入的固定资产，按租赁开始日租赁资产公允价值与最低租赁付款额的现值两者中较低者，作为入账价值。最低租</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4"/>
          <w:sz w:val="18"/>
          <w:szCs w:val="18"/>
        </w:rPr>
        <w:t>赁付款额作为长期应付款的入账价值，其差额作为未确认融资费用。在租赁谈判和签订租赁合同过程中发生的，可归属于租</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4"/>
          <w:sz w:val="18"/>
          <w:szCs w:val="18"/>
        </w:rPr>
        <w:t>赁项目的手续费、律师费、差旅费、印花税等初始直接费用，计入租入资产价值。未确认融资费用在租赁期内各个期间采用</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实际利率法进行分摊。</w:t>
      </w:r>
    </w:p>
    <w:p>
      <w:pPr>
        <w:spacing w:line="319" w:lineRule="auto" w:before="52"/>
        <w:ind w:left="113" w:right="1123" w:firstLine="0"/>
        <w:jc w:val="both"/>
        <w:rPr>
          <w:rFonts w:ascii="宋体" w:hAnsi="宋体" w:cs="宋体" w:eastAsia="宋体" w:hint="default"/>
          <w:sz w:val="18"/>
          <w:szCs w:val="18"/>
        </w:rPr>
      </w:pPr>
      <w:r>
        <w:rPr>
          <w:rFonts w:ascii="宋体" w:hAnsi="宋体" w:cs="宋体" w:eastAsia="宋体" w:hint="default"/>
          <w:spacing w:val="-4"/>
          <w:w w:val="101"/>
          <w:sz w:val="18"/>
          <w:szCs w:val="18"/>
        </w:rPr>
        <w:t>本公司采用与自有固定资产相一致的折旧政策计提融资租入固定资产折旧。能够合理确定租赁期届满时取得租赁资产所有权</w:t>
      </w:r>
      <w:r>
        <w:rPr>
          <w:rFonts w:ascii="宋体" w:hAnsi="宋体" w:cs="宋体" w:eastAsia="宋体" w:hint="default"/>
          <w:w w:val="101"/>
          <w:sz w:val="18"/>
          <w:szCs w:val="18"/>
        </w:rPr>
        <w:t> </w:t>
      </w:r>
      <w:r>
        <w:rPr>
          <w:rFonts w:ascii="宋体" w:hAnsi="宋体" w:cs="宋体" w:eastAsia="宋体" w:hint="default"/>
          <w:spacing w:val="-4"/>
          <w:sz w:val="18"/>
          <w:szCs w:val="18"/>
        </w:rPr>
        <w:t>的，在租赁资产使用寿命内计提折旧。无法合理确定租赁期届满时能够取得租赁资产所有权的，在租赁期与租赁资产使用寿</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命两者中较短的期间内计提折旧。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Heading3"/>
        <w:spacing w:line="240" w:lineRule="auto"/>
        <w:ind w:right="1764"/>
        <w:jc w:val="left"/>
        <w:rPr>
          <w:b w:val="0"/>
          <w:bCs w:val="0"/>
        </w:rPr>
      </w:pPr>
      <w:bookmarkStart w:name="25、在建工程" w:id="198"/>
      <w:bookmarkEnd w:id="198"/>
      <w:r>
        <w:rPr>
          <w:b w:val="0"/>
          <w:bCs w:val="0"/>
        </w:rPr>
      </w:r>
      <w:r>
        <w:rPr>
          <w:rFonts w:ascii="Times New Roman" w:hAnsi="Times New Roman" w:cs="Times New Roman" w:eastAsia="Times New Roman" w:hint="default"/>
        </w:rPr>
        <w:t>25</w:t>
      </w:r>
      <w:r>
        <w:rPr/>
        <w:t>、在建工程</w:t>
      </w:r>
      <w:r>
        <w:rPr>
          <w:b w:val="0"/>
          <w:bCs w:val="0"/>
        </w:rPr>
      </w:r>
    </w:p>
    <w:p>
      <w:pPr>
        <w:spacing w:line="240" w:lineRule="auto" w:before="10"/>
        <w:rPr>
          <w:rFonts w:ascii="宋体" w:hAnsi="宋体" w:cs="宋体" w:eastAsia="宋体" w:hint="default"/>
          <w:b/>
          <w:bCs/>
          <w:sz w:val="24"/>
          <w:szCs w:val="24"/>
        </w:rPr>
      </w:pPr>
    </w:p>
    <w:p>
      <w:pPr>
        <w:spacing w:line="273" w:lineRule="auto" w:before="0"/>
        <w:ind w:left="535" w:right="1007" w:hanging="423"/>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）在建工程初始计量</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本公司自行建造的在建工程按实际成本计价，实际成本由建造该项资产达到预定可使用状态前所发生</w:t>
      </w:r>
    </w:p>
    <w:p>
      <w:pPr>
        <w:pStyle w:val="BodyText"/>
        <w:spacing w:line="273" w:lineRule="auto"/>
        <w:ind w:right="1126"/>
        <w:jc w:val="both"/>
      </w:pPr>
      <w:r>
        <w:rPr>
          <w:spacing w:val="-2"/>
        </w:rPr>
        <w:t>的必要支出构成，包括工程用物资成本、人工成本、交纳的相关税费、应予资本化的借款费用以及应分摊</w:t>
      </w:r>
      <w:r>
        <w:rPr>
          <w:spacing w:val="-33"/>
        </w:rPr>
        <w:t> </w:t>
      </w:r>
      <w:r>
        <w:rPr>
          <w:spacing w:val="-33"/>
        </w:rPr>
      </w:r>
      <w:r>
        <w:rPr/>
        <w:t>的间接费用等。</w:t>
      </w:r>
    </w:p>
    <w:p>
      <w:pPr>
        <w:spacing w:line="273" w:lineRule="auto" w:before="8"/>
        <w:ind w:left="535" w:right="1007" w:hanging="423"/>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）在建工程结转为固定资产的标准和时点</w:t>
      </w:r>
      <w:r>
        <w:rPr>
          <w:rFonts w:ascii="宋体" w:hAnsi="宋体" w:cs="宋体" w:eastAsia="宋体" w:hint="default"/>
          <w:b/>
          <w:bCs/>
          <w:w w:val="100"/>
          <w:sz w:val="21"/>
          <w:szCs w:val="21"/>
        </w:rPr>
        <w:t> </w:t>
      </w:r>
      <w:r>
        <w:rPr>
          <w:rFonts w:ascii="宋体" w:hAnsi="宋体" w:cs="宋体" w:eastAsia="宋体" w:hint="default"/>
          <w:spacing w:val="-2"/>
          <w:sz w:val="21"/>
          <w:szCs w:val="21"/>
        </w:rPr>
        <w:t>在建工程项目按建造该项资产达到预定可使用状态前所发生的全部支出，作为固定资产的入账价值。</w:t>
      </w:r>
    </w:p>
    <w:p>
      <w:pPr>
        <w:pStyle w:val="BodyText"/>
        <w:spacing w:line="273" w:lineRule="auto"/>
        <w:ind w:right="1125"/>
        <w:jc w:val="both"/>
      </w:pPr>
      <w:r>
        <w:rPr>
          <w:spacing w:val="-2"/>
        </w:rPr>
        <w:t>所建造的在建工程已达到预定可使用状态，但尚未办理竣工决算的，自达到预定可使用状态之日起，根据</w:t>
      </w:r>
      <w:r>
        <w:rPr>
          <w:spacing w:val="-33"/>
        </w:rPr>
        <w:t> </w:t>
      </w:r>
      <w:r>
        <w:rPr>
          <w:spacing w:val="-33"/>
        </w:rPr>
      </w:r>
      <w:r>
        <w:rPr>
          <w:spacing w:val="-2"/>
        </w:rPr>
        <w:t>工程预算、造价或者工程实际成本等，按估计的价值转入固定资产，并按本公司固定资产折旧政策计提固</w:t>
      </w:r>
      <w:r>
        <w:rPr>
          <w:spacing w:val="-33"/>
        </w:rPr>
        <w:t> </w:t>
      </w:r>
      <w:r>
        <w:rPr>
          <w:spacing w:val="-33"/>
        </w:rPr>
      </w:r>
      <w:r>
        <w:rPr/>
        <w:t>定资产的折旧，待办理竣工决算后，再按实际成本调整原来的暂估价值，但不调整原已计提的折旧额。</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3"/>
        <w:spacing w:line="240" w:lineRule="auto"/>
        <w:ind w:right="1764"/>
        <w:jc w:val="left"/>
        <w:rPr>
          <w:b w:val="0"/>
          <w:bCs w:val="0"/>
        </w:rPr>
      </w:pPr>
      <w:bookmarkStart w:name="26、借款费用" w:id="199"/>
      <w:bookmarkEnd w:id="199"/>
      <w:r>
        <w:rPr>
          <w:b w:val="0"/>
          <w:bCs w:val="0"/>
        </w:rPr>
      </w:r>
      <w:r>
        <w:rPr>
          <w:rFonts w:ascii="Times New Roman" w:hAnsi="Times New Roman" w:cs="Times New Roman" w:eastAsia="Times New Roman" w:hint="default"/>
        </w:rPr>
        <w:t>26</w:t>
      </w:r>
      <w:r>
        <w:rPr/>
        <w:t>、借款费用</w:t>
      </w:r>
      <w:r>
        <w:rPr>
          <w:b w:val="0"/>
          <w:bCs w:val="0"/>
        </w:rPr>
      </w:r>
    </w:p>
    <w:p>
      <w:pPr>
        <w:spacing w:line="240" w:lineRule="auto" w:before="10"/>
        <w:rPr>
          <w:rFonts w:ascii="宋体" w:hAnsi="宋体" w:cs="宋体" w:eastAsia="宋体" w:hint="default"/>
          <w:b/>
          <w:bCs/>
          <w:sz w:val="24"/>
          <w:szCs w:val="24"/>
        </w:rPr>
      </w:pPr>
    </w:p>
    <w:p>
      <w:pPr>
        <w:spacing w:line="273" w:lineRule="auto" w:before="0"/>
        <w:ind w:left="535" w:right="1007"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spacing w:val="-102"/>
          <w:sz w:val="21"/>
          <w:szCs w:val="21"/>
        </w:rPr>
        <w:t> </w:t>
      </w:r>
      <w:r>
        <w:rPr>
          <w:rFonts w:ascii="宋体" w:hAnsi="宋体" w:cs="宋体" w:eastAsia="宋体" w:hint="default"/>
          <w:spacing w:val="-2"/>
          <w:sz w:val="21"/>
          <w:szCs w:val="21"/>
        </w:rPr>
        <w:t>本公司发生的借款费用，可直接归属于符合资本化条件的资产的购建或者生产的，予以资本化，计入</w:t>
      </w:r>
    </w:p>
    <w:p>
      <w:pPr>
        <w:pStyle w:val="BodyText"/>
        <w:spacing w:line="273" w:lineRule="auto" w:before="8"/>
        <w:ind w:left="535" w:right="1007" w:hanging="423"/>
        <w:jc w:val="left"/>
      </w:pPr>
      <w:r>
        <w:rPr/>
        <w:t>相关资产成本；其他借款费用，在发生时根据其发生额确认为费用，计入当期损益。</w:t>
      </w:r>
      <w:r>
        <w:rPr>
          <w:w w:val="100"/>
        </w:rPr>
        <w:t> </w:t>
      </w:r>
      <w:r>
        <w:rPr>
          <w:spacing w:val="-2"/>
        </w:rPr>
        <w:t>符合资本化条件的资产，是指需要经过相当长时间的购建或者生产活动才能达到预定可使用或者可销</w:t>
      </w:r>
    </w:p>
    <w:p>
      <w:pPr>
        <w:pStyle w:val="BodyText"/>
        <w:spacing w:line="273" w:lineRule="auto"/>
        <w:ind w:left="535" w:right="5762" w:hanging="423"/>
        <w:jc w:val="left"/>
      </w:pPr>
      <w:r>
        <w:rPr>
          <w:spacing w:val="-2"/>
        </w:rPr>
        <w:t>售状态的固定资产、投资性房地产和存货等资产。</w:t>
      </w:r>
      <w:r>
        <w:rPr>
          <w:spacing w:val="-60"/>
        </w:rPr>
        <w:t> </w:t>
      </w:r>
      <w:r>
        <w:rPr>
          <w:spacing w:val="-60"/>
        </w:rPr>
      </w:r>
      <w:r>
        <w:rPr/>
        <w:t>借款费用同时满足下列条件时开始资本化：</w:t>
      </w:r>
    </w:p>
    <w:p>
      <w:pPr>
        <w:pStyle w:val="BodyText"/>
        <w:spacing w:line="256" w:lineRule="auto"/>
        <w:ind w:right="1007" w:firstLine="422"/>
        <w:jc w:val="left"/>
      </w:pPr>
      <w:r>
        <w:rPr>
          <w:spacing w:val="-2"/>
        </w:rPr>
        <w:t>（</w:t>
      </w:r>
      <w:r>
        <w:rPr>
          <w:rFonts w:ascii="Times New Roman" w:hAnsi="Times New Roman" w:cs="Times New Roman" w:eastAsia="Times New Roman" w:hint="default"/>
          <w:spacing w:val="-2"/>
        </w:rPr>
        <w:t>1</w:t>
      </w:r>
      <w:r>
        <w:rPr>
          <w:spacing w:val="-2"/>
        </w:rPr>
        <w:t>）资产支出已经发生，资产支出包括为购建或者生产符合资本化条件的资产而以支付现金、转移</w:t>
      </w:r>
      <w:r>
        <w:rPr>
          <w:w w:val="100"/>
        </w:rPr>
        <w:t> </w:t>
      </w:r>
      <w:r>
        <w:rPr/>
        <w:t>非现金资产或者承担带息债务形式发生的支出；</w:t>
      </w:r>
    </w:p>
    <w:p>
      <w:pPr>
        <w:pStyle w:val="BodyText"/>
        <w:spacing w:line="240" w:lineRule="auto" w:before="22"/>
        <w:ind w:left="535" w:right="1764"/>
        <w:jc w:val="left"/>
      </w:pPr>
      <w:r>
        <w:rPr/>
        <w:t>（</w:t>
      </w:r>
      <w:r>
        <w:rPr>
          <w:rFonts w:ascii="Times New Roman" w:hAnsi="Times New Roman" w:cs="Times New Roman" w:eastAsia="Times New Roman" w:hint="default"/>
        </w:rPr>
        <w:t>2</w:t>
      </w:r>
      <w:r>
        <w:rPr/>
        <w:t>）借款费用已经发生；</w:t>
      </w:r>
    </w:p>
    <w:p>
      <w:pPr>
        <w:pStyle w:val="BodyText"/>
        <w:spacing w:line="264" w:lineRule="auto" w:before="21"/>
        <w:ind w:left="535" w:right="1007"/>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r>
        <w:rPr>
          <w:w w:val="100"/>
        </w:rPr>
        <w:t> </w:t>
      </w:r>
      <w:r>
        <w:rPr>
          <w:rFonts w:ascii="宋体" w:hAnsi="宋体" w:cs="宋体" w:eastAsia="宋体" w:hint="default"/>
          <w:b/>
          <w:bCs/>
        </w:rPr>
        <w:t>2.</w:t>
      </w:r>
      <w:r>
        <w:rPr>
          <w:rFonts w:ascii="宋体" w:hAnsi="宋体" w:cs="宋体" w:eastAsia="宋体" w:hint="default"/>
          <w:b/>
          <w:bCs/>
        </w:rPr>
        <w:t>借款费用资本化期间</w:t>
      </w:r>
      <w:r>
        <w:rPr>
          <w:rFonts w:ascii="宋体" w:hAnsi="宋体" w:cs="宋体" w:eastAsia="宋体" w:hint="default"/>
          <w:b/>
          <w:bCs/>
          <w:spacing w:val="-103"/>
        </w:rPr>
        <w:t> </w:t>
      </w:r>
      <w:r>
        <w:rPr>
          <w:spacing w:val="-2"/>
        </w:rPr>
        <w:t>资本化期间，指从借款费用开始资本化时点到停止资本化时点的期间，借款费用暂停资本化的期间不</w:t>
      </w:r>
    </w:p>
    <w:p>
      <w:pPr>
        <w:pStyle w:val="BodyText"/>
        <w:spacing w:line="240" w:lineRule="auto" w:before="16"/>
        <w:ind w:right="1764"/>
        <w:jc w:val="left"/>
      </w:pPr>
      <w:r>
        <w:rPr/>
        <w:t>包括在内。</w:t>
      </w:r>
    </w:p>
    <w:p>
      <w:pPr>
        <w:pStyle w:val="BodyText"/>
        <w:spacing w:line="273" w:lineRule="auto" w:before="37"/>
        <w:ind w:left="535" w:right="1007"/>
        <w:jc w:val="left"/>
      </w:pPr>
      <w:r>
        <w:rPr/>
        <w:t>当购建或者生产符合资本化条件的资产达到预定可使用或者可销售状态时，借款费用停止资本化。</w:t>
      </w:r>
      <w:r>
        <w:rPr>
          <w:w w:val="100"/>
        </w:rPr>
        <w:t> </w:t>
      </w:r>
      <w:r>
        <w:rPr>
          <w:spacing w:val="-2"/>
        </w:rPr>
        <w:t>当购建或者生产符合资本化条件的资产中部分项目分别完工且可单独使用时，该部分资产借款费用停</w:t>
      </w:r>
    </w:p>
    <w:p>
      <w:pPr>
        <w:pStyle w:val="BodyText"/>
        <w:spacing w:line="240" w:lineRule="auto"/>
        <w:ind w:right="1764"/>
        <w:jc w:val="left"/>
      </w:pPr>
      <w:r>
        <w:rPr/>
        <w:t>止资本化。</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73" w:lineRule="auto" w:before="36"/>
        <w:ind w:right="1125" w:firstLine="422"/>
        <w:jc w:val="both"/>
      </w:pPr>
      <w:r>
        <w:rPr>
          <w:spacing w:val="-2"/>
        </w:rPr>
        <w:t>购建或者生产的资产的各部分分别完工，但必须等到整体完工后才可使用或可对外销售的，在该资产</w:t>
      </w:r>
      <w:r>
        <w:rPr>
          <w:w w:val="100"/>
        </w:rPr>
        <w:t> </w:t>
      </w:r>
      <w:r>
        <w:rPr/>
        <w:t>整体完工时停止借款费用资本化。</w:t>
      </w:r>
    </w:p>
    <w:p>
      <w:pPr>
        <w:pStyle w:val="BodyText"/>
        <w:spacing w:line="273" w:lineRule="auto"/>
        <w:ind w:left="535" w:right="1007"/>
        <w:jc w:val="left"/>
      </w:pPr>
      <w:r>
        <w:rPr>
          <w:rFonts w:ascii="宋体" w:hAnsi="宋体" w:cs="宋体" w:eastAsia="宋体" w:hint="default"/>
          <w:b/>
          <w:bCs/>
        </w:rPr>
        <w:t>3.</w:t>
      </w:r>
      <w:r>
        <w:rPr>
          <w:rFonts w:ascii="宋体" w:hAnsi="宋体" w:cs="宋体" w:eastAsia="宋体" w:hint="default"/>
          <w:b/>
          <w:bCs/>
        </w:rPr>
        <w:t>暂停资本化期间</w:t>
      </w:r>
      <w:r>
        <w:rPr>
          <w:rFonts w:ascii="宋体" w:hAnsi="宋体" w:cs="宋体" w:eastAsia="宋体" w:hint="default"/>
          <w:b/>
          <w:bCs/>
          <w:spacing w:val="-104"/>
        </w:rPr>
        <w:t> </w:t>
      </w: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个月的，则借</w:t>
      </w:r>
    </w:p>
    <w:p>
      <w:pPr>
        <w:pStyle w:val="BodyText"/>
        <w:spacing w:line="273" w:lineRule="auto" w:before="0"/>
        <w:ind w:right="1125"/>
        <w:jc w:val="both"/>
      </w:pPr>
      <w:r>
        <w:rPr>
          <w:spacing w:val="-2"/>
        </w:rPr>
        <w:t>款费用暂停资本化；该项中断如是所购建或生产的符合资本化条件的资产达到预定可使用状态或者可销售</w:t>
      </w:r>
      <w:r>
        <w:rPr>
          <w:spacing w:val="-33"/>
        </w:rPr>
        <w:t> </w:t>
      </w:r>
      <w:r>
        <w:rPr>
          <w:spacing w:val="-33"/>
        </w:rPr>
      </w:r>
      <w:r>
        <w:rPr>
          <w:spacing w:val="-2"/>
        </w:rPr>
        <w:t>状态必要的程序，则借款费用继续资本化。在中断期间发生的借款费用确认为当期损益，直至资产的购建</w:t>
      </w:r>
      <w:r>
        <w:rPr>
          <w:spacing w:val="-33"/>
        </w:rPr>
        <w:t> </w:t>
      </w:r>
      <w:r>
        <w:rPr>
          <w:spacing w:val="-33"/>
        </w:rPr>
      </w:r>
      <w:r>
        <w:rPr/>
        <w:t>或者生产活动重新开始后借款费用继续资本化。</w:t>
      </w:r>
    </w:p>
    <w:p>
      <w:pPr>
        <w:spacing w:line="273" w:lineRule="auto" w:before="7"/>
        <w:ind w:left="535" w:right="1007"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spacing w:val="-101"/>
          <w:sz w:val="21"/>
          <w:szCs w:val="21"/>
        </w:rPr>
        <w:t> </w:t>
      </w:r>
      <w:r>
        <w:rPr>
          <w:rFonts w:ascii="宋体" w:hAnsi="宋体" w:cs="宋体" w:eastAsia="宋体" w:hint="default"/>
          <w:spacing w:val="-2"/>
          <w:sz w:val="21"/>
          <w:szCs w:val="21"/>
        </w:rPr>
        <w:t>专门借款的利息费用（扣除尚未动用的借款资金存入银行取得的利息收入或者进行暂时性投资取得的</w:t>
      </w:r>
    </w:p>
    <w:p>
      <w:pPr>
        <w:pStyle w:val="BodyText"/>
        <w:spacing w:line="273" w:lineRule="auto" w:before="8"/>
        <w:ind w:right="1007"/>
        <w:jc w:val="left"/>
      </w:pPr>
      <w:r>
        <w:rPr>
          <w:spacing w:val="-2"/>
        </w:rPr>
        <w:t>投资收益）及其辅助费用在所购建或者生产的符合资本化条件的资产达到预定可使用或者可销售状态前，</w:t>
      </w:r>
      <w:r>
        <w:rPr>
          <w:spacing w:val="-11"/>
        </w:rPr>
        <w:t> </w:t>
      </w:r>
      <w:r>
        <w:rPr>
          <w:spacing w:val="-11"/>
        </w:rPr>
      </w:r>
      <w:r>
        <w:rPr/>
        <w:t>予以资本化。</w:t>
      </w:r>
    </w:p>
    <w:p>
      <w:pPr>
        <w:pStyle w:val="BodyText"/>
        <w:spacing w:line="273" w:lineRule="auto"/>
        <w:ind w:right="1126" w:firstLine="422"/>
        <w:jc w:val="both"/>
      </w:pPr>
      <w:r>
        <w:rPr>
          <w:spacing w:val="-2"/>
        </w:rPr>
        <w:t>根据累计资产支出超过专门借款部分的资产支出加权平均数乘以所占用一般借款的资本化率，计算确</w:t>
      </w:r>
      <w:r>
        <w:rPr>
          <w:w w:val="100"/>
        </w:rPr>
        <w:t> </w:t>
      </w:r>
      <w:r>
        <w:rPr/>
        <w:t>定一般借款应予资本化的利息金额。资本化率根据一般借款加权平均利率计算确定。</w:t>
      </w:r>
    </w:p>
    <w:p>
      <w:pPr>
        <w:pStyle w:val="BodyText"/>
        <w:spacing w:line="273" w:lineRule="auto"/>
        <w:ind w:right="1125" w:firstLine="422"/>
        <w:jc w:val="both"/>
      </w:pPr>
      <w:r>
        <w:rPr>
          <w:spacing w:val="-2"/>
        </w:rPr>
        <w:t>借款存在折价或者溢价的，按照实际利率法确定每一会计期间应摊销的折价或者溢价金额，调整每期</w:t>
      </w:r>
      <w:r>
        <w:rPr>
          <w:w w:val="100"/>
        </w:rPr>
        <w:t> </w:t>
      </w:r>
      <w:r>
        <w:rPr/>
        <w:t>利息金额。</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3"/>
        <w:spacing w:line="240" w:lineRule="auto"/>
        <w:ind w:right="0"/>
        <w:jc w:val="both"/>
        <w:rPr>
          <w:b w:val="0"/>
          <w:bCs w:val="0"/>
        </w:rPr>
      </w:pPr>
      <w:bookmarkStart w:name="27、生物资产" w:id="200"/>
      <w:bookmarkEnd w:id="200"/>
      <w:r>
        <w:rPr>
          <w:b w:val="0"/>
          <w:bCs w:val="0"/>
        </w:rPr>
      </w:r>
      <w:r>
        <w:rPr>
          <w:rFonts w:ascii="Times New Roman" w:hAnsi="Times New Roman" w:cs="Times New Roman" w:eastAsia="Times New Roman" w:hint="default"/>
        </w:rPr>
        <w:t>27</w:t>
      </w:r>
      <w:r>
        <w:rPr/>
        <w:t>、生物资产</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both"/>
        <w:rPr>
          <w:b w:val="0"/>
          <w:bCs w:val="0"/>
        </w:rPr>
      </w:pPr>
      <w:bookmarkStart w:name="28、油气资产" w:id="201"/>
      <w:bookmarkEnd w:id="201"/>
      <w:r>
        <w:rPr>
          <w:b w:val="0"/>
          <w:bCs w:val="0"/>
        </w:rPr>
      </w:r>
      <w:r>
        <w:rPr>
          <w:rFonts w:ascii="Times New Roman" w:hAnsi="Times New Roman" w:cs="Times New Roman" w:eastAsia="Times New Roman" w:hint="default"/>
        </w:rPr>
        <w:t>28</w:t>
      </w:r>
      <w:r>
        <w:rPr/>
        <w:t>、油气资产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29、使用权资产" w:id="202"/>
      <w:bookmarkEnd w:id="202"/>
      <w:r>
        <w:rPr>
          <w:b w:val="0"/>
          <w:bCs w:val="0"/>
        </w:rPr>
      </w:r>
      <w:r>
        <w:rPr>
          <w:rFonts w:ascii="Times New Roman" w:hAnsi="Times New Roman" w:cs="Times New Roman" w:eastAsia="Times New Roman" w:hint="default"/>
        </w:rPr>
        <w:t>29</w:t>
      </w:r>
      <w:r>
        <w:rPr/>
        <w:t>、使用权资产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30、无形资产" w:id="203"/>
      <w:bookmarkEnd w:id="203"/>
      <w:r>
        <w:rPr>
          <w:b w:val="0"/>
          <w:bCs w:val="0"/>
        </w:rPr>
      </w:r>
      <w:r>
        <w:rPr>
          <w:rFonts w:ascii="Times New Roman" w:hAnsi="Times New Roman" w:cs="Times New Roman" w:eastAsia="Times New Roman" w:hint="default"/>
        </w:rPr>
        <w:t>30</w:t>
      </w:r>
      <w:r>
        <w:rPr/>
        <w:t>、无形资产</w:t>
      </w:r>
      <w:r>
        <w:rPr>
          <w:b w:val="0"/>
          <w:bCs w:val="0"/>
        </w:rPr>
      </w:r>
    </w:p>
    <w:p>
      <w:pPr>
        <w:spacing w:line="590" w:lineRule="atLeast" w:before="25"/>
        <w:ind w:left="324" w:right="1007" w:hanging="212"/>
        <w:jc w:val="left"/>
        <w:rPr>
          <w:rFonts w:ascii="宋体" w:hAnsi="宋体" w:cs="宋体" w:eastAsia="宋体" w:hint="default"/>
          <w:sz w:val="21"/>
          <w:szCs w:val="21"/>
        </w:rPr>
      </w:pPr>
      <w:bookmarkStart w:name="（1）计价方法、使用寿命、减值测试" w:id="204"/>
      <w:bookmarkEnd w:id="2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100"/>
          <w:sz w:val="21"/>
          <w:szCs w:val="21"/>
        </w:rPr>
        <w:t> </w:t>
      </w:r>
      <w:r>
        <w:rPr>
          <w:rFonts w:ascii="宋体" w:hAnsi="宋体" w:cs="宋体" w:eastAsia="宋体" w:hint="default"/>
          <w:spacing w:val="-2"/>
          <w:sz w:val="21"/>
          <w:szCs w:val="21"/>
        </w:rPr>
        <w:t>无形资产是指本公司拥有或者控制的没有实物形态的可辨认非货币性资产，包括土地使用权，非专利技</w:t>
      </w:r>
    </w:p>
    <w:p>
      <w:pPr>
        <w:spacing w:line="273" w:lineRule="auto" w:before="37"/>
        <w:ind w:left="113" w:right="8853" w:firstLine="0"/>
        <w:jc w:val="left"/>
        <w:rPr>
          <w:rFonts w:ascii="宋体" w:hAnsi="宋体" w:cs="宋体" w:eastAsia="宋体" w:hint="default"/>
          <w:sz w:val="21"/>
          <w:szCs w:val="21"/>
        </w:rPr>
      </w:pPr>
      <w:r>
        <w:rPr>
          <w:rFonts w:ascii="宋体" w:hAnsi="宋体" w:cs="宋体" w:eastAsia="宋体" w:hint="default"/>
          <w:sz w:val="21"/>
          <w:szCs w:val="21"/>
        </w:rPr>
        <w:t>术，软件平台。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b/>
          <w:bCs/>
          <w:sz w:val="21"/>
          <w:szCs w:val="21"/>
        </w:rPr>
        <w:t>无形资产的初始计量</w:t>
      </w:r>
      <w:r>
        <w:rPr>
          <w:rFonts w:ascii="宋体" w:hAnsi="宋体" w:cs="宋体" w:eastAsia="宋体" w:hint="default"/>
          <w:sz w:val="21"/>
          <w:szCs w:val="21"/>
        </w:rPr>
      </w:r>
    </w:p>
    <w:p>
      <w:pPr>
        <w:pStyle w:val="BodyText"/>
        <w:spacing w:line="273" w:lineRule="auto" w:before="8"/>
        <w:ind w:right="1121" w:firstLine="422"/>
        <w:jc w:val="both"/>
      </w:pPr>
      <w:r>
        <w:rPr>
          <w:spacing w:val="-2"/>
        </w:rPr>
        <w:t>外购无形资产的成本，包括购买价款、相关税费以及直接归属于使该项资产达到预定用途所发生的其</w:t>
      </w:r>
      <w:r>
        <w:rPr>
          <w:w w:val="100"/>
        </w:rPr>
        <w:t> </w:t>
      </w:r>
      <w:r>
        <w:rPr>
          <w:spacing w:val="-2"/>
        </w:rPr>
        <w:t>他支出。购买无形资产的价款超过正常信用条件延期支付，实质上具有融资性质的，无形资产的成本以购</w:t>
      </w:r>
      <w:r>
        <w:rPr>
          <w:spacing w:val="-33"/>
        </w:rPr>
        <w:t> </w:t>
      </w:r>
      <w:r>
        <w:rPr>
          <w:spacing w:val="-33"/>
        </w:rPr>
      </w:r>
      <w:r>
        <w:rPr/>
        <w:t>买价款的现值为基础确定。</w:t>
      </w:r>
    </w:p>
    <w:p>
      <w:pPr>
        <w:pStyle w:val="BodyText"/>
        <w:spacing w:line="273" w:lineRule="auto"/>
        <w:ind w:right="1125" w:firstLine="422"/>
        <w:jc w:val="both"/>
      </w:pPr>
      <w:r>
        <w:rPr>
          <w:spacing w:val="-2"/>
        </w:rPr>
        <w:t>债务重组取得债务人用以抵债的无形资产，以该无形资产的公允价值为基础确定其入账价值，并将重</w:t>
      </w:r>
      <w:r>
        <w:rPr>
          <w:w w:val="100"/>
        </w:rPr>
        <w:t> </w:t>
      </w:r>
      <w:r>
        <w:rPr/>
        <w:t>组债务的账面价值与该用以抵债的无形资产公允价值之间的差额，计入当期损益。</w:t>
      </w:r>
    </w:p>
    <w:p>
      <w:pPr>
        <w:pStyle w:val="BodyText"/>
        <w:spacing w:line="273" w:lineRule="auto"/>
        <w:ind w:right="1122" w:firstLine="422"/>
        <w:jc w:val="both"/>
      </w:pPr>
      <w:r>
        <w:rPr>
          <w:spacing w:val="-2"/>
        </w:rPr>
        <w:t>在非货币性资产交换具备商业实质且换入资产或换出资产的公允价值能够可靠计量的前提下，非货币</w:t>
      </w:r>
      <w:r>
        <w:rPr>
          <w:w w:val="100"/>
        </w:rPr>
        <w:t> </w:t>
      </w:r>
      <w:r>
        <w:rPr>
          <w:spacing w:val="-2"/>
        </w:rPr>
        <w:t>性资产交换换入的无形资产以换出资产的公允价值为基础确定其入账价值，除非有确凿证据表明换入资产</w:t>
      </w:r>
      <w:r>
        <w:rPr>
          <w:spacing w:val="-33"/>
        </w:rPr>
        <w:t> </w:t>
      </w:r>
      <w:r>
        <w:rPr>
          <w:spacing w:val="-33"/>
        </w:rPr>
      </w:r>
      <w:r>
        <w:rPr>
          <w:spacing w:val="-2"/>
        </w:rPr>
        <w:t>的公允价值更加可靠；不满足上述前提的非货币性资产交换，以换出资产的账面价值和应支付的相关税费</w:t>
      </w:r>
      <w:r>
        <w:rPr>
          <w:spacing w:val="-33"/>
        </w:rPr>
        <w:t> </w:t>
      </w:r>
      <w:r>
        <w:rPr>
          <w:spacing w:val="-33"/>
        </w:rPr>
      </w:r>
      <w:r>
        <w:rPr/>
        <w:t>作为换入无形资产的成本，不确认损益。</w:t>
      </w:r>
    </w:p>
    <w:p>
      <w:pPr>
        <w:pStyle w:val="BodyText"/>
        <w:spacing w:line="273" w:lineRule="auto"/>
        <w:ind w:right="1126" w:firstLine="422"/>
        <w:jc w:val="both"/>
      </w:pPr>
      <w:r>
        <w:rPr>
          <w:spacing w:val="-2"/>
        </w:rPr>
        <w:t>以同一控制下的企业吸收合并方式取得的无形资产按被合并方的账面价值确定其入账价值；以非同一</w:t>
      </w:r>
      <w:r>
        <w:rPr>
          <w:w w:val="100"/>
        </w:rPr>
        <w:t> </w:t>
      </w:r>
      <w:r>
        <w:rPr/>
        <w:t>控制下的企业吸收合并方式取得的无形资产按公允价值确定其入账价值。</w:t>
      </w:r>
    </w:p>
    <w:p>
      <w:pPr>
        <w:pStyle w:val="BodyText"/>
        <w:spacing w:line="273" w:lineRule="auto" w:before="8"/>
        <w:ind w:right="1124" w:firstLine="422"/>
        <w:jc w:val="both"/>
      </w:pPr>
      <w:r>
        <w:rPr>
          <w:spacing w:val="-2"/>
        </w:rPr>
        <w:t>内部自行开发的无形资产，其成本包括：开发该无形资产时耗用的材料、劳务成本、注册费、在开发</w:t>
      </w:r>
      <w:r>
        <w:rPr>
          <w:w w:val="100"/>
        </w:rPr>
        <w:t> </w:t>
      </w:r>
      <w:r>
        <w:rPr>
          <w:spacing w:val="-2"/>
        </w:rPr>
        <w:t>过程中使用的其他专利权和特许权的摊销以及满足资本化条件的利息费用，以及为使该无形资产达到预定</w:t>
      </w:r>
      <w:r>
        <w:rPr>
          <w:spacing w:val="-32"/>
        </w:rPr>
        <w:t> </w:t>
      </w:r>
      <w:r>
        <w:rPr>
          <w:spacing w:val="-32"/>
        </w:rPr>
      </w:r>
      <w:r>
        <w:rPr/>
        <w:t>用途前所发生的其他直接费用。</w:t>
      </w:r>
    </w:p>
    <w:p>
      <w:pPr>
        <w:pStyle w:val="Heading3"/>
        <w:spacing w:line="240" w:lineRule="auto" w:before="7"/>
        <w:ind w:right="0"/>
        <w:jc w:val="both"/>
        <w:rPr>
          <w:b w:val="0"/>
          <w:bCs w:val="0"/>
        </w:rPr>
      </w:pPr>
      <w:r>
        <w:rPr/>
        <w:t>无形资产的后续计量</w:t>
      </w:r>
      <w:r>
        <w:rPr>
          <w:b w:val="0"/>
          <w:bCs w:val="0"/>
        </w:rPr>
      </w:r>
    </w:p>
    <w:p>
      <w:pPr>
        <w:spacing w:after="0" w:line="240" w:lineRule="auto"/>
        <w:jc w:val="both"/>
        <w:sectPr>
          <w:pgSz w:w="11910" w:h="16840"/>
          <w:pgMar w:header="906" w:footer="1022" w:top="1100" w:bottom="1220" w:left="1020" w:right="0"/>
        </w:sectPr>
      </w:pPr>
    </w:p>
    <w:p>
      <w:pPr>
        <w:spacing w:line="240" w:lineRule="auto" w:before="8"/>
        <w:rPr>
          <w:rFonts w:ascii="宋体" w:hAnsi="宋体" w:cs="宋体" w:eastAsia="宋体" w:hint="default"/>
          <w:b/>
          <w:bCs/>
          <w:sz w:val="21"/>
          <w:szCs w:val="21"/>
        </w:rPr>
      </w:pPr>
    </w:p>
    <w:p>
      <w:pPr>
        <w:pStyle w:val="BodyText"/>
        <w:spacing w:line="273" w:lineRule="auto" w:before="36"/>
        <w:ind w:right="1007" w:firstLine="422"/>
        <w:jc w:val="left"/>
      </w:pPr>
      <w:r>
        <w:rPr>
          <w:spacing w:val="-2"/>
        </w:rPr>
        <w:t>本公司在取得无形资产时分析判断其使用寿命，划分为使用寿命有限和使用寿命不确定的无形资产。</w:t>
      </w:r>
      <w:r>
        <w:rPr>
          <w:w w:val="100"/>
        </w:rPr>
        <w:t> </w:t>
      </w:r>
      <w:r>
        <w:rPr>
          <w:rFonts w:ascii="宋体" w:hAnsi="宋体" w:cs="宋体" w:eastAsia="宋体" w:hint="default"/>
        </w:rPr>
        <w:t>1</w:t>
      </w:r>
      <w:r>
        <w:rPr/>
        <w:t>）使用寿命有限的无形资产</w:t>
      </w:r>
    </w:p>
    <w:p>
      <w:pPr>
        <w:pStyle w:val="BodyText"/>
        <w:spacing w:line="273" w:lineRule="auto"/>
        <w:ind w:right="1007" w:firstLine="422"/>
        <w:jc w:val="left"/>
      </w:pPr>
      <w:r>
        <w:rPr>
          <w:spacing w:val="-2"/>
        </w:rPr>
        <w:t>对于使用寿命有限的无形资产，在为企业带来经济利益的期限内按直线法摊销。使用寿命有限的无形</w:t>
      </w:r>
      <w:r>
        <w:rPr>
          <w:w w:val="100"/>
        </w:rPr>
        <w:t> </w:t>
      </w:r>
      <w:r>
        <w:rPr/>
        <w:t>资产预计寿命及依据如下：</w:t>
      </w:r>
    </w:p>
    <w:tbl>
      <w:tblPr>
        <w:tblW w:w="0" w:type="auto"/>
        <w:jc w:val="left"/>
        <w:tblInd w:w="103" w:type="dxa"/>
        <w:tblLayout w:type="fixed"/>
        <w:tblCellMar>
          <w:top w:w="0" w:type="dxa"/>
          <w:left w:w="0" w:type="dxa"/>
          <w:bottom w:w="0" w:type="dxa"/>
          <w:right w:w="0" w:type="dxa"/>
        </w:tblCellMar>
        <w:tblLook w:val="01E0"/>
      </w:tblPr>
      <w:tblGrid>
        <w:gridCol w:w="2809"/>
        <w:gridCol w:w="1873"/>
        <w:gridCol w:w="4861"/>
      </w:tblGrid>
      <w:tr>
        <w:trPr>
          <w:trHeight w:val="353" w:hRule="exact"/>
        </w:trPr>
        <w:tc>
          <w:tcPr>
            <w:tcW w:w="28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88"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48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55" w:hRule="exact"/>
        </w:trPr>
        <w:tc>
          <w:tcPr>
            <w:tcW w:w="28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z w:val="18"/>
              </w:rPr>
              <w:t>50</w:t>
            </w:r>
          </w:p>
        </w:tc>
        <w:tc>
          <w:tcPr>
            <w:tcW w:w="48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pacing w:val="-3"/>
                <w:sz w:val="18"/>
                <w:szCs w:val="18"/>
              </w:rPr>
              <w:t>合同规定与法律规定孰低原则</w:t>
            </w:r>
          </w:p>
        </w:tc>
      </w:tr>
      <w:tr>
        <w:trPr>
          <w:trHeight w:val="350" w:hRule="exact"/>
        </w:trPr>
        <w:tc>
          <w:tcPr>
            <w:tcW w:w="28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8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48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合同规定与法律规定孰低原则</w:t>
            </w:r>
          </w:p>
        </w:tc>
      </w:tr>
      <w:tr>
        <w:trPr>
          <w:trHeight w:val="355" w:hRule="exact"/>
        </w:trPr>
        <w:tc>
          <w:tcPr>
            <w:tcW w:w="280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软件平台</w:t>
            </w:r>
          </w:p>
        </w:tc>
        <w:tc>
          <w:tcPr>
            <w:tcW w:w="18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48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合同规定与法律规定孰低原则</w:t>
            </w:r>
          </w:p>
        </w:tc>
      </w:tr>
    </w:tbl>
    <w:p>
      <w:pPr>
        <w:spacing w:line="240" w:lineRule="auto" w:before="0"/>
        <w:rPr>
          <w:rFonts w:ascii="宋体" w:hAnsi="宋体" w:cs="宋体" w:eastAsia="宋体" w:hint="default"/>
          <w:sz w:val="7"/>
          <w:szCs w:val="7"/>
        </w:rPr>
      </w:pPr>
    </w:p>
    <w:p>
      <w:pPr>
        <w:pStyle w:val="BodyText"/>
        <w:spacing w:line="273" w:lineRule="auto" w:before="36"/>
        <w:ind w:right="1007" w:firstLine="422"/>
        <w:jc w:val="left"/>
      </w:pPr>
      <w:r>
        <w:rPr>
          <w:spacing w:val="-2"/>
        </w:rPr>
        <w:t>每期末，对使用寿命有限的无形资产的使用寿命及摊销方法进行复核，如与原先估计数存在差异的，</w:t>
      </w:r>
      <w:r>
        <w:rPr>
          <w:w w:val="100"/>
        </w:rPr>
        <w:t> </w:t>
      </w:r>
      <w:r>
        <w:rPr/>
        <w:t>进行相应的调整。</w:t>
      </w:r>
    </w:p>
    <w:p>
      <w:pPr>
        <w:pStyle w:val="BodyText"/>
        <w:spacing w:line="240" w:lineRule="auto"/>
        <w:ind w:left="535" w:right="1764"/>
        <w:jc w:val="left"/>
      </w:pPr>
      <w:r>
        <w:rPr/>
        <w:t>经复核，本期期末无形资产的使用寿命及摊销方法与以前估计未有不同。</w:t>
      </w:r>
    </w:p>
    <w:p>
      <w:pPr>
        <w:spacing w:line="240" w:lineRule="auto" w:before="13"/>
        <w:rPr>
          <w:rFonts w:ascii="宋体" w:hAnsi="宋体" w:cs="宋体" w:eastAsia="宋体" w:hint="default"/>
          <w:sz w:val="26"/>
          <w:szCs w:val="26"/>
        </w:rPr>
      </w:pPr>
    </w:p>
    <w:p>
      <w:pPr>
        <w:pStyle w:val="Heading3"/>
        <w:spacing w:line="590" w:lineRule="atLeast"/>
        <w:ind w:right="3606"/>
        <w:jc w:val="left"/>
        <w:rPr>
          <w:b w:val="0"/>
          <w:bCs w:val="0"/>
        </w:rPr>
      </w:pPr>
      <w:bookmarkStart w:name="（2）内部研究开发支出会计政策" w:id="205"/>
      <w:bookmarkEnd w:id="205"/>
      <w:r>
        <w:rPr>
          <w:b w:val="0"/>
          <w:bCs w:val="0"/>
        </w:rPr>
      </w:r>
      <w:r>
        <w:rPr/>
        <w:t>（</w:t>
      </w:r>
      <w:r>
        <w:rPr>
          <w:rFonts w:ascii="Times New Roman" w:hAnsi="Times New Roman" w:cs="Times New Roman" w:eastAsia="Times New Roman" w:hint="default"/>
        </w:rPr>
        <w:t>2</w:t>
      </w:r>
      <w:r>
        <w:rPr/>
        <w:t>）内部研究开发支出会计政策</w:t>
      </w:r>
      <w:r>
        <w:rPr>
          <w:spacing w:val="-101"/>
        </w:rPr>
        <w:t> </w:t>
      </w:r>
      <w:r>
        <w:rPr>
          <w:spacing w:val="-1"/>
        </w:rPr>
        <w:t>划分公司内部研究开发项目的研究阶段和开发阶段具体标准</w:t>
      </w:r>
      <w:r>
        <w:rPr>
          <w:b w:val="0"/>
          <w:bCs w:val="0"/>
          <w:spacing w:val="-1"/>
        </w:rPr>
      </w:r>
    </w:p>
    <w:p>
      <w:pPr>
        <w:pStyle w:val="BodyText"/>
        <w:spacing w:line="273" w:lineRule="auto" w:before="37"/>
        <w:ind w:left="896" w:right="1007"/>
        <w:jc w:val="left"/>
      </w:pPr>
      <w:r>
        <w:rPr/>
        <w:t>公司内部研究开发项目的支出分为研究阶段支出和开发阶段支出。</w:t>
      </w:r>
      <w:r>
        <w:rPr>
          <w:w w:val="100"/>
        </w:rPr>
        <w:t> </w:t>
      </w:r>
      <w:r>
        <w:rPr>
          <w:spacing w:val="-3"/>
        </w:rPr>
        <w:t>研究阶段：为取得经批准的“研究计划书”时，结束时点为取得经批准的“项目可行性验证报告”</w:t>
      </w:r>
    </w:p>
    <w:p>
      <w:pPr>
        <w:pStyle w:val="BodyText"/>
        <w:spacing w:line="240" w:lineRule="auto"/>
        <w:ind w:left="473" w:right="1764"/>
        <w:jc w:val="left"/>
      </w:pPr>
      <w:r>
        <w:rPr/>
        <w:t>时。</w:t>
      </w:r>
    </w:p>
    <w:p>
      <w:pPr>
        <w:pStyle w:val="BodyText"/>
        <w:spacing w:line="273" w:lineRule="auto" w:before="37"/>
        <w:ind w:left="896" w:right="1007"/>
        <w:jc w:val="left"/>
      </w:pPr>
      <w:r>
        <w:rPr>
          <w:spacing w:val="-3"/>
        </w:rPr>
        <w:t>开发阶段：为取得经批准的“项目立项报告”时，结束时点为取得经批准的“项目结项报告”时。</w:t>
      </w:r>
      <w:r>
        <w:rPr>
          <w:spacing w:val="-45"/>
        </w:rPr>
        <w:t> </w:t>
      </w:r>
      <w:r>
        <w:rPr>
          <w:spacing w:val="-45"/>
        </w:rPr>
      </w:r>
      <w:r>
        <w:rPr/>
        <w:t>结转无形资产：为取得经批准的“项目结项报告”时。</w:t>
      </w:r>
    </w:p>
    <w:p>
      <w:pPr>
        <w:spacing w:line="273" w:lineRule="auto" w:before="7"/>
        <w:ind w:left="535" w:right="1764" w:hanging="423"/>
        <w:jc w:val="left"/>
        <w:rPr>
          <w:rFonts w:ascii="宋体" w:hAnsi="宋体" w:cs="宋体" w:eastAsia="宋体" w:hint="default"/>
          <w:sz w:val="21"/>
          <w:szCs w:val="21"/>
        </w:rPr>
      </w:pPr>
      <w:r>
        <w:rPr>
          <w:rFonts w:ascii="宋体" w:hAnsi="宋体" w:cs="宋体" w:eastAsia="宋体" w:hint="default"/>
          <w:b/>
          <w:bCs/>
          <w:sz w:val="21"/>
          <w:szCs w:val="21"/>
        </w:rPr>
        <w:t>开发阶段支出符合资本化的具体标准</w:t>
      </w:r>
      <w:r>
        <w:rPr>
          <w:rFonts w:ascii="宋体" w:hAnsi="宋体" w:cs="宋体" w:eastAsia="宋体" w:hint="default"/>
          <w:b/>
          <w:bCs/>
          <w:spacing w:val="-100"/>
          <w:sz w:val="21"/>
          <w:szCs w:val="21"/>
        </w:rPr>
        <w:t> </w:t>
      </w:r>
      <w:r>
        <w:rPr>
          <w:rFonts w:ascii="宋体" w:hAnsi="宋体" w:cs="宋体" w:eastAsia="宋体" w:hint="default"/>
          <w:spacing w:val="-2"/>
          <w:sz w:val="21"/>
          <w:szCs w:val="21"/>
        </w:rPr>
        <w:t>内部研究开发项目开发阶段的支出，同时满足下列条件时确认为无形资产：</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）完成该无形资产以使其能够使用或出售在技术上具有可行性；</w:t>
      </w:r>
    </w:p>
    <w:p>
      <w:pPr>
        <w:pStyle w:val="BodyText"/>
        <w:spacing w:line="280" w:lineRule="exact" w:before="0"/>
        <w:ind w:left="535" w:right="1764"/>
        <w:jc w:val="left"/>
      </w:pPr>
      <w:r>
        <w:rPr>
          <w:rFonts w:ascii="Times New Roman" w:hAnsi="Times New Roman" w:cs="Times New Roman" w:eastAsia="Times New Roman" w:hint="default"/>
        </w:rPr>
        <w:t>2</w:t>
      </w:r>
      <w:r>
        <w:rPr/>
        <w:t>）具有完成该无形资产并使用或出售的意图；</w:t>
      </w:r>
    </w:p>
    <w:p>
      <w:pPr>
        <w:pStyle w:val="BodyText"/>
        <w:spacing w:line="256" w:lineRule="auto" w:before="21"/>
        <w:ind w:right="1007" w:firstLine="422"/>
        <w:jc w:val="left"/>
      </w:pPr>
      <w:r>
        <w:rPr>
          <w:rFonts w:ascii="Times New Roman" w:hAnsi="Times New Roman" w:cs="Times New Roman" w:eastAsia="Times New Roman" w:hint="default"/>
          <w:spacing w:val="-2"/>
        </w:rPr>
        <w:t>3</w:t>
      </w:r>
      <w:r>
        <w:rPr>
          <w:spacing w:val="-2"/>
        </w:rPr>
        <w:t>）无形资产产生经济利益的方式，包括能够证明运用该无形资产生产的产品存在市场或无形资产自</w:t>
      </w:r>
      <w:r>
        <w:rPr>
          <w:w w:val="100"/>
        </w:rPr>
        <w:t> </w:t>
      </w:r>
      <w:r>
        <w:rPr/>
        <w:t>身存在市场，无形资产将在内部使用的，能够证明其有用性；</w:t>
      </w:r>
    </w:p>
    <w:p>
      <w:pPr>
        <w:pStyle w:val="BodyText"/>
        <w:spacing w:line="256" w:lineRule="auto" w:before="22"/>
        <w:ind w:right="1007" w:firstLine="422"/>
        <w:jc w:val="left"/>
      </w:pPr>
      <w:r>
        <w:rPr>
          <w:rFonts w:ascii="Times New Roman" w:hAnsi="Times New Roman" w:cs="Times New Roman" w:eastAsia="Times New Roman" w:hint="default"/>
          <w:spacing w:val="-2"/>
        </w:rPr>
        <w:t>4</w:t>
      </w:r>
      <w:r>
        <w:rPr>
          <w:spacing w:val="-2"/>
        </w:rPr>
        <w:t>）有足够的技术、财务资源和其他资源支持，以完成该无形资产的开发，并有能力使用或出售该无</w:t>
      </w:r>
      <w:r>
        <w:rPr>
          <w:w w:val="100"/>
        </w:rPr>
        <w:t> </w:t>
      </w:r>
      <w:r>
        <w:rPr/>
        <w:t>形资产；</w:t>
      </w:r>
    </w:p>
    <w:p>
      <w:pPr>
        <w:pStyle w:val="BodyText"/>
        <w:spacing w:line="256" w:lineRule="auto" w:before="23"/>
        <w:ind w:left="535" w:right="1007"/>
        <w:jc w:val="left"/>
      </w:pPr>
      <w:r>
        <w:rPr>
          <w:rFonts w:ascii="Times New Roman" w:hAnsi="Times New Roman" w:cs="Times New Roman" w:eastAsia="Times New Roman" w:hint="default"/>
        </w:rPr>
        <w:t>5</w:t>
      </w:r>
      <w:r>
        <w:rPr/>
        <w:t>）归属于该无形资产开发阶段的支出能够可靠地计量。</w:t>
      </w:r>
      <w:r>
        <w:rPr>
          <w:w w:val="100"/>
        </w:rPr>
        <w:t> </w:t>
      </w:r>
      <w:r>
        <w:rPr>
          <w:spacing w:val="-2"/>
        </w:rPr>
        <w:t>开发阶段的支出，若不满足上列条件的，于发生时计入当期损益。研究阶段的支出，在发生时计入当</w:t>
      </w:r>
    </w:p>
    <w:p>
      <w:pPr>
        <w:pStyle w:val="BodyText"/>
        <w:spacing w:line="240" w:lineRule="auto" w:before="22"/>
        <w:ind w:right="1764"/>
        <w:jc w:val="left"/>
      </w:pPr>
      <w:r>
        <w:rPr/>
        <w:t>期损益。无法区分研究阶段支出和开发阶段支出的，将发生的研发支出全部计入当期损益。</w:t>
      </w:r>
    </w:p>
    <w:p>
      <w:pPr>
        <w:spacing w:line="240" w:lineRule="auto" w:before="12"/>
        <w:rPr>
          <w:rFonts w:ascii="宋体" w:hAnsi="宋体" w:cs="宋体" w:eastAsia="宋体" w:hint="default"/>
          <w:sz w:val="26"/>
          <w:szCs w:val="26"/>
        </w:rPr>
      </w:pPr>
    </w:p>
    <w:p>
      <w:pPr>
        <w:pStyle w:val="BodyText"/>
        <w:spacing w:line="590" w:lineRule="atLeast" w:before="0"/>
        <w:ind w:left="535" w:right="1007" w:hanging="423"/>
        <w:jc w:val="left"/>
      </w:pPr>
      <w:bookmarkStart w:name="31、长期资产减值" w:id="206"/>
      <w:bookmarkEnd w:id="206"/>
      <w:r>
        <w:rPr/>
      </w:r>
      <w:r>
        <w:rPr>
          <w:rFonts w:ascii="Times New Roman" w:hAnsi="Times New Roman" w:cs="Times New Roman" w:eastAsia="Times New Roman" w:hint="default"/>
          <w:b/>
          <w:bCs/>
        </w:rPr>
        <w:t>31</w:t>
      </w:r>
      <w:r>
        <w:rPr>
          <w:rFonts w:ascii="宋体" w:hAnsi="宋体" w:cs="宋体" w:eastAsia="宋体" w:hint="default"/>
          <w:b/>
          <w:bCs/>
        </w:rPr>
        <w:t>、长期资产减值</w:t>
      </w:r>
      <w:r>
        <w:rPr>
          <w:rFonts w:ascii="宋体" w:hAnsi="宋体" w:cs="宋体" w:eastAsia="宋体" w:hint="default"/>
          <w:b/>
          <w:bCs/>
          <w:spacing w:val="-102"/>
        </w:rPr>
        <w:t> </w:t>
      </w:r>
      <w:r>
        <w:rPr>
          <w:spacing w:val="-2"/>
        </w:rPr>
        <w:t>本公司在资产负债表日判断长期资产是否存在可能发生减值的迹象。如果长期资产存在减值迹象的，</w:t>
      </w:r>
    </w:p>
    <w:p>
      <w:pPr>
        <w:pStyle w:val="BodyText"/>
        <w:spacing w:line="273" w:lineRule="auto" w:before="37"/>
        <w:ind w:right="1007"/>
        <w:jc w:val="left"/>
      </w:pPr>
      <w:r>
        <w:rPr>
          <w:spacing w:val="-2"/>
        </w:rPr>
        <w:t>以单项资产为基础估计其可收回金额；难以对单项资产的可收回金额进行估计的，以该资产所属的资产组</w:t>
      </w:r>
      <w:r>
        <w:rPr>
          <w:spacing w:val="-33"/>
        </w:rPr>
        <w:t> </w:t>
      </w:r>
      <w:r>
        <w:rPr>
          <w:spacing w:val="-33"/>
        </w:rPr>
      </w:r>
      <w:r>
        <w:rPr/>
        <w:t>为基础确定资产组的可收回金额。</w:t>
      </w:r>
    </w:p>
    <w:p>
      <w:pPr>
        <w:pStyle w:val="BodyText"/>
        <w:spacing w:line="273" w:lineRule="auto"/>
        <w:ind w:right="1007" w:firstLine="422"/>
        <w:jc w:val="left"/>
      </w:pPr>
      <w:r>
        <w:rPr>
          <w:spacing w:val="-2"/>
        </w:rPr>
        <w:t>资产可收回金额的估计，根据其公允价值减去处置费用后的净额与资产预计未来现金流量的现值两者</w:t>
      </w:r>
      <w:r>
        <w:rPr>
          <w:w w:val="100"/>
        </w:rPr>
        <w:t> </w:t>
      </w:r>
      <w:r>
        <w:rPr/>
        <w:t>之间较高者确定。</w:t>
      </w:r>
    </w:p>
    <w:p>
      <w:pPr>
        <w:pStyle w:val="BodyText"/>
        <w:spacing w:line="273" w:lineRule="auto"/>
        <w:ind w:right="1007" w:firstLine="422"/>
        <w:jc w:val="left"/>
      </w:pPr>
      <w:r>
        <w:rPr>
          <w:spacing w:val="-2"/>
        </w:rPr>
        <w:t>可收回金额的计量结果表明，长期资产的可收回金额低于其账面价值的，将长期资产的账面价值减记</w:t>
      </w:r>
      <w:r>
        <w:rPr>
          <w:w w:val="100"/>
        </w:rPr>
        <w:t> </w:t>
      </w:r>
      <w:r>
        <w:rPr>
          <w:spacing w:val="-2"/>
        </w:rPr>
        <w:t>至可收回金额，减记的金额确认为资产减值损失，计入当期损益，同时计提相应的资产减值准备。资产减</w:t>
      </w:r>
    </w:p>
    <w:p>
      <w:pPr>
        <w:spacing w:after="0" w:line="273"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73" w:lineRule="auto" w:before="36"/>
        <w:ind w:left="535" w:right="1007" w:hanging="423"/>
        <w:jc w:val="left"/>
      </w:pPr>
      <w:r>
        <w:rPr/>
        <w:t>值损失一经确认，在以后会计期间不得转回。</w:t>
      </w:r>
      <w:r>
        <w:rPr>
          <w:spacing w:val="-101"/>
        </w:rPr>
        <w:t> </w:t>
      </w:r>
      <w:r>
        <w:rPr>
          <w:spacing w:val="-101"/>
        </w:rPr>
      </w:r>
      <w:r>
        <w:rPr>
          <w:spacing w:val="-2"/>
        </w:rPr>
        <w:t>资产减值损失确认后，减值资产的折旧或者摊销费用在未来期间作相应调整，以使该资产在剩余使用</w:t>
      </w:r>
    </w:p>
    <w:p>
      <w:pPr>
        <w:pStyle w:val="BodyText"/>
        <w:spacing w:line="273" w:lineRule="auto"/>
        <w:ind w:left="535" w:right="1007" w:hanging="423"/>
        <w:jc w:val="left"/>
      </w:pPr>
      <w:r>
        <w:rPr>
          <w:spacing w:val="-5"/>
          <w:w w:val="100"/>
        </w:rPr>
        <w:t>寿命内，系统地分摊调整后的资产账面价值（扣除预计净残值）。</w:t>
      </w:r>
      <w:r>
        <w:rPr>
          <w:spacing w:val="-97"/>
          <w:w w:val="100"/>
        </w:rPr>
        <w:t> </w:t>
      </w:r>
      <w:r>
        <w:rPr>
          <w:spacing w:val="-97"/>
          <w:w w:val="100"/>
        </w:rPr>
      </w:r>
      <w:r>
        <w:rPr>
          <w:spacing w:val="-2"/>
        </w:rPr>
        <w:t>因企业合并所形成的商誉和使用寿命不确定的无形资产，无论是否存在减值迹象，每年都进行减值测</w:t>
      </w:r>
    </w:p>
    <w:p>
      <w:pPr>
        <w:pStyle w:val="BodyText"/>
        <w:spacing w:line="240" w:lineRule="auto"/>
        <w:ind w:right="1764"/>
        <w:jc w:val="left"/>
      </w:pPr>
      <w:r>
        <w:rPr/>
        <w:t>试。</w:t>
      </w:r>
    </w:p>
    <w:p>
      <w:pPr>
        <w:pStyle w:val="BodyText"/>
        <w:spacing w:line="273" w:lineRule="auto" w:before="37"/>
        <w:ind w:right="1121" w:firstLine="422"/>
        <w:jc w:val="both"/>
      </w:pPr>
      <w:r>
        <w:rPr>
          <w:spacing w:val="-2"/>
        </w:rPr>
        <w:t>在对商誉进行减值测试时，将商誉的账面价值分摊至预期从企业合并的协同效应中受益的资产组或资</w:t>
      </w:r>
      <w:r>
        <w:rPr>
          <w:w w:val="100"/>
        </w:rPr>
        <w:t> </w:t>
      </w:r>
      <w:r>
        <w:rPr>
          <w:spacing w:val="-2"/>
        </w:rPr>
        <w:t>产组组合。在对包含商誉的相关资产组或者资产组组合进行减值测试时，如与商誉相关的资产组或者资产</w:t>
      </w:r>
      <w:r>
        <w:rPr>
          <w:spacing w:val="-33"/>
        </w:rPr>
        <w:t> </w:t>
      </w:r>
      <w:r>
        <w:rPr>
          <w:spacing w:val="-33"/>
        </w:rPr>
      </w:r>
      <w:r>
        <w:rPr>
          <w:spacing w:val="-2"/>
        </w:rPr>
        <w:t>组组合存在减值迹象的，先对不包含商誉的资产组或者资产组组合进行减值测试，计算可收回金额，并与</w:t>
      </w:r>
      <w:r>
        <w:rPr>
          <w:spacing w:val="-33"/>
        </w:rPr>
        <w:t> </w:t>
      </w:r>
      <w:r>
        <w:rPr>
          <w:spacing w:val="-33"/>
        </w:rPr>
      </w:r>
      <w:r>
        <w:rPr>
          <w:spacing w:val="-2"/>
        </w:rPr>
        <w:t>相关账面价值相比较，确认相应的减值损失。再对包含商誉的资产组或者资产组组合进行减值测试，比较</w:t>
      </w:r>
      <w:r>
        <w:rPr>
          <w:spacing w:val="-33"/>
        </w:rPr>
        <w:t> </w:t>
      </w:r>
      <w:r>
        <w:rPr>
          <w:spacing w:val="-33"/>
        </w:rPr>
      </w:r>
      <w:r>
        <w:rPr>
          <w:spacing w:val="-2"/>
        </w:rPr>
        <w:t>这些相关资产组或者资产组组合的账面价值（包括所分摊的商誉的账面价值部分）与其可收回金额，如相</w:t>
      </w:r>
      <w:r>
        <w:rPr>
          <w:spacing w:val="-33"/>
        </w:rPr>
        <w:t> </w:t>
      </w:r>
      <w:r>
        <w:rPr>
          <w:spacing w:val="-33"/>
        </w:rPr>
      </w:r>
      <w:r>
        <w:rPr/>
        <w:t>关资产组或者资产组组合的可收回金额低于其账面价值的，确认商誉的减值损失。</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pStyle w:val="BodyText"/>
        <w:spacing w:line="610" w:lineRule="atLeast" w:before="0"/>
        <w:ind w:left="535" w:right="1007" w:hanging="423"/>
        <w:jc w:val="left"/>
      </w:pPr>
      <w:bookmarkStart w:name="32、长期待摊费用" w:id="207"/>
      <w:bookmarkEnd w:id="207"/>
      <w:r>
        <w:rPr/>
      </w:r>
      <w:r>
        <w:rPr>
          <w:rFonts w:ascii="Times New Roman" w:hAnsi="Times New Roman" w:cs="Times New Roman" w:eastAsia="Times New Roman" w:hint="default"/>
          <w:b/>
          <w:bCs/>
        </w:rPr>
        <w:t>32</w:t>
      </w:r>
      <w:r>
        <w:rPr>
          <w:rFonts w:ascii="宋体" w:hAnsi="宋体" w:cs="宋体" w:eastAsia="宋体" w:hint="default"/>
          <w:b/>
          <w:bCs/>
        </w:rPr>
        <w:t>、长期待摊费用</w:t>
      </w:r>
      <w:r>
        <w:rPr>
          <w:rFonts w:ascii="宋体" w:hAnsi="宋体" w:cs="宋体" w:eastAsia="宋体" w:hint="default"/>
          <w:b/>
          <w:bCs/>
          <w:spacing w:val="-102"/>
        </w:rPr>
        <w:t> </w:t>
      </w:r>
      <w:r>
        <w:rPr>
          <w:spacing w:val="-2"/>
        </w:rPr>
        <w:t>长期待摊费用，是指本公司已经发生但应由本期和以后各期负担的分摊期限在</w:t>
      </w:r>
      <w:r>
        <w:rPr>
          <w:rFonts w:ascii="Times New Roman" w:hAnsi="Times New Roman" w:cs="Times New Roman" w:eastAsia="Times New Roman" w:hint="default"/>
          <w:spacing w:val="-2"/>
        </w:rPr>
        <w:t>1</w:t>
      </w:r>
      <w:r>
        <w:rPr>
          <w:spacing w:val="-2"/>
        </w:rPr>
        <w:t>年以上的各项费用。</w:t>
      </w:r>
    </w:p>
    <w:p>
      <w:pPr>
        <w:pStyle w:val="BodyText"/>
        <w:spacing w:line="273" w:lineRule="auto" w:before="21"/>
        <w:ind w:left="535" w:right="1764" w:hanging="423"/>
        <w:jc w:val="left"/>
      </w:pPr>
      <w:r>
        <w:rPr/>
        <w:t>长期待摊费用在受益期内按直线法分期摊销。</w:t>
      </w:r>
      <w:r>
        <w:rPr>
          <w:spacing w:val="-101"/>
        </w:rPr>
        <w:t> </w:t>
      </w:r>
      <w:r>
        <w:rPr>
          <w:spacing w:val="-101"/>
        </w:rPr>
      </w:r>
      <w:r>
        <w:rPr>
          <w:spacing w:val="-2"/>
        </w:rPr>
        <w:t>本公司取得的高尔夫会员资格证按</w:t>
      </w:r>
      <w:r>
        <w:rPr>
          <w:rFonts w:ascii="宋体" w:hAnsi="宋体" w:cs="宋体" w:eastAsia="宋体" w:hint="default"/>
          <w:spacing w:val="-2"/>
        </w:rPr>
        <w:t>20</w:t>
      </w:r>
      <w:r>
        <w:rPr>
          <w:spacing w:val="-2"/>
        </w:rPr>
        <w:t>年摊销；装修费按受益年限摊销。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49"/>
        <w:ind w:right="1764"/>
        <w:jc w:val="left"/>
        <w:rPr>
          <w:b w:val="0"/>
          <w:bCs w:val="0"/>
        </w:rPr>
      </w:pPr>
      <w:bookmarkStart w:name="33、合同负债" w:id="208"/>
      <w:bookmarkEnd w:id="208"/>
      <w:r>
        <w:rPr>
          <w:b w:val="0"/>
          <w:bCs w:val="0"/>
        </w:rPr>
      </w:r>
      <w:r>
        <w:rPr>
          <w:rFonts w:ascii="Times New Roman" w:hAnsi="Times New Roman" w:cs="Times New Roman" w:eastAsia="Times New Roman" w:hint="default"/>
        </w:rPr>
        <w:t>33</w:t>
      </w:r>
      <w:r>
        <w:rPr/>
        <w:t>、合同负债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34、职工薪酬" w:id="209"/>
      <w:bookmarkEnd w:id="209"/>
      <w:r>
        <w:rPr>
          <w:b w:val="0"/>
          <w:bCs w:val="0"/>
        </w:rPr>
      </w:r>
      <w:r>
        <w:rPr>
          <w:rFonts w:ascii="Times New Roman" w:hAnsi="Times New Roman" w:cs="Times New Roman" w:eastAsia="Times New Roman" w:hint="default"/>
        </w:rPr>
        <w:t>34</w:t>
      </w:r>
      <w:r>
        <w:rPr/>
        <w:t>、职工薪酬</w:t>
      </w:r>
      <w:r>
        <w:rPr>
          <w:b w:val="0"/>
          <w:bCs w:val="0"/>
        </w:rPr>
      </w:r>
    </w:p>
    <w:p>
      <w:pPr>
        <w:spacing w:line="600" w:lineRule="atLeast" w:before="10"/>
        <w:ind w:left="535" w:right="1007" w:hanging="423"/>
        <w:jc w:val="left"/>
        <w:rPr>
          <w:rFonts w:ascii="宋体" w:hAnsi="宋体" w:cs="宋体" w:eastAsia="宋体" w:hint="default"/>
          <w:sz w:val="21"/>
          <w:szCs w:val="21"/>
        </w:rPr>
      </w:pPr>
      <w:bookmarkStart w:name="（1）短期薪酬的会计处理方法" w:id="210"/>
      <w:bookmarkEnd w:id="21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spacing w:val="-102"/>
          <w:sz w:val="21"/>
          <w:szCs w:val="21"/>
        </w:rPr>
        <w:t> </w:t>
      </w:r>
      <w:r>
        <w:rPr>
          <w:rFonts w:ascii="宋体" w:hAnsi="宋体" w:cs="宋体" w:eastAsia="宋体" w:hint="default"/>
          <w:spacing w:val="-2"/>
          <w:sz w:val="21"/>
          <w:szCs w:val="21"/>
        </w:rPr>
        <w:t>短期薪酬是指本公司在职工提供相关服务的年度报告期间结束后十二个月内需要全部予以支付的职</w:t>
      </w:r>
    </w:p>
    <w:p>
      <w:pPr>
        <w:pStyle w:val="BodyText"/>
        <w:spacing w:line="273" w:lineRule="auto" w:before="37"/>
        <w:ind w:right="1007"/>
        <w:jc w:val="left"/>
      </w:pPr>
      <w:r>
        <w:rPr>
          <w:spacing w:val="-4"/>
        </w:rPr>
        <w:t>工薪酬，离职后福利和辞退福利除外。本公司在职工提供服务的会计期间，将应付的短期薪酬确认为负债，</w:t>
      </w:r>
      <w:r>
        <w:rPr>
          <w:spacing w:val="-47"/>
        </w:rPr>
        <w:t> </w:t>
      </w:r>
      <w:r>
        <w:rPr>
          <w:spacing w:val="-47"/>
        </w:rPr>
      </w:r>
      <w:r>
        <w:rPr/>
        <w:t>并根据职工提供服务的受益对象计入相关资产成本和费用。</w:t>
      </w:r>
    </w:p>
    <w:p>
      <w:pPr>
        <w:spacing w:line="240" w:lineRule="auto" w:before="9"/>
        <w:rPr>
          <w:rFonts w:ascii="宋体" w:hAnsi="宋体" w:cs="宋体" w:eastAsia="宋体" w:hint="default"/>
          <w:sz w:val="24"/>
          <w:szCs w:val="24"/>
        </w:rPr>
      </w:pPr>
    </w:p>
    <w:p>
      <w:pPr>
        <w:spacing w:line="590" w:lineRule="atLeast" w:before="0"/>
        <w:ind w:left="535" w:right="1007" w:hanging="423"/>
        <w:jc w:val="left"/>
        <w:rPr>
          <w:rFonts w:ascii="宋体" w:hAnsi="宋体" w:cs="宋体" w:eastAsia="宋体" w:hint="default"/>
          <w:sz w:val="21"/>
          <w:szCs w:val="21"/>
        </w:rPr>
      </w:pPr>
      <w:bookmarkStart w:name="（2）离职后福利的会计处理方法" w:id="211"/>
      <w:bookmarkEnd w:id="21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spacing w:val="-101"/>
          <w:sz w:val="21"/>
          <w:szCs w:val="21"/>
        </w:rPr>
        <w:t> </w:t>
      </w:r>
      <w:r>
        <w:rPr>
          <w:rFonts w:ascii="宋体" w:hAnsi="宋体" w:cs="宋体" w:eastAsia="宋体" w:hint="default"/>
          <w:spacing w:val="-2"/>
          <w:sz w:val="21"/>
          <w:szCs w:val="21"/>
        </w:rPr>
        <w:t>离职后福利是指本公司为获得职工提供的服务而在职工退休或与企业解除劳动关系后，提供的各种形</w:t>
      </w:r>
    </w:p>
    <w:p>
      <w:pPr>
        <w:pStyle w:val="BodyText"/>
        <w:spacing w:line="273" w:lineRule="auto" w:before="37"/>
        <w:ind w:left="535" w:right="5762" w:hanging="423"/>
        <w:jc w:val="left"/>
      </w:pPr>
      <w:r>
        <w:rPr>
          <w:spacing w:val="-1"/>
        </w:rPr>
        <w:t>式的报酬和福利，短期薪酬和辞退福利除外。</w:t>
      </w:r>
      <w:r>
        <w:rPr>
          <w:spacing w:val="-81"/>
        </w:rPr>
        <w:t> </w:t>
      </w:r>
      <w:r>
        <w:rPr>
          <w:spacing w:val="-81"/>
        </w:rPr>
      </w:r>
      <w:r>
        <w:rPr>
          <w:rFonts w:ascii="宋体" w:hAnsi="宋体" w:cs="宋体" w:eastAsia="宋体" w:hint="default"/>
        </w:rPr>
        <w:t>1.</w:t>
      </w:r>
      <w:r>
        <w:rPr/>
        <w:t>设定提存计划</w:t>
      </w:r>
    </w:p>
    <w:p>
      <w:pPr>
        <w:pStyle w:val="BodyText"/>
        <w:spacing w:line="273" w:lineRule="auto"/>
        <w:ind w:right="1106" w:firstLine="422"/>
        <w:jc w:val="right"/>
      </w:pPr>
      <w:r>
        <w:rPr>
          <w:spacing w:val="-2"/>
        </w:rPr>
        <w:t>本公司按当地政府的相关规定为职工缴纳基本养老保险和失业保险，在职工为本公司提供服务的会计</w:t>
      </w:r>
      <w:r>
        <w:rPr>
          <w:w w:val="100"/>
        </w:rPr>
        <w:t> </w:t>
      </w:r>
      <w:r>
        <w:rPr>
          <w:spacing w:val="-2"/>
        </w:rPr>
        <w:t>期间，按以当地规定的缴纳基数和比例计算应缴纳金额，确认为负债，并计入当期损益或相关资产成本。</w:t>
      </w:r>
      <w:r>
        <w:rPr>
          <w:spacing w:val="-24"/>
        </w:rPr>
        <w:t> </w:t>
      </w:r>
      <w:r>
        <w:rPr>
          <w:spacing w:val="-24"/>
        </w:rPr>
      </w:r>
      <w:r>
        <w:rPr>
          <w:spacing w:val="-2"/>
        </w:rPr>
        <w:t>除基本养老保险外，本公司还依据国家企业年金制度的相关政策建立了企业年金缴费制度（补充养老</w:t>
      </w:r>
      <w:r>
        <w:rPr>
          <w:w w:val="100"/>
        </w:rPr>
        <w:t> </w:t>
      </w:r>
      <w:r>
        <w:rPr>
          <w:spacing w:val="-2"/>
        </w:rPr>
        <w:t>保险）</w:t>
      </w:r>
      <w:r>
        <w:rPr>
          <w:rFonts w:ascii="宋体" w:hAnsi="宋体" w:cs="宋体" w:eastAsia="宋体" w:hint="default"/>
          <w:spacing w:val="-2"/>
        </w:rPr>
        <w:t>/</w:t>
      </w:r>
      <w:r>
        <w:rPr>
          <w:spacing w:val="-2"/>
        </w:rPr>
        <w:t>企业年金计划。本公司按职工工资总额的一定比例向当地社会保险机构缴费</w:t>
      </w:r>
      <w:r>
        <w:rPr>
          <w:rFonts w:ascii="宋体" w:hAnsi="宋体" w:cs="宋体" w:eastAsia="宋体" w:hint="default"/>
          <w:spacing w:val="-2"/>
        </w:rPr>
        <w:t>/</w:t>
      </w:r>
      <w:r>
        <w:rPr>
          <w:spacing w:val="-2"/>
        </w:rPr>
        <w:t>年金计划缴费，相应</w:t>
      </w:r>
    </w:p>
    <w:p>
      <w:pPr>
        <w:pStyle w:val="BodyText"/>
        <w:spacing w:line="273" w:lineRule="auto"/>
        <w:ind w:left="535" w:right="6955" w:hanging="423"/>
        <w:jc w:val="left"/>
      </w:pPr>
      <w:r>
        <w:rPr>
          <w:spacing w:val="-1"/>
        </w:rPr>
        <w:t>支出计入当期损益或相关资产成本。</w:t>
      </w:r>
      <w:r>
        <w:rPr>
          <w:spacing w:val="-85"/>
        </w:rPr>
        <w:t> </w:t>
      </w:r>
      <w:r>
        <w:rPr>
          <w:spacing w:val="-85"/>
        </w:rPr>
      </w:r>
      <w:r>
        <w:rPr>
          <w:rFonts w:ascii="宋体" w:hAnsi="宋体" w:cs="宋体" w:eastAsia="宋体" w:hint="default"/>
        </w:rPr>
        <w:t>2.</w:t>
      </w:r>
      <w:r>
        <w:rPr/>
        <w:t>设定受益计划</w:t>
      </w:r>
    </w:p>
    <w:p>
      <w:pPr>
        <w:pStyle w:val="BodyText"/>
        <w:spacing w:line="240" w:lineRule="auto"/>
        <w:ind w:left="535" w:right="1007"/>
        <w:jc w:val="left"/>
      </w:pPr>
      <w:r>
        <w:rPr/>
        <w:t>本公司根据预期累计福利单位法确定的公式将设定受益计划产生的福利义务归属于职工提供服务的</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73" w:lineRule="auto" w:before="36"/>
        <w:ind w:left="535" w:right="1007" w:hanging="423"/>
        <w:jc w:val="left"/>
      </w:pPr>
      <w:r>
        <w:rPr/>
        <w:t>期间，并计入当期损益或相关资产成本。</w:t>
      </w:r>
      <w:r>
        <w:rPr>
          <w:w w:val="100"/>
        </w:rPr>
        <w:t> </w:t>
      </w:r>
      <w:r>
        <w:rPr>
          <w:spacing w:val="-2"/>
        </w:rPr>
        <w:t>设定受益计划义务现值减去设定受益计划资产公允价值所形成的赤字或盈余确认为一项设定受益计</w:t>
      </w:r>
    </w:p>
    <w:p>
      <w:pPr>
        <w:pStyle w:val="BodyText"/>
        <w:spacing w:line="273" w:lineRule="auto"/>
        <w:ind w:right="1125"/>
        <w:jc w:val="both"/>
      </w:pPr>
      <w:r>
        <w:rPr>
          <w:spacing w:val="-2"/>
        </w:rPr>
        <w:t>划净负债或净资产。设定受益计划存在盈余的，本公司以设定受益计划的盈余和资产上限两项的孰低者计</w:t>
      </w:r>
      <w:r>
        <w:rPr>
          <w:spacing w:val="-33"/>
        </w:rPr>
        <w:t> </w:t>
      </w:r>
      <w:r>
        <w:rPr>
          <w:spacing w:val="-33"/>
        </w:rPr>
      </w:r>
      <w:r>
        <w:rPr/>
        <w:t>量设定受益计划净资产。</w:t>
      </w:r>
    </w:p>
    <w:p>
      <w:pPr>
        <w:pStyle w:val="BodyText"/>
        <w:spacing w:line="273" w:lineRule="auto"/>
        <w:ind w:right="1007" w:firstLine="422"/>
        <w:jc w:val="left"/>
      </w:pPr>
      <w:r>
        <w:rPr>
          <w:spacing w:val="-2"/>
        </w:rPr>
        <w:t>所有设定受益计划义务，包括预期在职工提供服务的年度报告期间结束后的十二个月内支付的义务，</w:t>
      </w:r>
      <w:r>
        <w:rPr>
          <w:w w:val="100"/>
        </w:rPr>
        <w:t> </w:t>
      </w:r>
      <w:r>
        <w:rPr/>
        <w:t>根据资产负债表日与设定受益计划义务期限和币种相匹配的国债或活跃市场上的高质量公司债券的市场</w:t>
      </w:r>
      <w:r>
        <w:rPr>
          <w:w w:val="100"/>
        </w:rPr>
        <w:t> </w:t>
      </w:r>
      <w:r>
        <w:rPr/>
        <w:t>收益率予以折现。</w:t>
      </w:r>
    </w:p>
    <w:p>
      <w:pPr>
        <w:pStyle w:val="BodyText"/>
        <w:spacing w:line="273" w:lineRule="auto"/>
        <w:ind w:right="1007" w:firstLine="422"/>
        <w:jc w:val="left"/>
      </w:pPr>
      <w:r>
        <w:rPr/>
        <w:t>设定受益计划产生的服务成本和设定受益计划净负债或净资产的利息净额计入当期损益或相关资产</w:t>
      </w:r>
      <w:r>
        <w:rPr>
          <w:w w:val="100"/>
        </w:rPr>
        <w:t> </w:t>
      </w:r>
      <w:r>
        <w:rPr>
          <w:spacing w:val="-2"/>
        </w:rPr>
        <w:t>成本；重新计量设定受益计划净负债或净资产所产生的变动计入其他综合收益，并且在后续会计期间不转</w:t>
      </w:r>
      <w:r>
        <w:rPr>
          <w:spacing w:val="-33"/>
        </w:rPr>
        <w:t> </w:t>
      </w:r>
      <w:r>
        <w:rPr>
          <w:spacing w:val="-33"/>
        </w:rPr>
      </w:r>
      <w:r>
        <w:rPr>
          <w:spacing w:val="-2"/>
        </w:rPr>
        <w:t>回至损益，在原设定受益计划终止时在权益范围内将原计入其他综合收益的部分全部结转至未分配利润。</w:t>
      </w:r>
    </w:p>
    <w:p>
      <w:pPr>
        <w:pStyle w:val="BodyText"/>
        <w:spacing w:line="273" w:lineRule="auto"/>
        <w:ind w:right="1007" w:firstLine="422"/>
        <w:jc w:val="left"/>
      </w:pPr>
      <w:r>
        <w:rPr>
          <w:spacing w:val="-2"/>
        </w:rPr>
        <w:t>在设定受益计划结算时，按在结算日确定的设定受益计划义务现值和结算价格两者的差额，确认结算</w:t>
      </w:r>
      <w:r>
        <w:rPr>
          <w:w w:val="100"/>
        </w:rPr>
        <w:t> </w:t>
      </w:r>
      <w:r>
        <w:rPr/>
        <w:t>利得或损失。</w:t>
      </w:r>
    </w:p>
    <w:p>
      <w:pPr>
        <w:spacing w:line="240" w:lineRule="auto" w:before="9"/>
        <w:rPr>
          <w:rFonts w:ascii="宋体" w:hAnsi="宋体" w:cs="宋体" w:eastAsia="宋体" w:hint="default"/>
          <w:sz w:val="24"/>
          <w:szCs w:val="24"/>
        </w:rPr>
      </w:pPr>
    </w:p>
    <w:p>
      <w:pPr>
        <w:spacing w:line="590" w:lineRule="atLeast" w:before="0"/>
        <w:ind w:left="535" w:right="1007" w:hanging="423"/>
        <w:jc w:val="left"/>
        <w:rPr>
          <w:rFonts w:ascii="宋体" w:hAnsi="宋体" w:cs="宋体" w:eastAsia="宋体" w:hint="default"/>
          <w:sz w:val="21"/>
          <w:szCs w:val="21"/>
        </w:rPr>
      </w:pPr>
      <w:bookmarkStart w:name="（3）辞退福利的会计处理方法" w:id="212"/>
      <w:bookmarkEnd w:id="21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spacing w:val="-102"/>
          <w:sz w:val="21"/>
          <w:szCs w:val="21"/>
        </w:rPr>
        <w:t> </w:t>
      </w:r>
      <w:r>
        <w:rPr>
          <w:rFonts w:ascii="宋体" w:hAnsi="宋体" w:cs="宋体" w:eastAsia="宋体" w:hint="default"/>
          <w:spacing w:val="-2"/>
          <w:sz w:val="21"/>
          <w:szCs w:val="21"/>
        </w:rPr>
        <w:t>辞退福利是指本公司在职工劳动合同到期之前解除与职工的劳动关系，或者为鼓励职工自愿接受裁减</w:t>
      </w:r>
    </w:p>
    <w:p>
      <w:pPr>
        <w:pStyle w:val="BodyText"/>
        <w:spacing w:line="273" w:lineRule="auto" w:before="37"/>
        <w:ind w:right="1125"/>
        <w:jc w:val="both"/>
      </w:pPr>
      <w:r>
        <w:rPr>
          <w:spacing w:val="-2"/>
        </w:rPr>
        <w:t>而给予职工的补偿，在本公司不能单方面撤回解除劳动关系计划或裁减建议时和确认与涉及支付辞退福利</w:t>
      </w:r>
      <w:r>
        <w:rPr>
          <w:spacing w:val="-33"/>
        </w:rPr>
        <w:t> </w:t>
      </w:r>
      <w:r>
        <w:rPr>
          <w:spacing w:val="-33"/>
        </w:rPr>
      </w:r>
      <w:r>
        <w:rPr>
          <w:spacing w:val="-2"/>
        </w:rPr>
        <w:t>的重组相关的成本费用时两者孰早日，确认因解除与职工的劳动关系给予补偿而产生的负债，同时计入当</w:t>
      </w:r>
      <w:r>
        <w:rPr>
          <w:spacing w:val="-33"/>
        </w:rPr>
        <w:t> </w:t>
      </w:r>
      <w:r>
        <w:rPr>
          <w:spacing w:val="-33"/>
        </w:rPr>
      </w:r>
      <w:r>
        <w:rPr/>
        <w:t>期损益。</w:t>
      </w:r>
    </w:p>
    <w:p>
      <w:pPr>
        <w:pStyle w:val="BodyText"/>
        <w:spacing w:line="273" w:lineRule="auto"/>
        <w:ind w:right="1120" w:firstLine="422"/>
        <w:jc w:val="both"/>
      </w:pPr>
      <w:r>
        <w:rPr>
          <w:spacing w:val="-2"/>
        </w:rPr>
        <w:t>本公司向接受内部退休安排的职工提供内退福利。内退福利是指，向未达到国家规定的退休年龄、经</w:t>
      </w:r>
      <w:r>
        <w:rPr>
          <w:w w:val="100"/>
        </w:rPr>
        <w:t> </w:t>
      </w:r>
      <w:r>
        <w:rPr>
          <w:spacing w:val="-2"/>
        </w:rPr>
        <w:t>本公司管理层批准自愿退出工作岗位的职工支付的工资及为其缴纳的社会保险费等。本公司自内部退休安</w:t>
      </w:r>
      <w:r>
        <w:rPr>
          <w:spacing w:val="-33"/>
        </w:rPr>
        <w:t> </w:t>
      </w:r>
      <w:r>
        <w:rPr>
          <w:spacing w:val="-33"/>
        </w:rPr>
      </w:r>
      <w:r>
        <w:rPr>
          <w:spacing w:val="-2"/>
        </w:rPr>
        <w:t>排开始之日起至职工达到正常退休年龄止，向内退职工支付内部退养福利。对于内退福利，本公司比照辞</w:t>
      </w:r>
      <w:r>
        <w:rPr>
          <w:spacing w:val="-31"/>
        </w:rPr>
        <w:t> </w:t>
      </w:r>
      <w:r>
        <w:rPr>
          <w:spacing w:val="-31"/>
        </w:rPr>
      </w:r>
      <w:r>
        <w:rPr>
          <w:spacing w:val="-2"/>
        </w:rPr>
        <w:t>退福利进行会计处理，在符合辞退福利相关确认条件时，将自职工停止提供服务日至正常退休日期间拟支</w:t>
      </w:r>
      <w:r>
        <w:rPr>
          <w:spacing w:val="-33"/>
        </w:rPr>
        <w:t> </w:t>
      </w:r>
      <w:r>
        <w:rPr>
          <w:spacing w:val="-33"/>
        </w:rPr>
      </w:r>
      <w:r>
        <w:rPr>
          <w:spacing w:val="-2"/>
        </w:rPr>
        <w:t>付的内退职工工资和缴纳的社会保险费等，确认为负债，一次性计入当期损益。内退福利的精算假设变化</w:t>
      </w:r>
      <w:r>
        <w:rPr>
          <w:spacing w:val="-33"/>
        </w:rPr>
        <w:t> </w:t>
      </w:r>
      <w:r>
        <w:rPr>
          <w:spacing w:val="-33"/>
        </w:rPr>
      </w:r>
      <w:r>
        <w:rPr/>
        <w:t>及福利标准调整引起的差异于发生时计入当期损益。</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3"/>
        <w:spacing w:line="240" w:lineRule="auto"/>
        <w:ind w:right="1764"/>
        <w:jc w:val="left"/>
        <w:rPr>
          <w:b w:val="0"/>
          <w:bCs w:val="0"/>
        </w:rPr>
      </w:pPr>
      <w:bookmarkStart w:name="（4）其他长期职工福利的会计处理方法" w:id="213"/>
      <w:bookmarkEnd w:id="213"/>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35、租赁负债" w:id="214"/>
      <w:bookmarkEnd w:id="214"/>
      <w:r>
        <w:rPr>
          <w:b w:val="0"/>
          <w:bCs w:val="0"/>
        </w:rPr>
      </w:r>
      <w:r>
        <w:rPr>
          <w:rFonts w:ascii="Times New Roman" w:hAnsi="Times New Roman" w:cs="Times New Roman" w:eastAsia="Times New Roman" w:hint="default"/>
        </w:rPr>
        <w:t>35</w:t>
      </w:r>
      <w:r>
        <w:rPr/>
        <w:t>、租赁负债</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764"/>
        <w:jc w:val="left"/>
        <w:rPr>
          <w:b w:val="0"/>
          <w:bCs w:val="0"/>
        </w:rPr>
      </w:pPr>
      <w:bookmarkStart w:name="36、预计负债" w:id="215"/>
      <w:bookmarkEnd w:id="215"/>
      <w:r>
        <w:rPr>
          <w:b w:val="0"/>
          <w:bCs w:val="0"/>
        </w:rPr>
      </w:r>
      <w:r>
        <w:rPr>
          <w:rFonts w:ascii="Times New Roman" w:hAnsi="Times New Roman" w:cs="Times New Roman" w:eastAsia="Times New Roman" w:hint="default"/>
        </w:rPr>
        <w:t>36</w:t>
      </w:r>
      <w:r>
        <w:rPr/>
        <w:t>、预计负债</w:t>
      </w:r>
      <w:r>
        <w:rPr>
          <w:b w:val="0"/>
          <w:bCs w:val="0"/>
        </w:rPr>
      </w:r>
    </w:p>
    <w:p>
      <w:pPr>
        <w:spacing w:line="240" w:lineRule="auto" w:before="0"/>
        <w:rPr>
          <w:rFonts w:ascii="宋体" w:hAnsi="宋体" w:cs="宋体" w:eastAsia="宋体" w:hint="default"/>
          <w:b/>
          <w:bCs/>
          <w:sz w:val="22"/>
          <w:szCs w:val="22"/>
        </w:rPr>
      </w:pPr>
    </w:p>
    <w:p>
      <w:pPr>
        <w:spacing w:line="240" w:lineRule="auto" w:before="8"/>
        <w:rPr>
          <w:rFonts w:ascii="宋体" w:hAnsi="宋体" w:cs="宋体" w:eastAsia="宋体" w:hint="default"/>
          <w:b/>
          <w:bCs/>
          <w:sz w:val="26"/>
          <w:szCs w:val="26"/>
        </w:rPr>
      </w:pPr>
    </w:p>
    <w:p>
      <w:pPr>
        <w:pStyle w:val="BodyText"/>
        <w:spacing w:line="273" w:lineRule="auto" w:before="0"/>
        <w:ind w:left="535" w:right="3606" w:hanging="423"/>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）预计负债的确认标准</w:t>
      </w:r>
      <w:r>
        <w:rPr>
          <w:rFonts w:ascii="宋体" w:hAnsi="宋体" w:cs="宋体" w:eastAsia="宋体" w:hint="default"/>
          <w:b/>
          <w:bCs/>
          <w:spacing w:val="-102"/>
        </w:rPr>
        <w:t> </w:t>
      </w:r>
      <w:r>
        <w:rPr>
          <w:spacing w:val="-2"/>
        </w:rPr>
        <w:t>与或有事项相关的义务同时满足下列条件时，本公司确认为预计负债：</w:t>
      </w:r>
      <w:r>
        <w:rPr>
          <w:w w:val="100"/>
        </w:rPr>
        <w:t> </w:t>
      </w:r>
      <w:r>
        <w:rPr/>
        <w:t>该义务是本公司承担的现时义务；</w:t>
      </w:r>
      <w:r>
        <w:rPr>
          <w:w w:val="100"/>
        </w:rPr>
        <w:t> </w:t>
      </w:r>
      <w:r>
        <w:rPr/>
        <w:t>履行该义务很可能导致经济利益流出本公司；</w:t>
      </w:r>
      <w:r>
        <w:rPr>
          <w:w w:val="100"/>
        </w:rPr>
        <w:t> </w:t>
      </w:r>
      <w:r>
        <w:rPr/>
        <w:t>该义务的金额能够可靠地计量。</w:t>
      </w:r>
    </w:p>
    <w:p>
      <w:pPr>
        <w:spacing w:line="273" w:lineRule="auto" w:before="7"/>
        <w:ind w:left="535" w:right="1764" w:hanging="423"/>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b/>
          <w:bCs/>
          <w:spacing w:val="-102"/>
          <w:sz w:val="21"/>
          <w:szCs w:val="21"/>
        </w:rPr>
        <w:t> </w:t>
      </w:r>
      <w:r>
        <w:rPr>
          <w:rFonts w:ascii="宋体" w:hAnsi="宋体" w:cs="宋体" w:eastAsia="宋体" w:hint="default"/>
          <w:spacing w:val="-2"/>
          <w:sz w:val="21"/>
          <w:szCs w:val="21"/>
        </w:rPr>
        <w:t>本公司预计负债按履行相关现时义务所需的支出的最佳估计数进行初始计量。</w:t>
      </w:r>
    </w:p>
    <w:p>
      <w:pPr>
        <w:pStyle w:val="BodyText"/>
        <w:spacing w:line="273" w:lineRule="auto"/>
        <w:ind w:right="1007" w:firstLine="422"/>
        <w:jc w:val="left"/>
      </w:pPr>
      <w:r>
        <w:rPr>
          <w:spacing w:val="-2"/>
        </w:rPr>
        <w:t>本公司在确定最佳估计数时，综合考虑与或有事项有关的风险、不确定性和货币时间价值等因素。对</w:t>
      </w:r>
      <w:r>
        <w:rPr>
          <w:w w:val="100"/>
        </w:rPr>
        <w:t> </w:t>
      </w:r>
      <w:r>
        <w:rPr/>
        <w:t>于货币时间价值影响重大的，通过对相关未来现金流出进行折现后确定最佳估计数。</w:t>
      </w:r>
    </w:p>
    <w:p>
      <w:pPr>
        <w:pStyle w:val="BodyText"/>
        <w:spacing w:line="240" w:lineRule="auto"/>
        <w:ind w:left="535" w:right="1764"/>
        <w:jc w:val="left"/>
      </w:pPr>
      <w:r>
        <w:rPr/>
        <w:t>最佳估计数分别以下情况处理：</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73" w:lineRule="auto" w:before="36"/>
        <w:ind w:right="1007" w:firstLine="422"/>
        <w:jc w:val="left"/>
      </w:pPr>
      <w:r>
        <w:rPr>
          <w:spacing w:val="-4"/>
          <w:w w:val="100"/>
        </w:rPr>
        <w:t>所需支出存在一个连续范围（或区间），且该范围内各种结果发生的可能性相同的，则最佳估计数按</w:t>
      </w:r>
      <w:r>
        <w:rPr>
          <w:w w:val="100"/>
        </w:rPr>
        <w:t> </w:t>
      </w:r>
      <w:r>
        <w:rPr/>
        <w:t>照该范围的中间值即上下限金额的平均数确定。</w:t>
      </w:r>
    </w:p>
    <w:p>
      <w:pPr>
        <w:pStyle w:val="BodyText"/>
        <w:spacing w:line="273" w:lineRule="auto"/>
        <w:ind w:right="1007" w:firstLine="422"/>
        <w:jc w:val="left"/>
      </w:pPr>
      <w:r>
        <w:rPr>
          <w:spacing w:val="-4"/>
          <w:w w:val="100"/>
        </w:rPr>
        <w:t>所需支出不存在一个连续范围（或区间），或虽然存在一个连续范围但该范围内各种结果发生的可能</w:t>
      </w:r>
      <w:r>
        <w:rPr>
          <w:w w:val="100"/>
        </w:rPr>
        <w:t> </w:t>
      </w:r>
      <w:r>
        <w:rPr>
          <w:spacing w:val="-2"/>
        </w:rPr>
        <w:t>性不相同的，如或有事项涉及单个项目的，则最佳估计数按照最可能发生金额确定；如或有事项涉及多个</w:t>
      </w:r>
      <w:r>
        <w:rPr>
          <w:spacing w:val="-33"/>
        </w:rPr>
        <w:t> </w:t>
      </w:r>
      <w:r>
        <w:rPr>
          <w:spacing w:val="-33"/>
        </w:rPr>
      </w:r>
      <w:r>
        <w:rPr/>
        <w:t>项目的，则最佳估计数按各种可能结果及相关概率计算确定。</w:t>
      </w:r>
    </w:p>
    <w:p>
      <w:pPr>
        <w:pStyle w:val="BodyText"/>
        <w:spacing w:line="273" w:lineRule="auto"/>
        <w:ind w:right="1007" w:firstLine="422"/>
        <w:jc w:val="left"/>
      </w:pPr>
      <w:r>
        <w:rPr>
          <w:spacing w:val="-2"/>
        </w:rPr>
        <w:t>本公司清偿预计负债所需支出全部或部分预期由第三方补偿的，补偿金额在基本确定能够收到时，作</w:t>
      </w:r>
      <w:r>
        <w:rPr>
          <w:w w:val="100"/>
        </w:rPr>
        <w:t> </w:t>
      </w:r>
      <w:r>
        <w:rPr/>
        <w:t>为资产单独确认，确认的补偿金额不超过预计负债的账面价值。</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3"/>
        <w:spacing w:line="240" w:lineRule="auto"/>
        <w:ind w:right="1764"/>
        <w:jc w:val="left"/>
        <w:rPr>
          <w:b w:val="0"/>
          <w:bCs w:val="0"/>
        </w:rPr>
      </w:pPr>
      <w:bookmarkStart w:name="37、股份支付" w:id="216"/>
      <w:bookmarkEnd w:id="216"/>
      <w:r>
        <w:rPr>
          <w:b w:val="0"/>
          <w:bCs w:val="0"/>
        </w:rPr>
      </w:r>
      <w:r>
        <w:rPr>
          <w:rFonts w:ascii="Times New Roman" w:hAnsi="Times New Roman" w:cs="Times New Roman" w:eastAsia="Times New Roman" w:hint="default"/>
        </w:rPr>
        <w:t>37</w:t>
      </w:r>
      <w:r>
        <w:rPr/>
        <w:t>、股份支付</w:t>
      </w:r>
      <w:r>
        <w:rPr>
          <w:b w:val="0"/>
          <w:bCs w:val="0"/>
        </w:rPr>
      </w:r>
    </w:p>
    <w:p>
      <w:pPr>
        <w:spacing w:line="240" w:lineRule="auto" w:before="5"/>
        <w:rPr>
          <w:rFonts w:ascii="宋体" w:hAnsi="宋体" w:cs="宋体" w:eastAsia="宋体" w:hint="default"/>
          <w:b/>
          <w:bCs/>
          <w:sz w:val="24"/>
          <w:szCs w:val="24"/>
        </w:rPr>
      </w:pPr>
    </w:p>
    <w:p>
      <w:pPr>
        <w:spacing w:line="273" w:lineRule="auto" w:before="0"/>
        <w:ind w:left="535" w:right="3606" w:hanging="423"/>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本公司的股份支付分为以权益结算的股份支付和以现金结算的股份支付。</w:t>
      </w:r>
    </w:p>
    <w:p>
      <w:pPr>
        <w:spacing w:line="273" w:lineRule="auto" w:before="7"/>
        <w:ind w:left="535" w:right="1007" w:hanging="423"/>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权益工具公允价值的确定方法</w:t>
      </w:r>
      <w:r>
        <w:rPr>
          <w:rFonts w:ascii="宋体" w:hAnsi="宋体" w:cs="宋体" w:eastAsia="宋体" w:hint="default"/>
          <w:b/>
          <w:bCs/>
          <w:spacing w:val="-102"/>
          <w:sz w:val="21"/>
          <w:szCs w:val="21"/>
        </w:rPr>
        <w:t> </w:t>
      </w:r>
      <w:r>
        <w:rPr>
          <w:rFonts w:ascii="宋体" w:hAnsi="宋体" w:cs="宋体" w:eastAsia="宋体" w:hint="default"/>
          <w:spacing w:val="-2"/>
          <w:sz w:val="21"/>
          <w:szCs w:val="21"/>
        </w:rPr>
        <w:t>对于授予的存在活跃市场的期权等权益工具，按照活跃市场中的报价确定其公允价值。对于授予的不</w:t>
      </w:r>
    </w:p>
    <w:p>
      <w:pPr>
        <w:pStyle w:val="BodyText"/>
        <w:spacing w:line="273" w:lineRule="auto"/>
        <w:ind w:right="1125"/>
        <w:jc w:val="both"/>
      </w:pPr>
      <w:r>
        <w:rPr>
          <w:spacing w:val="-2"/>
        </w:rPr>
        <w:t>存在活跃市场的期权等权益工具，采用期权定价模型等确定其公允价值，选用的期权定价模型考虑以下因</w:t>
      </w:r>
      <w:r>
        <w:rPr>
          <w:spacing w:val="-33"/>
        </w:rPr>
        <w:t> </w:t>
      </w:r>
      <w:r>
        <w:rPr>
          <w:spacing w:val="-33"/>
        </w:rPr>
      </w:r>
      <w:r>
        <w:rPr>
          <w:spacing w:val="-12"/>
          <w:w w:val="100"/>
        </w:rPr>
        <w:t>素：（</w:t>
      </w:r>
      <w:r>
        <w:rPr>
          <w:rFonts w:ascii="宋体" w:hAnsi="宋体" w:cs="宋体" w:eastAsia="宋体" w:hint="default"/>
          <w:spacing w:val="-12"/>
          <w:w w:val="100"/>
        </w:rPr>
        <w:t>1</w:t>
      </w:r>
      <w:r>
        <w:rPr>
          <w:spacing w:val="-12"/>
          <w:w w:val="100"/>
        </w:rPr>
        <w:t>）期权的行权价格；（</w:t>
      </w:r>
      <w:r>
        <w:rPr>
          <w:rFonts w:ascii="宋体" w:hAnsi="宋体" w:cs="宋体" w:eastAsia="宋体" w:hint="default"/>
          <w:spacing w:val="-12"/>
          <w:w w:val="100"/>
        </w:rPr>
        <w:t>2</w:t>
      </w:r>
      <w:r>
        <w:rPr>
          <w:spacing w:val="-12"/>
          <w:w w:val="100"/>
        </w:rPr>
        <w:t>）期权的有效期；（</w:t>
      </w:r>
      <w:r>
        <w:rPr>
          <w:rFonts w:ascii="宋体" w:hAnsi="宋体" w:cs="宋体" w:eastAsia="宋体" w:hint="default"/>
          <w:spacing w:val="-12"/>
          <w:w w:val="100"/>
        </w:rPr>
        <w:t>3</w:t>
      </w:r>
      <w:r>
        <w:rPr>
          <w:spacing w:val="-12"/>
          <w:w w:val="100"/>
        </w:rPr>
        <w:t>）标的股份的现行价格；（</w:t>
      </w:r>
      <w:r>
        <w:rPr>
          <w:rFonts w:ascii="宋体" w:hAnsi="宋体" w:cs="宋体" w:eastAsia="宋体" w:hint="default"/>
          <w:spacing w:val="-12"/>
          <w:w w:val="100"/>
        </w:rPr>
        <w:t>4</w:t>
      </w:r>
      <w:r>
        <w:rPr>
          <w:spacing w:val="-12"/>
          <w:w w:val="100"/>
        </w:rPr>
        <w:t>）股价预计波动率；（</w:t>
      </w:r>
      <w:r>
        <w:rPr>
          <w:rFonts w:ascii="宋体" w:hAnsi="宋体" w:cs="宋体" w:eastAsia="宋体" w:hint="default"/>
          <w:spacing w:val="-12"/>
          <w:w w:val="100"/>
        </w:rPr>
        <w:t>5</w:t>
      </w:r>
      <w:r>
        <w:rPr>
          <w:spacing w:val="-12"/>
          <w:w w:val="100"/>
        </w:rPr>
        <w:t>）股</w:t>
      </w:r>
      <w:r>
        <w:rPr>
          <w:spacing w:val="-5"/>
          <w:w w:val="100"/>
        </w:rPr>
        <w:t> </w:t>
      </w:r>
      <w:r>
        <w:rPr>
          <w:spacing w:val="-6"/>
          <w:w w:val="100"/>
        </w:rPr>
        <w:t>份的预计股利；（</w:t>
      </w:r>
      <w:r>
        <w:rPr>
          <w:rFonts w:ascii="宋体" w:hAnsi="宋体" w:cs="宋体" w:eastAsia="宋体" w:hint="default"/>
          <w:spacing w:val="-6"/>
          <w:w w:val="100"/>
        </w:rPr>
        <w:t>6</w:t>
      </w:r>
      <w:r>
        <w:rPr>
          <w:spacing w:val="-6"/>
          <w:w w:val="100"/>
        </w:rPr>
        <w:t>）期权有效期内的无风险利率。</w:t>
      </w:r>
    </w:p>
    <w:p>
      <w:pPr>
        <w:pStyle w:val="BodyText"/>
        <w:spacing w:line="273" w:lineRule="auto"/>
        <w:ind w:right="1121" w:firstLine="422"/>
        <w:jc w:val="both"/>
      </w:pPr>
      <w:r>
        <w:rPr>
          <w:spacing w:val="-2"/>
        </w:rPr>
        <w:t>在确定权益工具授予日的公允价值时，考虑股份支付协议规定的可行权条件中的市场条件和非可行权</w:t>
      </w:r>
      <w:r>
        <w:rPr>
          <w:w w:val="100"/>
        </w:rPr>
        <w:t> </w:t>
      </w:r>
      <w:r>
        <w:rPr>
          <w:spacing w:val="-7"/>
        </w:rPr>
        <w:t>条件的影响。股份支付存在非可行权条件的，只要职工或其他方满足了所有可行权条件中的非市场条件（如</w:t>
      </w:r>
      <w:r>
        <w:rPr>
          <w:spacing w:val="-4"/>
        </w:rPr>
        <w:t> </w:t>
      </w:r>
      <w:r>
        <w:rPr>
          <w:spacing w:val="-4"/>
        </w:rPr>
      </w:r>
      <w:r>
        <w:rPr>
          <w:spacing w:val="-6"/>
          <w:w w:val="100"/>
        </w:rPr>
        <w:t>服务期限等），即确认已得到服务相对应的成本费用。</w:t>
      </w:r>
    </w:p>
    <w:p>
      <w:pPr>
        <w:spacing w:line="273" w:lineRule="auto" w:before="127"/>
        <w:ind w:left="535" w:right="1007" w:hanging="423"/>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确定可行权权益工具最佳估计的依据</w:t>
      </w:r>
      <w:r>
        <w:rPr>
          <w:rFonts w:ascii="宋体" w:hAnsi="宋体" w:cs="宋体" w:eastAsia="宋体" w:hint="default"/>
          <w:b/>
          <w:bCs/>
          <w:spacing w:val="-101"/>
          <w:sz w:val="21"/>
          <w:szCs w:val="21"/>
        </w:rPr>
        <w:t> </w:t>
      </w:r>
      <w:r>
        <w:rPr>
          <w:rFonts w:ascii="宋体" w:hAnsi="宋体" w:cs="宋体" w:eastAsia="宋体" w:hint="default"/>
          <w:spacing w:val="-2"/>
          <w:sz w:val="21"/>
          <w:szCs w:val="21"/>
        </w:rPr>
        <w:t>等待期内每个资产负债表日，根据最新取得的可行权职工人数变动等后续信息作出最佳估计，修正预</w:t>
      </w:r>
    </w:p>
    <w:p>
      <w:pPr>
        <w:pStyle w:val="BodyText"/>
        <w:spacing w:line="240" w:lineRule="auto"/>
        <w:ind w:right="1007"/>
        <w:jc w:val="left"/>
      </w:pPr>
      <w:r>
        <w:rPr/>
        <w:t>计可行权的权益工具数量。在可行权日，最终预计可行权权益工具的数量与实际可行权数量一致。</w:t>
      </w:r>
    </w:p>
    <w:p>
      <w:pPr>
        <w:pStyle w:val="BodyText"/>
        <w:spacing w:line="273" w:lineRule="auto" w:before="157"/>
        <w:ind w:left="535" w:right="1007" w:hanging="423"/>
        <w:jc w:val="left"/>
      </w:pPr>
      <w:r>
        <w:rPr>
          <w:rFonts w:ascii="宋体" w:hAnsi="宋体" w:cs="宋体" w:eastAsia="宋体" w:hint="default"/>
          <w:b/>
          <w:bCs/>
        </w:rPr>
        <w:t>4.</w:t>
      </w:r>
      <w:r>
        <w:rPr>
          <w:rFonts w:ascii="宋体" w:hAnsi="宋体" w:cs="宋体" w:eastAsia="宋体" w:hint="default"/>
          <w:b/>
          <w:bCs/>
        </w:rPr>
        <w:t>会计处理方法</w:t>
      </w:r>
      <w:r>
        <w:rPr>
          <w:rFonts w:ascii="宋体" w:hAnsi="宋体" w:cs="宋体" w:eastAsia="宋体" w:hint="default"/>
          <w:b/>
          <w:bCs/>
          <w:w w:val="100"/>
        </w:rPr>
        <w:t> </w:t>
      </w:r>
      <w:r>
        <w:rPr>
          <w:spacing w:val="-2"/>
        </w:rPr>
        <w:t>以权益结算的股份支付，按授予职工权益工具的公允价值计量。授予后立即可行权的，在授予日按照</w:t>
      </w:r>
    </w:p>
    <w:p>
      <w:pPr>
        <w:pStyle w:val="BodyText"/>
        <w:spacing w:line="273" w:lineRule="auto"/>
        <w:ind w:right="1124"/>
        <w:jc w:val="both"/>
      </w:pPr>
      <w:r>
        <w:rPr>
          <w:spacing w:val="-2"/>
        </w:rPr>
        <w:t>权益工具的公允价值计入相关成本或费用，相应增加资本公积。在完成等待期内的服务或达到规定业绩条</w:t>
      </w:r>
      <w:r>
        <w:rPr>
          <w:spacing w:val="-33"/>
        </w:rPr>
        <w:t> </w:t>
      </w:r>
      <w:r>
        <w:rPr>
          <w:spacing w:val="-33"/>
        </w:rPr>
      </w:r>
      <w:r>
        <w:rPr>
          <w:spacing w:val="-2"/>
        </w:rPr>
        <w:t>件才可行权的，在等待期内的每个资产负债表日，以对可行权权益工具数量的最佳估计为基础，按照权益</w:t>
      </w:r>
      <w:r>
        <w:rPr>
          <w:spacing w:val="-32"/>
        </w:rPr>
        <w:t> </w:t>
      </w:r>
      <w:r>
        <w:rPr>
          <w:spacing w:val="-32"/>
        </w:rPr>
      </w:r>
      <w:r>
        <w:rPr>
          <w:spacing w:val="-2"/>
        </w:rPr>
        <w:t>工具授予日的公允价值，将当期取得的服务计入相关成本或费用和资本公积。在可行权日之后不再对已确</w:t>
      </w:r>
      <w:r>
        <w:rPr>
          <w:spacing w:val="-33"/>
        </w:rPr>
        <w:t> </w:t>
      </w:r>
      <w:r>
        <w:rPr>
          <w:spacing w:val="-33"/>
        </w:rPr>
      </w:r>
      <w:r>
        <w:rPr/>
        <w:t>认的相关成本或费用和所有者权益总额进行调整。</w:t>
      </w:r>
    </w:p>
    <w:p>
      <w:pPr>
        <w:pStyle w:val="BodyText"/>
        <w:spacing w:line="273" w:lineRule="auto" w:before="8"/>
        <w:ind w:right="1007" w:firstLine="422"/>
        <w:jc w:val="left"/>
      </w:pPr>
      <w:r>
        <w:rPr/>
        <w:t>以现金结算的股份支付，按照本公司承担的以股份或其他权益工具为基础计算确定的负债的公允价值</w:t>
      </w:r>
      <w:r>
        <w:rPr>
          <w:w w:val="100"/>
        </w:rPr>
        <w:t> </w:t>
      </w:r>
      <w:r>
        <w:rPr>
          <w:spacing w:val="-4"/>
        </w:rPr>
        <w:t>计量。授予后立即可行权的，在授予日以本公司承担负债的公允价值计入相关成本或费用，相应增加负债。</w:t>
      </w:r>
      <w:r>
        <w:rPr>
          <w:spacing w:val="-48"/>
        </w:rPr>
        <w:t> </w:t>
      </w:r>
      <w:r>
        <w:rPr>
          <w:spacing w:val="-48"/>
        </w:rPr>
      </w:r>
      <w:r>
        <w:rPr>
          <w:spacing w:val="-2"/>
        </w:rPr>
        <w:t>在完成等待期内的服务或达到规定业绩条件以后才可行权的以现金结算的股份支付，在等待期内的每个资</w:t>
      </w:r>
      <w:r>
        <w:rPr>
          <w:spacing w:val="-33"/>
        </w:rPr>
        <w:t> </w:t>
      </w:r>
      <w:r>
        <w:rPr>
          <w:spacing w:val="-33"/>
        </w:rPr>
      </w:r>
      <w:r>
        <w:rPr>
          <w:spacing w:val="-2"/>
        </w:rPr>
        <w:t>产负债表日，以对可行权情况的最佳估计为基础，按照本公司承担负债的公允价值金额，将当期取得的服</w:t>
      </w:r>
      <w:r>
        <w:rPr>
          <w:spacing w:val="-32"/>
        </w:rPr>
        <w:t> </w:t>
      </w:r>
      <w:r>
        <w:rPr>
          <w:spacing w:val="-32"/>
        </w:rPr>
      </w:r>
      <w:r>
        <w:rPr>
          <w:spacing w:val="-2"/>
        </w:rPr>
        <w:t>务计入成本或费用和相应的负债。在相关负债结算前的每个资产负债表日以及结算日，对负债的公允价值</w:t>
      </w:r>
      <w:r>
        <w:rPr>
          <w:spacing w:val="-33"/>
        </w:rPr>
        <w:t> </w:t>
      </w:r>
      <w:r>
        <w:rPr>
          <w:spacing w:val="-33"/>
        </w:rPr>
      </w:r>
      <w:r>
        <w:rPr/>
        <w:t>重新计量，其变动计入当期损益。</w:t>
      </w:r>
    </w:p>
    <w:p>
      <w:pPr>
        <w:pStyle w:val="BodyText"/>
        <w:spacing w:line="273" w:lineRule="auto"/>
        <w:ind w:right="1125" w:firstLine="422"/>
        <w:jc w:val="both"/>
      </w:pPr>
      <w:r>
        <w:rPr>
          <w:spacing w:val="-2"/>
        </w:rPr>
        <w:t>若在等待期内取消了授予的权益工具，本公司对取消所授予的权益性工具作为加速行权处理，将剩余</w:t>
      </w:r>
      <w:r>
        <w:rPr>
          <w:w w:val="100"/>
        </w:rPr>
        <w:t> </w:t>
      </w:r>
      <w:r>
        <w:rPr>
          <w:spacing w:val="-2"/>
        </w:rPr>
        <w:t>等待期内应确认的金额立即计入当期损益，同时确认资本公积。职工或其他方能够选择满足非可行权条件</w:t>
      </w:r>
      <w:r>
        <w:rPr>
          <w:spacing w:val="-33"/>
        </w:rPr>
        <w:t> </w:t>
      </w:r>
      <w:r>
        <w:rPr>
          <w:spacing w:val="-33"/>
        </w:rPr>
      </w:r>
      <w:r>
        <w:rPr/>
        <w:t>但在等待期内未满足的，本公司将其作为授予权益工具的取消处理。</w:t>
      </w:r>
    </w:p>
    <w:p>
      <w:pPr>
        <w:spacing w:after="0" w:line="273" w:lineRule="auto"/>
        <w:jc w:val="both"/>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3"/>
        <w:spacing w:line="240" w:lineRule="auto" w:before="36"/>
        <w:ind w:right="1764"/>
        <w:jc w:val="left"/>
        <w:rPr>
          <w:b w:val="0"/>
          <w:bCs w:val="0"/>
        </w:rPr>
      </w:pPr>
      <w:bookmarkStart w:name="38、优先股、永续债等其他金融工具" w:id="217"/>
      <w:bookmarkEnd w:id="217"/>
      <w:r>
        <w:rPr>
          <w:b w:val="0"/>
          <w:bCs w:val="0"/>
        </w:rPr>
      </w:r>
      <w:r>
        <w:rPr>
          <w:rFonts w:ascii="Times New Roman" w:hAnsi="Times New Roman" w:cs="Times New Roman" w:eastAsia="Times New Roman" w:hint="default"/>
        </w:rPr>
        <w:t>38</w:t>
      </w:r>
      <w:r>
        <w:rPr/>
        <w:t>、优先股、永续债等其他金融工具</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764"/>
        <w:jc w:val="left"/>
        <w:rPr>
          <w:b w:val="0"/>
          <w:bCs w:val="0"/>
        </w:rPr>
      </w:pPr>
      <w:bookmarkStart w:name="39、收入" w:id="218"/>
      <w:bookmarkEnd w:id="218"/>
      <w:r>
        <w:rPr>
          <w:b w:val="0"/>
          <w:bCs w:val="0"/>
        </w:rPr>
      </w:r>
      <w:r>
        <w:rPr>
          <w:rFonts w:ascii="Times New Roman" w:hAnsi="Times New Roman" w:cs="Times New Roman" w:eastAsia="Times New Roman" w:hint="default"/>
        </w:rPr>
        <w:t>39</w:t>
      </w:r>
      <w:r>
        <w:rPr/>
        <w:t>、收入</w:t>
      </w:r>
      <w:r>
        <w:rPr>
          <w:b w:val="0"/>
          <w:bCs w:val="0"/>
        </w:rPr>
      </w:r>
    </w:p>
    <w:p>
      <w:pPr>
        <w:spacing w:line="240" w:lineRule="auto" w:before="1"/>
        <w:rPr>
          <w:rFonts w:ascii="宋体" w:hAnsi="宋体" w:cs="宋体" w:eastAsia="宋体" w:hint="default"/>
          <w:b/>
          <w:bCs/>
          <w:sz w:val="27"/>
          <w:szCs w:val="27"/>
        </w:rPr>
      </w:pPr>
    </w:p>
    <w:p>
      <w:pPr>
        <w:spacing w:line="290" w:lineRule="auto" w:before="0"/>
        <w:ind w:left="430" w:right="1007" w:hanging="317"/>
        <w:jc w:val="left"/>
        <w:rPr>
          <w:rFonts w:ascii="宋体" w:hAnsi="宋体" w:cs="宋体" w:eastAsia="宋体" w:hint="default"/>
          <w:sz w:val="21"/>
          <w:szCs w:val="21"/>
        </w:rPr>
      </w:pPr>
      <w:r>
        <w:rPr>
          <w:rFonts w:ascii="宋体" w:hAnsi="宋体" w:cs="宋体" w:eastAsia="宋体" w:hint="default"/>
          <w:spacing w:val="-3"/>
          <w:sz w:val="18"/>
          <w:szCs w:val="18"/>
        </w:rPr>
        <w:t>公司需遵守《深圳证券交易所行业信息披露指引第 </w:t>
      </w:r>
      <w:r>
        <w:rPr>
          <w:rFonts w:ascii="Times New Roman" w:hAnsi="Times New Roman" w:cs="Times New Roman" w:eastAsia="Times New Roman" w:hint="default"/>
          <w:sz w:val="18"/>
          <w:szCs w:val="18"/>
        </w:rPr>
        <w:t>12 </w:t>
      </w:r>
      <w:r>
        <w:rPr>
          <w:rFonts w:ascii="宋体" w:hAnsi="宋体" w:cs="宋体" w:eastAsia="宋体" w:hint="default"/>
          <w:spacing w:val="-3"/>
          <w:sz w:val="18"/>
          <w:szCs w:val="18"/>
        </w:rPr>
        <w:t>号——上市公司从事软件与信息技术服务业务》的披露要求</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b/>
          <w:bCs/>
          <w:sz w:val="21"/>
          <w:szCs w:val="21"/>
        </w:rPr>
        <w:t>1.</w:t>
      </w:r>
      <w:r>
        <w:rPr>
          <w:rFonts w:ascii="宋体" w:hAnsi="宋体" w:cs="宋体" w:eastAsia="宋体" w:hint="default"/>
          <w:b/>
          <w:bCs/>
          <w:sz w:val="21"/>
          <w:szCs w:val="21"/>
        </w:rPr>
        <w:t>销售商品收入确认的一般原则</w:t>
      </w:r>
      <w:r>
        <w:rPr>
          <w:rFonts w:ascii="宋体" w:hAnsi="宋体" w:cs="宋体" w:eastAsia="宋体" w:hint="default"/>
          <w:b/>
          <w:bCs/>
          <w:w w:val="100"/>
          <w:sz w:val="21"/>
          <w:szCs w:val="21"/>
        </w:rPr>
        <w:t> </w:t>
      </w:r>
      <w:r>
        <w:rPr>
          <w:rFonts w:ascii="宋体" w:hAnsi="宋体" w:cs="宋体" w:eastAsia="宋体" w:hint="default"/>
          <w:sz w:val="21"/>
          <w:szCs w:val="21"/>
        </w:rPr>
        <w:t>公司已将商品所有权上的主要风险和报酬转移给购买方；公司既没有保留与所有权相联系的继续管理</w:t>
      </w:r>
    </w:p>
    <w:p>
      <w:pPr>
        <w:pStyle w:val="BodyText"/>
        <w:spacing w:line="273" w:lineRule="auto" w:before="0"/>
        <w:ind w:right="1007"/>
        <w:jc w:val="left"/>
      </w:pPr>
      <w:r>
        <w:rPr>
          <w:spacing w:val="-4"/>
        </w:rPr>
        <w:t>权，也没有对已售出的商品实施有效控制；收入的金额能够可靠地计量；相关的经济利益很可能流入企业；</w:t>
      </w:r>
      <w:r>
        <w:rPr>
          <w:spacing w:val="-48"/>
        </w:rPr>
        <w:t> </w:t>
      </w:r>
      <w:r>
        <w:rPr>
          <w:spacing w:val="-48"/>
        </w:rPr>
      </w:r>
      <w:r>
        <w:rPr/>
        <w:t>相关的已发生或将发生的成本能够可靠地计量时，确认商品销售收入实现。</w:t>
      </w:r>
    </w:p>
    <w:p>
      <w:pPr>
        <w:spacing w:line="273" w:lineRule="auto" w:before="8"/>
        <w:ind w:left="535" w:right="1007" w:hanging="106"/>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收入确认的具体原则</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本公司营业收入主要包括应用软件收入、技术服务收入、系统集成工程收入、电信运营业务收入和网</w:t>
      </w:r>
    </w:p>
    <w:p>
      <w:pPr>
        <w:pStyle w:val="BodyText"/>
        <w:spacing w:line="240" w:lineRule="auto"/>
        <w:ind w:right="1764"/>
        <w:jc w:val="left"/>
      </w:pPr>
      <w:r>
        <w:rPr/>
        <w:t>络产品销售业务收入，各项收入确认的具体原则和方法如下：</w:t>
      </w:r>
    </w:p>
    <w:p>
      <w:pPr>
        <w:pStyle w:val="BodyText"/>
        <w:spacing w:line="256" w:lineRule="auto" w:before="37"/>
        <w:ind w:left="535" w:right="1764"/>
        <w:jc w:val="left"/>
      </w:pPr>
      <w:r>
        <w:rPr/>
        <w:t>（</w:t>
      </w:r>
      <w:r>
        <w:rPr>
          <w:rFonts w:ascii="Times New Roman" w:hAnsi="Times New Roman" w:cs="Times New Roman" w:eastAsia="Times New Roman" w:hint="default"/>
        </w:rPr>
        <w:t>1</w:t>
      </w:r>
      <w:r>
        <w:rPr/>
        <w:t>）应用软件收入的确认原则及方法</w:t>
      </w:r>
      <w:r>
        <w:rPr>
          <w:spacing w:val="-101"/>
        </w:rPr>
        <w:t> </w:t>
      </w:r>
      <w:r>
        <w:rPr>
          <w:spacing w:val="-101"/>
        </w:rPr>
      </w:r>
      <w:r>
        <w:rPr>
          <w:spacing w:val="-2"/>
        </w:rPr>
        <w:t>应用软件收入包括应用软件开发收入和软件产品销售收入。</w:t>
      </w:r>
    </w:p>
    <w:p>
      <w:pPr>
        <w:pStyle w:val="BodyText"/>
        <w:spacing w:line="273" w:lineRule="auto" w:before="23"/>
        <w:ind w:right="1125" w:firstLine="422"/>
        <w:jc w:val="both"/>
      </w:pPr>
      <w:r>
        <w:rPr>
          <w:spacing w:val="-2"/>
        </w:rPr>
        <w:t>①应用软件开发收入：是指接受客户委托，根据客户的本地化需要，对应用软件技术进行研究开发所</w:t>
      </w:r>
      <w:r>
        <w:rPr>
          <w:w w:val="100"/>
        </w:rPr>
        <w:t> </w:t>
      </w:r>
      <w:r>
        <w:rPr/>
        <w:t>获得的收入。由此开发出来的软件为定制软件、不具有通用性。其收入确认的原则及方法为：</w:t>
      </w:r>
    </w:p>
    <w:p>
      <w:pPr>
        <w:pStyle w:val="BodyText"/>
        <w:spacing w:line="256" w:lineRule="auto"/>
        <w:ind w:right="1125" w:firstLine="422"/>
        <w:jc w:val="both"/>
      </w:pPr>
      <w:r>
        <w:rPr>
          <w:rFonts w:ascii="Times New Roman" w:hAnsi="Times New Roman" w:cs="Times New Roman" w:eastAsia="Times New Roman" w:hint="default"/>
          <w:spacing w:val="-2"/>
        </w:rPr>
        <w:t>A.</w:t>
      </w:r>
      <w:r>
        <w:rPr>
          <w:spacing w:val="-2"/>
        </w:rPr>
        <w:t>在资产负债表日提供劳务交易的结果能够可靠估计的软件开发项目，采用完工百分比法（项目完工</w:t>
      </w:r>
      <w:r>
        <w:rPr>
          <w:w w:val="100"/>
        </w:rPr>
        <w:t> </w:t>
      </w:r>
      <w:r>
        <w:rPr/>
        <w:t>进度）确认软件开发收入。</w:t>
      </w:r>
    </w:p>
    <w:p>
      <w:pPr>
        <w:pStyle w:val="BodyText"/>
        <w:spacing w:line="273" w:lineRule="auto" w:before="22"/>
        <w:ind w:right="1007" w:firstLine="422"/>
        <w:jc w:val="left"/>
      </w:pPr>
      <w:r>
        <w:rPr>
          <w:spacing w:val="-2"/>
        </w:rPr>
        <w:t>完工百分比的确定方法：按已经提供的工作量占应提供的工作总量的比例确定。由于本公司计算的已</w:t>
      </w:r>
      <w:r>
        <w:rPr>
          <w:w w:val="100"/>
        </w:rPr>
        <w:t> </w:t>
      </w:r>
      <w:r>
        <w:rPr/>
        <w:t>提供的工作量需要委托方认可，故本公司实际采用委托方认可的完工进度证明作为完工百分比的确定依</w:t>
      </w:r>
      <w:r>
        <w:rPr>
          <w:w w:val="100"/>
        </w:rPr>
        <w:t> </w:t>
      </w:r>
      <w:r>
        <w:rPr/>
        <w:t>据。</w:t>
      </w:r>
    </w:p>
    <w:p>
      <w:pPr>
        <w:pStyle w:val="BodyText"/>
        <w:spacing w:line="268" w:lineRule="auto"/>
        <w:ind w:right="1124" w:firstLine="422"/>
        <w:jc w:val="both"/>
      </w:pPr>
      <w:r>
        <w:rPr>
          <w:rFonts w:ascii="Times New Roman" w:hAnsi="Times New Roman" w:cs="Times New Roman" w:eastAsia="Times New Roman" w:hint="default"/>
          <w:spacing w:val="-2"/>
        </w:rPr>
        <w:t>B.</w:t>
      </w:r>
      <w:r>
        <w:rPr>
          <w:spacing w:val="-2"/>
        </w:rPr>
        <w:t>对在资产负债表日提供劳务交易结果不能可靠估计的软件开发项目，如果已经发生的成本预计能够</w:t>
      </w:r>
      <w:r>
        <w:rPr>
          <w:w w:val="100"/>
        </w:rPr>
        <w:t> </w:t>
      </w:r>
      <w:r>
        <w:rPr>
          <w:spacing w:val="-2"/>
        </w:rPr>
        <w:t>得到补偿，按能够得到补偿的金额确认收入，并按相同的金额结转成本；如果已经发生的成本预计不能全</w:t>
      </w:r>
      <w:r>
        <w:rPr>
          <w:spacing w:val="-33"/>
        </w:rPr>
        <w:t> </w:t>
      </w:r>
      <w:r>
        <w:rPr>
          <w:spacing w:val="-33"/>
        </w:rPr>
      </w:r>
      <w:r>
        <w:rPr>
          <w:spacing w:val="-2"/>
        </w:rPr>
        <w:t>部得到补偿，按能够得到补偿的开发成本金额确认收入，并按已发生的成本结转成本，确认的收入金额小</w:t>
      </w:r>
      <w:r>
        <w:rPr>
          <w:spacing w:val="-33"/>
        </w:rPr>
        <w:t> </w:t>
      </w:r>
      <w:r>
        <w:rPr>
          <w:spacing w:val="-33"/>
        </w:rPr>
      </w:r>
      <w:r>
        <w:rPr>
          <w:spacing w:val="-2"/>
        </w:rPr>
        <w:t>于已经发生的成本的差额，确认为损失；如果已发生的成本全部不能得到补偿，则不确认收入，但将已发</w:t>
      </w:r>
      <w:r>
        <w:rPr>
          <w:spacing w:val="-31"/>
        </w:rPr>
        <w:t> </w:t>
      </w:r>
      <w:r>
        <w:rPr>
          <w:spacing w:val="-31"/>
        </w:rPr>
      </w:r>
      <w:r>
        <w:rPr/>
        <w:t>生的成本确认为费用。</w:t>
      </w:r>
    </w:p>
    <w:p>
      <w:pPr>
        <w:pStyle w:val="BodyText"/>
        <w:spacing w:line="273" w:lineRule="auto" w:before="12"/>
        <w:ind w:right="1125" w:firstLine="422"/>
        <w:jc w:val="both"/>
      </w:pPr>
      <w:r>
        <w:rPr>
          <w:spacing w:val="-2"/>
        </w:rPr>
        <w:t>②软件产品销售收入：软件产品销售收入是指自行开发生产的计算机软件所获得的收入。该应用软件</w:t>
      </w:r>
      <w:r>
        <w:rPr>
          <w:w w:val="100"/>
        </w:rPr>
        <w:t> </w:t>
      </w:r>
      <w:r>
        <w:rPr>
          <w:spacing w:val="-2"/>
        </w:rPr>
        <w:t>产品的特点是通用性强、不需要进行本地化开发，通过产品配置、技术培训就能够满足客户对产品的应用</w:t>
      </w:r>
      <w:r>
        <w:rPr>
          <w:spacing w:val="-33"/>
        </w:rPr>
        <w:t> </w:t>
      </w:r>
      <w:r>
        <w:rPr>
          <w:spacing w:val="-33"/>
        </w:rPr>
      </w:r>
      <w:r>
        <w:rPr/>
        <w:t>需求。其收入确认的原则及方法为：</w:t>
      </w:r>
    </w:p>
    <w:p>
      <w:pPr>
        <w:pStyle w:val="BodyText"/>
        <w:spacing w:line="273" w:lineRule="auto"/>
        <w:ind w:right="1125" w:firstLine="422"/>
        <w:jc w:val="both"/>
      </w:pPr>
      <w:r>
        <w:rPr>
          <w:spacing w:val="-2"/>
        </w:rPr>
        <w:t>本公司在软件产品使用权的重要风险和报酬转移给买方、不再对该软件产品使用权实施继续管理权和</w:t>
      </w:r>
      <w:r>
        <w:rPr>
          <w:w w:val="100"/>
        </w:rPr>
        <w:t> </w:t>
      </w:r>
      <w:r>
        <w:rPr>
          <w:spacing w:val="-2"/>
        </w:rPr>
        <w:t>实际控制权、相关的收入已经收到或取得了收款的证据、并且与销售该软件产品有关的成本能够可靠地计</w:t>
      </w:r>
      <w:r>
        <w:rPr>
          <w:spacing w:val="-33"/>
        </w:rPr>
        <w:t> </w:t>
      </w:r>
      <w:r>
        <w:rPr>
          <w:spacing w:val="-33"/>
        </w:rPr>
      </w:r>
      <w:r>
        <w:rPr/>
        <w:t>量时，确认销售收入。</w:t>
      </w:r>
    </w:p>
    <w:p>
      <w:pPr>
        <w:pStyle w:val="BodyText"/>
        <w:spacing w:line="256" w:lineRule="auto"/>
        <w:ind w:left="535" w:right="1007"/>
        <w:jc w:val="left"/>
      </w:pPr>
      <w:r>
        <w:rPr/>
        <w:t>（</w:t>
      </w:r>
      <w:r>
        <w:rPr>
          <w:rFonts w:ascii="Times New Roman" w:hAnsi="Times New Roman" w:cs="Times New Roman" w:eastAsia="Times New Roman" w:hint="default"/>
        </w:rPr>
        <w:t>2</w:t>
      </w:r>
      <w:r>
        <w:rPr/>
        <w:t>）技术服务收入的确认原则及方法</w:t>
      </w:r>
      <w:r>
        <w:rPr>
          <w:spacing w:val="-101"/>
        </w:rPr>
        <w:t> </w:t>
      </w:r>
      <w:r>
        <w:rPr>
          <w:spacing w:val="-101"/>
        </w:rPr>
      </w:r>
      <w:r>
        <w:rPr>
          <w:spacing w:val="-2"/>
        </w:rPr>
        <w:t>本公司技术服务特点是在服务期间内及时解决客户提出的问题，满足服务要求。服务合同期限过后，</w:t>
      </w:r>
    </w:p>
    <w:p>
      <w:pPr>
        <w:pStyle w:val="BodyText"/>
        <w:spacing w:line="273" w:lineRule="auto" w:before="22"/>
        <w:ind w:right="1007"/>
        <w:jc w:val="left"/>
      </w:pPr>
      <w:r>
        <w:rPr>
          <w:spacing w:val="-2"/>
        </w:rPr>
        <w:t>合同自动终止。其收入确认的原则及方法为：在劳务已经提供，收到价款或取得收取款项的证据时，确认</w:t>
      </w:r>
      <w:r>
        <w:rPr>
          <w:spacing w:val="-33"/>
        </w:rPr>
        <w:t> </w:t>
      </w:r>
      <w:r>
        <w:rPr>
          <w:spacing w:val="-33"/>
        </w:rPr>
      </w:r>
      <w:r>
        <w:rPr/>
        <w:t>劳务收入。</w:t>
      </w:r>
    </w:p>
    <w:p>
      <w:pPr>
        <w:pStyle w:val="BodyText"/>
        <w:spacing w:line="256" w:lineRule="auto" w:before="8"/>
        <w:ind w:left="535" w:right="1007"/>
        <w:jc w:val="left"/>
      </w:pPr>
      <w:r>
        <w:rPr/>
        <w:t>（</w:t>
      </w:r>
      <w:r>
        <w:rPr>
          <w:rFonts w:ascii="Times New Roman" w:hAnsi="Times New Roman" w:cs="Times New Roman" w:eastAsia="Times New Roman" w:hint="default"/>
        </w:rPr>
        <w:t>3</w:t>
      </w:r>
      <w:r>
        <w:rPr/>
        <w:t>）系统集成工程的确认原则及方法</w:t>
      </w:r>
      <w:r>
        <w:rPr>
          <w:spacing w:val="-101"/>
        </w:rPr>
        <w:t> </w:t>
      </w:r>
      <w:r>
        <w:rPr>
          <w:spacing w:val="-101"/>
        </w:rPr>
      </w:r>
      <w:r>
        <w:rPr>
          <w:spacing w:val="-2"/>
        </w:rPr>
        <w:t>系统集成工程：是指公司为客户实施系统集成工程时，应客户要求代其外购硬件系统并安装集成所获</w:t>
      </w:r>
    </w:p>
    <w:p>
      <w:pPr>
        <w:pStyle w:val="BodyText"/>
        <w:spacing w:line="273" w:lineRule="auto" w:before="22"/>
        <w:ind w:left="535" w:right="1007" w:hanging="423"/>
        <w:jc w:val="left"/>
      </w:pPr>
      <w:r>
        <w:rPr/>
        <w:t>得的收入。其收入确认的原则及方法为：</w:t>
      </w:r>
      <w:r>
        <w:rPr>
          <w:w w:val="100"/>
        </w:rPr>
        <w:t> </w:t>
      </w:r>
      <w:r>
        <w:rPr>
          <w:spacing w:val="-2"/>
        </w:rPr>
        <w:t>系统集成工程项目软硬件系统所有权上的主要风险和报酬转移给买方，公司不再对其实施继续管理权</w:t>
      </w:r>
    </w:p>
    <w:p>
      <w:pPr>
        <w:pStyle w:val="BodyText"/>
        <w:spacing w:line="273" w:lineRule="auto"/>
        <w:ind w:right="1007"/>
        <w:jc w:val="left"/>
      </w:pPr>
      <w:r>
        <w:rPr>
          <w:spacing w:val="-2"/>
        </w:rPr>
        <w:t>和实际控制权，相关的收入已经收到或取得了收款的证据，与销售该软硬件系统有关的成本能够可靠地计</w:t>
      </w:r>
      <w:r>
        <w:rPr>
          <w:spacing w:val="-30"/>
        </w:rPr>
        <w:t> </w:t>
      </w:r>
      <w:r>
        <w:rPr>
          <w:spacing w:val="-30"/>
        </w:rPr>
      </w:r>
      <w:r>
        <w:rPr/>
        <w:t>量时，确认销售收入。</w:t>
      </w:r>
    </w:p>
    <w:p>
      <w:pPr>
        <w:pStyle w:val="BodyText"/>
        <w:spacing w:line="256" w:lineRule="auto"/>
        <w:ind w:left="535" w:right="1007"/>
        <w:jc w:val="left"/>
      </w:pPr>
      <w:r>
        <w:rPr/>
        <w:t>（</w:t>
      </w:r>
      <w:r>
        <w:rPr>
          <w:rFonts w:ascii="Times New Roman" w:hAnsi="Times New Roman" w:cs="Times New Roman" w:eastAsia="Times New Roman" w:hint="default"/>
        </w:rPr>
        <w:t>4</w:t>
      </w:r>
      <w:r>
        <w:rPr/>
        <w:t>）电信运营业务收入的确认原则及方法</w:t>
      </w:r>
      <w:r>
        <w:rPr>
          <w:spacing w:val="-103"/>
        </w:rPr>
        <w:t> </w:t>
      </w:r>
      <w:r>
        <w:rPr>
          <w:spacing w:val="-103"/>
        </w:rPr>
      </w:r>
      <w:r>
        <w:rPr>
          <w:spacing w:val="-2"/>
        </w:rPr>
        <w:t>电信运营业务是指由本公司提供软、硬件设备，中国联通、中国电信等电信运营商提供通信网络和客</w:t>
      </w:r>
    </w:p>
    <w:p>
      <w:pPr>
        <w:spacing w:after="0" w:line="256"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73" w:lineRule="auto" w:before="36"/>
        <w:ind w:left="535" w:right="1007" w:hanging="423"/>
        <w:jc w:val="left"/>
      </w:pPr>
      <w:r>
        <w:rPr/>
        <w:t>户资源的合作业务，双方按协议约定比例对取得的信息费（或功能费）收入进行分成。</w:t>
      </w:r>
      <w:r>
        <w:rPr>
          <w:w w:val="100"/>
        </w:rPr>
        <w:t> </w:t>
      </w:r>
      <w:r>
        <w:rPr>
          <w:spacing w:val="-2"/>
        </w:rPr>
        <w:t>电信运营业务收入的确认原则及方法为：根据电信运营商提供的结算报表，依据合同约定的费率、分</w:t>
      </w:r>
    </w:p>
    <w:p>
      <w:pPr>
        <w:pStyle w:val="BodyText"/>
        <w:spacing w:line="240" w:lineRule="auto"/>
        <w:ind w:right="1764"/>
        <w:jc w:val="left"/>
      </w:pPr>
      <w:r>
        <w:rPr/>
        <w:t>成比例计算确认收入。</w:t>
      </w:r>
    </w:p>
    <w:p>
      <w:pPr>
        <w:pStyle w:val="BodyText"/>
        <w:spacing w:line="256" w:lineRule="auto" w:before="37"/>
        <w:ind w:left="535" w:right="1007"/>
        <w:jc w:val="left"/>
      </w:pPr>
      <w:r>
        <w:rPr/>
        <w:t>（</w:t>
      </w:r>
      <w:r>
        <w:rPr>
          <w:rFonts w:ascii="Times New Roman" w:hAnsi="Times New Roman" w:cs="Times New Roman" w:eastAsia="Times New Roman" w:hint="default"/>
        </w:rPr>
        <w:t>5</w:t>
      </w:r>
      <w:r>
        <w:rPr/>
        <w:t>）网络产品销售业务收入的确认原则及方法</w:t>
      </w:r>
      <w:r>
        <w:rPr>
          <w:spacing w:val="-101"/>
        </w:rPr>
        <w:t> </w:t>
      </w:r>
      <w:r>
        <w:rPr>
          <w:spacing w:val="-101"/>
        </w:rPr>
      </w:r>
      <w:r>
        <w:rPr>
          <w:spacing w:val="-2"/>
        </w:rPr>
        <w:t>网络产品销售所有权上的主要风险和报酬转移给买方，公司不再对其实施继续管理权和实际控制权，</w:t>
      </w:r>
    </w:p>
    <w:p>
      <w:pPr>
        <w:pStyle w:val="BodyText"/>
        <w:spacing w:line="273" w:lineRule="auto" w:before="22"/>
        <w:ind w:right="1007"/>
        <w:jc w:val="left"/>
      </w:pPr>
      <w:r>
        <w:rPr>
          <w:spacing w:val="-2"/>
        </w:rPr>
        <w:t>相关的收入已经收到或取得了收款的证据，与销售该网络产品有关的成本能够可靠地计量时，确认销售收</w:t>
      </w:r>
      <w:r>
        <w:rPr>
          <w:spacing w:val="-33"/>
        </w:rPr>
        <w:t> </w:t>
      </w:r>
      <w:r>
        <w:rPr>
          <w:spacing w:val="-33"/>
        </w:rPr>
      </w:r>
      <w:r>
        <w:rPr/>
        <w:t>入。</w:t>
      </w:r>
    </w:p>
    <w:p>
      <w:pPr>
        <w:pStyle w:val="BodyText"/>
        <w:spacing w:line="240" w:lineRule="auto"/>
        <w:ind w:left="535" w:right="1764"/>
        <w:jc w:val="left"/>
      </w:pPr>
      <w:r>
        <w:rPr/>
        <w:t>（</w:t>
      </w:r>
      <w:r>
        <w:rPr>
          <w:rFonts w:ascii="Times New Roman" w:hAnsi="Times New Roman" w:cs="Times New Roman" w:eastAsia="Times New Roman" w:hint="default"/>
        </w:rPr>
        <w:t>6</w:t>
      </w:r>
      <w:r>
        <w:rPr/>
        <w:t>）让渡资产使用权收入包括利息收入、使用费收入。</w:t>
      </w:r>
    </w:p>
    <w:p>
      <w:pPr>
        <w:pStyle w:val="BodyText"/>
        <w:spacing w:line="240" w:lineRule="auto" w:before="21"/>
        <w:ind w:left="535" w:right="1764"/>
        <w:jc w:val="left"/>
      </w:pPr>
      <w:r>
        <w:rPr/>
        <w:t>①利息收入金额，按照他人使用本企业货币资金的时间和实际利率计算确定；</w:t>
      </w:r>
    </w:p>
    <w:p>
      <w:pPr>
        <w:pStyle w:val="BodyText"/>
        <w:spacing w:line="240" w:lineRule="auto" w:before="37"/>
        <w:ind w:left="535" w:right="1764"/>
        <w:jc w:val="left"/>
      </w:pPr>
      <w:r>
        <w:rPr/>
        <w:t>②使用费收入金额，按照有关合同或协议约定的收费时间和方法计算确定。</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3"/>
        <w:spacing w:line="240" w:lineRule="auto"/>
        <w:ind w:right="1764"/>
        <w:jc w:val="left"/>
        <w:rPr>
          <w:b w:val="0"/>
          <w:bCs w:val="0"/>
        </w:rPr>
      </w:pPr>
      <w:bookmarkStart w:name="40、政府补助" w:id="219"/>
      <w:bookmarkEnd w:id="219"/>
      <w:r>
        <w:rPr>
          <w:b w:val="0"/>
          <w:bCs w:val="0"/>
        </w:rPr>
      </w:r>
      <w:r>
        <w:rPr>
          <w:rFonts w:ascii="Times New Roman" w:hAnsi="Times New Roman" w:cs="Times New Roman" w:eastAsia="Times New Roman" w:hint="default"/>
        </w:rPr>
        <w:t>40</w:t>
      </w:r>
      <w:r>
        <w:rPr/>
        <w:t>、政府补助</w:t>
      </w:r>
      <w:r>
        <w:rPr>
          <w:b w:val="0"/>
          <w:bCs w:val="0"/>
        </w:rPr>
      </w:r>
    </w:p>
    <w:p>
      <w:pPr>
        <w:spacing w:line="240" w:lineRule="auto" w:before="5"/>
        <w:rPr>
          <w:rFonts w:ascii="宋体" w:hAnsi="宋体" w:cs="宋体" w:eastAsia="宋体" w:hint="default"/>
          <w:b/>
          <w:bCs/>
          <w:sz w:val="24"/>
          <w:szCs w:val="24"/>
        </w:rPr>
      </w:pPr>
    </w:p>
    <w:p>
      <w:pPr>
        <w:pStyle w:val="BodyText"/>
        <w:spacing w:line="273" w:lineRule="auto" w:before="0"/>
        <w:ind w:left="535" w:right="1007"/>
        <w:jc w:val="left"/>
      </w:pPr>
      <w:r>
        <w:rPr>
          <w:rFonts w:ascii="宋体" w:hAnsi="宋体" w:cs="宋体" w:eastAsia="宋体" w:hint="default"/>
          <w:b/>
          <w:bCs/>
        </w:rPr>
        <w:t>1.</w:t>
      </w:r>
      <w:r>
        <w:rPr>
          <w:rFonts w:ascii="宋体" w:hAnsi="宋体" w:cs="宋体" w:eastAsia="宋体" w:hint="default"/>
          <w:b/>
          <w:bCs/>
        </w:rPr>
        <w:t>类型</w:t>
      </w:r>
      <w:r>
        <w:rPr>
          <w:rFonts w:ascii="宋体" w:hAnsi="宋体" w:cs="宋体" w:eastAsia="宋体" w:hint="default"/>
          <w:b/>
          <w:bCs/>
          <w:w w:val="100"/>
        </w:rPr>
        <w:t> </w:t>
      </w:r>
      <w:r>
        <w:rPr>
          <w:spacing w:val="-2"/>
        </w:rPr>
        <w:t>政府补助，是本公司从政府无偿取得的货币性资产与非货币性资产。分为与资产相关的政府补助和与</w:t>
      </w:r>
    </w:p>
    <w:p>
      <w:pPr>
        <w:pStyle w:val="BodyText"/>
        <w:spacing w:line="273" w:lineRule="auto"/>
        <w:ind w:right="1007"/>
        <w:jc w:val="left"/>
      </w:pPr>
      <w:r>
        <w:rPr>
          <w:spacing w:val="-2"/>
        </w:rPr>
        <w:t>收益相关的政府补助。与资产相关的政府补助，是指本公司取得的、用于购建或以其他方式形成长期资产</w:t>
      </w:r>
      <w:r>
        <w:rPr>
          <w:spacing w:val="-33"/>
        </w:rPr>
        <w:t> </w:t>
      </w:r>
      <w:r>
        <w:rPr>
          <w:spacing w:val="-33"/>
        </w:rPr>
      </w:r>
      <w:r>
        <w:rPr/>
        <w:t>的政府补助。与收益相关的政府补助，是指除与资产相关的政府补助之外的政府补助。</w:t>
      </w:r>
    </w:p>
    <w:p>
      <w:pPr>
        <w:pStyle w:val="BodyText"/>
        <w:spacing w:line="273" w:lineRule="auto"/>
        <w:ind w:right="1122" w:firstLine="422"/>
        <w:jc w:val="both"/>
      </w:pPr>
      <w:r>
        <w:rPr>
          <w:spacing w:val="-2"/>
        </w:rPr>
        <w:t>本公司将政府补助划分为与资产相关的具体标准为：政府文件明确规定补助对象为资产类项目的，使</w:t>
      </w:r>
      <w:r>
        <w:rPr>
          <w:w w:val="100"/>
        </w:rPr>
        <w:t> </w:t>
      </w:r>
      <w:r>
        <w:rPr>
          <w:spacing w:val="-2"/>
        </w:rPr>
        <w:t>用该政府补助款将本使公司形成长期资产的，本公司将该政府补助划分为与资产相关的政府补助。本公司</w:t>
      </w:r>
      <w:r>
        <w:rPr>
          <w:spacing w:val="-33"/>
        </w:rPr>
        <w:t> </w:t>
      </w:r>
      <w:r>
        <w:rPr>
          <w:spacing w:val="-33"/>
        </w:rPr>
      </w:r>
      <w:r>
        <w:rPr>
          <w:spacing w:val="-2"/>
        </w:rPr>
        <w:t>将政府补助划分为与收益相关的具体标准为：政府文件明确规定补助对象为收益类项目的，该政府补助无</w:t>
      </w:r>
      <w:r>
        <w:rPr>
          <w:spacing w:val="-33"/>
        </w:rPr>
        <w:t> </w:t>
      </w:r>
      <w:r>
        <w:rPr>
          <w:spacing w:val="-33"/>
        </w:rPr>
      </w:r>
      <w:r>
        <w:rPr>
          <w:spacing w:val="-2"/>
        </w:rPr>
        <w:t>特定用途，或使用该政府补助款不会使公司形成长期资产的，本公司将该政府补助划分为与收益相关的政</w:t>
      </w:r>
      <w:r>
        <w:rPr>
          <w:spacing w:val="-30"/>
        </w:rPr>
        <w:t> </w:t>
      </w:r>
      <w:r>
        <w:rPr>
          <w:spacing w:val="-30"/>
        </w:rPr>
      </w:r>
      <w:r>
        <w:rPr/>
        <w:t>府补助</w:t>
      </w:r>
    </w:p>
    <w:p>
      <w:pPr>
        <w:pStyle w:val="BodyText"/>
        <w:spacing w:line="273" w:lineRule="auto"/>
        <w:ind w:right="1121" w:firstLine="422"/>
        <w:jc w:val="both"/>
      </w:pPr>
      <w:r>
        <w:rPr>
          <w:spacing w:val="-2"/>
        </w:rPr>
        <w:t>对于政府文件未明确规定补助对象的，本公司将该政府补助划分为与资产相关或与收益相关的判断依</w:t>
      </w:r>
      <w:r>
        <w:rPr>
          <w:w w:val="100"/>
        </w:rPr>
        <w:t> </w:t>
      </w:r>
      <w:r>
        <w:rPr/>
        <w:t>据为：根据该政府补助的实际使用情况判断。</w:t>
      </w:r>
    </w:p>
    <w:p>
      <w:pPr>
        <w:pStyle w:val="BodyText"/>
        <w:spacing w:line="273" w:lineRule="auto" w:before="8"/>
        <w:ind w:left="535" w:right="1007"/>
        <w:jc w:val="left"/>
      </w:pPr>
      <w:r>
        <w:rPr>
          <w:rFonts w:ascii="宋体" w:hAnsi="宋体" w:cs="宋体" w:eastAsia="宋体" w:hint="default"/>
          <w:b/>
          <w:bCs/>
        </w:rPr>
        <w:t>2.</w:t>
      </w:r>
      <w:r>
        <w:rPr>
          <w:rFonts w:ascii="宋体" w:hAnsi="宋体" w:cs="宋体" w:eastAsia="宋体" w:hint="default"/>
          <w:b/>
          <w:bCs/>
        </w:rPr>
        <w:t>政府补助的确认</w:t>
      </w:r>
      <w:r>
        <w:rPr>
          <w:rFonts w:ascii="宋体" w:hAnsi="宋体" w:cs="宋体" w:eastAsia="宋体" w:hint="default"/>
          <w:b/>
          <w:bCs/>
          <w:spacing w:val="-104"/>
        </w:rPr>
        <w:t> </w:t>
      </w:r>
      <w:r>
        <w:rPr>
          <w:spacing w:val="-2"/>
        </w:rPr>
        <w:t>对期末有证据表明公司能够符合财政扶持政策规定的相关条件且预计能够收到财政扶持资金的，按应</w:t>
      </w:r>
    </w:p>
    <w:p>
      <w:pPr>
        <w:pStyle w:val="BodyText"/>
        <w:spacing w:line="273" w:lineRule="auto"/>
        <w:ind w:left="535" w:right="1007" w:hanging="423"/>
        <w:jc w:val="left"/>
      </w:pPr>
      <w:r>
        <w:rPr/>
        <w:t>收金额确认政府补助。除此之外，政府补助均在实际收到时确认。</w:t>
      </w:r>
      <w:r>
        <w:rPr>
          <w:w w:val="100"/>
        </w:rPr>
        <w:t> </w:t>
      </w:r>
      <w:r>
        <w:rPr>
          <w:spacing w:val="-2"/>
        </w:rPr>
        <w:t>政府补助为货币性资产的，按照收到或应收的金额计量。政府补助为非货币性资产的，按照公允价值</w:t>
      </w:r>
    </w:p>
    <w:p>
      <w:pPr>
        <w:pStyle w:val="BodyText"/>
        <w:spacing w:line="259" w:lineRule="auto"/>
        <w:ind w:right="1007"/>
        <w:jc w:val="left"/>
      </w:pPr>
      <w:r>
        <w:rPr>
          <w:spacing w:val="-2"/>
        </w:rPr>
        <w:t>计量；公允价值不能够可靠取得的，按照名义金额（人民币</w:t>
      </w:r>
      <w:r>
        <w:rPr>
          <w:rFonts w:ascii="Times New Roman" w:hAnsi="Times New Roman" w:cs="Times New Roman" w:eastAsia="Times New Roman" w:hint="default"/>
          <w:spacing w:val="-2"/>
        </w:rPr>
        <w:t>1</w:t>
      </w:r>
      <w:r>
        <w:rPr>
          <w:spacing w:val="-2"/>
        </w:rPr>
        <w:t>元）计量。按照名义金额计量的政府补助，</w:t>
      </w:r>
      <w:r>
        <w:rPr>
          <w:spacing w:val="-12"/>
        </w:rPr>
        <w:t> </w:t>
      </w:r>
      <w:r>
        <w:rPr>
          <w:spacing w:val="-12"/>
        </w:rPr>
      </w:r>
      <w:r>
        <w:rPr/>
        <w:t>直接计入当期损益。</w:t>
      </w:r>
    </w:p>
    <w:p>
      <w:pPr>
        <w:pStyle w:val="BodyText"/>
        <w:spacing w:line="273" w:lineRule="auto" w:before="20"/>
        <w:ind w:left="535" w:right="1007" w:hanging="106"/>
        <w:jc w:val="left"/>
      </w:pPr>
      <w:r>
        <w:rPr>
          <w:rFonts w:ascii="宋体" w:hAnsi="宋体" w:cs="宋体" w:eastAsia="宋体" w:hint="default"/>
          <w:b/>
          <w:bCs/>
        </w:rPr>
        <w:t>3.</w:t>
      </w:r>
      <w:r>
        <w:rPr>
          <w:rFonts w:ascii="宋体" w:hAnsi="宋体" w:cs="宋体" w:eastAsia="宋体" w:hint="default"/>
          <w:b/>
          <w:bCs/>
        </w:rPr>
        <w:t>会计处理方法</w:t>
      </w:r>
      <w:r>
        <w:rPr>
          <w:rFonts w:ascii="宋体" w:hAnsi="宋体" w:cs="宋体" w:eastAsia="宋体" w:hint="default"/>
          <w:b/>
          <w:bCs/>
          <w:w w:val="100"/>
        </w:rPr>
        <w:t> </w:t>
      </w:r>
      <w:r>
        <w:rPr>
          <w:spacing w:val="-2"/>
        </w:rPr>
        <w:t>与资产相关的政府补助，冲减相关资产账面价值或确认为递延收益。确认为递延收益的，在相关资产</w:t>
      </w:r>
    </w:p>
    <w:p>
      <w:pPr>
        <w:pStyle w:val="BodyText"/>
        <w:spacing w:line="273" w:lineRule="auto"/>
        <w:ind w:right="1007"/>
        <w:jc w:val="left"/>
      </w:pPr>
      <w:r>
        <w:rPr>
          <w:spacing w:val="-2"/>
        </w:rPr>
        <w:t>使用寿命内按照合理、系统的方法分期计入当期损益（与本公司日常活动相关的，计入其他收益；与本公</w:t>
      </w:r>
      <w:r>
        <w:rPr>
          <w:spacing w:val="-33"/>
        </w:rPr>
        <w:t> </w:t>
      </w:r>
      <w:r>
        <w:rPr>
          <w:spacing w:val="-33"/>
        </w:rPr>
      </w:r>
      <w:r>
        <w:rPr>
          <w:spacing w:val="-7"/>
          <w:w w:val="100"/>
        </w:rPr>
        <w:t>司日常活动无关的，计入营业外收入）；</w:t>
      </w:r>
    </w:p>
    <w:p>
      <w:pPr>
        <w:pStyle w:val="BodyText"/>
        <w:spacing w:line="273" w:lineRule="auto"/>
        <w:ind w:right="1120" w:firstLine="422"/>
        <w:jc w:val="both"/>
      </w:pPr>
      <w:r>
        <w:rPr>
          <w:spacing w:val="-2"/>
        </w:rPr>
        <w:t>与收益相关的政府补助，用于补偿本公司以后期间的相关成本费用或损失的，确认为递延收益，并在</w:t>
      </w:r>
      <w:r>
        <w:rPr>
          <w:w w:val="100"/>
        </w:rPr>
        <w:t> </w:t>
      </w:r>
      <w:r>
        <w:rPr>
          <w:spacing w:val="-2"/>
        </w:rPr>
        <w:t>确认相关成本费用或损失的期间，计入当期损益（与本公司日常活动相关的，计入其他收益；与本公司日</w:t>
      </w:r>
      <w:r>
        <w:rPr>
          <w:spacing w:val="-33"/>
        </w:rPr>
        <w:t> </w:t>
      </w:r>
      <w:r>
        <w:rPr>
          <w:spacing w:val="-33"/>
        </w:rPr>
      </w:r>
      <w:r>
        <w:rPr>
          <w:spacing w:val="-2"/>
        </w:rPr>
        <w:t>常活动无关的，计入营业外收入）或冲减相关成本费用或损失；用于补偿本公司已发生的相关成本费用或</w:t>
      </w:r>
      <w:r>
        <w:rPr>
          <w:spacing w:val="-32"/>
        </w:rPr>
        <w:t> </w:t>
      </w:r>
      <w:r>
        <w:rPr>
          <w:spacing w:val="-32"/>
        </w:rPr>
      </w:r>
      <w:r>
        <w:rPr>
          <w:spacing w:val="-2"/>
        </w:rPr>
        <w:t>损失的，直接计入当期损益（与本公司日常活动相关的，计入其他收益；与本公司日常活动无关的，计入</w:t>
      </w:r>
      <w:r>
        <w:rPr>
          <w:spacing w:val="-38"/>
        </w:rPr>
        <w:t> </w:t>
      </w:r>
      <w:r>
        <w:rPr>
          <w:spacing w:val="-38"/>
        </w:rPr>
      </w:r>
      <w:r>
        <w:rPr/>
        <w:t>营业外收入）或冲减相关成本费用或损失。</w:t>
      </w:r>
    </w:p>
    <w:p>
      <w:pPr>
        <w:pStyle w:val="BodyText"/>
        <w:spacing w:line="240" w:lineRule="auto"/>
        <w:ind w:left="535" w:right="1764"/>
        <w:jc w:val="left"/>
      </w:pPr>
      <w:r>
        <w:rPr/>
        <w:t>本公司取得的政策性优惠贷款贴息，区分以下两种情况，分别进行会计处理：</w:t>
      </w:r>
    </w:p>
    <w:p>
      <w:pPr>
        <w:pStyle w:val="BodyText"/>
        <w:spacing w:line="256" w:lineRule="auto" w:before="37"/>
        <w:ind w:right="1207" w:firstLine="422"/>
        <w:jc w:val="both"/>
      </w:pPr>
      <w:r>
        <w:rPr>
          <w:spacing w:val="-2"/>
        </w:rPr>
        <w:t>（</w:t>
      </w:r>
      <w:r>
        <w:rPr>
          <w:rFonts w:ascii="Times New Roman" w:hAnsi="Times New Roman" w:cs="Times New Roman" w:eastAsia="Times New Roman" w:hint="default"/>
          <w:spacing w:val="-2"/>
        </w:rPr>
        <w:t>1</w:t>
      </w:r>
      <w:r>
        <w:rPr>
          <w:spacing w:val="-2"/>
        </w:rPr>
        <w:t>）财政将贴息资金拨付给贷款银行，由贷款银行以政策性优惠利率向本公司提供贷款的，本公司</w:t>
      </w:r>
      <w:r>
        <w:rPr>
          <w:w w:val="100"/>
        </w:rPr>
        <w:t> </w:t>
      </w:r>
      <w:r>
        <w:rPr/>
        <w:t>以实际收到的借款金额作为借款的入账价值，按照借款本金和该政策性优惠利率计算相关借款费用。</w:t>
      </w:r>
    </w:p>
    <w:p>
      <w:pPr>
        <w:pStyle w:val="BodyText"/>
        <w:spacing w:line="240" w:lineRule="auto" w:before="22"/>
        <w:ind w:left="535" w:right="1764"/>
        <w:jc w:val="left"/>
      </w:pPr>
      <w:r>
        <w:rPr/>
        <w:t>（</w:t>
      </w:r>
      <w:r>
        <w:rPr>
          <w:rFonts w:ascii="Times New Roman" w:hAnsi="Times New Roman" w:cs="Times New Roman" w:eastAsia="Times New Roman" w:hint="default"/>
        </w:rPr>
        <w:t>2</w:t>
      </w:r>
      <w:r>
        <w:rPr/>
        <w:t>）财政将贴息资金直接拨付给本公司的，本公司将对应的贴息冲减相关借款费用。</w:t>
      </w:r>
    </w:p>
    <w:p>
      <w:pPr>
        <w:spacing w:after="0" w:line="240" w:lineRule="auto"/>
        <w:jc w:val="left"/>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3"/>
        <w:spacing w:line="240" w:lineRule="auto" w:before="36"/>
        <w:ind w:right="1764"/>
        <w:jc w:val="left"/>
        <w:rPr>
          <w:b w:val="0"/>
          <w:bCs w:val="0"/>
        </w:rPr>
      </w:pPr>
      <w:bookmarkStart w:name="41、递延所得税资产/递延所得税负债" w:id="220"/>
      <w:bookmarkEnd w:id="220"/>
      <w:r>
        <w:rPr>
          <w:b w:val="0"/>
          <w:bCs w:val="0"/>
        </w:rPr>
      </w:r>
      <w:r>
        <w:rPr>
          <w:rFonts w:ascii="Times New Roman" w:hAnsi="Times New Roman" w:cs="Times New Roman" w:eastAsia="Times New Roman" w:hint="default"/>
        </w:rPr>
        <w:t>41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宋体" w:hAnsi="宋体" w:cs="宋体" w:eastAsia="宋体" w:hint="default"/>
          <w:b/>
          <w:bCs/>
          <w:sz w:val="24"/>
          <w:szCs w:val="24"/>
        </w:rPr>
      </w:pPr>
    </w:p>
    <w:p>
      <w:pPr>
        <w:pStyle w:val="BodyText"/>
        <w:spacing w:line="264" w:lineRule="auto" w:before="0"/>
        <w:ind w:right="1125" w:firstLine="422"/>
        <w:jc w:val="both"/>
      </w:pPr>
      <w:r>
        <w:rPr>
          <w:spacing w:val="-2"/>
        </w:rPr>
        <w:t>递延所得税资产和递延所得税负债根据资产和负债的计税基础与其账面价值的差额</w:t>
      </w:r>
      <w:r>
        <w:rPr>
          <w:rFonts w:ascii="Times New Roman" w:hAnsi="Times New Roman" w:cs="Times New Roman" w:eastAsia="Times New Roman" w:hint="default"/>
          <w:spacing w:val="-2"/>
        </w:rPr>
        <w:t>(</w:t>
      </w:r>
      <w:r>
        <w:rPr>
          <w:spacing w:val="-2"/>
        </w:rPr>
        <w:t>暂时性差异</w:t>
      </w:r>
      <w:r>
        <w:rPr>
          <w:rFonts w:ascii="Times New Roman" w:hAnsi="Times New Roman" w:cs="Times New Roman" w:eastAsia="Times New Roman" w:hint="default"/>
          <w:spacing w:val="-2"/>
        </w:rPr>
        <w:t>)</w:t>
      </w:r>
      <w:r>
        <w:rPr>
          <w:spacing w:val="-2"/>
        </w:rPr>
        <w:t>计算</w:t>
      </w:r>
      <w:r>
        <w:rPr>
          <w:w w:val="100"/>
        </w:rPr>
        <w:t> </w:t>
      </w:r>
      <w:r>
        <w:rPr>
          <w:spacing w:val="-2"/>
        </w:rPr>
        <w:t>确认。于资产负债表日，递延所得税资产和递延所得税负债，按照预期收回该资产或清偿该负债期间的适</w:t>
      </w:r>
      <w:r>
        <w:rPr>
          <w:spacing w:val="-33"/>
        </w:rPr>
        <w:t> </w:t>
      </w:r>
      <w:r>
        <w:rPr>
          <w:spacing w:val="-33"/>
        </w:rPr>
      </w:r>
      <w:r>
        <w:rPr/>
        <w:t>用税率计量。</w:t>
      </w:r>
    </w:p>
    <w:p>
      <w:pPr>
        <w:spacing w:line="273" w:lineRule="auto" w:before="16"/>
        <w:ind w:left="535" w:right="1007" w:hanging="106"/>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b/>
          <w:bCs/>
          <w:spacing w:val="-102"/>
          <w:sz w:val="21"/>
          <w:szCs w:val="21"/>
        </w:rPr>
        <w:t> </w:t>
      </w:r>
      <w:r>
        <w:rPr>
          <w:rFonts w:ascii="宋体" w:hAnsi="宋体" w:cs="宋体" w:eastAsia="宋体" w:hint="default"/>
          <w:spacing w:val="-2"/>
          <w:sz w:val="21"/>
          <w:szCs w:val="21"/>
        </w:rPr>
        <w:t>本公司以很可能取得用来抵扣可抵扣暂时性差异、能够结转以后年度的可抵扣亏损和税款抵减的应纳</w:t>
      </w:r>
    </w:p>
    <w:p>
      <w:pPr>
        <w:pStyle w:val="BodyText"/>
        <w:spacing w:line="264" w:lineRule="auto" w:before="8"/>
        <w:ind w:right="1122"/>
        <w:jc w:val="both"/>
      </w:pPr>
      <w:r>
        <w:rPr>
          <w:spacing w:val="-2"/>
        </w:rPr>
        <w:t>税所得额为限，确认由可抵扣暂时性差异产生的递延所得税资产。但是，同时具有下列特征的交易中因资</w:t>
      </w:r>
      <w:r>
        <w:rPr>
          <w:spacing w:val="-33"/>
        </w:rPr>
        <w:t> </w:t>
      </w:r>
      <w:r>
        <w:rPr>
          <w:spacing w:val="-33"/>
        </w:rPr>
      </w:r>
      <w:r>
        <w:rPr>
          <w:spacing w:val="-6"/>
          <w:w w:val="100"/>
        </w:rPr>
        <w:t>产或负债的初始确认所产生的递延所得税资产不予确认：（</w:t>
      </w:r>
      <w:r>
        <w:rPr>
          <w:rFonts w:ascii="Times New Roman" w:hAnsi="Times New Roman" w:cs="Times New Roman" w:eastAsia="Times New Roman" w:hint="default"/>
          <w:spacing w:val="-6"/>
          <w:w w:val="100"/>
        </w:rPr>
        <w:t>1</w:t>
      </w:r>
      <w:r>
        <w:rPr>
          <w:spacing w:val="-6"/>
          <w:w w:val="100"/>
        </w:rPr>
        <w:t>）该交易不是企业合并；（</w:t>
      </w:r>
      <w:r>
        <w:rPr>
          <w:rFonts w:ascii="Times New Roman" w:hAnsi="Times New Roman" w:cs="Times New Roman" w:eastAsia="Times New Roman" w:hint="default"/>
          <w:spacing w:val="-6"/>
          <w:w w:val="100"/>
        </w:rPr>
        <w:t>2</w:t>
      </w:r>
      <w:r>
        <w:rPr>
          <w:spacing w:val="-6"/>
          <w:w w:val="100"/>
        </w:rPr>
        <w:t>）交易发生时既不</w:t>
      </w:r>
      <w:r>
        <w:rPr>
          <w:spacing w:val="-102"/>
          <w:w w:val="100"/>
        </w:rPr>
        <w:t> </w:t>
      </w:r>
      <w:r>
        <w:rPr>
          <w:spacing w:val="-102"/>
          <w:w w:val="100"/>
        </w:rPr>
      </w:r>
      <w:r>
        <w:rPr/>
        <w:t>影响会计利润也不影响应纳税所得额或可抵扣亏损。</w:t>
      </w:r>
    </w:p>
    <w:p>
      <w:pPr>
        <w:pStyle w:val="BodyText"/>
        <w:spacing w:line="273" w:lineRule="auto" w:before="16"/>
        <w:ind w:right="1007" w:firstLine="422"/>
        <w:jc w:val="left"/>
      </w:pPr>
      <w:r>
        <w:rPr>
          <w:spacing w:val="-2"/>
        </w:rPr>
        <w:t>对于与联营企业投资相关的可抵扣暂时性差异，同时满足下列条件的，确认相应的递延所得税资产：</w:t>
      </w:r>
      <w:r>
        <w:rPr>
          <w:w w:val="100"/>
        </w:rPr>
        <w:t> </w:t>
      </w:r>
      <w:r>
        <w:rPr>
          <w:spacing w:val="-2"/>
        </w:rPr>
        <w:t>暂时性差异在可预见的未来很可能转回，且未来很可能获得用来抵扣可抵扣暂时性差异的应纳税所得额。</w:t>
      </w:r>
    </w:p>
    <w:p>
      <w:pPr>
        <w:spacing w:line="273" w:lineRule="auto" w:before="8"/>
        <w:ind w:left="535" w:right="1764" w:hanging="106"/>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b/>
          <w:bCs/>
          <w:spacing w:val="-102"/>
          <w:sz w:val="21"/>
          <w:szCs w:val="21"/>
        </w:rPr>
        <w:t> </w:t>
      </w:r>
      <w:r>
        <w:rPr>
          <w:rFonts w:ascii="宋体" w:hAnsi="宋体" w:cs="宋体" w:eastAsia="宋体" w:hint="default"/>
          <w:spacing w:val="-2"/>
          <w:sz w:val="21"/>
          <w:szCs w:val="21"/>
        </w:rPr>
        <w:t>公司将当期与以前期间应交未交的应纳税暂时性差异确认为递延所得税负债。但不包括：</w:t>
      </w:r>
    </w:p>
    <w:p>
      <w:pPr>
        <w:pStyle w:val="BodyText"/>
        <w:spacing w:line="240" w:lineRule="auto"/>
        <w:ind w:left="535" w:right="1764"/>
        <w:jc w:val="left"/>
      </w:pPr>
      <w:r>
        <w:rPr/>
        <w:t>（</w:t>
      </w:r>
      <w:r>
        <w:rPr>
          <w:rFonts w:ascii="Times New Roman" w:hAnsi="Times New Roman" w:cs="Times New Roman" w:eastAsia="Times New Roman" w:hint="default"/>
        </w:rPr>
        <w:t>1</w:t>
      </w:r>
      <w:r>
        <w:rPr/>
        <w:t>）商誉的初始确认所形成的暂时性差异；</w:t>
      </w:r>
    </w:p>
    <w:p>
      <w:pPr>
        <w:pStyle w:val="BodyText"/>
        <w:spacing w:line="256" w:lineRule="auto" w:before="21"/>
        <w:ind w:right="1007" w:firstLine="422"/>
        <w:jc w:val="left"/>
      </w:pPr>
      <w:r>
        <w:rPr>
          <w:spacing w:val="-2"/>
        </w:rPr>
        <w:t>（</w:t>
      </w:r>
      <w:r>
        <w:rPr>
          <w:rFonts w:ascii="Times New Roman" w:hAnsi="Times New Roman" w:cs="Times New Roman" w:eastAsia="Times New Roman" w:hint="default"/>
          <w:spacing w:val="-2"/>
        </w:rPr>
        <w:t>2</w:t>
      </w:r>
      <w:r>
        <w:rPr>
          <w:spacing w:val="-2"/>
        </w:rPr>
        <w:t>）非企业合并形成的交易或事项，且该交易或事项发生时既不影响会计利润，也不影响应纳税所</w:t>
      </w:r>
      <w:r>
        <w:rPr>
          <w:w w:val="100"/>
        </w:rPr>
        <w:t> </w:t>
      </w:r>
      <w:r>
        <w:rPr/>
        <w:t>得额（或可抵扣亏损）所形成的暂时性差异；</w:t>
      </w:r>
    </w:p>
    <w:p>
      <w:pPr>
        <w:pStyle w:val="BodyText"/>
        <w:spacing w:line="256" w:lineRule="auto" w:before="23"/>
        <w:ind w:right="1007" w:firstLine="422"/>
        <w:jc w:val="left"/>
      </w:pPr>
      <w:r>
        <w:rPr>
          <w:spacing w:val="-2"/>
        </w:rPr>
        <w:t>（</w:t>
      </w:r>
      <w:r>
        <w:rPr>
          <w:rFonts w:ascii="Times New Roman" w:hAnsi="Times New Roman" w:cs="Times New Roman" w:eastAsia="Times New Roman" w:hint="default"/>
          <w:spacing w:val="-2"/>
        </w:rPr>
        <w:t>3</w:t>
      </w:r>
      <w:r>
        <w:rPr>
          <w:spacing w:val="-2"/>
        </w:rPr>
        <w:t>）对于与子公司、联营企业投资相关的应纳税暂时性差异，该暂时性差异转回的时间能够控制并</w:t>
      </w:r>
      <w:r>
        <w:rPr>
          <w:w w:val="100"/>
        </w:rPr>
        <w:t> </w:t>
      </w:r>
      <w:r>
        <w:rPr/>
        <w:t>且该暂时性差异在可预见的未来很可能不会转回。</w:t>
      </w:r>
    </w:p>
    <w:p>
      <w:pPr>
        <w:pStyle w:val="Heading3"/>
        <w:spacing w:line="240" w:lineRule="auto" w:before="22"/>
        <w:ind w:left="430" w:right="1764"/>
        <w:jc w:val="left"/>
        <w:rPr>
          <w:b w:val="0"/>
          <w:bCs w:val="0"/>
        </w:rPr>
      </w:pPr>
      <w:r>
        <w:rPr>
          <w:rFonts w:ascii="宋体" w:hAnsi="宋体" w:cs="宋体" w:eastAsia="宋体" w:hint="default"/>
        </w:rPr>
        <w:t>3.</w:t>
      </w:r>
      <w:r>
        <w:rPr/>
        <w:t>同时满足下列条件时，将递延所得税资产及递延所得税负债以抵销后的净额列示</w:t>
      </w:r>
      <w:r>
        <w:rPr>
          <w:b w:val="0"/>
          <w:bCs w:val="0"/>
        </w:rPr>
      </w:r>
    </w:p>
    <w:p>
      <w:pPr>
        <w:pStyle w:val="BodyText"/>
        <w:spacing w:line="240" w:lineRule="auto" w:before="37"/>
        <w:ind w:left="535" w:right="1764"/>
        <w:jc w:val="left"/>
      </w:pPr>
      <w:r>
        <w:rPr/>
        <w:t>（</w:t>
      </w:r>
      <w:r>
        <w:rPr>
          <w:rFonts w:ascii="Times New Roman" w:hAnsi="Times New Roman" w:cs="Times New Roman" w:eastAsia="Times New Roman" w:hint="default"/>
        </w:rPr>
        <w:t>1</w:t>
      </w:r>
      <w:r>
        <w:rPr/>
        <w:t>）企业拥有以净额结算当期所得税资产及当期所得税负债的法定权利；</w:t>
      </w:r>
    </w:p>
    <w:p>
      <w:pPr>
        <w:pStyle w:val="BodyText"/>
        <w:spacing w:line="266" w:lineRule="auto" w:before="21"/>
        <w:ind w:right="1007" w:firstLine="422"/>
        <w:jc w:val="left"/>
      </w:pPr>
      <w:r>
        <w:rPr/>
        <w:t>（</w:t>
      </w:r>
      <w:r>
        <w:rPr>
          <w:rFonts w:ascii="Times New Roman" w:hAnsi="Times New Roman" w:cs="Times New Roman" w:eastAsia="Times New Roman" w:hint="default"/>
        </w:rPr>
        <w:t>2</w:t>
      </w:r>
      <w:r>
        <w:rPr/>
        <w:t>）递延所得税资产和递延所得税负债是与同一税收征管部门对同一纳税主体征收的所得税相关或</w:t>
      </w:r>
      <w:r>
        <w:rPr>
          <w:w w:val="100"/>
        </w:rPr>
        <w:t> </w:t>
      </w:r>
      <w:r>
        <w:rPr>
          <w:spacing w:val="-2"/>
        </w:rPr>
        <w:t>者对不同的纳税主体相关，但在未来每一具有重要性的递延所得税资产和递延所得税负债转回的期间内，</w:t>
      </w:r>
      <w:r>
        <w:rPr>
          <w:spacing w:val="-13"/>
        </w:rPr>
        <w:t> </w:t>
      </w:r>
      <w:r>
        <w:rPr>
          <w:spacing w:val="-13"/>
        </w:rPr>
      </w:r>
      <w:r>
        <w:rPr/>
        <w:t>涉及的纳税主体体意图以净额结算当期所得税资产及当期所得税负债或是同时取得资产、清偿债务。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pStyle w:val="Heading3"/>
        <w:spacing w:line="240" w:lineRule="auto"/>
        <w:ind w:right="1764"/>
        <w:jc w:val="left"/>
        <w:rPr>
          <w:b w:val="0"/>
          <w:bCs w:val="0"/>
        </w:rPr>
      </w:pPr>
      <w:bookmarkStart w:name="42、租赁" w:id="221"/>
      <w:bookmarkEnd w:id="221"/>
      <w:r>
        <w:rPr>
          <w:b w:val="0"/>
          <w:bCs w:val="0"/>
        </w:rPr>
      </w:r>
      <w:r>
        <w:rPr>
          <w:rFonts w:ascii="Times New Roman" w:hAnsi="Times New Roman" w:cs="Times New Roman" w:eastAsia="Times New Roman" w:hint="default"/>
        </w:rPr>
        <w:t>42</w:t>
      </w:r>
      <w:r>
        <w:rPr/>
        <w:t>、租赁</w:t>
      </w:r>
      <w:r>
        <w:rPr>
          <w:b w:val="0"/>
          <w:bCs w:val="0"/>
        </w:rPr>
      </w:r>
    </w:p>
    <w:p>
      <w:pPr>
        <w:spacing w:line="590" w:lineRule="atLeast" w:before="25"/>
        <w:ind w:left="535" w:right="1007" w:hanging="423"/>
        <w:jc w:val="left"/>
        <w:rPr>
          <w:rFonts w:ascii="宋体" w:hAnsi="宋体" w:cs="宋体" w:eastAsia="宋体" w:hint="default"/>
          <w:sz w:val="21"/>
          <w:szCs w:val="21"/>
        </w:rPr>
      </w:pPr>
      <w:bookmarkStart w:name="（1）经营租赁的会计处理方法" w:id="222"/>
      <w:bookmarkEnd w:id="22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spacing w:val="-102"/>
          <w:sz w:val="21"/>
          <w:szCs w:val="21"/>
        </w:rPr>
        <w:t> </w:t>
      </w:r>
      <w:r>
        <w:rPr>
          <w:rFonts w:ascii="宋体" w:hAnsi="宋体" w:cs="宋体" w:eastAsia="宋体" w:hint="default"/>
          <w:spacing w:val="-2"/>
          <w:sz w:val="21"/>
          <w:szCs w:val="21"/>
        </w:rPr>
        <w:t>如果租赁条款在实质上将与租赁资产所有权有关的全部风险和报酬转移给承租人，该租赁为融资租</w:t>
      </w:r>
    </w:p>
    <w:p>
      <w:pPr>
        <w:pStyle w:val="BodyText"/>
        <w:spacing w:line="273" w:lineRule="auto" w:before="37"/>
        <w:ind w:left="535" w:right="7695" w:hanging="423"/>
        <w:jc w:val="left"/>
      </w:pPr>
      <w:r>
        <w:rPr>
          <w:spacing w:val="-1"/>
        </w:rPr>
        <w:t>赁，其他租赁则为经营租赁。</w:t>
      </w:r>
      <w:r>
        <w:rPr>
          <w:spacing w:val="-87"/>
        </w:rPr>
        <w:t> </w:t>
      </w:r>
      <w:r>
        <w:rPr>
          <w:spacing w:val="-87"/>
        </w:rPr>
      </w:r>
      <w:r>
        <w:rPr>
          <w:rFonts w:ascii="宋体" w:hAnsi="宋体" w:cs="宋体" w:eastAsia="宋体" w:hint="default"/>
        </w:rPr>
        <w:t>1.</w:t>
      </w:r>
      <w:r>
        <w:rPr/>
        <w:t>经营租入资产</w:t>
      </w:r>
    </w:p>
    <w:p>
      <w:pPr>
        <w:pStyle w:val="BodyText"/>
        <w:spacing w:line="273" w:lineRule="auto"/>
        <w:ind w:right="1007" w:firstLine="422"/>
        <w:jc w:val="left"/>
      </w:pPr>
      <w:r>
        <w:rPr>
          <w:spacing w:val="-4"/>
        </w:rPr>
        <w:t>公司租入资产所支付的租赁费，在不扣除免租期的整个租赁期内，按直线法进行分摊，计入当期费用。</w:t>
      </w:r>
      <w:r>
        <w:rPr>
          <w:w w:val="100"/>
        </w:rPr>
        <w:t> </w:t>
      </w:r>
      <w:r>
        <w:rPr/>
        <w:t>公司支付的与租赁交易相关的初始直接费用，计入当期费用。</w:t>
      </w:r>
    </w:p>
    <w:p>
      <w:pPr>
        <w:pStyle w:val="BodyText"/>
        <w:spacing w:line="273" w:lineRule="auto"/>
        <w:ind w:right="1007" w:firstLine="422"/>
        <w:jc w:val="left"/>
      </w:pPr>
      <w:r>
        <w:rPr>
          <w:spacing w:val="-2"/>
        </w:rPr>
        <w:t>资产出租方承担了应由公司承担的与租赁相关的费用时，公司将该部分费用从租金总额中扣除，按扣</w:t>
      </w:r>
      <w:r>
        <w:rPr>
          <w:w w:val="100"/>
        </w:rPr>
        <w:t> </w:t>
      </w:r>
      <w:r>
        <w:rPr/>
        <w:t>除后的租金费用在租赁期内分摊，计入当期费用。</w:t>
      </w:r>
    </w:p>
    <w:p>
      <w:pPr>
        <w:pStyle w:val="BodyText"/>
        <w:spacing w:line="273" w:lineRule="auto"/>
        <w:ind w:left="535" w:right="1007"/>
        <w:jc w:val="left"/>
      </w:pPr>
      <w:r>
        <w:rPr>
          <w:rFonts w:ascii="宋体" w:hAnsi="宋体" w:cs="宋体" w:eastAsia="宋体" w:hint="default"/>
        </w:rPr>
        <w:t>2.</w:t>
      </w:r>
      <w:r>
        <w:rPr/>
        <w:t>经营租出资产</w:t>
      </w:r>
      <w:r>
        <w:rPr>
          <w:spacing w:val="-102"/>
        </w:rPr>
        <w:t> </w:t>
      </w:r>
      <w:r>
        <w:rPr>
          <w:spacing w:val="-102"/>
        </w:rPr>
      </w:r>
      <w:r>
        <w:rPr>
          <w:spacing w:val="-2"/>
        </w:rPr>
        <w:t>公司出租资产所收取的租赁费，在不扣除免租期的整个租赁期内，按直线法进行分摊，确认为租赁收</w:t>
      </w:r>
    </w:p>
    <w:p>
      <w:pPr>
        <w:pStyle w:val="BodyText"/>
        <w:spacing w:line="273" w:lineRule="auto" w:before="8"/>
        <w:ind w:right="1130"/>
        <w:jc w:val="both"/>
      </w:pPr>
      <w:r>
        <w:rPr>
          <w:spacing w:val="-2"/>
        </w:rPr>
        <w:t>入。公司支付的与租赁交易相关的初始直接费用，计入当期费用；如金额较大的，则予以资本化，在整个</w:t>
      </w:r>
      <w:r>
        <w:rPr>
          <w:spacing w:val="-38"/>
        </w:rPr>
        <w:t> </w:t>
      </w:r>
      <w:r>
        <w:rPr>
          <w:spacing w:val="-38"/>
        </w:rPr>
      </w:r>
      <w:r>
        <w:rPr/>
        <w:t>租赁期间内按照与租赁收入确认相同的基础分期计入当期收益。</w:t>
      </w:r>
    </w:p>
    <w:p>
      <w:pPr>
        <w:pStyle w:val="BodyText"/>
        <w:spacing w:line="240" w:lineRule="auto"/>
        <w:ind w:left="535" w:right="1007"/>
        <w:jc w:val="left"/>
      </w:pPr>
      <w:r>
        <w:rPr/>
        <w:t>公司承担了应由承租方承担的与租赁相关的费用时，公司将该部分费用从租金收入总额中扣除，按扣</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40" w:lineRule="auto" w:before="36"/>
        <w:ind w:right="1764"/>
        <w:jc w:val="left"/>
      </w:pPr>
      <w:r>
        <w:rPr/>
        <w:t>除后的租金费用在租赁期内分配。</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Heading3"/>
        <w:spacing w:line="240" w:lineRule="auto"/>
        <w:ind w:right="1764"/>
        <w:jc w:val="left"/>
        <w:rPr>
          <w:b w:val="0"/>
          <w:bCs w:val="0"/>
        </w:rPr>
      </w:pPr>
      <w:bookmarkStart w:name="（2）融资租赁的会计处理方法" w:id="223"/>
      <w:bookmarkEnd w:id="223"/>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0"/>
        <w:rPr>
          <w:rFonts w:ascii="宋体" w:hAnsi="宋体" w:cs="宋体" w:eastAsia="宋体" w:hint="default"/>
          <w:b/>
          <w:bCs/>
          <w:sz w:val="22"/>
          <w:szCs w:val="22"/>
        </w:rPr>
      </w:pPr>
    </w:p>
    <w:p>
      <w:pPr>
        <w:spacing w:line="240" w:lineRule="auto" w:before="3"/>
        <w:rPr>
          <w:rFonts w:ascii="宋体" w:hAnsi="宋体" w:cs="宋体" w:eastAsia="宋体" w:hint="default"/>
          <w:b/>
          <w:bCs/>
          <w:sz w:val="26"/>
          <w:szCs w:val="26"/>
        </w:rPr>
      </w:pPr>
    </w:p>
    <w:p>
      <w:pPr>
        <w:pStyle w:val="BodyText"/>
        <w:spacing w:line="273" w:lineRule="auto" w:before="0"/>
        <w:ind w:right="1007" w:firstLine="422"/>
        <w:jc w:val="left"/>
      </w:pPr>
      <w:r>
        <w:rPr>
          <w:rFonts w:ascii="宋体" w:hAnsi="宋体" w:cs="宋体" w:eastAsia="宋体" w:hint="default"/>
          <w:spacing w:val="-2"/>
        </w:rPr>
        <w:t>1.</w:t>
      </w:r>
      <w:r>
        <w:rPr>
          <w:spacing w:val="-2"/>
        </w:rPr>
        <w:t>融资租入资产：公司在承租开始日，将租赁资产公允价值与最低租赁付款额现值两者中较低者作为</w:t>
      </w:r>
      <w:r>
        <w:rPr>
          <w:w w:val="100"/>
        </w:rPr>
        <w:t> </w:t>
      </w:r>
      <w:r>
        <w:rPr/>
        <w:t>租入资产的入账价值，将最低租赁付款额作为长期应付款的入账价值，其差额作为未确认的融资费用。</w:t>
      </w:r>
    </w:p>
    <w:p>
      <w:pPr>
        <w:pStyle w:val="BodyText"/>
        <w:spacing w:line="273" w:lineRule="auto"/>
        <w:ind w:left="535" w:right="1007"/>
        <w:jc w:val="left"/>
      </w:pPr>
      <w:r>
        <w:rPr/>
        <w:t>融资租入资产的认定依据、计价和折旧方法详见本附注四／（十八）固定资产。</w:t>
      </w:r>
      <w:r>
        <w:rPr>
          <w:w w:val="100"/>
        </w:rPr>
        <w:t> </w:t>
      </w:r>
      <w:r>
        <w:rPr/>
        <w:t>公司采用实际利率法对未确认的融资费用，在资产租赁期间内摊销，计入财务费用。</w:t>
      </w:r>
      <w:r>
        <w:rPr>
          <w:w w:val="100"/>
        </w:rPr>
        <w:t> </w:t>
      </w:r>
      <w:r>
        <w:rPr>
          <w:rFonts w:ascii="宋体" w:hAnsi="宋体" w:cs="宋体" w:eastAsia="宋体" w:hint="default"/>
          <w:spacing w:val="-2"/>
        </w:rPr>
        <w:t>2.</w:t>
      </w:r>
      <w:r>
        <w:rPr>
          <w:spacing w:val="-2"/>
        </w:rPr>
        <w:t>融资租出资产：公司在租赁开始日，将应收融资租赁款，未担保余值之和与其现值的差额确认为未</w:t>
      </w:r>
    </w:p>
    <w:p>
      <w:pPr>
        <w:pStyle w:val="BodyText"/>
        <w:spacing w:line="273" w:lineRule="auto"/>
        <w:ind w:right="1007"/>
        <w:jc w:val="left"/>
      </w:pPr>
      <w:r>
        <w:rPr>
          <w:spacing w:val="-4"/>
        </w:rPr>
        <w:t>实现融资收益，在将来收到租金的各期间内确认为租赁收入，公司发生的与出租交易相关的初始直接费用，</w:t>
      </w:r>
      <w:r>
        <w:rPr>
          <w:spacing w:val="-42"/>
        </w:rPr>
        <w:t> </w:t>
      </w:r>
      <w:r>
        <w:rPr>
          <w:spacing w:val="-42"/>
        </w:rPr>
      </w:r>
      <w:r>
        <w:rPr/>
        <w:t>计入应收融资租赁款的初始计量中，并减少租赁期内确认的收益金额。</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3"/>
        <w:spacing w:line="240" w:lineRule="auto"/>
        <w:ind w:right="1764"/>
        <w:jc w:val="left"/>
        <w:rPr>
          <w:b w:val="0"/>
          <w:bCs w:val="0"/>
        </w:rPr>
      </w:pPr>
      <w:bookmarkStart w:name="43、其他重要的会计政策和会计估计" w:id="224"/>
      <w:bookmarkEnd w:id="224"/>
      <w:r>
        <w:rPr>
          <w:b w:val="0"/>
          <w:bCs w:val="0"/>
        </w:rPr>
      </w:r>
      <w:r>
        <w:rPr>
          <w:rFonts w:ascii="Times New Roman" w:hAnsi="Times New Roman" w:cs="Times New Roman" w:eastAsia="Times New Roman" w:hint="default"/>
        </w:rPr>
        <w:t>43</w:t>
      </w:r>
      <w:r>
        <w:rPr/>
        <w:t>、其他重要的会计政策和会计估计</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29"/>
          <w:szCs w:val="29"/>
        </w:rPr>
      </w:pPr>
    </w:p>
    <w:p>
      <w:pPr>
        <w:pStyle w:val="Heading3"/>
        <w:spacing w:line="240" w:lineRule="auto"/>
        <w:ind w:right="1764"/>
        <w:jc w:val="left"/>
        <w:rPr>
          <w:b w:val="0"/>
          <w:bCs w:val="0"/>
        </w:rPr>
      </w:pPr>
      <w:bookmarkStart w:name="44、重要会计政策和会计估计变更" w:id="225"/>
      <w:bookmarkEnd w:id="225"/>
      <w:r>
        <w:rPr>
          <w:b w:val="0"/>
          <w:bCs w:val="0"/>
        </w:rPr>
      </w:r>
      <w:r>
        <w:rPr>
          <w:rFonts w:ascii="Times New Roman" w:hAnsi="Times New Roman" w:cs="Times New Roman" w:eastAsia="Times New Roman" w:hint="default"/>
        </w:rPr>
        <w:t>44</w:t>
      </w:r>
      <w:r>
        <w:rPr/>
        <w:t>、重要会计政策和会计估计变更</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764"/>
        <w:jc w:val="left"/>
        <w:rPr>
          <w:b w:val="0"/>
          <w:bCs w:val="0"/>
        </w:rPr>
      </w:pPr>
      <w:bookmarkStart w:name="（1）重要会计政策变更" w:id="226"/>
      <w:bookmarkEnd w:id="226"/>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1"/>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93"/>
        <w:gridCol w:w="3189"/>
        <w:gridCol w:w="3193"/>
      </w:tblGrid>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13" w:right="0"/>
              <w:jc w:val="left"/>
              <w:rPr>
                <w:rFonts w:ascii="宋体" w:hAnsi="宋体" w:cs="宋体" w:eastAsia="宋体" w:hint="default"/>
                <w:sz w:val="18"/>
                <w:szCs w:val="18"/>
              </w:rPr>
            </w:pPr>
            <w:r>
              <w:rPr>
                <w:rFonts w:ascii="宋体" w:hAnsi="宋体" w:cs="宋体" w:eastAsia="宋体" w:hint="default"/>
                <w:spacing w:val="-3"/>
                <w:sz w:val="18"/>
                <w:szCs w:val="18"/>
              </w:rPr>
              <w:t>会计政策变更的内容和原因</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0"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执行新金融工具准则</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6"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日第四届董事会第二十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六次会议审议通过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1028"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执行财政部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年修订的《企业会计</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w w:val="101"/>
                <w:sz w:val="18"/>
                <w:szCs w:val="18"/>
              </w:rPr>
              <w:t>准则第</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7</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sz w:val="18"/>
                <w:szCs w:val="18"/>
              </w:rPr>
              <w:t> </w:t>
            </w:r>
            <w:r>
              <w:rPr>
                <w:rFonts w:ascii="宋体" w:hAnsi="宋体" w:cs="宋体" w:eastAsia="宋体" w:hint="default"/>
                <w:w w:val="101"/>
                <w:sz w:val="18"/>
                <w:szCs w:val="18"/>
              </w:rPr>
              <w:t>号</w:t>
            </w:r>
            <w:r>
              <w:rPr>
                <w:rFonts w:ascii="Times New Roman" w:hAnsi="Times New Roman" w:cs="Times New Roman" w:eastAsia="Times New Roman" w:hint="default"/>
                <w:spacing w:val="-4"/>
                <w:w w:val="101"/>
                <w:sz w:val="18"/>
                <w:szCs w:val="18"/>
              </w:rPr>
              <w:t>--</w:t>
            </w:r>
            <w:r>
              <w:rPr>
                <w:rFonts w:ascii="宋体" w:hAnsi="宋体" w:cs="宋体" w:eastAsia="宋体" w:hint="default"/>
                <w:w w:val="101"/>
                <w:sz w:val="18"/>
                <w:szCs w:val="18"/>
              </w:rPr>
              <w:t>非</w:t>
            </w:r>
            <w:r>
              <w:rPr>
                <w:rFonts w:ascii="宋体" w:hAnsi="宋体" w:cs="宋体" w:eastAsia="宋体" w:hint="default"/>
                <w:spacing w:val="-5"/>
                <w:w w:val="101"/>
                <w:sz w:val="18"/>
                <w:szCs w:val="18"/>
              </w:rPr>
              <w:t>货</w:t>
            </w:r>
            <w:r>
              <w:rPr>
                <w:rFonts w:ascii="宋体" w:hAnsi="宋体" w:cs="宋体" w:eastAsia="宋体" w:hint="default"/>
                <w:w w:val="101"/>
                <w:sz w:val="18"/>
                <w:szCs w:val="18"/>
              </w:rPr>
              <w:t>币</w:t>
            </w:r>
            <w:r>
              <w:rPr>
                <w:rFonts w:ascii="宋体" w:hAnsi="宋体" w:cs="宋体" w:eastAsia="宋体" w:hint="default"/>
                <w:spacing w:val="-5"/>
                <w:w w:val="101"/>
                <w:sz w:val="18"/>
                <w:szCs w:val="18"/>
              </w:rPr>
              <w:t>性</w:t>
            </w: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交换</w:t>
            </w:r>
            <w:r>
              <w:rPr>
                <w:rFonts w:ascii="宋体" w:hAnsi="宋体" w:cs="宋体" w:eastAsia="宋体" w:hint="default"/>
                <w:spacing w:val="-77"/>
                <w:w w:val="101"/>
                <w:sz w:val="18"/>
                <w:szCs w:val="18"/>
              </w:rPr>
              <w:t>》</w:t>
            </w:r>
            <w:r>
              <w:rPr>
                <w:rFonts w:ascii="宋体" w:hAnsi="宋体" w:cs="宋体" w:eastAsia="宋体" w:hint="default"/>
                <w:w w:val="101"/>
                <w:sz w:val="18"/>
                <w:szCs w:val="18"/>
              </w:rPr>
              <w:t>和企</w:t>
            </w:r>
            <w:r>
              <w:rPr>
                <w:rFonts w:ascii="宋体" w:hAnsi="宋体" w:cs="宋体" w:eastAsia="宋体" w:hint="default"/>
                <w:sz w:val="18"/>
                <w:szCs w:val="18"/>
              </w:rPr>
            </w:r>
          </w:p>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业会计准则第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债务重组》</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106"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日第五届董事会第六次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会议审议通过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bl>
    <w:p>
      <w:pPr>
        <w:spacing w:line="240" w:lineRule="auto" w:before="3"/>
        <w:rPr>
          <w:rFonts w:ascii="宋体" w:hAnsi="宋体" w:cs="宋体" w:eastAsia="宋体" w:hint="default"/>
          <w:sz w:val="5"/>
          <w:szCs w:val="5"/>
        </w:rPr>
      </w:pPr>
    </w:p>
    <w:p>
      <w:pPr>
        <w:pStyle w:val="BodyText"/>
        <w:spacing w:line="240" w:lineRule="auto" w:before="36"/>
        <w:ind w:left="535" w:right="1764"/>
        <w:jc w:val="left"/>
      </w:pPr>
      <w:r>
        <w:rPr/>
        <w:t>会计政策变更说明：</w:t>
      </w:r>
    </w:p>
    <w:p>
      <w:pPr>
        <w:spacing w:line="273" w:lineRule="auto" w:before="157"/>
        <w:ind w:left="535" w:right="1122" w:firstLine="57"/>
        <w:jc w:val="left"/>
        <w:rPr>
          <w:rFonts w:ascii="宋体" w:hAnsi="宋体" w:cs="宋体" w:eastAsia="宋体" w:hint="default"/>
          <w:sz w:val="21"/>
          <w:szCs w:val="21"/>
        </w:rPr>
      </w:pPr>
      <w:r>
        <w:rPr>
          <w:rFonts w:ascii="宋体" w:hAnsi="宋体" w:cs="宋体" w:eastAsia="宋体" w:hint="default"/>
          <w:b/>
          <w:bCs/>
          <w:sz w:val="21"/>
          <w:szCs w:val="21"/>
        </w:rPr>
        <w:t>执行新金融工具准则对本公司的影响</w:t>
      </w:r>
      <w:r>
        <w:rPr>
          <w:rFonts w:ascii="宋体" w:hAnsi="宋体" w:cs="宋体" w:eastAsia="宋体" w:hint="default"/>
          <w:b/>
          <w:bCs/>
          <w:w w:val="100"/>
          <w:sz w:val="21"/>
          <w:szCs w:val="21"/>
        </w:rPr>
        <w:t> </w:t>
      </w:r>
      <w:r>
        <w:rPr>
          <w:rFonts w:ascii="宋体" w:hAnsi="宋体" w:cs="宋体" w:eastAsia="宋体" w:hint="default"/>
          <w:spacing w:val="-8"/>
          <w:w w:val="100"/>
          <w:sz w:val="21"/>
          <w:szCs w:val="21"/>
        </w:rPr>
        <w:t>本公司自</w:t>
      </w:r>
      <w:r>
        <w:rPr>
          <w:rFonts w:ascii="宋体" w:hAnsi="宋体" w:cs="宋体" w:eastAsia="宋体" w:hint="default"/>
          <w:spacing w:val="-8"/>
          <w:w w:val="100"/>
          <w:sz w:val="21"/>
          <w:szCs w:val="21"/>
        </w:rPr>
        <w:t>2019</w:t>
      </w:r>
      <w:r>
        <w:rPr>
          <w:rFonts w:ascii="宋体" w:hAnsi="宋体" w:cs="宋体" w:eastAsia="宋体" w:hint="default"/>
          <w:spacing w:val="-8"/>
          <w:w w:val="100"/>
          <w:sz w:val="21"/>
          <w:szCs w:val="21"/>
        </w:rPr>
        <w:t>年</w:t>
      </w:r>
      <w:r>
        <w:rPr>
          <w:rFonts w:ascii="宋体" w:hAnsi="宋体" w:cs="宋体" w:eastAsia="宋体" w:hint="default"/>
          <w:spacing w:val="-8"/>
          <w:w w:val="100"/>
          <w:sz w:val="21"/>
          <w:szCs w:val="21"/>
        </w:rPr>
        <w:t>1</w:t>
      </w:r>
      <w:r>
        <w:rPr>
          <w:rFonts w:ascii="宋体" w:hAnsi="宋体" w:cs="宋体" w:eastAsia="宋体" w:hint="default"/>
          <w:spacing w:val="-8"/>
          <w:w w:val="100"/>
          <w:sz w:val="21"/>
          <w:szCs w:val="21"/>
        </w:rPr>
        <w:t>月</w:t>
      </w:r>
      <w:r>
        <w:rPr>
          <w:rFonts w:ascii="宋体" w:hAnsi="宋体" w:cs="宋体" w:eastAsia="宋体" w:hint="default"/>
          <w:spacing w:val="-8"/>
          <w:w w:val="100"/>
          <w:sz w:val="21"/>
          <w:szCs w:val="21"/>
        </w:rPr>
        <w:t>1</w:t>
      </w:r>
      <w:r>
        <w:rPr>
          <w:rFonts w:ascii="宋体" w:hAnsi="宋体" w:cs="宋体" w:eastAsia="宋体" w:hint="default"/>
          <w:spacing w:val="-8"/>
          <w:w w:val="100"/>
          <w:sz w:val="21"/>
          <w:szCs w:val="21"/>
        </w:rPr>
        <w:t>日起执行财政部</w:t>
      </w:r>
      <w:r>
        <w:rPr>
          <w:rFonts w:ascii="宋体" w:hAnsi="宋体" w:cs="宋体" w:eastAsia="宋体" w:hint="default"/>
          <w:spacing w:val="-8"/>
          <w:w w:val="100"/>
          <w:sz w:val="21"/>
          <w:szCs w:val="21"/>
        </w:rPr>
        <w:t>2017</w:t>
      </w:r>
      <w:r>
        <w:rPr>
          <w:rFonts w:ascii="宋体" w:hAnsi="宋体" w:cs="宋体" w:eastAsia="宋体" w:hint="default"/>
          <w:spacing w:val="-8"/>
          <w:w w:val="100"/>
          <w:sz w:val="21"/>
          <w:szCs w:val="21"/>
        </w:rPr>
        <w:t>年修订的《企业会计准则第</w:t>
      </w:r>
      <w:r>
        <w:rPr>
          <w:rFonts w:ascii="宋体" w:hAnsi="宋体" w:cs="宋体" w:eastAsia="宋体" w:hint="default"/>
          <w:spacing w:val="-8"/>
          <w:w w:val="100"/>
          <w:sz w:val="21"/>
          <w:szCs w:val="21"/>
        </w:rPr>
        <w:t>22</w:t>
      </w:r>
      <w:r>
        <w:rPr>
          <w:rFonts w:ascii="宋体" w:hAnsi="宋体" w:cs="宋体" w:eastAsia="宋体" w:hint="default"/>
          <w:spacing w:val="-8"/>
          <w:w w:val="100"/>
          <w:sz w:val="21"/>
          <w:szCs w:val="21"/>
        </w:rPr>
        <w:t>号</w:t>
      </w:r>
      <w:r>
        <w:rPr>
          <w:rFonts w:ascii="宋体" w:hAnsi="宋体" w:cs="宋体" w:eastAsia="宋体" w:hint="default"/>
          <w:spacing w:val="-8"/>
          <w:w w:val="100"/>
          <w:sz w:val="21"/>
          <w:szCs w:val="21"/>
        </w:rPr>
        <w:t>-</w:t>
      </w:r>
      <w:r>
        <w:rPr>
          <w:rFonts w:ascii="宋体" w:hAnsi="宋体" w:cs="宋体" w:eastAsia="宋体" w:hint="default"/>
          <w:spacing w:val="-8"/>
          <w:w w:val="100"/>
          <w:sz w:val="21"/>
          <w:szCs w:val="21"/>
        </w:rPr>
        <w:t>金融工具确认和计量》、《企</w:t>
      </w:r>
    </w:p>
    <w:p>
      <w:pPr>
        <w:pStyle w:val="BodyText"/>
        <w:spacing w:line="273" w:lineRule="auto" w:before="8"/>
        <w:ind w:right="1195"/>
        <w:jc w:val="left"/>
      </w:pPr>
      <w:r>
        <w:rPr>
          <w:w w:val="100"/>
        </w:rPr>
        <w:t>业会计准</w:t>
      </w:r>
      <w:r>
        <w:rPr>
          <w:spacing w:val="-5"/>
          <w:w w:val="100"/>
        </w:rPr>
        <w:t>则</w:t>
      </w:r>
      <w:r>
        <w:rPr>
          <w:w w:val="100"/>
        </w:rPr>
        <w:t>第</w:t>
      </w:r>
      <w:r>
        <w:rPr>
          <w:rFonts w:ascii="宋体" w:hAnsi="宋体" w:cs="宋体" w:eastAsia="宋体" w:hint="default"/>
          <w:w w:val="100"/>
        </w:rPr>
        <w:t>23</w:t>
      </w:r>
      <w:r>
        <w:rPr>
          <w:w w:val="100"/>
        </w:rPr>
        <w:t>号</w:t>
      </w:r>
      <w:r>
        <w:rPr>
          <w:rFonts w:ascii="宋体" w:hAnsi="宋体" w:cs="宋体" w:eastAsia="宋体" w:hint="default"/>
          <w:w w:val="100"/>
        </w:rPr>
        <w:t>-</w:t>
      </w:r>
      <w:r>
        <w:rPr>
          <w:spacing w:val="-5"/>
          <w:w w:val="100"/>
        </w:rPr>
        <w:t>金</w:t>
      </w:r>
      <w:r>
        <w:rPr>
          <w:w w:val="100"/>
        </w:rPr>
        <w:t>融资产</w:t>
      </w:r>
      <w:r>
        <w:rPr>
          <w:spacing w:val="-5"/>
          <w:w w:val="100"/>
        </w:rPr>
        <w:t>转</w:t>
      </w:r>
      <w:r>
        <w:rPr>
          <w:w w:val="100"/>
        </w:rPr>
        <w:t>移》和</w:t>
      </w:r>
      <w:r>
        <w:rPr>
          <w:spacing w:val="-5"/>
          <w:w w:val="100"/>
        </w:rPr>
        <w:t>《</w:t>
      </w:r>
      <w:r>
        <w:rPr>
          <w:w w:val="100"/>
        </w:rPr>
        <w:t>企业</w:t>
      </w:r>
      <w:r>
        <w:rPr>
          <w:spacing w:val="-5"/>
          <w:w w:val="100"/>
        </w:rPr>
        <w:t>会</w:t>
      </w:r>
      <w:r>
        <w:rPr>
          <w:w w:val="100"/>
        </w:rPr>
        <w:t>计</w:t>
      </w:r>
      <w:r>
        <w:rPr>
          <w:spacing w:val="-5"/>
          <w:w w:val="100"/>
        </w:rPr>
        <w:t>准</w:t>
      </w:r>
      <w:r>
        <w:rPr>
          <w:w w:val="100"/>
        </w:rPr>
        <w:t>则</w:t>
      </w:r>
      <w:r>
        <w:rPr>
          <w:spacing w:val="1"/>
          <w:w w:val="100"/>
        </w:rPr>
        <w:t>第</w:t>
      </w:r>
      <w:r>
        <w:rPr>
          <w:rFonts w:ascii="宋体" w:hAnsi="宋体" w:cs="宋体" w:eastAsia="宋体" w:hint="default"/>
          <w:w w:val="100"/>
        </w:rPr>
        <w:t>24</w:t>
      </w:r>
      <w:r>
        <w:rPr>
          <w:w w:val="100"/>
        </w:rPr>
        <w:t>号</w:t>
      </w:r>
      <w:r>
        <w:rPr>
          <w:rFonts w:ascii="宋体" w:hAnsi="宋体" w:cs="宋体" w:eastAsia="宋体" w:hint="default"/>
          <w:w w:val="100"/>
        </w:rPr>
        <w:t>-</w:t>
      </w:r>
      <w:r>
        <w:rPr>
          <w:spacing w:val="-5"/>
          <w:w w:val="100"/>
        </w:rPr>
        <w:t>套</w:t>
      </w:r>
      <w:r>
        <w:rPr>
          <w:w w:val="100"/>
        </w:rPr>
        <w:t>期会计</w:t>
      </w:r>
      <w:r>
        <w:rPr>
          <w:spacing w:val="-106"/>
          <w:w w:val="100"/>
        </w:rPr>
        <w:t>》</w:t>
      </w:r>
      <w:r>
        <w:rPr>
          <w:spacing w:val="-111"/>
          <w:w w:val="100"/>
        </w:rPr>
        <w:t>、</w:t>
      </w:r>
      <w:r>
        <w:rPr>
          <w:w w:val="100"/>
        </w:rPr>
        <w:t>《企业</w:t>
      </w:r>
      <w:r>
        <w:rPr>
          <w:spacing w:val="-5"/>
          <w:w w:val="100"/>
        </w:rPr>
        <w:t>会</w:t>
      </w:r>
      <w:r>
        <w:rPr>
          <w:w w:val="100"/>
        </w:rPr>
        <w:t>计准则</w:t>
      </w:r>
      <w:r>
        <w:rPr>
          <w:spacing w:val="-4"/>
          <w:w w:val="100"/>
        </w:rPr>
        <w:t>第</w:t>
      </w:r>
      <w:r>
        <w:rPr>
          <w:rFonts w:ascii="宋体" w:hAnsi="宋体" w:cs="宋体" w:eastAsia="宋体" w:hint="default"/>
          <w:w w:val="100"/>
        </w:rPr>
        <w:t>37</w:t>
      </w:r>
      <w:r>
        <w:rPr>
          <w:w w:val="100"/>
        </w:rPr>
        <w:t>号</w:t>
      </w:r>
      <w:r>
        <w:rPr>
          <w:rFonts w:ascii="宋体" w:hAnsi="宋体" w:cs="宋体" w:eastAsia="宋体" w:hint="default"/>
          <w:w w:val="100"/>
        </w:rPr>
        <w:t>-</w:t>
      </w:r>
      <w:r>
        <w:rPr>
          <w:spacing w:val="-5"/>
          <w:w w:val="100"/>
        </w:rPr>
        <w:t>金</w:t>
      </w:r>
      <w:r>
        <w:rPr>
          <w:w w:val="100"/>
        </w:rPr>
        <w:t>融工</w:t>
      </w:r>
      <w:r>
        <w:rPr>
          <w:w w:val="100"/>
        </w:rPr>
        <w:t> 具列报</w:t>
      </w:r>
      <w:r>
        <w:rPr>
          <w:spacing w:val="-106"/>
          <w:w w:val="100"/>
        </w:rPr>
        <w:t>》</w:t>
      </w:r>
      <w:r>
        <w:rPr>
          <w:w w:val="100"/>
        </w:rPr>
        <w:t>（</w:t>
      </w:r>
      <w:r>
        <w:rPr>
          <w:spacing w:val="-5"/>
          <w:w w:val="100"/>
        </w:rPr>
        <w:t>以</w:t>
      </w:r>
      <w:r>
        <w:rPr>
          <w:w w:val="100"/>
        </w:rPr>
        <w:t>上四项</w:t>
      </w:r>
      <w:r>
        <w:rPr>
          <w:spacing w:val="-5"/>
          <w:w w:val="100"/>
        </w:rPr>
        <w:t>统</w:t>
      </w:r>
      <w:r>
        <w:rPr>
          <w:spacing w:val="1"/>
          <w:w w:val="100"/>
        </w:rPr>
        <w:t>称</w:t>
      </w:r>
      <w:r>
        <w:rPr>
          <w:rFonts w:ascii="宋体" w:hAnsi="宋体" w:cs="宋体" w:eastAsia="宋体" w:hint="default"/>
          <w:w w:val="100"/>
        </w:rPr>
        <w:t>&lt;</w:t>
      </w:r>
      <w:r>
        <w:rPr>
          <w:w w:val="100"/>
        </w:rPr>
        <w:t>新</w:t>
      </w:r>
      <w:r>
        <w:rPr>
          <w:spacing w:val="-5"/>
          <w:w w:val="100"/>
        </w:rPr>
        <w:t>金</w:t>
      </w:r>
      <w:r>
        <w:rPr>
          <w:w w:val="100"/>
        </w:rPr>
        <w:t>融工具</w:t>
      </w:r>
      <w:r>
        <w:rPr>
          <w:spacing w:val="-5"/>
          <w:w w:val="100"/>
        </w:rPr>
        <w:t>准</w:t>
      </w:r>
      <w:r>
        <w:rPr>
          <w:w w:val="100"/>
        </w:rPr>
        <w:t>则</w:t>
      </w:r>
      <w:r>
        <w:rPr>
          <w:rFonts w:ascii="宋体" w:hAnsi="宋体" w:cs="宋体" w:eastAsia="宋体" w:hint="default"/>
          <w:w w:val="100"/>
        </w:rPr>
        <w:t>&gt;</w:t>
      </w:r>
      <w:r>
        <w:rPr>
          <w:spacing w:val="-106"/>
          <w:w w:val="100"/>
        </w:rPr>
        <w:t>）</w:t>
      </w:r>
      <w:r>
        <w:rPr>
          <w:w w:val="100"/>
        </w:rPr>
        <w:t>，</w:t>
      </w:r>
      <w:r>
        <w:rPr>
          <w:spacing w:val="-5"/>
          <w:w w:val="100"/>
        </w:rPr>
        <w:t>变</w:t>
      </w:r>
      <w:r>
        <w:rPr>
          <w:w w:val="100"/>
        </w:rPr>
        <w:t>更</w:t>
      </w:r>
      <w:r>
        <w:rPr>
          <w:spacing w:val="-5"/>
          <w:w w:val="100"/>
        </w:rPr>
        <w:t>后</w:t>
      </w:r>
      <w:r>
        <w:rPr>
          <w:w w:val="100"/>
        </w:rPr>
        <w:t>的会计政</w:t>
      </w:r>
      <w:r>
        <w:rPr>
          <w:spacing w:val="-5"/>
          <w:w w:val="100"/>
        </w:rPr>
        <w:t>策</w:t>
      </w:r>
      <w:r>
        <w:rPr>
          <w:w w:val="100"/>
        </w:rPr>
        <w:t>详见附</w:t>
      </w:r>
      <w:r>
        <w:rPr>
          <w:spacing w:val="-5"/>
          <w:w w:val="100"/>
        </w:rPr>
        <w:t>注</w:t>
      </w:r>
      <w:r>
        <w:rPr>
          <w:w w:val="100"/>
        </w:rPr>
        <w:t>四。</w:t>
      </w:r>
    </w:p>
    <w:p>
      <w:pPr>
        <w:pStyle w:val="BodyText"/>
        <w:spacing w:line="273" w:lineRule="auto"/>
        <w:ind w:right="1122" w:firstLine="422"/>
        <w:jc w:val="both"/>
      </w:pPr>
      <w:r>
        <w:rPr>
          <w:spacing w:val="-2"/>
        </w:rPr>
        <w:t>于</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日之前的金融工具确认和计量与新金融工具准则要求不一致的，本公司按照新金融工具</w:t>
      </w:r>
      <w:r>
        <w:rPr>
          <w:w w:val="100"/>
        </w:rPr>
        <w:t> </w:t>
      </w:r>
      <w:r>
        <w:rPr>
          <w:spacing w:val="-2"/>
        </w:rPr>
        <w:t>准则的要求进行衔接调整。涉及前期比较财务报表数据与新金融工具准则要求不一致的，本公司未调整可</w:t>
      </w:r>
      <w:r>
        <w:rPr>
          <w:spacing w:val="-33"/>
        </w:rPr>
        <w:t> </w:t>
      </w:r>
      <w:r>
        <w:rPr>
          <w:spacing w:val="-33"/>
        </w:rPr>
      </w:r>
      <w:r>
        <w:rPr>
          <w:spacing w:val="-2"/>
        </w:rPr>
        <w:t>比期间信息。金融工具原账面价值和新金融工具准则施行日的新账面价值之间的差额，计入</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w:t>
      </w:r>
      <w:r>
        <w:rPr>
          <w:spacing w:val="-24"/>
        </w:rPr>
        <w:t> </w:t>
      </w:r>
      <w:r>
        <w:rPr/>
        <w:t>留存收益或其他综合收益。</w:t>
      </w:r>
    </w:p>
    <w:p>
      <w:pPr>
        <w:pStyle w:val="BodyText"/>
        <w:spacing w:line="240" w:lineRule="auto"/>
        <w:ind w:left="535" w:right="1764"/>
        <w:jc w:val="left"/>
      </w:pPr>
      <w:r>
        <w:rPr/>
        <w:t>执行新金融工具准则对本期期初资产负债表相关项目的影响列示如下：</w:t>
      </w:r>
    </w:p>
    <w:p>
      <w:pPr>
        <w:spacing w:line="240" w:lineRule="auto" w:before="13"/>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838"/>
        <w:gridCol w:w="1595"/>
        <w:gridCol w:w="4177"/>
        <w:gridCol w:w="1981"/>
      </w:tblGrid>
      <w:tr>
        <w:trPr>
          <w:trHeight w:val="358" w:hRule="exact"/>
        </w:trPr>
        <w:tc>
          <w:tcPr>
            <w:tcW w:w="18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c>
          <w:tcPr>
            <w:tcW w:w="41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3" w:right="0"/>
              <w:jc w:val="center"/>
              <w:rPr>
                <w:rFonts w:ascii="宋体" w:hAnsi="宋体" w:cs="宋体" w:eastAsia="宋体" w:hint="default"/>
                <w:sz w:val="18"/>
                <w:szCs w:val="18"/>
              </w:rPr>
            </w:pPr>
            <w:r>
              <w:rPr>
                <w:rFonts w:ascii="宋体" w:hAnsi="宋体" w:cs="宋体" w:eastAsia="宋体" w:hint="default"/>
                <w:sz w:val="18"/>
                <w:szCs w:val="18"/>
              </w:rPr>
              <w:t>累积影响金额</w:t>
            </w:r>
          </w:p>
        </w:tc>
        <w:tc>
          <w:tcPr>
            <w:tcW w:w="198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1834"/>
        <w:gridCol w:w="1595"/>
        <w:gridCol w:w="1416"/>
        <w:gridCol w:w="1364"/>
        <w:gridCol w:w="1397"/>
        <w:gridCol w:w="1981"/>
      </w:tblGrid>
      <w:tr>
        <w:trPr>
          <w:trHeight w:val="977" w:hRule="exact"/>
        </w:trPr>
        <w:tc>
          <w:tcPr>
            <w:tcW w:w="1834" w:type="dxa"/>
            <w:tcBorders>
              <w:top w:val="single" w:sz="6" w:space="0" w:color="000000"/>
              <w:left w:val="single" w:sz="6" w:space="0" w:color="000000"/>
              <w:bottom w:val="single" w:sz="12" w:space="0" w:color="000000"/>
              <w:right w:val="single" w:sz="6" w:space="0" w:color="000000"/>
            </w:tcBorders>
          </w:tcPr>
          <w:p>
            <w:pPr/>
          </w:p>
        </w:tc>
        <w:tc>
          <w:tcPr>
            <w:tcW w:w="1595" w:type="dxa"/>
            <w:tcBorders>
              <w:top w:val="single" w:sz="6" w:space="0" w:color="000000"/>
              <w:left w:val="single" w:sz="6" w:space="0" w:color="000000"/>
              <w:bottom w:val="single" w:sz="12" w:space="0" w:color="000000"/>
              <w:right w:val="single" w:sz="6" w:space="0" w:color="000000"/>
            </w:tcBorders>
          </w:tcPr>
          <w:p>
            <w:pP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18"/>
              <w:jc w:val="center"/>
              <w:rPr>
                <w:rFonts w:ascii="宋体" w:hAnsi="宋体" w:cs="宋体" w:eastAsia="宋体" w:hint="default"/>
                <w:sz w:val="18"/>
                <w:szCs w:val="18"/>
              </w:rPr>
            </w:pPr>
            <w:r>
              <w:rPr>
                <w:rFonts w:ascii="宋体" w:hAnsi="宋体" w:cs="宋体" w:eastAsia="宋体" w:hint="default"/>
                <w:spacing w:val="-3"/>
                <w:sz w:val="18"/>
                <w:szCs w:val="18"/>
              </w:rPr>
              <w:t>分类和计量影响</w:t>
            </w:r>
          </w:p>
          <w:p>
            <w:pPr>
              <w:pStyle w:val="TableParagraph"/>
              <w:spacing w:line="240" w:lineRule="auto" w:before="64"/>
              <w:ind w:left="9" w:right="0"/>
              <w:jc w:val="center"/>
              <w:rPr>
                <w:rFonts w:ascii="宋体" w:hAnsi="宋体" w:cs="宋体" w:eastAsia="宋体" w:hint="default"/>
                <w:sz w:val="19"/>
                <w:szCs w:val="19"/>
              </w:rPr>
            </w:pPr>
            <w:r>
              <w:rPr>
                <w:rFonts w:ascii="宋体" w:hAnsi="宋体" w:cs="宋体" w:eastAsia="宋体" w:hint="default"/>
                <w:i/>
                <w:sz w:val="19"/>
                <w:szCs w:val="19"/>
              </w:rPr>
              <w:t>（注</w:t>
            </w:r>
            <w:r>
              <w:rPr>
                <w:rFonts w:ascii="宋体" w:hAnsi="宋体" w:cs="宋体" w:eastAsia="宋体" w:hint="default"/>
                <w:i/>
                <w:sz w:val="19"/>
                <w:szCs w:val="19"/>
              </w:rPr>
              <w:t>1</w:t>
            </w:r>
            <w:r>
              <w:rPr>
                <w:rFonts w:ascii="宋体" w:hAnsi="宋体" w:cs="宋体" w:eastAsia="宋体" w:hint="default"/>
                <w:i/>
                <w:sz w:val="19"/>
                <w:szCs w:val="19"/>
              </w:rPr>
              <w:t>）</w:t>
            </w:r>
            <w:r>
              <w:rPr>
                <w:rFonts w:ascii="宋体" w:hAnsi="宋体" w:cs="宋体" w:eastAsia="宋体" w:hint="default"/>
                <w:sz w:val="19"/>
                <w:szCs w:val="19"/>
              </w:rPr>
            </w:r>
          </w:p>
        </w:tc>
        <w:tc>
          <w:tcPr>
            <w:tcW w:w="1364"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0"/>
              <w:ind w:left="4" w:right="617"/>
              <w:jc w:val="left"/>
              <w:rPr>
                <w:rFonts w:ascii="宋体" w:hAnsi="宋体" w:cs="宋体" w:eastAsia="宋体" w:hint="default"/>
                <w:sz w:val="18"/>
                <w:szCs w:val="18"/>
              </w:rPr>
            </w:pPr>
            <w:r>
              <w:rPr>
                <w:rFonts w:ascii="宋体" w:hAnsi="宋体" w:cs="宋体" w:eastAsia="宋体" w:hint="default"/>
                <w:sz w:val="18"/>
                <w:szCs w:val="18"/>
              </w:rPr>
              <w:t>金融资产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减值影响</w:t>
            </w:r>
          </w:p>
        </w:tc>
        <w:tc>
          <w:tcPr>
            <w:tcW w:w="13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981" w:type="dxa"/>
            <w:tcBorders>
              <w:top w:val="single" w:sz="6" w:space="0" w:color="000000"/>
              <w:left w:val="single" w:sz="6" w:space="0" w:color="000000"/>
              <w:bottom w:val="single" w:sz="12" w:space="0" w:color="000000"/>
              <w:right w:val="nil" w:sz="6" w:space="0" w:color="auto"/>
            </w:tcBorders>
          </w:tcPr>
          <w:p>
            <w:pPr/>
          </w:p>
        </w:tc>
      </w:tr>
      <w:tr>
        <w:trPr>
          <w:trHeight w:val="356" w:hRule="exact"/>
        </w:trPr>
        <w:tc>
          <w:tcPr>
            <w:tcW w:w="1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1595" w:type="dxa"/>
            <w:tcBorders>
              <w:top w:val="single" w:sz="12" w:space="0" w:color="000000"/>
              <w:left w:val="single" w:sz="6" w:space="0" w:color="000000"/>
              <w:bottom w:val="single" w:sz="12" w:space="0" w:color="000000"/>
              <w:right w:val="single" w:sz="6" w:space="0" w:color="000000"/>
            </w:tcBorders>
          </w:tcPr>
          <w:p>
            <w:pP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6"/>
              <w:ind w:right="-5"/>
              <w:jc w:val="right"/>
              <w:rPr>
                <w:rFonts w:ascii="宋体" w:hAnsi="宋体" w:cs="宋体" w:eastAsia="宋体" w:hint="default"/>
                <w:sz w:val="18"/>
                <w:szCs w:val="18"/>
              </w:rPr>
            </w:pPr>
            <w:r>
              <w:rPr>
                <w:rFonts w:ascii="宋体"/>
                <w:spacing w:val="-1"/>
                <w:sz w:val="18"/>
              </w:rPr>
              <w:t>1,722,384.00</w:t>
            </w:r>
          </w:p>
        </w:tc>
        <w:tc>
          <w:tcPr>
            <w:tcW w:w="1364" w:type="dxa"/>
            <w:tcBorders>
              <w:top w:val="single" w:sz="12" w:space="0" w:color="000000"/>
              <w:left w:val="single" w:sz="6" w:space="0" w:color="000000"/>
              <w:bottom w:val="single" w:sz="12" w:space="0" w:color="000000"/>
              <w:right w:val="single" w:sz="6" w:space="0" w:color="000000"/>
            </w:tcBorders>
          </w:tcPr>
          <w:p>
            <w:pPr/>
          </w:p>
        </w:tc>
        <w:tc>
          <w:tcPr>
            <w:tcW w:w="13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pacing w:val="-1"/>
                <w:sz w:val="18"/>
              </w:rPr>
              <w:t>1,722,384.00</w:t>
            </w:r>
          </w:p>
        </w:tc>
        <w:tc>
          <w:tcPr>
            <w:tcW w:w="19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6"/>
              <w:ind w:right="3"/>
              <w:jc w:val="right"/>
              <w:rPr>
                <w:rFonts w:ascii="宋体" w:hAnsi="宋体" w:cs="宋体" w:eastAsia="宋体" w:hint="default"/>
                <w:sz w:val="18"/>
                <w:szCs w:val="18"/>
              </w:rPr>
            </w:pPr>
            <w:r>
              <w:rPr>
                <w:rFonts w:ascii="宋体"/>
                <w:spacing w:val="-1"/>
                <w:sz w:val="18"/>
              </w:rPr>
              <w:t>1,722,384.00</w:t>
            </w:r>
          </w:p>
        </w:tc>
      </w:tr>
      <w:tr>
        <w:trPr>
          <w:trHeight w:val="974" w:hRule="exact"/>
        </w:trPr>
        <w:tc>
          <w:tcPr>
            <w:tcW w:w="183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7"/>
              <w:jc w:val="both"/>
              <w:rPr>
                <w:rFonts w:ascii="宋体" w:hAnsi="宋体" w:cs="宋体" w:eastAsia="宋体" w:hint="default"/>
                <w:sz w:val="18"/>
                <w:szCs w:val="18"/>
              </w:rPr>
            </w:pPr>
            <w:r>
              <w:rPr>
                <w:rFonts w:ascii="宋体" w:hAnsi="宋体" w:cs="宋体" w:eastAsia="宋体" w:hint="default"/>
                <w:spacing w:val="-2"/>
                <w:sz w:val="18"/>
                <w:szCs w:val="18"/>
              </w:rPr>
              <w:t>以公允价值计量且其变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动计入当期损益的金融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资产</w:t>
            </w:r>
          </w:p>
        </w:tc>
        <w:tc>
          <w:tcPr>
            <w:tcW w:w="15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pacing w:val="-1"/>
                <w:sz w:val="18"/>
              </w:rPr>
              <w:t>1,722,384.00</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pacing w:val="-1"/>
                <w:sz w:val="18"/>
              </w:rPr>
              <w:t>-1,722,384.00</w:t>
            </w:r>
          </w:p>
        </w:tc>
        <w:tc>
          <w:tcPr>
            <w:tcW w:w="1364" w:type="dxa"/>
            <w:tcBorders>
              <w:top w:val="single" w:sz="12" w:space="0" w:color="000000"/>
              <w:left w:val="single" w:sz="6" w:space="0" w:color="000000"/>
              <w:bottom w:val="single" w:sz="12" w:space="0" w:color="000000"/>
              <w:right w:val="single" w:sz="6" w:space="0" w:color="000000"/>
            </w:tcBorders>
          </w:tcPr>
          <w:p>
            <w:pPr/>
          </w:p>
        </w:tc>
        <w:tc>
          <w:tcPr>
            <w:tcW w:w="13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-1,722,384.00</w:t>
            </w:r>
          </w:p>
        </w:tc>
        <w:tc>
          <w:tcPr>
            <w:tcW w:w="1981"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1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pacing w:val="-2"/>
                <w:sz w:val="18"/>
              </w:rPr>
              <w:t>115,996,492.35</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pacing w:val="-2"/>
                <w:sz w:val="18"/>
              </w:rPr>
              <w:t>-19,373,991.97</w:t>
            </w:r>
          </w:p>
        </w:tc>
        <w:tc>
          <w:tcPr>
            <w:tcW w:w="1364" w:type="dxa"/>
            <w:tcBorders>
              <w:top w:val="single" w:sz="12" w:space="0" w:color="000000"/>
              <w:left w:val="single" w:sz="6" w:space="0" w:color="000000"/>
              <w:bottom w:val="single" w:sz="12" w:space="0" w:color="000000"/>
              <w:right w:val="single" w:sz="6" w:space="0" w:color="000000"/>
            </w:tcBorders>
          </w:tcPr>
          <w:p>
            <w:pPr/>
          </w:p>
        </w:tc>
        <w:tc>
          <w:tcPr>
            <w:tcW w:w="13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2"/>
                <w:sz w:val="18"/>
              </w:rPr>
              <w:t>-19,373,991.97</w:t>
            </w:r>
          </w:p>
        </w:tc>
        <w:tc>
          <w:tcPr>
            <w:tcW w:w="19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3"/>
              <w:jc w:val="right"/>
              <w:rPr>
                <w:rFonts w:ascii="宋体" w:hAnsi="宋体" w:cs="宋体" w:eastAsia="宋体" w:hint="default"/>
                <w:sz w:val="18"/>
                <w:szCs w:val="18"/>
              </w:rPr>
            </w:pPr>
            <w:r>
              <w:rPr>
                <w:rFonts w:ascii="宋体"/>
                <w:spacing w:val="-1"/>
                <w:sz w:val="18"/>
              </w:rPr>
              <w:t>96,622,500.38</w:t>
            </w:r>
          </w:p>
        </w:tc>
      </w:tr>
      <w:tr>
        <w:trPr>
          <w:trHeight w:val="356" w:hRule="exact"/>
        </w:trPr>
        <w:tc>
          <w:tcPr>
            <w:tcW w:w="1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595" w:type="dxa"/>
            <w:tcBorders>
              <w:top w:val="single" w:sz="12" w:space="0" w:color="000000"/>
              <w:left w:val="single" w:sz="6" w:space="0" w:color="000000"/>
              <w:bottom w:val="single" w:sz="12" w:space="0" w:color="000000"/>
              <w:right w:val="single" w:sz="6" w:space="0" w:color="000000"/>
            </w:tcBorders>
          </w:tcPr>
          <w:p>
            <w:pP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right="-5"/>
              <w:jc w:val="right"/>
              <w:rPr>
                <w:rFonts w:ascii="宋体" w:hAnsi="宋体" w:cs="宋体" w:eastAsia="宋体" w:hint="default"/>
                <w:sz w:val="18"/>
                <w:szCs w:val="18"/>
              </w:rPr>
            </w:pPr>
            <w:r>
              <w:rPr>
                <w:rFonts w:ascii="宋体"/>
                <w:spacing w:val="-1"/>
                <w:sz w:val="18"/>
              </w:rPr>
              <w:t>19,373,991.97</w:t>
            </w:r>
          </w:p>
        </w:tc>
        <w:tc>
          <w:tcPr>
            <w:tcW w:w="1364" w:type="dxa"/>
            <w:tcBorders>
              <w:top w:val="single" w:sz="12" w:space="0" w:color="000000"/>
              <w:left w:val="single" w:sz="6" w:space="0" w:color="000000"/>
              <w:bottom w:val="single" w:sz="12" w:space="0" w:color="000000"/>
              <w:right w:val="single" w:sz="6" w:space="0" w:color="000000"/>
            </w:tcBorders>
          </w:tcPr>
          <w:p>
            <w:pPr/>
          </w:p>
        </w:tc>
        <w:tc>
          <w:tcPr>
            <w:tcW w:w="13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right="0"/>
              <w:jc w:val="right"/>
              <w:rPr>
                <w:rFonts w:ascii="宋体" w:hAnsi="宋体" w:cs="宋体" w:eastAsia="宋体" w:hint="default"/>
                <w:sz w:val="18"/>
                <w:szCs w:val="18"/>
              </w:rPr>
            </w:pPr>
            <w:r>
              <w:rPr>
                <w:rFonts w:ascii="宋体"/>
                <w:spacing w:val="-1"/>
                <w:sz w:val="18"/>
              </w:rPr>
              <w:t>19,373,991.97</w:t>
            </w:r>
          </w:p>
        </w:tc>
        <w:tc>
          <w:tcPr>
            <w:tcW w:w="19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5"/>
              <w:ind w:right="3"/>
              <w:jc w:val="right"/>
              <w:rPr>
                <w:rFonts w:ascii="宋体" w:hAnsi="宋体" w:cs="宋体" w:eastAsia="宋体" w:hint="default"/>
                <w:sz w:val="18"/>
                <w:szCs w:val="18"/>
              </w:rPr>
            </w:pPr>
            <w:r>
              <w:rPr>
                <w:rFonts w:ascii="宋体"/>
                <w:spacing w:val="-1"/>
                <w:sz w:val="18"/>
              </w:rPr>
              <w:t>19,373,991.97</w:t>
            </w:r>
          </w:p>
        </w:tc>
      </w:tr>
      <w:tr>
        <w:trPr>
          <w:trHeight w:val="350" w:hRule="exact"/>
        </w:trPr>
        <w:tc>
          <w:tcPr>
            <w:tcW w:w="1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pacing w:val="-1"/>
                <w:sz w:val="18"/>
              </w:rPr>
              <w:t>72,927,564.25</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pacing w:val="-2"/>
                <w:sz w:val="18"/>
              </w:rPr>
              <w:t>-72,927,564.25</w:t>
            </w:r>
          </w:p>
        </w:tc>
        <w:tc>
          <w:tcPr>
            <w:tcW w:w="1364" w:type="dxa"/>
            <w:tcBorders>
              <w:top w:val="single" w:sz="12" w:space="0" w:color="000000"/>
              <w:left w:val="single" w:sz="6" w:space="0" w:color="000000"/>
              <w:bottom w:val="single" w:sz="12" w:space="0" w:color="000000"/>
              <w:right w:val="single" w:sz="6" w:space="0" w:color="000000"/>
            </w:tcBorders>
          </w:tcPr>
          <w:p>
            <w:pPr/>
          </w:p>
        </w:tc>
        <w:tc>
          <w:tcPr>
            <w:tcW w:w="13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2"/>
                <w:sz w:val="18"/>
              </w:rPr>
              <w:t>-72,927,564.25</w:t>
            </w:r>
          </w:p>
        </w:tc>
        <w:tc>
          <w:tcPr>
            <w:tcW w:w="1981"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1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595" w:type="dxa"/>
            <w:tcBorders>
              <w:top w:val="single" w:sz="12" w:space="0" w:color="000000"/>
              <w:left w:val="single" w:sz="6" w:space="0" w:color="000000"/>
              <w:bottom w:val="single" w:sz="12" w:space="0" w:color="000000"/>
              <w:right w:val="single" w:sz="6" w:space="0" w:color="000000"/>
            </w:tcBorders>
          </w:tcPr>
          <w:p>
            <w:pP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pacing w:val="-2"/>
                <w:sz w:val="18"/>
              </w:rPr>
              <w:t>103,099,569.02</w:t>
            </w:r>
          </w:p>
        </w:tc>
        <w:tc>
          <w:tcPr>
            <w:tcW w:w="1364" w:type="dxa"/>
            <w:tcBorders>
              <w:top w:val="single" w:sz="12" w:space="0" w:color="000000"/>
              <w:left w:val="single" w:sz="6" w:space="0" w:color="000000"/>
              <w:bottom w:val="single" w:sz="12" w:space="0" w:color="000000"/>
              <w:right w:val="single" w:sz="6" w:space="0" w:color="000000"/>
            </w:tcBorders>
          </w:tcPr>
          <w:p>
            <w:pPr/>
          </w:p>
        </w:tc>
        <w:tc>
          <w:tcPr>
            <w:tcW w:w="13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2"/>
                <w:sz w:val="18"/>
              </w:rPr>
              <w:t>103,099,569.02</w:t>
            </w:r>
          </w:p>
        </w:tc>
        <w:tc>
          <w:tcPr>
            <w:tcW w:w="19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3"/>
              <w:jc w:val="right"/>
              <w:rPr>
                <w:rFonts w:ascii="宋体" w:hAnsi="宋体" w:cs="宋体" w:eastAsia="宋体" w:hint="default"/>
                <w:sz w:val="18"/>
                <w:szCs w:val="18"/>
              </w:rPr>
            </w:pPr>
            <w:r>
              <w:rPr>
                <w:rFonts w:ascii="宋体"/>
                <w:spacing w:val="-2"/>
                <w:sz w:val="18"/>
              </w:rPr>
              <w:t>103,099,569.02</w:t>
            </w:r>
          </w:p>
        </w:tc>
      </w:tr>
      <w:tr>
        <w:trPr>
          <w:trHeight w:val="667" w:hRule="exact"/>
        </w:trPr>
        <w:tc>
          <w:tcPr>
            <w:tcW w:w="1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55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5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right="0"/>
              <w:jc w:val="right"/>
              <w:rPr>
                <w:rFonts w:ascii="宋体" w:hAnsi="宋体" w:cs="宋体" w:eastAsia="宋体" w:hint="default"/>
                <w:sz w:val="18"/>
                <w:szCs w:val="18"/>
              </w:rPr>
            </w:pPr>
            <w:r>
              <w:rPr>
                <w:rFonts w:ascii="宋体"/>
                <w:spacing w:val="-2"/>
                <w:sz w:val="18"/>
              </w:rPr>
              <w:t>190,646,440.60</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right="-5"/>
              <w:jc w:val="right"/>
              <w:rPr>
                <w:rFonts w:ascii="宋体" w:hAnsi="宋体" w:cs="宋体" w:eastAsia="宋体" w:hint="default"/>
                <w:sz w:val="18"/>
                <w:szCs w:val="18"/>
              </w:rPr>
            </w:pPr>
            <w:r>
              <w:rPr>
                <w:rFonts w:ascii="宋体"/>
                <w:spacing w:val="-1"/>
                <w:sz w:val="18"/>
              </w:rPr>
              <w:t>30,172,004.77</w:t>
            </w:r>
          </w:p>
        </w:tc>
        <w:tc>
          <w:tcPr>
            <w:tcW w:w="13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1"/>
              <w:jc w:val="right"/>
              <w:rPr>
                <w:rFonts w:ascii="宋体" w:hAnsi="宋体" w:cs="宋体" w:eastAsia="宋体" w:hint="default"/>
                <w:sz w:val="18"/>
                <w:szCs w:val="18"/>
              </w:rPr>
            </w:pPr>
            <w:r>
              <w:rPr>
                <w:rFonts w:ascii="宋体"/>
                <w:w w:val="101"/>
                <w:sz w:val="18"/>
              </w:rPr>
              <w:t>-</w:t>
            </w:r>
            <w:r>
              <w:rPr>
                <w:rFonts w:ascii="宋体"/>
                <w:sz w:val="18"/>
              </w:rPr>
            </w:r>
          </w:p>
        </w:tc>
        <w:tc>
          <w:tcPr>
            <w:tcW w:w="13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right="0"/>
              <w:jc w:val="right"/>
              <w:rPr>
                <w:rFonts w:ascii="宋体" w:hAnsi="宋体" w:cs="宋体" w:eastAsia="宋体" w:hint="default"/>
                <w:sz w:val="18"/>
                <w:szCs w:val="18"/>
              </w:rPr>
            </w:pPr>
            <w:r>
              <w:rPr>
                <w:rFonts w:ascii="宋体"/>
                <w:spacing w:val="-1"/>
                <w:sz w:val="18"/>
              </w:rPr>
              <w:t>30,172,004.77</w:t>
            </w:r>
          </w:p>
        </w:tc>
        <w:tc>
          <w:tcPr>
            <w:tcW w:w="19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5"/>
              <w:ind w:right="8"/>
              <w:jc w:val="right"/>
              <w:rPr>
                <w:rFonts w:ascii="宋体" w:hAnsi="宋体" w:cs="宋体" w:eastAsia="宋体" w:hint="default"/>
                <w:sz w:val="18"/>
                <w:szCs w:val="18"/>
              </w:rPr>
            </w:pPr>
            <w:r>
              <w:rPr>
                <w:rFonts w:ascii="宋体"/>
                <w:spacing w:val="-2"/>
                <w:sz w:val="18"/>
              </w:rPr>
              <w:t>220,818,445.37</w:t>
            </w:r>
          </w:p>
        </w:tc>
      </w:tr>
      <w:tr>
        <w:trPr>
          <w:trHeight w:val="351" w:hRule="exact"/>
        </w:trPr>
        <w:tc>
          <w:tcPr>
            <w:tcW w:w="1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595" w:type="dxa"/>
            <w:tcBorders>
              <w:top w:val="single" w:sz="12" w:space="0" w:color="000000"/>
              <w:left w:val="single" w:sz="6" w:space="0" w:color="000000"/>
              <w:bottom w:val="single" w:sz="12" w:space="0" w:color="000000"/>
              <w:right w:val="single" w:sz="6" w:space="0" w:color="000000"/>
            </w:tcBorders>
          </w:tcPr>
          <w:p>
            <w:pP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5"/>
              <w:jc w:val="right"/>
              <w:rPr>
                <w:rFonts w:ascii="宋体" w:hAnsi="宋体" w:cs="宋体" w:eastAsia="宋体" w:hint="default"/>
                <w:sz w:val="18"/>
                <w:szCs w:val="18"/>
              </w:rPr>
            </w:pPr>
            <w:r>
              <w:rPr>
                <w:rFonts w:ascii="宋体"/>
                <w:spacing w:val="-1"/>
                <w:sz w:val="18"/>
              </w:rPr>
              <w:t>3,557,593.12</w:t>
            </w:r>
          </w:p>
        </w:tc>
        <w:tc>
          <w:tcPr>
            <w:tcW w:w="1364" w:type="dxa"/>
            <w:tcBorders>
              <w:top w:val="single" w:sz="12" w:space="0" w:color="000000"/>
              <w:left w:val="single" w:sz="6" w:space="0" w:color="000000"/>
              <w:bottom w:val="single" w:sz="12" w:space="0" w:color="000000"/>
              <w:right w:val="single" w:sz="6" w:space="0" w:color="000000"/>
            </w:tcBorders>
          </w:tcPr>
          <w:p>
            <w:pPr/>
          </w:p>
        </w:tc>
        <w:tc>
          <w:tcPr>
            <w:tcW w:w="13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right"/>
              <w:rPr>
                <w:rFonts w:ascii="宋体" w:hAnsi="宋体" w:cs="宋体" w:eastAsia="宋体" w:hint="default"/>
                <w:sz w:val="18"/>
                <w:szCs w:val="18"/>
              </w:rPr>
            </w:pPr>
            <w:r>
              <w:rPr>
                <w:rFonts w:ascii="宋体"/>
                <w:spacing w:val="-1"/>
                <w:sz w:val="18"/>
              </w:rPr>
              <w:t>3,557,593.12</w:t>
            </w:r>
          </w:p>
        </w:tc>
        <w:tc>
          <w:tcPr>
            <w:tcW w:w="19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
              <w:ind w:right="3"/>
              <w:jc w:val="right"/>
              <w:rPr>
                <w:rFonts w:ascii="宋体" w:hAnsi="宋体" w:cs="宋体" w:eastAsia="宋体" w:hint="default"/>
                <w:sz w:val="18"/>
                <w:szCs w:val="18"/>
              </w:rPr>
            </w:pPr>
            <w:r>
              <w:rPr>
                <w:rFonts w:ascii="宋体"/>
                <w:spacing w:val="-1"/>
                <w:sz w:val="18"/>
              </w:rPr>
              <w:t>3,557,593.12</w:t>
            </w:r>
          </w:p>
        </w:tc>
      </w:tr>
      <w:tr>
        <w:trPr>
          <w:trHeight w:val="350" w:hRule="exact"/>
        </w:trPr>
        <w:tc>
          <w:tcPr>
            <w:tcW w:w="1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595" w:type="dxa"/>
            <w:tcBorders>
              <w:top w:val="single" w:sz="12" w:space="0" w:color="000000"/>
              <w:left w:val="single" w:sz="6" w:space="0" w:color="000000"/>
              <w:bottom w:val="single" w:sz="12" w:space="0" w:color="000000"/>
              <w:right w:val="single" w:sz="6" w:space="0" w:color="000000"/>
            </w:tcBorders>
          </w:tcPr>
          <w:p>
            <w:pP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pacing w:val="-1"/>
                <w:sz w:val="18"/>
              </w:rPr>
              <w:t>3,557,593.12</w:t>
            </w:r>
          </w:p>
        </w:tc>
        <w:tc>
          <w:tcPr>
            <w:tcW w:w="1364" w:type="dxa"/>
            <w:tcBorders>
              <w:top w:val="single" w:sz="12" w:space="0" w:color="000000"/>
              <w:left w:val="single" w:sz="6" w:space="0" w:color="000000"/>
              <w:bottom w:val="single" w:sz="12" w:space="0" w:color="000000"/>
              <w:right w:val="single" w:sz="6" w:space="0" w:color="000000"/>
            </w:tcBorders>
          </w:tcPr>
          <w:p>
            <w:pPr/>
          </w:p>
        </w:tc>
        <w:tc>
          <w:tcPr>
            <w:tcW w:w="13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3,557,593.12</w:t>
            </w:r>
          </w:p>
        </w:tc>
        <w:tc>
          <w:tcPr>
            <w:tcW w:w="19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3"/>
              <w:jc w:val="right"/>
              <w:rPr>
                <w:rFonts w:ascii="宋体" w:hAnsi="宋体" w:cs="宋体" w:eastAsia="宋体" w:hint="default"/>
                <w:sz w:val="18"/>
                <w:szCs w:val="18"/>
              </w:rPr>
            </w:pPr>
            <w:r>
              <w:rPr>
                <w:rFonts w:ascii="宋体"/>
                <w:spacing w:val="-1"/>
                <w:sz w:val="18"/>
              </w:rPr>
              <w:t>3,557,593.12</w:t>
            </w:r>
          </w:p>
        </w:tc>
      </w:tr>
      <w:tr>
        <w:trPr>
          <w:trHeight w:val="355" w:hRule="exact"/>
        </w:trPr>
        <w:tc>
          <w:tcPr>
            <w:tcW w:w="1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595" w:type="dxa"/>
            <w:tcBorders>
              <w:top w:val="single" w:sz="12" w:space="0" w:color="000000"/>
              <w:left w:val="single" w:sz="6" w:space="0" w:color="000000"/>
              <w:bottom w:val="single" w:sz="12" w:space="0" w:color="000000"/>
              <w:right w:val="single" w:sz="6" w:space="0" w:color="000000"/>
            </w:tcBorders>
          </w:tcPr>
          <w:p>
            <w:pP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right="-5"/>
              <w:jc w:val="right"/>
              <w:rPr>
                <w:rFonts w:ascii="宋体" w:hAnsi="宋体" w:cs="宋体" w:eastAsia="宋体" w:hint="default"/>
                <w:sz w:val="18"/>
                <w:szCs w:val="18"/>
              </w:rPr>
            </w:pPr>
            <w:r>
              <w:rPr>
                <w:rFonts w:ascii="宋体"/>
                <w:spacing w:val="-1"/>
                <w:sz w:val="18"/>
              </w:rPr>
              <w:t>26,614,411.65</w:t>
            </w:r>
          </w:p>
        </w:tc>
        <w:tc>
          <w:tcPr>
            <w:tcW w:w="1364" w:type="dxa"/>
            <w:tcBorders>
              <w:top w:val="single" w:sz="12" w:space="0" w:color="000000"/>
              <w:left w:val="single" w:sz="6" w:space="0" w:color="000000"/>
              <w:bottom w:val="single" w:sz="12" w:space="0" w:color="000000"/>
              <w:right w:val="single" w:sz="6" w:space="0" w:color="000000"/>
            </w:tcBorders>
          </w:tcPr>
          <w:p>
            <w:pPr/>
          </w:p>
        </w:tc>
        <w:tc>
          <w:tcPr>
            <w:tcW w:w="13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right="0"/>
              <w:jc w:val="right"/>
              <w:rPr>
                <w:rFonts w:ascii="宋体" w:hAnsi="宋体" w:cs="宋体" w:eastAsia="宋体" w:hint="default"/>
                <w:sz w:val="18"/>
                <w:szCs w:val="18"/>
              </w:rPr>
            </w:pPr>
            <w:r>
              <w:rPr>
                <w:rFonts w:ascii="宋体"/>
                <w:spacing w:val="-1"/>
                <w:sz w:val="18"/>
              </w:rPr>
              <w:t>26,614,411.65</w:t>
            </w:r>
          </w:p>
        </w:tc>
        <w:tc>
          <w:tcPr>
            <w:tcW w:w="19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5"/>
              <w:ind w:right="3"/>
              <w:jc w:val="right"/>
              <w:rPr>
                <w:rFonts w:ascii="宋体" w:hAnsi="宋体" w:cs="宋体" w:eastAsia="宋体" w:hint="default"/>
                <w:sz w:val="18"/>
                <w:szCs w:val="18"/>
              </w:rPr>
            </w:pPr>
            <w:r>
              <w:rPr>
                <w:rFonts w:ascii="宋体"/>
                <w:spacing w:val="-1"/>
                <w:sz w:val="18"/>
              </w:rPr>
              <w:t>26,614,411.65</w:t>
            </w:r>
          </w:p>
        </w:tc>
      </w:tr>
      <w:tr>
        <w:trPr>
          <w:trHeight w:val="350" w:hRule="exact"/>
        </w:trPr>
        <w:tc>
          <w:tcPr>
            <w:tcW w:w="1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1595" w:type="dxa"/>
            <w:tcBorders>
              <w:top w:val="single" w:sz="12" w:space="0" w:color="000000"/>
              <w:left w:val="single" w:sz="6" w:space="0" w:color="000000"/>
              <w:bottom w:val="single" w:sz="12" w:space="0" w:color="000000"/>
              <w:right w:val="single" w:sz="6" w:space="0" w:color="000000"/>
            </w:tcBorders>
          </w:tcPr>
          <w:p>
            <w:pP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pacing w:val="-1"/>
                <w:sz w:val="18"/>
              </w:rPr>
              <w:t>26,614,411.65</w:t>
            </w:r>
          </w:p>
        </w:tc>
        <w:tc>
          <w:tcPr>
            <w:tcW w:w="1364" w:type="dxa"/>
            <w:tcBorders>
              <w:top w:val="single" w:sz="12" w:space="0" w:color="000000"/>
              <w:left w:val="single" w:sz="6" w:space="0" w:color="000000"/>
              <w:bottom w:val="single" w:sz="12" w:space="0" w:color="000000"/>
              <w:right w:val="single" w:sz="6" w:space="0" w:color="000000"/>
            </w:tcBorders>
          </w:tcPr>
          <w:p>
            <w:pPr/>
          </w:p>
        </w:tc>
        <w:tc>
          <w:tcPr>
            <w:tcW w:w="13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26,614,411.65</w:t>
            </w:r>
          </w:p>
        </w:tc>
        <w:tc>
          <w:tcPr>
            <w:tcW w:w="19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3"/>
              <w:jc w:val="right"/>
              <w:rPr>
                <w:rFonts w:ascii="宋体" w:hAnsi="宋体" w:cs="宋体" w:eastAsia="宋体" w:hint="default"/>
                <w:sz w:val="18"/>
                <w:szCs w:val="18"/>
              </w:rPr>
            </w:pPr>
            <w:r>
              <w:rPr>
                <w:rFonts w:ascii="宋体"/>
                <w:spacing w:val="-1"/>
                <w:sz w:val="18"/>
              </w:rPr>
              <w:t>26,614,411.65</w:t>
            </w:r>
          </w:p>
        </w:tc>
      </w:tr>
    </w:tbl>
    <w:p>
      <w:pPr>
        <w:spacing w:line="240" w:lineRule="auto" w:before="13"/>
        <w:rPr>
          <w:rFonts w:ascii="宋体" w:hAnsi="宋体" w:cs="宋体" w:eastAsia="宋体" w:hint="default"/>
          <w:sz w:val="19"/>
          <w:szCs w:val="19"/>
        </w:rPr>
      </w:pPr>
    </w:p>
    <w:p>
      <w:pPr>
        <w:pStyle w:val="BodyText"/>
        <w:spacing w:line="273" w:lineRule="auto" w:before="36"/>
        <w:ind w:right="1007" w:firstLine="422"/>
        <w:jc w:val="left"/>
      </w:pPr>
      <w:r>
        <w:rPr>
          <w:spacing w:val="-1"/>
        </w:rPr>
        <w:t>注</w:t>
      </w:r>
      <w:r>
        <w:rPr>
          <w:rFonts w:ascii="宋体" w:hAnsi="宋体" w:cs="宋体" w:eastAsia="宋体" w:hint="default"/>
          <w:spacing w:val="-1"/>
        </w:rPr>
        <w:t>1</w:t>
      </w:r>
      <w:r>
        <w:rPr>
          <w:spacing w:val="-1"/>
        </w:rPr>
        <w:t>：于</w:t>
      </w:r>
      <w:r>
        <w:rPr>
          <w:rFonts w:ascii="宋体" w:hAnsi="宋体" w:cs="宋体" w:eastAsia="宋体" w:hint="default"/>
          <w:spacing w:val="-1"/>
        </w:rPr>
        <w:t>2019</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日，账面价值</w:t>
      </w:r>
      <w:r>
        <w:rPr>
          <w:rFonts w:ascii="宋体" w:hAnsi="宋体" w:cs="宋体" w:eastAsia="宋体" w:hint="default"/>
          <w:spacing w:val="-1"/>
        </w:rPr>
        <w:t>1,722,384.00</w:t>
      </w:r>
      <w:r>
        <w:rPr>
          <w:spacing w:val="-1"/>
        </w:rPr>
        <w:t>元的股票投资以前年度被分类为以公允价值计量且其</w:t>
      </w:r>
      <w:r>
        <w:rPr>
          <w:w w:val="100"/>
        </w:rPr>
        <w:t> </w:t>
      </w:r>
      <w:r>
        <w:rPr/>
        <w:t>变动计入当期损益的金融资产，重分类至交易性金融资产。</w:t>
      </w:r>
    </w:p>
    <w:p>
      <w:pPr>
        <w:pStyle w:val="BodyText"/>
        <w:spacing w:line="273" w:lineRule="auto"/>
        <w:ind w:right="1007" w:firstLine="422"/>
        <w:jc w:val="left"/>
      </w:pPr>
      <w:r>
        <w:rPr>
          <w:spacing w:val="-1"/>
        </w:rPr>
        <w:t>于</w:t>
      </w:r>
      <w:r>
        <w:rPr>
          <w:rFonts w:ascii="宋体" w:hAnsi="宋体" w:cs="宋体" w:eastAsia="宋体" w:hint="default"/>
          <w:spacing w:val="-1"/>
        </w:rPr>
        <w:t>2019</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日，账面价值</w:t>
      </w:r>
      <w:r>
        <w:rPr>
          <w:rFonts w:ascii="宋体" w:hAnsi="宋体" w:cs="宋体" w:eastAsia="宋体" w:hint="default"/>
          <w:spacing w:val="-1"/>
        </w:rPr>
        <w:t>19,373,991.97</w:t>
      </w:r>
      <w:r>
        <w:rPr>
          <w:spacing w:val="-1"/>
        </w:rPr>
        <w:t>元的应收票据，因公司管理该金额资产的业务模式是既收</w:t>
      </w:r>
      <w:r>
        <w:rPr>
          <w:w w:val="100"/>
        </w:rPr>
        <w:t> </w:t>
      </w:r>
      <w:r>
        <w:rPr/>
        <w:t>取合同现金流量又出售该金融资产为目标，将该部分金融资产重分类至应收款项融资。</w:t>
      </w:r>
    </w:p>
    <w:p>
      <w:pPr>
        <w:pStyle w:val="BodyText"/>
        <w:spacing w:line="273" w:lineRule="auto"/>
        <w:ind w:right="1007" w:firstLine="422"/>
        <w:jc w:val="left"/>
      </w:pPr>
      <w:r>
        <w:rPr/>
        <w:t>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日，账面价值</w:t>
      </w:r>
      <w:r>
        <w:rPr>
          <w:rFonts w:ascii="宋体" w:hAnsi="宋体" w:cs="宋体" w:eastAsia="宋体" w:hint="default"/>
        </w:rPr>
        <w:t>72,927,564.25</w:t>
      </w:r>
      <w:r>
        <w:rPr/>
        <w:t>元的金融资产系对被投资单位不能控制、共同控制且无重</w:t>
      </w:r>
      <w:r>
        <w:rPr>
          <w:w w:val="100"/>
        </w:rPr>
        <w:t> </w:t>
      </w:r>
      <w:r>
        <w:rPr>
          <w:spacing w:val="-2"/>
        </w:rPr>
        <w:t>大影响的股权投资，以前年度分类为可供出售金融资产，因公司将其指定为以公允价值计量且其变动计入</w:t>
      </w:r>
      <w:r>
        <w:rPr>
          <w:spacing w:val="-33"/>
        </w:rPr>
        <w:t> </w:t>
      </w:r>
      <w:r>
        <w:rPr>
          <w:spacing w:val="-33"/>
        </w:rPr>
      </w:r>
      <w:r>
        <w:rPr>
          <w:spacing w:val="-2"/>
        </w:rPr>
        <w:t>其他综合收益的金融资产，按公允价值对期初余额重新计量后的金额</w:t>
      </w:r>
      <w:r>
        <w:rPr>
          <w:rFonts w:ascii="宋体" w:hAnsi="宋体" w:cs="宋体" w:eastAsia="宋体" w:hint="default"/>
          <w:spacing w:val="-2"/>
        </w:rPr>
        <w:t>103,099,569.02</w:t>
      </w:r>
      <w:r>
        <w:rPr>
          <w:spacing w:val="-2"/>
        </w:rPr>
        <w:t>分类至其他权益工具</w:t>
      </w:r>
      <w:r>
        <w:rPr>
          <w:spacing w:val="-17"/>
        </w:rPr>
        <w:t> </w:t>
      </w:r>
      <w:r>
        <w:rPr>
          <w:spacing w:val="-17"/>
        </w:rPr>
      </w:r>
      <w:r>
        <w:rPr/>
        <w:t>投资，相应公允价值变动确认递延所得税负债和其他综合收益。</w:t>
      </w:r>
    </w:p>
    <w:p>
      <w:pPr>
        <w:pStyle w:val="Heading3"/>
        <w:spacing w:line="240" w:lineRule="auto" w:before="127"/>
        <w:ind w:right="1764"/>
        <w:jc w:val="left"/>
        <w:rPr>
          <w:b w:val="0"/>
          <w:bCs w:val="0"/>
        </w:rPr>
      </w:pPr>
      <w:r>
        <w:rPr>
          <w:rFonts w:ascii="宋体" w:hAnsi="宋体" w:cs="宋体" w:eastAsia="宋体" w:hint="default"/>
        </w:rPr>
        <w:t>2.</w:t>
      </w:r>
      <w:r>
        <w:rPr/>
        <w:t>执行新债务重组及非货币性资产交换准则对本公司的影响</w:t>
      </w:r>
      <w:r>
        <w:rPr>
          <w:b w:val="0"/>
          <w:bCs w:val="0"/>
        </w:rPr>
      </w:r>
    </w:p>
    <w:p>
      <w:pPr>
        <w:pStyle w:val="BodyText"/>
        <w:spacing w:line="256" w:lineRule="auto" w:before="37"/>
        <w:ind w:right="1122" w:firstLine="422"/>
        <w:jc w:val="both"/>
      </w:pPr>
      <w:r>
        <w:rPr/>
        <w:t>本公司自</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10 </w:t>
      </w:r>
      <w:r>
        <w:rPr>
          <w:spacing w:val="3"/>
        </w:rPr>
        <w:t>日起执行财政部</w:t>
      </w:r>
      <w:r>
        <w:rPr>
          <w:rFonts w:ascii="Times New Roman" w:hAnsi="Times New Roman" w:cs="Times New Roman" w:eastAsia="Times New Roman" w:hint="default"/>
          <w:spacing w:val="3"/>
        </w:rPr>
        <w:t>2019</w:t>
      </w:r>
      <w:r>
        <w:rPr>
          <w:spacing w:val="3"/>
        </w:rPr>
        <w:t>年修订的《企业会计准则第</w:t>
      </w:r>
      <w:r>
        <w:rPr>
          <w:rFonts w:ascii="Times New Roman" w:hAnsi="Times New Roman" w:cs="Times New Roman" w:eastAsia="Times New Roman" w:hint="default"/>
          <w:spacing w:val="3"/>
        </w:rPr>
        <w:t>7</w:t>
      </w:r>
      <w:r>
        <w:rPr>
          <w:rFonts w:ascii="Times New Roman" w:hAnsi="Times New Roman" w:cs="Times New Roman" w:eastAsia="Times New Roman" w:hint="default"/>
          <w:spacing w:val="43"/>
        </w:rPr>
        <w:t> </w:t>
      </w:r>
      <w:r>
        <w:rPr>
          <w:spacing w:val="3"/>
        </w:rPr>
        <w:t>号——非货币性资产交</w:t>
      </w:r>
      <w:r>
        <w:rPr>
          <w:w w:val="100"/>
        </w:rPr>
        <w:t> </w:t>
      </w:r>
      <w:r>
        <w:rPr>
          <w:spacing w:val="-16"/>
          <w:w w:val="100"/>
        </w:rPr>
        <w:t>换》，自</w:t>
      </w:r>
      <w:r>
        <w:rPr>
          <w:rFonts w:ascii="Times New Roman" w:hAnsi="Times New Roman" w:cs="Times New Roman" w:eastAsia="Times New Roman" w:hint="default"/>
          <w:spacing w:val="-16"/>
          <w:w w:val="100"/>
        </w:rPr>
        <w:t>2019</w:t>
      </w:r>
      <w:r>
        <w:rPr>
          <w:rFonts w:ascii="Times New Roman" w:hAnsi="Times New Roman" w:cs="Times New Roman" w:eastAsia="Times New Roman" w:hint="default"/>
          <w:w w:val="100"/>
        </w:rPr>
        <w:t> </w:t>
      </w:r>
      <w:r>
        <w:rPr>
          <w:w w:val="100"/>
        </w:rPr>
        <w:t>年</w:t>
      </w:r>
      <w:r>
        <w:rPr>
          <w:rFonts w:ascii="Times New Roman" w:hAnsi="Times New Roman" w:cs="Times New Roman" w:eastAsia="Times New Roman" w:hint="default"/>
          <w:w w:val="100"/>
        </w:rPr>
        <w:t>6 </w:t>
      </w:r>
      <w:r>
        <w:rPr>
          <w:w w:val="100"/>
        </w:rPr>
        <w:t>月</w:t>
      </w:r>
      <w:r>
        <w:rPr>
          <w:rFonts w:ascii="Times New Roman" w:hAnsi="Times New Roman" w:cs="Times New Roman" w:eastAsia="Times New Roman" w:hint="default"/>
          <w:w w:val="100"/>
        </w:rPr>
        <w:t>17 </w:t>
      </w:r>
      <w:r>
        <w:rPr>
          <w:spacing w:val="-2"/>
          <w:w w:val="100"/>
        </w:rPr>
        <w:t>日起执行财政部</w:t>
      </w:r>
      <w:r>
        <w:rPr>
          <w:rFonts w:ascii="Times New Roman" w:hAnsi="Times New Roman" w:cs="Times New Roman" w:eastAsia="Times New Roman" w:hint="default"/>
          <w:spacing w:val="-2"/>
          <w:w w:val="100"/>
        </w:rPr>
        <w:t>2019</w:t>
      </w:r>
      <w:r>
        <w:rPr>
          <w:spacing w:val="-2"/>
          <w:w w:val="100"/>
        </w:rPr>
        <w:t>年修订的《企业会计准则第</w:t>
      </w:r>
      <w:r>
        <w:rPr>
          <w:rFonts w:ascii="Times New Roman" w:hAnsi="Times New Roman" w:cs="Times New Roman" w:eastAsia="Times New Roman" w:hint="default"/>
          <w:spacing w:val="-2"/>
          <w:w w:val="100"/>
        </w:rPr>
        <w:t>12</w:t>
      </w:r>
      <w:r>
        <w:rPr>
          <w:rFonts w:ascii="Times New Roman" w:hAnsi="Times New Roman" w:cs="Times New Roman" w:eastAsia="Times New Roman" w:hint="default"/>
          <w:spacing w:val="28"/>
          <w:w w:val="100"/>
        </w:rPr>
        <w:t> </w:t>
      </w:r>
      <w:r>
        <w:rPr>
          <w:spacing w:val="-10"/>
          <w:w w:val="100"/>
        </w:rPr>
        <w:t>号——债务重组》。该项会计政</w:t>
      </w:r>
      <w:r>
        <w:rPr>
          <w:w w:val="100"/>
        </w:rPr>
        <w:t> </w:t>
      </w:r>
      <w:r>
        <w:rPr>
          <w:spacing w:val="-2"/>
        </w:rPr>
        <w:t>策变更采用未来适用法处理，并根据准则的规定对于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日至准则实施日之间发生的非货币性资产</w:t>
      </w:r>
      <w:r>
        <w:rPr>
          <w:spacing w:val="-30"/>
        </w:rPr>
        <w:t> </w:t>
      </w:r>
      <w:r>
        <w:rPr>
          <w:spacing w:val="-30"/>
        </w:rPr>
      </w:r>
      <w:r>
        <w:rPr/>
        <w:t>交换和债务重组进行调整。</w:t>
      </w:r>
    </w:p>
    <w:p>
      <w:pPr>
        <w:pStyle w:val="BodyText"/>
        <w:spacing w:line="240" w:lineRule="auto" w:before="22"/>
        <w:ind w:left="535" w:right="1764"/>
        <w:jc w:val="left"/>
      </w:pPr>
      <w:r>
        <w:rPr/>
        <w:t>本公司执行上述准则对本报告期内财务报表无重大影响。</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Heading3"/>
        <w:spacing w:line="240" w:lineRule="auto"/>
        <w:ind w:right="1764"/>
        <w:jc w:val="left"/>
        <w:rPr>
          <w:b w:val="0"/>
          <w:bCs w:val="0"/>
        </w:rPr>
      </w:pPr>
      <w:bookmarkStart w:name="（2）重要会计估计变更" w:id="227"/>
      <w:bookmarkEnd w:id="227"/>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6"/>
          <w:szCs w:val="26"/>
        </w:rPr>
      </w:pPr>
    </w:p>
    <w:p>
      <w:pPr>
        <w:pStyle w:val="Heading3"/>
        <w:spacing w:line="240" w:lineRule="auto"/>
        <w:ind w:right="1007"/>
        <w:jc w:val="left"/>
        <w:rPr>
          <w:b w:val="0"/>
          <w:bCs w:val="0"/>
        </w:rPr>
      </w:pPr>
      <w:bookmarkStart w:name="（3）2019年起执行新金融工具准则、新收入准则或新租赁准则调整执行当年年初财务" w:id="228"/>
      <w:bookmarkEnd w:id="228"/>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年起执行新金融工具准则、新收入准则或新租赁准则调整执行当年年初财务报表相关项目情况</w:t>
      </w:r>
      <w:r>
        <w:rPr>
          <w:b w:val="0"/>
          <w:bCs w:val="0"/>
        </w:rPr>
      </w:r>
    </w:p>
    <w:p>
      <w:pPr>
        <w:spacing w:line="240" w:lineRule="auto" w:before="1"/>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3"/>
        <w:spacing w:line="240" w:lineRule="auto" w:before="36"/>
        <w:ind w:right="1764"/>
        <w:jc w:val="left"/>
        <w:rPr>
          <w:b w:val="0"/>
          <w:bCs w:val="0"/>
        </w:rPr>
      </w:pPr>
      <w:bookmarkStart w:name="（4）2019年起执行新金融工具准则或新租赁准则追溯调整前期比较数据说明" w:id="229"/>
      <w:bookmarkEnd w:id="229"/>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年起执行新金融工具准则或新租赁准则追溯调整前期比较数据说明</w:t>
      </w:r>
      <w:r>
        <w:rPr>
          <w:b w:val="0"/>
          <w:bCs w:val="0"/>
        </w:rPr>
      </w:r>
    </w:p>
    <w:p>
      <w:pPr>
        <w:spacing w:line="240" w:lineRule="auto" w:before="1"/>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45、其他" w:id="230"/>
      <w:bookmarkEnd w:id="230"/>
      <w:r>
        <w:rPr>
          <w:b w:val="0"/>
          <w:bCs w:val="0"/>
        </w:rPr>
      </w:r>
      <w:r>
        <w:rPr>
          <w:rFonts w:ascii="Times New Roman" w:hAnsi="Times New Roman" w:cs="Times New Roman" w:eastAsia="Times New Roman" w:hint="default"/>
        </w:rPr>
        <w:t>45</w:t>
      </w:r>
      <w:r>
        <w:rPr/>
        <w:t>、其他</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right="1007" w:firstLine="422"/>
        <w:jc w:val="left"/>
      </w:pPr>
      <w:r>
        <w:rPr/>
        <w:t>财政部分别于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30</w:t>
      </w:r>
      <w:r>
        <w:rPr/>
        <w:t>日和</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19</w:t>
      </w:r>
      <w:r>
        <w:rPr/>
        <w:t>日</w:t>
      </w:r>
      <w:r>
        <w:rPr>
          <w:spacing w:val="-1"/>
        </w:rPr>
        <w:t> </w:t>
      </w:r>
      <w:r>
        <w:rPr/>
        <w:t>发布了《关于修订印发</w:t>
      </w:r>
      <w:r>
        <w:rPr>
          <w:rFonts w:ascii="宋体" w:hAnsi="宋体" w:cs="宋体" w:eastAsia="宋体" w:hint="default"/>
        </w:rPr>
        <w:t>2019</w:t>
      </w:r>
      <w:r>
        <w:rPr/>
        <w:t>年度一般企业财务报表格</w:t>
      </w:r>
      <w:r>
        <w:rPr>
          <w:w w:val="100"/>
        </w:rPr>
        <w:t> </w:t>
      </w:r>
      <w:r>
        <w:rPr>
          <w:spacing w:val="-5"/>
          <w:w w:val="100"/>
        </w:rPr>
        <w:t>式的通知》（财会（</w:t>
      </w:r>
      <w:r>
        <w:rPr>
          <w:rFonts w:ascii="宋体" w:hAnsi="宋体" w:cs="宋体" w:eastAsia="宋体" w:hint="default"/>
          <w:spacing w:val="-5"/>
          <w:w w:val="100"/>
        </w:rPr>
        <w:t>2019</w:t>
      </w:r>
      <w:r>
        <w:rPr>
          <w:spacing w:val="-5"/>
          <w:w w:val="100"/>
        </w:rPr>
        <w:t>）</w:t>
      </w:r>
      <w:r>
        <w:rPr>
          <w:rFonts w:ascii="宋体" w:hAnsi="宋体" w:cs="宋体" w:eastAsia="宋体" w:hint="default"/>
          <w:spacing w:val="-5"/>
          <w:w w:val="100"/>
        </w:rPr>
        <w:t>6</w:t>
      </w:r>
      <w:r>
        <w:rPr>
          <w:spacing w:val="-5"/>
          <w:w w:val="100"/>
        </w:rPr>
        <w:t>号）和《关于修订印发合并财务报表格式（</w:t>
      </w:r>
      <w:r>
        <w:rPr>
          <w:rFonts w:ascii="宋体" w:hAnsi="宋体" w:cs="宋体" w:eastAsia="宋体" w:hint="default"/>
          <w:spacing w:val="-5"/>
          <w:w w:val="100"/>
        </w:rPr>
        <w:t>2019</w:t>
      </w:r>
      <w:r>
        <w:rPr>
          <w:spacing w:val="-5"/>
          <w:w w:val="100"/>
        </w:rPr>
        <w:t>版）的通知》（财会（</w:t>
      </w:r>
      <w:r>
        <w:rPr>
          <w:rFonts w:ascii="宋体" w:hAnsi="宋体" w:cs="宋体" w:eastAsia="宋体" w:hint="default"/>
          <w:spacing w:val="-5"/>
          <w:w w:val="100"/>
        </w:rPr>
        <w:t>2019</w:t>
      </w:r>
      <w:r>
        <w:rPr>
          <w:spacing w:val="-5"/>
          <w:w w:val="100"/>
        </w:rPr>
        <w:t>）</w:t>
      </w:r>
      <w:r>
        <w:rPr>
          <w:w w:val="100"/>
        </w:rPr>
        <w:t> </w:t>
      </w:r>
      <w:r>
        <w:rPr>
          <w:rFonts w:ascii="宋体" w:hAnsi="宋体" w:cs="宋体" w:eastAsia="宋体" w:hint="default"/>
          <w:spacing w:val="-4"/>
          <w:w w:val="100"/>
        </w:rPr>
        <w:t>16</w:t>
      </w:r>
      <w:r>
        <w:rPr>
          <w:spacing w:val="-4"/>
          <w:w w:val="100"/>
        </w:rPr>
        <w:t>号），对一般企业财务报表格式进行了修订，拆分部分资产负债表项目和调整利润表项目等。本公司已</w:t>
      </w:r>
      <w:r>
        <w:rPr>
          <w:spacing w:val="-76"/>
          <w:w w:val="100"/>
        </w:rPr>
        <w:t> </w:t>
      </w:r>
      <w:r>
        <w:rPr>
          <w:spacing w:val="-76"/>
          <w:w w:val="100"/>
        </w:rPr>
      </w:r>
      <w:r>
        <w:rPr>
          <w:spacing w:val="-2"/>
        </w:rPr>
        <w:t>经根据新的企业财务报表格式的要求编制财务报表，财务报表的列报项目因此发生变更的，已经按照《企</w:t>
      </w:r>
      <w:r>
        <w:rPr>
          <w:spacing w:val="-33"/>
        </w:rPr>
        <w:t> </w:t>
      </w:r>
      <w:r>
        <w:rPr>
          <w:spacing w:val="-33"/>
        </w:rPr>
      </w:r>
      <w:r>
        <w:rPr/>
        <w:t>业会计准则第</w:t>
      </w:r>
      <w:r>
        <w:rPr>
          <w:rFonts w:ascii="宋体" w:hAnsi="宋体" w:cs="宋体" w:eastAsia="宋体" w:hint="default"/>
        </w:rPr>
        <w:t>30</w:t>
      </w:r>
      <w:r>
        <w:rPr/>
        <w:t>号——财务报表列报》等的相关规定，对可比期间的比较数据进行调整。</w:t>
      </w:r>
    </w:p>
    <w:p>
      <w:pPr>
        <w:spacing w:before="76"/>
        <w:ind w:left="473" w:right="1764" w:firstLine="0"/>
        <w:jc w:val="left"/>
        <w:rPr>
          <w:rFonts w:ascii="宋体" w:hAnsi="宋体" w:cs="宋体" w:eastAsia="宋体" w:hint="default"/>
          <w:sz w:val="18"/>
          <w:szCs w:val="18"/>
        </w:rPr>
      </w:pPr>
      <w:r>
        <w:rPr>
          <w:rFonts w:ascii="宋体" w:hAnsi="宋体" w:cs="宋体" w:eastAsia="宋体" w:hint="default"/>
          <w:spacing w:val="-3"/>
          <w:sz w:val="18"/>
          <w:szCs w:val="18"/>
        </w:rPr>
        <w:t>对可比期间的财务报表列报项目及金额的影响如下：</w:t>
      </w:r>
    </w:p>
    <w:p>
      <w:pPr>
        <w:spacing w:line="240" w:lineRule="auto" w:before="13"/>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1844"/>
        <w:gridCol w:w="1561"/>
        <w:gridCol w:w="1700"/>
        <w:gridCol w:w="1704"/>
        <w:gridCol w:w="2701"/>
      </w:tblGrid>
      <w:tr>
        <w:trPr>
          <w:trHeight w:val="434" w:hRule="exact"/>
        </w:trPr>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3"/>
              <w:ind w:left="556"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5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3"/>
              <w:ind w:left="144" w:right="0"/>
              <w:jc w:val="left"/>
              <w:rPr>
                <w:rFonts w:ascii="宋体" w:hAnsi="宋体" w:cs="宋体" w:eastAsia="宋体" w:hint="default"/>
                <w:sz w:val="18"/>
                <w:szCs w:val="18"/>
              </w:rPr>
            </w:pPr>
            <w:r>
              <w:rPr>
                <w:rFonts w:ascii="宋体" w:hAnsi="宋体" w:cs="宋体" w:eastAsia="宋体" w:hint="default"/>
                <w:spacing w:val="-3"/>
                <w:sz w:val="18"/>
                <w:szCs w:val="18"/>
              </w:rPr>
              <w:t>列报变更前金额</w:t>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3"/>
              <w:ind w:left="484" w:right="0"/>
              <w:jc w:val="left"/>
              <w:rPr>
                <w:rFonts w:ascii="宋体" w:hAnsi="宋体" w:cs="宋体" w:eastAsia="宋体" w:hint="default"/>
                <w:sz w:val="18"/>
                <w:szCs w:val="18"/>
              </w:rPr>
            </w:pPr>
            <w:r>
              <w:rPr>
                <w:rFonts w:ascii="宋体" w:hAnsi="宋体" w:cs="宋体" w:eastAsia="宋体" w:hint="default"/>
                <w:sz w:val="18"/>
                <w:szCs w:val="18"/>
              </w:rPr>
              <w:t>影响金额</w:t>
            </w:r>
          </w:p>
        </w:tc>
        <w:tc>
          <w:tcPr>
            <w:tcW w:w="17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3"/>
              <w:ind w:left="220" w:right="0"/>
              <w:jc w:val="left"/>
              <w:rPr>
                <w:rFonts w:ascii="宋体" w:hAnsi="宋体" w:cs="宋体" w:eastAsia="宋体" w:hint="default"/>
                <w:sz w:val="18"/>
                <w:szCs w:val="18"/>
              </w:rPr>
            </w:pPr>
            <w:r>
              <w:rPr>
                <w:rFonts w:ascii="宋体" w:hAnsi="宋体" w:cs="宋体" w:eastAsia="宋体" w:hint="default"/>
                <w:spacing w:val="-3"/>
                <w:sz w:val="18"/>
                <w:szCs w:val="18"/>
              </w:rPr>
              <w:t>列报变更后金额</w:t>
            </w:r>
          </w:p>
        </w:tc>
        <w:tc>
          <w:tcPr>
            <w:tcW w:w="270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3"/>
              <w:ind w:right="2"/>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33" w:hRule="exact"/>
        </w:trPr>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4"/>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61" w:type="dxa"/>
            <w:tcBorders>
              <w:top w:val="single" w:sz="12" w:space="0" w:color="000000"/>
              <w:left w:val="single" w:sz="6" w:space="0" w:color="000000"/>
              <w:bottom w:val="single" w:sz="12" w:space="0" w:color="000000"/>
              <w:right w:val="single" w:sz="6" w:space="0" w:color="000000"/>
            </w:tcBorders>
          </w:tcPr>
          <w:p>
            <w:pP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4"/>
              <w:ind w:right="-5"/>
              <w:jc w:val="right"/>
              <w:rPr>
                <w:rFonts w:ascii="宋体" w:hAnsi="宋体" w:cs="宋体" w:eastAsia="宋体" w:hint="default"/>
                <w:sz w:val="18"/>
                <w:szCs w:val="18"/>
              </w:rPr>
            </w:pPr>
            <w:r>
              <w:rPr>
                <w:rFonts w:ascii="宋体"/>
                <w:spacing w:val="-2"/>
                <w:sz w:val="18"/>
              </w:rPr>
              <w:t>115,996,492.35</w:t>
            </w:r>
          </w:p>
        </w:tc>
        <w:tc>
          <w:tcPr>
            <w:tcW w:w="17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4"/>
              <w:ind w:right="-5"/>
              <w:jc w:val="right"/>
              <w:rPr>
                <w:rFonts w:ascii="宋体" w:hAnsi="宋体" w:cs="宋体" w:eastAsia="宋体" w:hint="default"/>
                <w:sz w:val="18"/>
                <w:szCs w:val="18"/>
              </w:rPr>
            </w:pPr>
            <w:r>
              <w:rPr>
                <w:rFonts w:ascii="宋体"/>
                <w:spacing w:val="-2"/>
                <w:sz w:val="18"/>
              </w:rPr>
              <w:t>115,996,492.35</w:t>
            </w:r>
          </w:p>
        </w:tc>
        <w:tc>
          <w:tcPr>
            <w:tcW w:w="2701"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61" w:type="dxa"/>
            <w:tcBorders>
              <w:top w:val="single" w:sz="12" w:space="0" w:color="000000"/>
              <w:left w:val="single" w:sz="6" w:space="0" w:color="000000"/>
              <w:bottom w:val="single" w:sz="12" w:space="0" w:color="000000"/>
              <w:right w:val="single" w:sz="6" w:space="0" w:color="000000"/>
            </w:tcBorders>
          </w:tcPr>
          <w:p>
            <w:pP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1,535,388,635.95</w:t>
            </w:r>
          </w:p>
        </w:tc>
        <w:tc>
          <w:tcPr>
            <w:tcW w:w="17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1,535,388,635.95</w:t>
            </w:r>
          </w:p>
        </w:tc>
        <w:tc>
          <w:tcPr>
            <w:tcW w:w="2701"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pacing w:val="-3"/>
                <w:sz w:val="18"/>
                <w:szCs w:val="18"/>
              </w:rPr>
              <w:t>应收票据及应收账款</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4"/>
              <w:jc w:val="right"/>
              <w:rPr>
                <w:rFonts w:ascii="宋体" w:hAnsi="宋体" w:cs="宋体" w:eastAsia="宋体" w:hint="default"/>
                <w:sz w:val="18"/>
                <w:szCs w:val="18"/>
              </w:rPr>
            </w:pPr>
            <w:r>
              <w:rPr>
                <w:rFonts w:ascii="宋体"/>
                <w:spacing w:val="-1"/>
                <w:sz w:val="18"/>
              </w:rPr>
              <w:t>1,651,385,128.30</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5"/>
              <w:jc w:val="right"/>
              <w:rPr>
                <w:rFonts w:ascii="宋体" w:hAnsi="宋体" w:cs="宋体" w:eastAsia="宋体" w:hint="default"/>
                <w:sz w:val="18"/>
                <w:szCs w:val="18"/>
              </w:rPr>
            </w:pPr>
            <w:r>
              <w:rPr>
                <w:rFonts w:ascii="宋体"/>
                <w:sz w:val="18"/>
              </w:rPr>
              <w:t>-</w:t>
            </w:r>
            <w:r>
              <w:rPr>
                <w:rFonts w:ascii="宋体"/>
                <w:spacing w:val="1"/>
                <w:sz w:val="18"/>
              </w:rPr>
              <w:t> </w:t>
            </w:r>
            <w:r>
              <w:rPr>
                <w:rFonts w:ascii="宋体"/>
                <w:sz w:val="18"/>
              </w:rPr>
              <w:t>1,651,385,128.30</w:t>
            </w:r>
          </w:p>
        </w:tc>
        <w:tc>
          <w:tcPr>
            <w:tcW w:w="1704" w:type="dxa"/>
            <w:tcBorders>
              <w:top w:val="single" w:sz="12" w:space="0" w:color="000000"/>
              <w:left w:val="single" w:sz="6" w:space="0" w:color="000000"/>
              <w:bottom w:val="single" w:sz="12" w:space="0" w:color="000000"/>
              <w:right w:val="single" w:sz="6" w:space="0" w:color="000000"/>
            </w:tcBorders>
          </w:tcPr>
          <w:p>
            <w:pPr/>
          </w:p>
        </w:tc>
        <w:tc>
          <w:tcPr>
            <w:tcW w:w="2701"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61" w:type="dxa"/>
            <w:tcBorders>
              <w:top w:val="single" w:sz="12" w:space="0" w:color="000000"/>
              <w:left w:val="single" w:sz="6" w:space="0" w:color="000000"/>
              <w:bottom w:val="single" w:sz="12" w:space="0" w:color="000000"/>
              <w:right w:val="single" w:sz="6" w:space="0" w:color="000000"/>
            </w:tcBorders>
          </w:tcPr>
          <w:p>
            <w:pPr/>
          </w:p>
        </w:tc>
        <w:tc>
          <w:tcPr>
            <w:tcW w:w="1700" w:type="dxa"/>
            <w:tcBorders>
              <w:top w:val="single" w:sz="12" w:space="0" w:color="000000"/>
              <w:left w:val="single" w:sz="6" w:space="0" w:color="000000"/>
              <w:bottom w:val="single" w:sz="12" w:space="0" w:color="000000"/>
              <w:right w:val="single" w:sz="6" w:space="0" w:color="000000"/>
            </w:tcBorders>
          </w:tcPr>
          <w:p>
            <w:pPr/>
          </w:p>
        </w:tc>
        <w:tc>
          <w:tcPr>
            <w:tcW w:w="1704" w:type="dxa"/>
            <w:tcBorders>
              <w:top w:val="single" w:sz="12" w:space="0" w:color="000000"/>
              <w:left w:val="single" w:sz="6" w:space="0" w:color="000000"/>
              <w:bottom w:val="single" w:sz="12" w:space="0" w:color="000000"/>
              <w:right w:val="single" w:sz="6" w:space="0" w:color="000000"/>
            </w:tcBorders>
          </w:tcPr>
          <w:p>
            <w:pPr/>
          </w:p>
        </w:tc>
        <w:tc>
          <w:tcPr>
            <w:tcW w:w="2701"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4"/>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61" w:type="dxa"/>
            <w:tcBorders>
              <w:top w:val="single" w:sz="12" w:space="0" w:color="000000"/>
              <w:left w:val="single" w:sz="6" w:space="0" w:color="000000"/>
              <w:bottom w:val="single" w:sz="12" w:space="0" w:color="000000"/>
              <w:right w:val="single" w:sz="6" w:space="0" w:color="000000"/>
            </w:tcBorders>
          </w:tcPr>
          <w:p>
            <w:pP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4"/>
              <w:ind w:right="-5"/>
              <w:jc w:val="right"/>
              <w:rPr>
                <w:rFonts w:ascii="宋体" w:hAnsi="宋体" w:cs="宋体" w:eastAsia="宋体" w:hint="default"/>
                <w:sz w:val="18"/>
                <w:szCs w:val="18"/>
              </w:rPr>
            </w:pPr>
            <w:r>
              <w:rPr>
                <w:rFonts w:ascii="宋体"/>
                <w:spacing w:val="-1"/>
                <w:sz w:val="18"/>
              </w:rPr>
              <w:t>68,378,643.43</w:t>
            </w:r>
          </w:p>
        </w:tc>
        <w:tc>
          <w:tcPr>
            <w:tcW w:w="17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4"/>
              <w:ind w:right="-5"/>
              <w:jc w:val="right"/>
              <w:rPr>
                <w:rFonts w:ascii="宋体" w:hAnsi="宋体" w:cs="宋体" w:eastAsia="宋体" w:hint="default"/>
                <w:sz w:val="18"/>
                <w:szCs w:val="18"/>
              </w:rPr>
            </w:pPr>
            <w:r>
              <w:rPr>
                <w:rFonts w:ascii="宋体"/>
                <w:spacing w:val="-1"/>
                <w:sz w:val="18"/>
              </w:rPr>
              <w:t>68,378,643.43</w:t>
            </w:r>
          </w:p>
        </w:tc>
        <w:tc>
          <w:tcPr>
            <w:tcW w:w="2701" w:type="dxa"/>
            <w:tcBorders>
              <w:top w:val="single" w:sz="12" w:space="0" w:color="000000"/>
              <w:left w:val="single" w:sz="6" w:space="0" w:color="000000"/>
              <w:bottom w:val="single" w:sz="12" w:space="0" w:color="000000"/>
              <w:right w:val="nil" w:sz="6" w:space="0" w:color="auto"/>
            </w:tcBorders>
          </w:tcPr>
          <w:p>
            <w:pPr/>
          </w:p>
        </w:tc>
      </w:tr>
      <w:tr>
        <w:trPr>
          <w:trHeight w:val="432" w:hRule="exact"/>
        </w:trPr>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pacing w:val="-3"/>
                <w:sz w:val="18"/>
                <w:szCs w:val="18"/>
              </w:rPr>
              <w:t>应付票据及应付账款</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5"/>
              <w:jc w:val="right"/>
              <w:rPr>
                <w:rFonts w:ascii="宋体" w:hAnsi="宋体" w:cs="宋体" w:eastAsia="宋体" w:hint="default"/>
                <w:sz w:val="18"/>
                <w:szCs w:val="18"/>
              </w:rPr>
            </w:pPr>
            <w:r>
              <w:rPr>
                <w:rFonts w:ascii="宋体"/>
                <w:spacing w:val="-1"/>
                <w:sz w:val="18"/>
              </w:rPr>
              <w:t>68,378,643.43</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5"/>
              <w:jc w:val="right"/>
              <w:rPr>
                <w:rFonts w:ascii="宋体" w:hAnsi="宋体" w:cs="宋体" w:eastAsia="宋体" w:hint="default"/>
                <w:sz w:val="18"/>
                <w:szCs w:val="18"/>
              </w:rPr>
            </w:pPr>
            <w:r>
              <w:rPr>
                <w:rFonts w:ascii="宋体"/>
                <w:sz w:val="18"/>
              </w:rPr>
              <w:t>-</w:t>
            </w:r>
            <w:r>
              <w:rPr>
                <w:rFonts w:ascii="宋体"/>
                <w:spacing w:val="2"/>
                <w:sz w:val="18"/>
              </w:rPr>
              <w:t> </w:t>
            </w:r>
            <w:r>
              <w:rPr>
                <w:rFonts w:ascii="宋体"/>
                <w:sz w:val="18"/>
              </w:rPr>
              <w:t>68,378,643.43</w:t>
            </w:r>
          </w:p>
        </w:tc>
        <w:tc>
          <w:tcPr>
            <w:tcW w:w="1704" w:type="dxa"/>
            <w:tcBorders>
              <w:top w:val="single" w:sz="12" w:space="0" w:color="000000"/>
              <w:left w:val="single" w:sz="6" w:space="0" w:color="000000"/>
              <w:bottom w:val="single" w:sz="12" w:space="0" w:color="000000"/>
              <w:right w:val="single" w:sz="6" w:space="0" w:color="000000"/>
            </w:tcBorders>
          </w:tcPr>
          <w:p>
            <w:pPr/>
          </w:p>
        </w:tc>
        <w:tc>
          <w:tcPr>
            <w:tcW w:w="2701"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17"/>
          <w:szCs w:val="17"/>
        </w:rPr>
      </w:pPr>
    </w:p>
    <w:p>
      <w:pPr>
        <w:pStyle w:val="Heading2"/>
        <w:spacing w:line="240" w:lineRule="auto" w:before="26"/>
        <w:ind w:right="1764"/>
        <w:jc w:val="left"/>
        <w:rPr>
          <w:b w:val="0"/>
          <w:bCs w:val="0"/>
        </w:rPr>
      </w:pPr>
      <w:bookmarkStart w:name="六、税项" w:id="231"/>
      <w:bookmarkEnd w:id="231"/>
      <w:r>
        <w:rPr>
          <w:b w:val="0"/>
          <w:bCs w:val="0"/>
        </w:rPr>
      </w: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764"/>
        <w:jc w:val="left"/>
        <w:rPr>
          <w:b w:val="0"/>
          <w:bCs w:val="0"/>
        </w:rPr>
      </w:pPr>
      <w:bookmarkStart w:name="1、主要税种及税率" w:id="232"/>
      <w:bookmarkEnd w:id="232"/>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335"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6" w:right="99"/>
              <w:jc w:val="left"/>
              <w:rPr>
                <w:rFonts w:ascii="宋体" w:hAnsi="宋体" w:cs="宋体" w:eastAsia="宋体" w:hint="default"/>
                <w:sz w:val="18"/>
                <w:szCs w:val="18"/>
              </w:rPr>
            </w:pPr>
            <w:r>
              <w:rPr>
                <w:rFonts w:ascii="宋体" w:hAnsi="宋体" w:cs="宋体" w:eastAsia="宋体" w:hint="default"/>
                <w:spacing w:val="-3"/>
                <w:sz w:val="18"/>
                <w:szCs w:val="18"/>
              </w:rPr>
              <w:t>按税法规定计算的销售货物和应税劳</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8"/>
                <w:w w:val="101"/>
                <w:sz w:val="18"/>
                <w:szCs w:val="18"/>
              </w:rPr>
              <w:t>务收入为基础计算销项税额，在扣除当</w:t>
            </w:r>
            <w:r>
              <w:rPr>
                <w:rFonts w:ascii="宋体" w:hAnsi="宋体" w:cs="宋体" w:eastAsia="宋体" w:hint="default"/>
                <w:spacing w:val="-83"/>
                <w:w w:val="101"/>
                <w:sz w:val="18"/>
                <w:szCs w:val="18"/>
              </w:rPr>
              <w:t> </w:t>
            </w:r>
            <w:r>
              <w:rPr>
                <w:rFonts w:ascii="宋体" w:hAnsi="宋体" w:cs="宋体" w:eastAsia="宋体" w:hint="default"/>
                <w:spacing w:val="-83"/>
                <w:w w:val="101"/>
                <w:sz w:val="18"/>
                <w:szCs w:val="18"/>
              </w:rPr>
            </w:r>
            <w:r>
              <w:rPr>
                <w:rFonts w:ascii="宋体" w:hAnsi="宋体" w:cs="宋体" w:eastAsia="宋体" w:hint="default"/>
                <w:spacing w:val="-8"/>
                <w:w w:val="101"/>
                <w:sz w:val="18"/>
                <w:szCs w:val="18"/>
              </w:rPr>
              <w:t>期允许抵扣的进项税额后，差额部分为</w:t>
            </w:r>
            <w:r>
              <w:rPr>
                <w:rFonts w:ascii="宋体" w:hAnsi="宋体" w:cs="宋体" w:eastAsia="宋体" w:hint="default"/>
                <w:spacing w:val="-83"/>
                <w:w w:val="101"/>
                <w:sz w:val="18"/>
                <w:szCs w:val="18"/>
              </w:rPr>
              <w:t> </w:t>
            </w:r>
            <w:r>
              <w:rPr>
                <w:rFonts w:ascii="宋体" w:hAnsi="宋体" w:cs="宋体" w:eastAsia="宋体" w:hint="default"/>
                <w:spacing w:val="-83"/>
                <w:w w:val="101"/>
                <w:sz w:val="18"/>
                <w:szCs w:val="18"/>
              </w:rPr>
            </w:r>
            <w:r>
              <w:rPr>
                <w:rFonts w:ascii="宋体" w:hAnsi="宋体" w:cs="宋体" w:eastAsia="宋体" w:hint="default"/>
                <w:sz w:val="18"/>
                <w:szCs w:val="18"/>
              </w:rPr>
              <w:t>应交增值税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9%</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13%</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16%</w:t>
            </w:r>
            <w:r>
              <w:rPr>
                <w:rFonts w:ascii="Times New Roman" w:hAnsi="Times New Roman" w:cs="Times New Roman" w:eastAsia="Times New Roman" w:hint="default"/>
                <w:sz w:val="18"/>
                <w:szCs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6" w:right="0"/>
              <w:jc w:val="left"/>
              <w:rPr>
                <w:rFonts w:ascii="宋体" w:hAnsi="宋体" w:cs="宋体" w:eastAsia="宋体" w:hint="default"/>
                <w:sz w:val="18"/>
                <w:szCs w:val="18"/>
              </w:rPr>
            </w:pPr>
            <w:r>
              <w:rPr>
                <w:rFonts w:ascii="宋体" w:hAnsi="宋体" w:cs="宋体" w:eastAsia="宋体" w:hint="default"/>
                <w:spacing w:val="-3"/>
                <w:sz w:val="18"/>
                <w:szCs w:val="18"/>
              </w:rPr>
              <w:t>按实际缴纳的增值税及消费税计缴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Times New Roman" w:hAnsi="Times New Roman" w:cs="Times New Roman" w:eastAsia="Times New Roman" w:hint="default"/>
                <w:sz w:val="18"/>
                <w:szCs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pacing w:val="-3"/>
                <w:sz w:val="18"/>
                <w:szCs w:val="18"/>
              </w:rPr>
              <w:t>按应纳税所得额计缴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9"/>
                <w:sz w:val="18"/>
                <w:szCs w:val="18"/>
              </w:rPr>
              <w:t>10%</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12.5%</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15%</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20%</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25%</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16.5%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6" w:right="0"/>
              <w:jc w:val="left"/>
              <w:rPr>
                <w:rFonts w:ascii="宋体" w:hAnsi="宋体" w:cs="宋体" w:eastAsia="宋体" w:hint="default"/>
                <w:sz w:val="18"/>
                <w:szCs w:val="18"/>
              </w:rPr>
            </w:pPr>
            <w:r>
              <w:rPr>
                <w:rFonts w:ascii="宋体" w:hAnsi="宋体" w:cs="宋体" w:eastAsia="宋体" w:hint="default"/>
                <w:spacing w:val="-3"/>
                <w:sz w:val="18"/>
                <w:szCs w:val="18"/>
              </w:rPr>
              <w:t>按实际缴纳的增值税及消费税计缴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pacing w:val="-3"/>
                <w:sz w:val="18"/>
                <w:szCs w:val="18"/>
              </w:rPr>
              <w:t>按实际缴纳的增值税及消费税计缴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2%</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存在不同企业所得税税率纳税主体的，披露情况说明</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合肥英泽、北京网络</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12.5%</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62"/>
              <w:jc w:val="left"/>
              <w:rPr>
                <w:rFonts w:ascii="宋体" w:hAnsi="宋体" w:cs="宋体" w:eastAsia="宋体" w:hint="default"/>
                <w:sz w:val="18"/>
                <w:szCs w:val="18"/>
              </w:rPr>
            </w:pPr>
            <w:r>
              <w:rPr>
                <w:rFonts w:ascii="宋体" w:hAnsi="宋体" w:cs="宋体" w:eastAsia="宋体" w:hint="default"/>
                <w:spacing w:val="-3"/>
                <w:sz w:val="18"/>
                <w:szCs w:val="18"/>
              </w:rPr>
              <w:t>本公司、上海天源迪科、北京天源迪科、广州易杰、合肥</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天源迪科、上海维恩孛特、广州天源迪科、安徽迪科数金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广西驿途、深圳宝贝团</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5" w:right="151"/>
              <w:jc w:val="left"/>
              <w:rPr>
                <w:rFonts w:ascii="宋体" w:hAnsi="宋体" w:cs="宋体" w:eastAsia="宋体" w:hint="default"/>
                <w:sz w:val="18"/>
                <w:szCs w:val="18"/>
              </w:rPr>
            </w:pPr>
            <w:r>
              <w:rPr>
                <w:rFonts w:ascii="宋体" w:hAnsi="宋体" w:cs="宋体" w:eastAsia="宋体" w:hint="default"/>
                <w:spacing w:val="-3"/>
                <w:sz w:val="18"/>
                <w:szCs w:val="18"/>
              </w:rPr>
              <w:t>小型微利企业减计应纳税所得税额后按 </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税率缴纳企业</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所得税</w:t>
            </w:r>
          </w:p>
        </w:tc>
      </w:tr>
      <w:tr>
        <w:trPr>
          <w:trHeight w:val="39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维恩贝特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10%</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162"/>
              <w:jc w:val="left"/>
              <w:rPr>
                <w:rFonts w:ascii="宋体" w:hAnsi="宋体" w:cs="宋体" w:eastAsia="宋体" w:hint="default"/>
                <w:sz w:val="18"/>
                <w:szCs w:val="18"/>
              </w:rPr>
            </w:pPr>
            <w:r>
              <w:rPr>
                <w:rFonts w:ascii="宋体" w:hAnsi="宋体" w:cs="宋体" w:eastAsia="宋体" w:hint="default"/>
                <w:spacing w:val="-3"/>
                <w:sz w:val="18"/>
                <w:szCs w:val="18"/>
              </w:rPr>
              <w:t>武汉天源迪科、合肥科技、亳州迪科数金、合肥人才、广</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州易星、深圳金华威</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澳门维恩贝特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适用纯利税超额累进税率</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香港维恩贝特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16.5%</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2、税收优惠" w:id="233"/>
      <w:bookmarkEnd w:id="233"/>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5"/>
        <w:rPr>
          <w:rFonts w:ascii="宋体" w:hAnsi="宋体" w:cs="宋体" w:eastAsia="宋体" w:hint="default"/>
          <w:b/>
          <w:bCs/>
          <w:sz w:val="24"/>
          <w:szCs w:val="24"/>
        </w:rPr>
      </w:pPr>
    </w:p>
    <w:p>
      <w:pPr>
        <w:pStyle w:val="Heading3"/>
        <w:spacing w:line="273" w:lineRule="auto"/>
        <w:ind w:left="535" w:right="8747"/>
        <w:jc w:val="left"/>
        <w:rPr>
          <w:b w:val="0"/>
          <w:bCs w:val="0"/>
        </w:rPr>
      </w:pPr>
      <w:r>
        <w:rPr/>
        <w:t>（</w:t>
      </w:r>
      <w:r>
        <w:rPr>
          <w:rFonts w:ascii="宋体" w:hAnsi="宋体" w:cs="宋体" w:eastAsia="宋体" w:hint="default"/>
        </w:rPr>
        <w:t>1</w:t>
      </w:r>
      <w:r>
        <w:rPr/>
        <w:t>）企业所得税</w:t>
      </w:r>
      <w:r>
        <w:rPr>
          <w:spacing w:val="-104"/>
        </w:rPr>
        <w:t> </w:t>
      </w:r>
      <w:r>
        <w:rPr/>
        <w:t>本公司：</w:t>
      </w:r>
      <w:r>
        <w:rPr>
          <w:b w:val="0"/>
          <w:bCs w:val="0"/>
        </w:rPr>
      </w:r>
    </w:p>
    <w:p>
      <w:pPr>
        <w:pStyle w:val="BodyText"/>
        <w:spacing w:line="273" w:lineRule="auto"/>
        <w:ind w:right="1007" w:firstLine="422"/>
        <w:jc w:val="left"/>
      </w:pPr>
      <w:r>
        <w:rPr>
          <w:rFonts w:ascii="宋体" w:hAnsi="宋体" w:cs="宋体" w:eastAsia="宋体" w:hint="default"/>
          <w:spacing w:val="-2"/>
        </w:rPr>
        <w:t>2017</w:t>
      </w:r>
      <w:r>
        <w:rPr>
          <w:spacing w:val="-2"/>
        </w:rPr>
        <w:t>年</w:t>
      </w:r>
      <w:r>
        <w:rPr>
          <w:rFonts w:ascii="宋体" w:hAnsi="宋体" w:cs="宋体" w:eastAsia="宋体" w:hint="default"/>
          <w:spacing w:val="-2"/>
        </w:rPr>
        <w:t>10</w:t>
      </w:r>
      <w:r>
        <w:rPr>
          <w:spacing w:val="-2"/>
        </w:rPr>
        <w:t>月，本公司通过复审再次被认定为国家高新技术企业，证书编号为</w:t>
      </w:r>
      <w:r>
        <w:rPr>
          <w:rFonts w:ascii="宋体" w:hAnsi="宋体" w:cs="宋体" w:eastAsia="宋体" w:hint="default"/>
          <w:spacing w:val="-2"/>
        </w:rPr>
        <w:t>GR201744204085</w:t>
      </w:r>
      <w:r>
        <w:rPr>
          <w:spacing w:val="-2"/>
        </w:rPr>
        <w:t>，认定有</w:t>
      </w:r>
      <w:r>
        <w:rPr>
          <w:w w:val="100"/>
        </w:rPr>
        <w:t> </w:t>
      </w:r>
      <w:r>
        <w:rPr/>
        <w:t>效期</w:t>
      </w:r>
      <w:r>
        <w:rPr>
          <w:rFonts w:ascii="宋体" w:hAnsi="宋体" w:cs="宋体" w:eastAsia="宋体" w:hint="default"/>
        </w:rPr>
        <w:t>3</w:t>
      </w:r>
      <w:r>
        <w:rPr/>
        <w:t>年，自</w:t>
      </w:r>
      <w:r>
        <w:rPr>
          <w:rFonts w:ascii="宋体" w:hAnsi="宋体" w:cs="宋体" w:eastAsia="宋体" w:hint="default"/>
        </w:rPr>
        <w:t>2017</w:t>
      </w:r>
      <w:r>
        <w:rPr/>
        <w:t>年起至</w:t>
      </w:r>
      <w:r>
        <w:rPr>
          <w:rFonts w:ascii="宋体" w:hAnsi="宋体" w:cs="宋体" w:eastAsia="宋体" w:hint="default"/>
        </w:rPr>
        <w:t>2019</w:t>
      </w:r>
      <w:r>
        <w:rPr/>
        <w:t>年减按</w:t>
      </w:r>
      <w:r>
        <w:rPr>
          <w:rFonts w:ascii="宋体" w:hAnsi="宋体" w:cs="宋体" w:eastAsia="宋体" w:hint="default"/>
        </w:rPr>
        <w:t>15%</w:t>
      </w:r>
      <w:r>
        <w:rPr/>
        <w:t>税率征收企业所得税。</w:t>
      </w:r>
    </w:p>
    <w:p>
      <w:pPr>
        <w:pStyle w:val="BodyText"/>
        <w:spacing w:line="273" w:lineRule="auto"/>
        <w:ind w:left="535" w:right="1007"/>
        <w:jc w:val="left"/>
        <w:rPr>
          <w:rFonts w:ascii="宋体" w:hAnsi="宋体" w:cs="宋体" w:eastAsia="宋体" w:hint="default"/>
        </w:rPr>
      </w:pPr>
      <w:r>
        <w:rPr>
          <w:rFonts w:ascii="宋体" w:hAnsi="宋体" w:cs="宋体" w:eastAsia="宋体" w:hint="default"/>
          <w:b/>
          <w:bCs/>
        </w:rPr>
        <w:t>上海天源迪科：</w:t>
      </w:r>
      <w:r>
        <w:rPr>
          <w:rFonts w:ascii="宋体" w:hAnsi="宋体" w:cs="宋体" w:eastAsia="宋体" w:hint="default"/>
          <w:b/>
          <w:bCs/>
          <w:spacing w:val="-104"/>
        </w:rPr>
        <w:t> </w:t>
      </w:r>
      <w:r>
        <w:rPr>
          <w:rFonts w:ascii="宋体" w:hAnsi="宋体" w:cs="宋体" w:eastAsia="宋体" w:hint="default"/>
          <w:spacing w:val="-2"/>
        </w:rPr>
        <w:t>2018</w:t>
      </w:r>
      <w:r>
        <w:rPr>
          <w:spacing w:val="-2"/>
        </w:rPr>
        <w:t>年，本公司之子公司上海天源迪科通过复审被认定为高新技术企业，目前处于公示阶段，自</w:t>
      </w:r>
      <w:r>
        <w:rPr>
          <w:rFonts w:ascii="宋体" w:hAnsi="宋体" w:cs="宋体" w:eastAsia="宋体" w:hint="default"/>
          <w:spacing w:val="-2"/>
        </w:rPr>
        <w:t>2018</w:t>
      </w:r>
    </w:p>
    <w:p>
      <w:pPr>
        <w:spacing w:line="273" w:lineRule="auto" w:before="7"/>
        <w:ind w:left="535" w:right="5762" w:hanging="423"/>
        <w:jc w:val="left"/>
        <w:rPr>
          <w:rFonts w:ascii="宋体" w:hAnsi="宋体" w:cs="宋体" w:eastAsia="宋体" w:hint="default"/>
          <w:sz w:val="21"/>
          <w:szCs w:val="21"/>
        </w:rPr>
      </w:pPr>
      <w:r>
        <w:rPr>
          <w:rFonts w:ascii="宋体" w:hAnsi="宋体" w:cs="宋体" w:eastAsia="宋体" w:hint="default"/>
          <w:spacing w:val="-1"/>
          <w:sz w:val="21"/>
          <w:szCs w:val="21"/>
        </w:rPr>
        <w:t>年起至</w:t>
      </w:r>
      <w:r>
        <w:rPr>
          <w:rFonts w:ascii="宋体" w:hAnsi="宋体" w:cs="宋体" w:eastAsia="宋体" w:hint="default"/>
          <w:spacing w:val="-1"/>
          <w:sz w:val="21"/>
          <w:szCs w:val="21"/>
        </w:rPr>
        <w:t>2020</w:t>
      </w:r>
      <w:r>
        <w:rPr>
          <w:rFonts w:ascii="宋体" w:hAnsi="宋体" w:cs="宋体" w:eastAsia="宋体" w:hint="default"/>
          <w:spacing w:val="-1"/>
          <w:sz w:val="21"/>
          <w:szCs w:val="21"/>
        </w:rPr>
        <w:t>年减按</w:t>
      </w:r>
      <w:r>
        <w:rPr>
          <w:rFonts w:ascii="宋体" w:hAnsi="宋体" w:cs="宋体" w:eastAsia="宋体" w:hint="default"/>
          <w:spacing w:val="-1"/>
          <w:sz w:val="21"/>
          <w:szCs w:val="21"/>
        </w:rPr>
        <w:t>15%</w:t>
      </w:r>
      <w:r>
        <w:rPr>
          <w:rFonts w:ascii="宋体" w:hAnsi="宋体" w:cs="宋体" w:eastAsia="宋体" w:hint="default"/>
          <w:spacing w:val="-1"/>
          <w:sz w:val="21"/>
          <w:szCs w:val="21"/>
        </w:rPr>
        <w:t>税率征收企业所得税。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b/>
          <w:bCs/>
          <w:sz w:val="21"/>
          <w:szCs w:val="21"/>
        </w:rPr>
        <w:t>北京天源迪科：</w:t>
      </w:r>
      <w:r>
        <w:rPr>
          <w:rFonts w:ascii="宋体" w:hAnsi="宋体" w:cs="宋体" w:eastAsia="宋体" w:hint="default"/>
          <w:sz w:val="21"/>
          <w:szCs w:val="21"/>
        </w:rPr>
      </w:r>
    </w:p>
    <w:p>
      <w:pPr>
        <w:pStyle w:val="BodyText"/>
        <w:spacing w:line="240" w:lineRule="auto" w:before="8"/>
        <w:ind w:left="535" w:right="1007"/>
        <w:jc w:val="left"/>
      </w:pPr>
      <w:r>
        <w:rPr>
          <w:rFonts w:ascii="宋体" w:hAnsi="宋体" w:cs="宋体" w:eastAsia="宋体" w:hint="default"/>
        </w:rPr>
        <w:t>2019</w:t>
      </w:r>
      <w:r>
        <w:rPr/>
        <w:t>年</w:t>
      </w:r>
      <w:r>
        <w:rPr>
          <w:rFonts w:ascii="宋体" w:hAnsi="宋体" w:cs="宋体" w:eastAsia="宋体" w:hint="default"/>
        </w:rPr>
        <w:t>12</w:t>
      </w:r>
      <w:r>
        <w:rPr/>
        <w:t>月，本公司之子公司北京天源迪科被认定为高新技术企业，证书编号为</w:t>
      </w:r>
      <w:r>
        <w:rPr>
          <w:rFonts w:ascii="宋体" w:hAnsi="宋体" w:cs="宋体" w:eastAsia="宋体" w:hint="default"/>
        </w:rPr>
        <w:t>GR201911004254</w:t>
      </w:r>
      <w:r>
        <w:rPr/>
        <w:t>，自</w:t>
      </w:r>
    </w:p>
    <w:p>
      <w:pPr>
        <w:pStyle w:val="BodyText"/>
        <w:spacing w:line="273" w:lineRule="auto" w:before="37"/>
        <w:ind w:left="535" w:right="5762" w:hanging="423"/>
        <w:jc w:val="left"/>
        <w:rPr>
          <w:rFonts w:ascii="宋体" w:hAnsi="宋体" w:cs="宋体" w:eastAsia="宋体" w:hint="default"/>
        </w:rPr>
      </w:pPr>
      <w:r>
        <w:rPr>
          <w:rFonts w:ascii="宋体" w:hAnsi="宋体" w:cs="宋体" w:eastAsia="宋体" w:hint="default"/>
          <w:spacing w:val="-1"/>
        </w:rPr>
        <w:t>2019</w:t>
      </w:r>
      <w:r>
        <w:rPr>
          <w:spacing w:val="-1"/>
        </w:rPr>
        <w:t>年起至</w:t>
      </w:r>
      <w:r>
        <w:rPr>
          <w:rFonts w:ascii="宋体" w:hAnsi="宋体" w:cs="宋体" w:eastAsia="宋体" w:hint="default"/>
          <w:spacing w:val="-1"/>
        </w:rPr>
        <w:t>2021</w:t>
      </w:r>
      <w:r>
        <w:rPr>
          <w:spacing w:val="-1"/>
        </w:rPr>
        <w:t>年减按</w:t>
      </w:r>
      <w:r>
        <w:rPr>
          <w:rFonts w:ascii="宋体" w:hAnsi="宋体" w:cs="宋体" w:eastAsia="宋体" w:hint="default"/>
          <w:spacing w:val="-1"/>
        </w:rPr>
        <w:t>15%</w:t>
      </w:r>
      <w:r>
        <w:rPr>
          <w:spacing w:val="-1"/>
        </w:rPr>
        <w:t>税率征收企业所得税。</w:t>
      </w:r>
      <w:r>
        <w:rPr>
          <w:spacing w:val="-78"/>
        </w:rPr>
        <w:t> </w:t>
      </w:r>
      <w:r>
        <w:rPr>
          <w:spacing w:val="-78"/>
        </w:rPr>
      </w:r>
      <w:r>
        <w:rPr>
          <w:rFonts w:ascii="宋体" w:hAnsi="宋体" w:cs="宋体" w:eastAsia="宋体" w:hint="default"/>
          <w:b/>
          <w:bCs/>
        </w:rPr>
        <w:t>广州易杰：</w:t>
      </w:r>
      <w:r>
        <w:rPr>
          <w:rFonts w:ascii="宋体" w:hAnsi="宋体" w:cs="宋体" w:eastAsia="宋体" w:hint="default"/>
        </w:rPr>
      </w:r>
    </w:p>
    <w:p>
      <w:pPr>
        <w:pStyle w:val="BodyText"/>
        <w:spacing w:line="240" w:lineRule="auto"/>
        <w:ind w:left="535" w:right="1764"/>
        <w:jc w:val="left"/>
      </w:pPr>
      <w:r>
        <w:rPr>
          <w:rFonts w:ascii="宋体" w:hAnsi="宋体" w:cs="宋体" w:eastAsia="宋体" w:hint="default"/>
        </w:rPr>
        <w:t>2017</w:t>
      </w:r>
      <w:r>
        <w:rPr/>
        <w:t>年</w:t>
      </w:r>
      <w:r>
        <w:rPr>
          <w:rFonts w:ascii="宋体" w:hAnsi="宋体" w:cs="宋体" w:eastAsia="宋体" w:hint="default"/>
        </w:rPr>
        <w:t>8</w:t>
      </w:r>
      <w:r>
        <w:rPr/>
        <w:t>月，本公司之子公司广州易杰通过复审再次被认定为高新技术企业，证书编号为</w:t>
      </w:r>
    </w:p>
    <w:p>
      <w:pPr>
        <w:pStyle w:val="BodyText"/>
        <w:spacing w:line="273" w:lineRule="auto" w:before="37"/>
        <w:ind w:left="535" w:right="3606" w:hanging="423"/>
        <w:jc w:val="left"/>
        <w:rPr>
          <w:rFonts w:ascii="宋体" w:hAnsi="宋体" w:cs="宋体" w:eastAsia="宋体" w:hint="default"/>
        </w:rPr>
      </w:pPr>
      <w:r>
        <w:rPr>
          <w:rFonts w:ascii="宋体" w:hAnsi="宋体" w:cs="宋体" w:eastAsia="宋体" w:hint="default"/>
          <w:spacing w:val="-1"/>
        </w:rPr>
        <w:t>201744011083</w:t>
      </w:r>
      <w:r>
        <w:rPr>
          <w:spacing w:val="-1"/>
        </w:rPr>
        <w:t>，自</w:t>
      </w:r>
      <w:r>
        <w:rPr>
          <w:rFonts w:ascii="宋体" w:hAnsi="宋体" w:cs="宋体" w:eastAsia="宋体" w:hint="default"/>
          <w:spacing w:val="-1"/>
        </w:rPr>
        <w:t>2017</w:t>
      </w:r>
      <w:r>
        <w:rPr>
          <w:spacing w:val="-1"/>
        </w:rPr>
        <w:t>年起至</w:t>
      </w:r>
      <w:r>
        <w:rPr>
          <w:rFonts w:ascii="宋体" w:hAnsi="宋体" w:cs="宋体" w:eastAsia="宋体" w:hint="default"/>
          <w:spacing w:val="-1"/>
        </w:rPr>
        <w:t>2019</w:t>
      </w:r>
      <w:r>
        <w:rPr>
          <w:spacing w:val="-1"/>
        </w:rPr>
        <w:t>年减按</w:t>
      </w:r>
      <w:r>
        <w:rPr>
          <w:rFonts w:ascii="宋体" w:hAnsi="宋体" w:cs="宋体" w:eastAsia="宋体" w:hint="default"/>
          <w:spacing w:val="-1"/>
        </w:rPr>
        <w:t>15%</w:t>
      </w:r>
      <w:r>
        <w:rPr>
          <w:spacing w:val="-1"/>
        </w:rPr>
        <w:t>税率征收企业所得税。</w:t>
      </w:r>
      <w:r>
        <w:rPr>
          <w:spacing w:val="-64"/>
        </w:rPr>
        <w:t> </w:t>
      </w:r>
      <w:r>
        <w:rPr>
          <w:spacing w:val="-64"/>
        </w:rPr>
      </w:r>
      <w:r>
        <w:rPr>
          <w:rFonts w:ascii="宋体" w:hAnsi="宋体" w:cs="宋体" w:eastAsia="宋体" w:hint="default"/>
          <w:b/>
          <w:bCs/>
        </w:rPr>
        <w:t>合肥天源迪科：</w:t>
      </w:r>
      <w:r>
        <w:rPr>
          <w:rFonts w:ascii="宋体" w:hAnsi="宋体" w:cs="宋体" w:eastAsia="宋体" w:hint="default"/>
        </w:rPr>
      </w:r>
    </w:p>
    <w:p>
      <w:pPr>
        <w:pStyle w:val="BodyText"/>
        <w:spacing w:line="240" w:lineRule="auto"/>
        <w:ind w:left="535" w:right="1007"/>
        <w:jc w:val="left"/>
      </w:pPr>
      <w:r>
        <w:rPr>
          <w:rFonts w:ascii="宋体" w:hAnsi="宋体" w:cs="宋体" w:eastAsia="宋体" w:hint="default"/>
        </w:rPr>
        <w:t>2019</w:t>
      </w:r>
      <w:r>
        <w:rPr/>
        <w:t>年</w:t>
      </w:r>
      <w:r>
        <w:rPr>
          <w:rFonts w:ascii="宋体" w:hAnsi="宋体" w:cs="宋体" w:eastAsia="宋体" w:hint="default"/>
        </w:rPr>
        <w:t>9</w:t>
      </w:r>
      <w:r>
        <w:rPr/>
        <w:t>月，本公司之子公司合肥天源迪科被认定为高新技术企业，证书编号为</w:t>
      </w:r>
      <w:r>
        <w:rPr>
          <w:rFonts w:ascii="宋体" w:hAnsi="宋体" w:cs="宋体" w:eastAsia="宋体" w:hint="default"/>
        </w:rPr>
        <w:t>GR201934001527</w:t>
      </w:r>
      <w:r>
        <w:rPr/>
        <w:t>，自</w:t>
      </w:r>
    </w:p>
    <w:p>
      <w:pPr>
        <w:pStyle w:val="BodyText"/>
        <w:spacing w:line="273" w:lineRule="auto" w:before="37"/>
        <w:ind w:left="535" w:right="5762" w:hanging="423"/>
        <w:jc w:val="left"/>
        <w:rPr>
          <w:rFonts w:ascii="宋体" w:hAnsi="宋体" w:cs="宋体" w:eastAsia="宋体" w:hint="default"/>
        </w:rPr>
      </w:pPr>
      <w:r>
        <w:rPr>
          <w:rFonts w:ascii="宋体" w:hAnsi="宋体" w:cs="宋体" w:eastAsia="宋体" w:hint="default"/>
          <w:spacing w:val="-1"/>
        </w:rPr>
        <w:t>2019</w:t>
      </w:r>
      <w:r>
        <w:rPr>
          <w:spacing w:val="-1"/>
        </w:rPr>
        <w:t>年起至</w:t>
      </w:r>
      <w:r>
        <w:rPr>
          <w:rFonts w:ascii="宋体" w:hAnsi="宋体" w:cs="宋体" w:eastAsia="宋体" w:hint="default"/>
          <w:spacing w:val="-1"/>
        </w:rPr>
        <w:t>2021</w:t>
      </w:r>
      <w:r>
        <w:rPr>
          <w:spacing w:val="-1"/>
        </w:rPr>
        <w:t>年减按</w:t>
      </w:r>
      <w:r>
        <w:rPr>
          <w:rFonts w:ascii="宋体" w:hAnsi="宋体" w:cs="宋体" w:eastAsia="宋体" w:hint="default"/>
          <w:spacing w:val="-1"/>
        </w:rPr>
        <w:t>15%</w:t>
      </w:r>
      <w:r>
        <w:rPr>
          <w:spacing w:val="-1"/>
        </w:rPr>
        <w:t>税率征收企业所得税。</w:t>
      </w:r>
      <w:r>
        <w:rPr>
          <w:spacing w:val="-78"/>
        </w:rPr>
        <w:t> </w:t>
      </w:r>
      <w:r>
        <w:rPr>
          <w:spacing w:val="-78"/>
        </w:rPr>
      </w:r>
      <w:r>
        <w:rPr>
          <w:rFonts w:ascii="宋体" w:hAnsi="宋体" w:cs="宋体" w:eastAsia="宋体" w:hint="default"/>
          <w:b/>
          <w:bCs/>
        </w:rPr>
        <w:t>广州天源迪科：</w:t>
      </w:r>
      <w:r>
        <w:rPr>
          <w:rFonts w:ascii="宋体" w:hAnsi="宋体" w:cs="宋体" w:eastAsia="宋体" w:hint="default"/>
        </w:rPr>
      </w:r>
    </w:p>
    <w:p>
      <w:pPr>
        <w:pStyle w:val="BodyText"/>
        <w:spacing w:line="240" w:lineRule="auto"/>
        <w:ind w:left="535" w:right="1007"/>
        <w:jc w:val="left"/>
      </w:pPr>
      <w:r>
        <w:rPr>
          <w:rFonts w:ascii="宋体" w:hAnsi="宋体" w:cs="宋体" w:eastAsia="宋体" w:hint="default"/>
        </w:rPr>
        <w:t>2017</w:t>
      </w:r>
      <w:r>
        <w:rPr/>
        <w:t>年</w:t>
      </w:r>
      <w:r>
        <w:rPr>
          <w:rFonts w:ascii="宋体" w:hAnsi="宋体" w:cs="宋体" w:eastAsia="宋体" w:hint="default"/>
        </w:rPr>
        <w:t>11</w:t>
      </w:r>
      <w:r>
        <w:rPr/>
        <w:t>月，本公司之子公司广州天源迪科被认定为高新技术企业，证书编号为</w:t>
      </w:r>
      <w:r>
        <w:rPr>
          <w:rFonts w:ascii="宋体" w:hAnsi="宋体" w:cs="宋体" w:eastAsia="宋体" w:hint="default"/>
        </w:rPr>
        <w:t>GR201744000311</w:t>
      </w:r>
      <w:r>
        <w:rPr/>
        <w:t>，自</w:t>
      </w:r>
    </w:p>
    <w:p>
      <w:pPr>
        <w:pStyle w:val="BodyText"/>
        <w:spacing w:line="273" w:lineRule="auto" w:before="37"/>
        <w:ind w:left="569" w:right="5762" w:hanging="456"/>
        <w:jc w:val="left"/>
        <w:rPr>
          <w:rFonts w:ascii="宋体" w:hAnsi="宋体" w:cs="宋体" w:eastAsia="宋体" w:hint="default"/>
        </w:rPr>
      </w:pPr>
      <w:r>
        <w:rPr>
          <w:rFonts w:ascii="宋体" w:hAnsi="宋体" w:cs="宋体" w:eastAsia="宋体" w:hint="default"/>
          <w:spacing w:val="-1"/>
        </w:rPr>
        <w:t>2017</w:t>
      </w:r>
      <w:r>
        <w:rPr>
          <w:spacing w:val="-1"/>
        </w:rPr>
        <w:t>年起至</w:t>
      </w:r>
      <w:r>
        <w:rPr>
          <w:rFonts w:ascii="宋体" w:hAnsi="宋体" w:cs="宋体" w:eastAsia="宋体" w:hint="default"/>
          <w:spacing w:val="-1"/>
        </w:rPr>
        <w:t>2019</w:t>
      </w:r>
      <w:r>
        <w:rPr>
          <w:spacing w:val="-1"/>
        </w:rPr>
        <w:t>年减按</w:t>
      </w:r>
      <w:r>
        <w:rPr>
          <w:rFonts w:ascii="宋体" w:hAnsi="宋体" w:cs="宋体" w:eastAsia="宋体" w:hint="default"/>
          <w:spacing w:val="-1"/>
        </w:rPr>
        <w:t>15%</w:t>
      </w:r>
      <w:r>
        <w:rPr>
          <w:spacing w:val="-1"/>
        </w:rPr>
        <w:t>税率征收企业所得税。</w:t>
      </w:r>
      <w:r>
        <w:rPr>
          <w:spacing w:val="-78"/>
        </w:rPr>
        <w:t> </w:t>
      </w:r>
      <w:r>
        <w:rPr>
          <w:spacing w:val="-78"/>
        </w:rPr>
      </w:r>
      <w:r>
        <w:rPr>
          <w:rFonts w:ascii="宋体" w:hAnsi="宋体" w:cs="宋体" w:eastAsia="宋体" w:hint="default"/>
          <w:b/>
          <w:bCs/>
        </w:rPr>
        <w:t>安徽迪科数金：</w:t>
      </w:r>
      <w:r>
        <w:rPr>
          <w:rFonts w:ascii="宋体" w:hAnsi="宋体" w:cs="宋体" w:eastAsia="宋体" w:hint="default"/>
        </w:rPr>
      </w:r>
    </w:p>
    <w:p>
      <w:pPr>
        <w:pStyle w:val="BodyText"/>
        <w:spacing w:line="240" w:lineRule="auto"/>
        <w:ind w:left="535" w:right="1007"/>
        <w:jc w:val="left"/>
      </w:pPr>
      <w:r>
        <w:rPr>
          <w:rFonts w:ascii="宋体" w:hAnsi="宋体" w:cs="宋体" w:eastAsia="宋体" w:hint="default"/>
        </w:rPr>
        <w:t>2019</w:t>
      </w:r>
      <w:r>
        <w:rPr/>
        <w:t>年</w:t>
      </w:r>
      <w:r>
        <w:rPr>
          <w:rFonts w:ascii="宋体" w:hAnsi="宋体" w:cs="宋体" w:eastAsia="宋体" w:hint="default"/>
        </w:rPr>
        <w:t>9</w:t>
      </w:r>
      <w:r>
        <w:rPr/>
        <w:t>月，本公司之孙公司安徽迪科数金被认定为高新技术企业，证书编号为</w:t>
      </w:r>
      <w:r>
        <w:rPr>
          <w:rFonts w:ascii="宋体" w:hAnsi="宋体" w:cs="宋体" w:eastAsia="宋体" w:hint="default"/>
        </w:rPr>
        <w:t>GR201934001095</w:t>
      </w:r>
      <w:r>
        <w:rPr/>
        <w:t>，自</w:t>
      </w:r>
    </w:p>
    <w:p>
      <w:pPr>
        <w:pStyle w:val="BodyText"/>
        <w:spacing w:line="273" w:lineRule="auto" w:before="37"/>
        <w:ind w:left="535" w:right="5762" w:hanging="423"/>
        <w:jc w:val="left"/>
        <w:rPr>
          <w:rFonts w:ascii="宋体" w:hAnsi="宋体" w:cs="宋体" w:eastAsia="宋体" w:hint="default"/>
        </w:rPr>
      </w:pPr>
      <w:r>
        <w:rPr>
          <w:rFonts w:ascii="宋体" w:hAnsi="宋体" w:cs="宋体" w:eastAsia="宋体" w:hint="default"/>
          <w:spacing w:val="-1"/>
        </w:rPr>
        <w:t>2019</w:t>
      </w:r>
      <w:r>
        <w:rPr>
          <w:spacing w:val="-1"/>
        </w:rPr>
        <w:t>年起至</w:t>
      </w:r>
      <w:r>
        <w:rPr>
          <w:rFonts w:ascii="宋体" w:hAnsi="宋体" w:cs="宋体" w:eastAsia="宋体" w:hint="default"/>
          <w:spacing w:val="-1"/>
        </w:rPr>
        <w:t>2021</w:t>
      </w:r>
      <w:r>
        <w:rPr>
          <w:spacing w:val="-1"/>
        </w:rPr>
        <w:t>年减按</w:t>
      </w:r>
      <w:r>
        <w:rPr>
          <w:rFonts w:ascii="宋体" w:hAnsi="宋体" w:cs="宋体" w:eastAsia="宋体" w:hint="default"/>
          <w:spacing w:val="-1"/>
        </w:rPr>
        <w:t>15%</w:t>
      </w:r>
      <w:r>
        <w:rPr>
          <w:spacing w:val="-1"/>
        </w:rPr>
        <w:t>税率征收企业所得税。</w:t>
      </w:r>
      <w:r>
        <w:rPr>
          <w:spacing w:val="-78"/>
        </w:rPr>
        <w:t> </w:t>
      </w:r>
      <w:r>
        <w:rPr>
          <w:spacing w:val="-78"/>
        </w:rPr>
      </w:r>
      <w:r>
        <w:rPr>
          <w:rFonts w:ascii="宋体" w:hAnsi="宋体" w:cs="宋体" w:eastAsia="宋体" w:hint="default"/>
          <w:b/>
          <w:bCs/>
        </w:rPr>
        <w:t>广西驿途：</w:t>
      </w:r>
      <w:r>
        <w:rPr>
          <w:rFonts w:ascii="宋体" w:hAnsi="宋体" w:cs="宋体" w:eastAsia="宋体" w:hint="default"/>
        </w:rPr>
      </w:r>
    </w:p>
    <w:p>
      <w:pPr>
        <w:pStyle w:val="BodyText"/>
        <w:spacing w:line="273" w:lineRule="auto"/>
        <w:ind w:right="1007" w:firstLine="422"/>
        <w:jc w:val="left"/>
      </w:pPr>
      <w:r>
        <w:rPr>
          <w:spacing w:val="-6"/>
          <w:w w:val="100"/>
        </w:rPr>
        <w:t>财税〔</w:t>
      </w:r>
      <w:r>
        <w:rPr>
          <w:rFonts w:ascii="宋体" w:hAnsi="宋体" w:cs="宋体" w:eastAsia="宋体" w:hint="default"/>
          <w:spacing w:val="-6"/>
          <w:w w:val="100"/>
        </w:rPr>
        <w:t>2019</w:t>
      </w:r>
      <w:r>
        <w:rPr>
          <w:spacing w:val="-6"/>
          <w:w w:val="100"/>
        </w:rPr>
        <w:t>〕</w:t>
      </w:r>
      <w:r>
        <w:rPr>
          <w:rFonts w:ascii="宋体" w:hAnsi="宋体" w:cs="宋体" w:eastAsia="宋体" w:hint="default"/>
          <w:spacing w:val="-6"/>
          <w:w w:val="100"/>
        </w:rPr>
        <w:t>33</w:t>
      </w:r>
      <w:r>
        <w:rPr>
          <w:spacing w:val="-6"/>
          <w:w w:val="100"/>
        </w:rPr>
        <w:t>号：《关于实施小微企业普惠性税收减免政策的通知》，自</w:t>
      </w:r>
      <w:r>
        <w:rPr>
          <w:rFonts w:ascii="宋体" w:hAnsi="宋体" w:cs="宋体" w:eastAsia="宋体" w:hint="default"/>
          <w:spacing w:val="-6"/>
          <w:w w:val="100"/>
        </w:rPr>
        <w:t>2019</w:t>
      </w:r>
      <w:r>
        <w:rPr>
          <w:spacing w:val="-6"/>
          <w:w w:val="100"/>
        </w:rPr>
        <w:t>年</w:t>
      </w:r>
      <w:r>
        <w:rPr>
          <w:rFonts w:ascii="宋体" w:hAnsi="宋体" w:cs="宋体" w:eastAsia="宋体" w:hint="default"/>
          <w:spacing w:val="-6"/>
          <w:w w:val="100"/>
        </w:rPr>
        <w:t>1</w:t>
      </w:r>
      <w:r>
        <w:rPr>
          <w:spacing w:val="-6"/>
          <w:w w:val="100"/>
        </w:rPr>
        <w:t>月</w:t>
      </w:r>
      <w:r>
        <w:rPr>
          <w:rFonts w:ascii="宋体" w:hAnsi="宋体" w:cs="宋体" w:eastAsia="宋体" w:hint="default"/>
          <w:spacing w:val="-6"/>
          <w:w w:val="100"/>
        </w:rPr>
        <w:t>1</w:t>
      </w:r>
      <w:r>
        <w:rPr>
          <w:spacing w:val="-6"/>
          <w:w w:val="100"/>
        </w:rPr>
        <w:t>日至</w:t>
      </w:r>
      <w:r>
        <w:rPr>
          <w:rFonts w:ascii="宋体" w:hAnsi="宋体" w:cs="宋体" w:eastAsia="宋体" w:hint="default"/>
          <w:spacing w:val="-6"/>
          <w:w w:val="100"/>
        </w:rPr>
        <w:t>2021</w:t>
      </w:r>
      <w:r>
        <w:rPr>
          <w:spacing w:val="-6"/>
          <w:w w:val="100"/>
        </w:rPr>
        <w:t>年</w:t>
      </w:r>
      <w:r>
        <w:rPr>
          <w:rFonts w:ascii="宋体" w:hAnsi="宋体" w:cs="宋体" w:eastAsia="宋体" w:hint="default"/>
          <w:spacing w:val="-6"/>
          <w:w w:val="100"/>
        </w:rPr>
        <w:t>12</w:t>
      </w:r>
      <w:r>
        <w:rPr>
          <w:spacing w:val="-6"/>
          <w:w w:val="100"/>
        </w:rPr>
        <w:t>月</w:t>
      </w:r>
      <w:r>
        <w:rPr>
          <w:w w:val="100"/>
        </w:rPr>
        <w:t> </w:t>
      </w:r>
      <w:r>
        <w:rPr>
          <w:rFonts w:ascii="宋体" w:hAnsi="宋体" w:cs="宋体" w:eastAsia="宋体" w:hint="default"/>
        </w:rPr>
        <w:t>31</w:t>
      </w:r>
      <w:r>
        <w:rPr/>
        <w:t>日，对年所得小型微利企业年应纳税所得额不超过</w:t>
      </w:r>
      <w:r>
        <w:rPr>
          <w:rFonts w:ascii="宋体" w:hAnsi="宋体" w:cs="宋体" w:eastAsia="宋体" w:hint="default"/>
        </w:rPr>
        <w:t>100</w:t>
      </w:r>
      <w:r>
        <w:rPr/>
        <w:t>万元的部分，减按</w:t>
      </w:r>
      <w:r>
        <w:rPr>
          <w:rFonts w:ascii="宋体" w:hAnsi="宋体" w:cs="宋体" w:eastAsia="宋体" w:hint="default"/>
        </w:rPr>
        <w:t>25%</w:t>
      </w:r>
      <w:r>
        <w:rPr/>
        <w:t>计入应纳税所得额，按</w:t>
      </w:r>
      <w:r>
        <w:rPr>
          <w:rFonts w:ascii="宋体" w:hAnsi="宋体" w:cs="宋体" w:eastAsia="宋体" w:hint="default"/>
        </w:rPr>
        <w:t>20%</w:t>
      </w:r>
      <w:r>
        <w:rPr>
          <w:rFonts w:ascii="宋体" w:hAnsi="宋体" w:cs="宋体" w:eastAsia="宋体" w:hint="default"/>
          <w:w w:val="100"/>
        </w:rPr>
        <w:t> </w:t>
      </w:r>
      <w:r>
        <w:rPr/>
        <w:t>的税率缴纳企业所得税；对年应纳税所得额超过</w:t>
      </w:r>
      <w:r>
        <w:rPr>
          <w:rFonts w:ascii="宋体" w:hAnsi="宋体" w:cs="宋体" w:eastAsia="宋体" w:hint="default"/>
        </w:rPr>
        <w:t>100</w:t>
      </w:r>
      <w:r>
        <w:rPr/>
        <w:t>万元但不超过</w:t>
      </w:r>
      <w:r>
        <w:rPr>
          <w:rFonts w:ascii="宋体" w:hAnsi="宋体" w:cs="宋体" w:eastAsia="宋体" w:hint="default"/>
        </w:rPr>
        <w:t>300</w:t>
      </w:r>
      <w:r>
        <w:rPr/>
        <w:t>万元的部分，其减按</w:t>
      </w:r>
      <w:r>
        <w:rPr>
          <w:rFonts w:ascii="宋体" w:hAnsi="宋体" w:cs="宋体" w:eastAsia="宋体" w:hint="default"/>
        </w:rPr>
        <w:t>50%</w:t>
      </w:r>
      <w:r>
        <w:rPr/>
        <w:t>计入应纳税</w:t>
      </w:r>
      <w:r>
        <w:rPr>
          <w:w w:val="100"/>
        </w:rPr>
        <w:t> </w:t>
      </w:r>
      <w:r>
        <w:rPr/>
        <w:t>所得额，按</w:t>
      </w:r>
      <w:r>
        <w:rPr>
          <w:rFonts w:ascii="宋体" w:hAnsi="宋体" w:cs="宋体" w:eastAsia="宋体" w:hint="default"/>
        </w:rPr>
        <w:t>20%</w:t>
      </w:r>
      <w:r>
        <w:rPr/>
        <w:t>的税率缴纳企业所得税。本公司之子公司广西驿途符合小型微利企业的相关条件，应纳税</w:t>
      </w:r>
      <w:r>
        <w:rPr>
          <w:w w:val="100"/>
        </w:rPr>
        <w:t> </w:t>
      </w:r>
      <w:r>
        <w:rPr/>
        <w:t>所得额按上述规定减计后，按</w:t>
      </w:r>
      <w:r>
        <w:rPr>
          <w:rFonts w:ascii="宋体" w:hAnsi="宋体" w:cs="宋体" w:eastAsia="宋体" w:hint="default"/>
        </w:rPr>
        <w:t>20%</w:t>
      </w:r>
      <w:r>
        <w:rPr/>
        <w:t>的税率缴纳企业所得税。</w:t>
      </w:r>
    </w:p>
    <w:p>
      <w:pPr>
        <w:pStyle w:val="BodyText"/>
        <w:spacing w:line="273" w:lineRule="auto"/>
        <w:ind w:left="535" w:right="1007"/>
        <w:jc w:val="left"/>
      </w:pPr>
      <w:r>
        <w:rPr>
          <w:rFonts w:ascii="宋体" w:hAnsi="宋体" w:cs="宋体" w:eastAsia="宋体" w:hint="default"/>
          <w:b/>
          <w:bCs/>
        </w:rPr>
        <w:t>合肥英泽：</w:t>
      </w:r>
      <w:r>
        <w:rPr>
          <w:rFonts w:ascii="宋体" w:hAnsi="宋体" w:cs="宋体" w:eastAsia="宋体" w:hint="default"/>
          <w:b/>
          <w:bCs/>
          <w:w w:val="100"/>
        </w:rPr>
        <w:t> </w:t>
      </w:r>
      <w:r>
        <w:rPr>
          <w:rFonts w:ascii="宋体" w:hAnsi="宋体" w:cs="宋体" w:eastAsia="宋体" w:hint="default"/>
          <w:spacing w:val="-2"/>
        </w:rPr>
        <w:t>2013</w:t>
      </w:r>
      <w:r>
        <w:rPr>
          <w:spacing w:val="-2"/>
        </w:rPr>
        <w:t>年</w:t>
      </w:r>
      <w:r>
        <w:rPr>
          <w:rFonts w:ascii="宋体" w:hAnsi="宋体" w:cs="宋体" w:eastAsia="宋体" w:hint="default"/>
          <w:spacing w:val="-2"/>
        </w:rPr>
        <w:t>10</w:t>
      </w:r>
      <w:r>
        <w:rPr>
          <w:spacing w:val="-2"/>
        </w:rPr>
        <w:t>月，根据《财政部、国家税务总局关于进一步鼓励软件产品和集成电路产业发展企业所得税</w:t>
      </w:r>
    </w:p>
    <w:p>
      <w:pPr>
        <w:pStyle w:val="BodyText"/>
        <w:spacing w:line="273" w:lineRule="auto" w:before="8"/>
        <w:ind w:right="1007"/>
        <w:jc w:val="left"/>
      </w:pPr>
      <w:r>
        <w:rPr>
          <w:spacing w:val="-4"/>
          <w:w w:val="100"/>
        </w:rPr>
        <w:t>政策的通知》（财税</w:t>
      </w:r>
      <w:r>
        <w:rPr>
          <w:rFonts w:ascii="宋体" w:hAnsi="宋体" w:cs="宋体" w:eastAsia="宋体" w:hint="default"/>
          <w:spacing w:val="-4"/>
          <w:w w:val="100"/>
        </w:rPr>
        <w:t>[2012]27</w:t>
      </w:r>
      <w:r>
        <w:rPr>
          <w:spacing w:val="-4"/>
          <w:w w:val="100"/>
        </w:rPr>
        <w:t>号文）和《企业所得税优惠事项备案表》规定，本公司之子公司合肥英泽自</w:t>
      </w:r>
      <w:r>
        <w:rPr>
          <w:spacing w:val="-67"/>
          <w:w w:val="100"/>
        </w:rPr>
        <w:t> </w:t>
      </w:r>
      <w:r>
        <w:rPr>
          <w:spacing w:val="-67"/>
          <w:w w:val="100"/>
        </w:rPr>
      </w:r>
      <w:r>
        <w:rPr>
          <w:rFonts w:ascii="宋体" w:hAnsi="宋体" w:cs="宋体" w:eastAsia="宋体" w:hint="default"/>
          <w:spacing w:val="-2"/>
        </w:rPr>
        <w:t>2015</w:t>
      </w:r>
      <w:r>
        <w:rPr>
          <w:spacing w:val="-2"/>
        </w:rPr>
        <w:t>年度起，第一年至第二年免征企业所得税，第三年至第五年按照</w:t>
      </w:r>
      <w:r>
        <w:rPr>
          <w:rFonts w:ascii="宋体" w:hAnsi="宋体" w:cs="宋体" w:eastAsia="宋体" w:hint="default"/>
          <w:spacing w:val="-2"/>
        </w:rPr>
        <w:t>25%</w:t>
      </w:r>
      <w:r>
        <w:rPr>
          <w:spacing w:val="-2"/>
        </w:rPr>
        <w:t>的法定税率减半征收企业所得税，</w:t>
      </w:r>
      <w:r>
        <w:rPr>
          <w:spacing w:val="-23"/>
        </w:rPr>
        <w:t> </w:t>
      </w:r>
      <w:r>
        <w:rPr>
          <w:spacing w:val="-23"/>
        </w:rPr>
      </w:r>
      <w:r>
        <w:rPr/>
        <w:t>并享受至期满为止。故本公司之子公司合肥英泽</w:t>
      </w:r>
      <w:r>
        <w:rPr>
          <w:rFonts w:ascii="宋体" w:hAnsi="宋体" w:cs="宋体" w:eastAsia="宋体" w:hint="default"/>
        </w:rPr>
        <w:t>2019</w:t>
      </w:r>
      <w:r>
        <w:rPr/>
        <w:t>年度减按</w:t>
      </w:r>
      <w:r>
        <w:rPr>
          <w:rFonts w:ascii="宋体" w:hAnsi="宋体" w:cs="宋体" w:eastAsia="宋体" w:hint="default"/>
        </w:rPr>
        <w:t>12.5%</w:t>
      </w:r>
      <w:r>
        <w:rPr/>
        <w:t>的税率征收企业所得税。</w:t>
      </w:r>
    </w:p>
    <w:p>
      <w:pPr>
        <w:spacing w:after="0" w:line="273"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73" w:lineRule="auto" w:before="36"/>
        <w:ind w:left="535" w:right="1007"/>
        <w:jc w:val="left"/>
      </w:pPr>
      <w:r>
        <w:rPr>
          <w:rFonts w:ascii="宋体" w:hAnsi="宋体" w:cs="宋体" w:eastAsia="宋体" w:hint="default"/>
          <w:b/>
          <w:bCs/>
        </w:rPr>
        <w:t>深圳宝贝团：</w:t>
      </w:r>
      <w:r>
        <w:rPr>
          <w:rFonts w:ascii="宋体" w:hAnsi="宋体" w:cs="宋体" w:eastAsia="宋体" w:hint="default"/>
          <w:b/>
          <w:bCs/>
          <w:spacing w:val="-104"/>
        </w:rPr>
        <w:t> </w:t>
      </w:r>
      <w:r>
        <w:rPr>
          <w:spacing w:val="-6"/>
          <w:w w:val="100"/>
        </w:rPr>
        <w:t>财税〔</w:t>
      </w:r>
      <w:r>
        <w:rPr>
          <w:rFonts w:ascii="宋体" w:hAnsi="宋体" w:cs="宋体" w:eastAsia="宋体" w:hint="default"/>
          <w:spacing w:val="-6"/>
          <w:w w:val="100"/>
        </w:rPr>
        <w:t>2019</w:t>
      </w:r>
      <w:r>
        <w:rPr>
          <w:spacing w:val="-6"/>
          <w:w w:val="100"/>
        </w:rPr>
        <w:t>〕</w:t>
      </w:r>
      <w:r>
        <w:rPr>
          <w:rFonts w:ascii="宋体" w:hAnsi="宋体" w:cs="宋体" w:eastAsia="宋体" w:hint="default"/>
          <w:spacing w:val="-6"/>
          <w:w w:val="100"/>
        </w:rPr>
        <w:t>33</w:t>
      </w:r>
      <w:r>
        <w:rPr>
          <w:spacing w:val="-6"/>
          <w:w w:val="100"/>
        </w:rPr>
        <w:t>号：《关于实施小微企业普惠性税收减免政策的通知》，自</w:t>
      </w:r>
      <w:r>
        <w:rPr>
          <w:rFonts w:ascii="宋体" w:hAnsi="宋体" w:cs="宋体" w:eastAsia="宋体" w:hint="default"/>
          <w:spacing w:val="-6"/>
          <w:w w:val="100"/>
        </w:rPr>
        <w:t>2019</w:t>
      </w:r>
      <w:r>
        <w:rPr>
          <w:spacing w:val="-6"/>
          <w:w w:val="100"/>
        </w:rPr>
        <w:t>年</w:t>
      </w:r>
      <w:r>
        <w:rPr>
          <w:rFonts w:ascii="宋体" w:hAnsi="宋体" w:cs="宋体" w:eastAsia="宋体" w:hint="default"/>
          <w:spacing w:val="-6"/>
          <w:w w:val="100"/>
        </w:rPr>
        <w:t>1</w:t>
      </w:r>
      <w:r>
        <w:rPr>
          <w:spacing w:val="-6"/>
          <w:w w:val="100"/>
        </w:rPr>
        <w:t>月</w:t>
      </w:r>
      <w:r>
        <w:rPr>
          <w:rFonts w:ascii="宋体" w:hAnsi="宋体" w:cs="宋体" w:eastAsia="宋体" w:hint="default"/>
          <w:spacing w:val="-6"/>
          <w:w w:val="100"/>
        </w:rPr>
        <w:t>1</w:t>
      </w:r>
      <w:r>
        <w:rPr>
          <w:spacing w:val="-6"/>
          <w:w w:val="100"/>
        </w:rPr>
        <w:t>日至</w:t>
      </w:r>
      <w:r>
        <w:rPr>
          <w:rFonts w:ascii="宋体" w:hAnsi="宋体" w:cs="宋体" w:eastAsia="宋体" w:hint="default"/>
          <w:spacing w:val="-6"/>
          <w:w w:val="100"/>
        </w:rPr>
        <w:t>2021</w:t>
      </w:r>
      <w:r>
        <w:rPr>
          <w:spacing w:val="-6"/>
          <w:w w:val="100"/>
        </w:rPr>
        <w:t>年</w:t>
      </w:r>
      <w:r>
        <w:rPr>
          <w:rFonts w:ascii="宋体" w:hAnsi="宋体" w:cs="宋体" w:eastAsia="宋体" w:hint="default"/>
          <w:spacing w:val="-6"/>
          <w:w w:val="100"/>
        </w:rPr>
        <w:t>12</w:t>
      </w:r>
      <w:r>
        <w:rPr>
          <w:spacing w:val="-6"/>
          <w:w w:val="100"/>
        </w:rPr>
        <w:t>月</w:t>
      </w:r>
    </w:p>
    <w:p>
      <w:pPr>
        <w:pStyle w:val="BodyText"/>
        <w:spacing w:line="273" w:lineRule="auto"/>
        <w:ind w:right="1208"/>
        <w:jc w:val="both"/>
      </w:pPr>
      <w:r>
        <w:rPr>
          <w:rFonts w:ascii="宋体" w:hAnsi="宋体" w:cs="宋体" w:eastAsia="宋体" w:hint="default"/>
          <w:spacing w:val="-2"/>
        </w:rPr>
        <w:t>31</w:t>
      </w:r>
      <w:r>
        <w:rPr>
          <w:spacing w:val="-2"/>
        </w:rPr>
        <w:t>日，对年所得小型微利企业年应纳税所得额不超过</w:t>
      </w:r>
      <w:r>
        <w:rPr>
          <w:rFonts w:ascii="宋体" w:hAnsi="宋体" w:cs="宋体" w:eastAsia="宋体" w:hint="default"/>
          <w:spacing w:val="-2"/>
        </w:rPr>
        <w:t>100</w:t>
      </w:r>
      <w:r>
        <w:rPr>
          <w:spacing w:val="-2"/>
        </w:rPr>
        <w:t>万元的部分，减按</w:t>
      </w:r>
      <w:r>
        <w:rPr>
          <w:rFonts w:ascii="宋体" w:hAnsi="宋体" w:cs="宋体" w:eastAsia="宋体" w:hint="default"/>
          <w:spacing w:val="-2"/>
        </w:rPr>
        <w:t>25%</w:t>
      </w:r>
      <w:r>
        <w:rPr>
          <w:spacing w:val="-2"/>
        </w:rPr>
        <w:t>计入应纳税所得额，按</w:t>
      </w:r>
      <w:r>
        <w:rPr>
          <w:rFonts w:ascii="宋体" w:hAnsi="宋体" w:cs="宋体" w:eastAsia="宋体" w:hint="default"/>
          <w:spacing w:val="-2"/>
        </w:rPr>
        <w:t>20% </w:t>
      </w:r>
      <w:r>
        <w:rPr>
          <w:spacing w:val="-2"/>
        </w:rPr>
        <w:t>的税率缴纳企业所得税；对年应纳税所得额超过</w:t>
      </w:r>
      <w:r>
        <w:rPr>
          <w:rFonts w:ascii="宋体" w:hAnsi="宋体" w:cs="宋体" w:eastAsia="宋体" w:hint="default"/>
          <w:spacing w:val="-2"/>
        </w:rPr>
        <w:t>100</w:t>
      </w:r>
      <w:r>
        <w:rPr>
          <w:spacing w:val="-2"/>
        </w:rPr>
        <w:t>万元但不超过</w:t>
      </w:r>
      <w:r>
        <w:rPr>
          <w:rFonts w:ascii="宋体" w:hAnsi="宋体" w:cs="宋体" w:eastAsia="宋体" w:hint="default"/>
          <w:spacing w:val="-2"/>
        </w:rPr>
        <w:t>300</w:t>
      </w:r>
      <w:r>
        <w:rPr>
          <w:spacing w:val="-2"/>
        </w:rPr>
        <w:t>万元的部分，其减按</w:t>
      </w:r>
      <w:r>
        <w:rPr>
          <w:rFonts w:ascii="宋体" w:hAnsi="宋体" w:cs="宋体" w:eastAsia="宋体" w:hint="default"/>
          <w:spacing w:val="-2"/>
        </w:rPr>
        <w:t>50%</w:t>
      </w:r>
      <w:r>
        <w:rPr>
          <w:spacing w:val="-2"/>
        </w:rPr>
        <w:t>计入应纳税</w:t>
      </w:r>
      <w:r>
        <w:rPr>
          <w:spacing w:val="-5"/>
        </w:rPr>
        <w:t> </w:t>
      </w:r>
      <w:r>
        <w:rPr>
          <w:spacing w:val="-5"/>
        </w:rPr>
      </w:r>
      <w:r>
        <w:rPr>
          <w:spacing w:val="-2"/>
        </w:rPr>
        <w:t>所得额，按</w:t>
      </w:r>
      <w:r>
        <w:rPr>
          <w:rFonts w:ascii="宋体" w:hAnsi="宋体" w:cs="宋体" w:eastAsia="宋体" w:hint="default"/>
          <w:spacing w:val="-2"/>
        </w:rPr>
        <w:t>20%</w:t>
      </w:r>
      <w:r>
        <w:rPr>
          <w:spacing w:val="-2"/>
        </w:rPr>
        <w:t>的税率缴纳企业所得税。本公司之子公司广西驿途符合小型微利企业的相关条件，应纳税</w:t>
      </w:r>
      <w:r>
        <w:rPr>
          <w:spacing w:val="-12"/>
        </w:rPr>
        <w:t> </w:t>
      </w:r>
      <w:r>
        <w:rPr>
          <w:spacing w:val="-12"/>
        </w:rPr>
      </w:r>
      <w:r>
        <w:rPr/>
        <w:t>所得额按上述规定减计后，按</w:t>
      </w:r>
      <w:r>
        <w:rPr>
          <w:rFonts w:ascii="宋体" w:hAnsi="宋体" w:cs="宋体" w:eastAsia="宋体" w:hint="default"/>
        </w:rPr>
        <w:t>20%</w:t>
      </w:r>
      <w:r>
        <w:rPr/>
        <w:t>的税率缴纳企业所得税。</w:t>
      </w:r>
    </w:p>
    <w:p>
      <w:pPr>
        <w:pStyle w:val="BodyText"/>
        <w:spacing w:line="273" w:lineRule="auto"/>
        <w:ind w:left="535" w:right="1007"/>
        <w:jc w:val="left"/>
      </w:pPr>
      <w:r>
        <w:rPr>
          <w:rFonts w:ascii="宋体" w:hAnsi="宋体" w:cs="宋体" w:eastAsia="宋体" w:hint="default"/>
          <w:b/>
          <w:bCs/>
        </w:rPr>
        <w:t>维恩贝特：</w:t>
      </w:r>
      <w:r>
        <w:rPr>
          <w:rFonts w:ascii="宋体" w:hAnsi="宋体" w:cs="宋体" w:eastAsia="宋体" w:hint="default"/>
          <w:b/>
          <w:bCs/>
          <w:w w:val="100"/>
        </w:rPr>
        <w:t> </w:t>
      </w:r>
      <w:r>
        <w:rPr>
          <w:spacing w:val="-2"/>
        </w:rPr>
        <w:t>根据《财政部、国家税务总局关于进一步鼓励软件产业和集成电路产业发展企业所得税政策的通知》</w:t>
      </w:r>
    </w:p>
    <w:p>
      <w:pPr>
        <w:pStyle w:val="BodyText"/>
        <w:spacing w:line="273" w:lineRule="auto"/>
        <w:ind w:right="1007"/>
        <w:jc w:val="left"/>
      </w:pPr>
      <w:r>
        <w:rPr>
          <w:spacing w:val="-2"/>
        </w:rPr>
        <w:t>（财税【</w:t>
      </w:r>
      <w:r>
        <w:rPr>
          <w:rFonts w:ascii="宋体" w:hAnsi="宋体" w:cs="宋体" w:eastAsia="宋体" w:hint="default"/>
          <w:spacing w:val="-2"/>
        </w:rPr>
        <w:t>2012</w:t>
      </w:r>
      <w:r>
        <w:rPr>
          <w:spacing w:val="-2"/>
        </w:rPr>
        <w:t>】</w:t>
      </w:r>
      <w:r>
        <w:rPr>
          <w:rFonts w:ascii="宋体" w:hAnsi="宋体" w:cs="宋体" w:eastAsia="宋体" w:hint="default"/>
          <w:spacing w:val="-2"/>
        </w:rPr>
        <w:t>27</w:t>
      </w:r>
      <w:r>
        <w:rPr>
          <w:spacing w:val="-2"/>
        </w:rPr>
        <w:t>号）规定，维恩贝特作为国家规划布局内重点软件企业可减按</w:t>
      </w:r>
      <w:r>
        <w:rPr>
          <w:rFonts w:ascii="宋体" w:hAnsi="宋体" w:cs="宋体" w:eastAsia="宋体" w:hint="default"/>
          <w:spacing w:val="-2"/>
        </w:rPr>
        <w:t>10%</w:t>
      </w:r>
      <w:r>
        <w:rPr>
          <w:spacing w:val="-2"/>
        </w:rPr>
        <w:t>的税率征收企业所得</w:t>
      </w:r>
      <w:r>
        <w:rPr>
          <w:spacing w:val="-4"/>
        </w:rPr>
        <w:t> </w:t>
      </w:r>
      <w:r>
        <w:rPr>
          <w:spacing w:val="-4"/>
        </w:rPr>
      </w:r>
      <w:r>
        <w:rPr/>
        <w:t>税。</w:t>
      </w:r>
    </w:p>
    <w:p>
      <w:pPr>
        <w:pStyle w:val="BodyText"/>
        <w:spacing w:line="273" w:lineRule="auto"/>
        <w:ind w:left="535" w:right="1007"/>
        <w:jc w:val="left"/>
      </w:pPr>
      <w:r>
        <w:rPr>
          <w:rFonts w:ascii="宋体" w:hAnsi="宋体" w:cs="宋体" w:eastAsia="宋体" w:hint="default"/>
          <w:b/>
          <w:bCs/>
        </w:rPr>
        <w:t>北京网络：</w:t>
      </w:r>
      <w:r>
        <w:rPr>
          <w:rFonts w:ascii="宋体" w:hAnsi="宋体" w:cs="宋体" w:eastAsia="宋体" w:hint="default"/>
          <w:b/>
          <w:bCs/>
          <w:w w:val="100"/>
        </w:rPr>
        <w:t> </w:t>
      </w:r>
      <w:r>
        <w:rPr>
          <w:rFonts w:ascii="宋体" w:hAnsi="宋体" w:cs="宋体" w:eastAsia="宋体" w:hint="default"/>
          <w:spacing w:val="-2"/>
        </w:rPr>
        <w:t>2014</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30</w:t>
      </w:r>
      <w:r>
        <w:rPr>
          <w:spacing w:val="-2"/>
        </w:rPr>
        <w:t>日，本公司之子公司北京天源迪科网络科技有限公司，取得北京市科学技术委员会、北</w:t>
      </w:r>
    </w:p>
    <w:p>
      <w:pPr>
        <w:pStyle w:val="BodyText"/>
        <w:spacing w:line="273" w:lineRule="auto"/>
        <w:ind w:right="1118"/>
        <w:jc w:val="left"/>
      </w:pPr>
      <w:r>
        <w:rPr>
          <w:spacing w:val="-2"/>
        </w:rPr>
        <w:t>京市财政局、北京市国家税务局、北京市地方税务局联合颁发的编号为</w:t>
      </w:r>
      <w:r>
        <w:rPr>
          <w:rFonts w:ascii="宋体" w:hAnsi="宋体" w:cs="宋体" w:eastAsia="宋体" w:hint="default"/>
          <w:spacing w:val="-2"/>
        </w:rPr>
        <w:t>GR201411002585</w:t>
      </w:r>
      <w:r>
        <w:rPr>
          <w:spacing w:val="-2"/>
        </w:rPr>
        <w:t>的《高新技术企业</w:t>
      </w:r>
      <w:r>
        <w:rPr>
          <w:spacing w:val="-17"/>
        </w:rPr>
        <w:t> </w:t>
      </w:r>
      <w:r>
        <w:rPr>
          <w:spacing w:val="-17"/>
        </w:rPr>
      </w:r>
      <w:r>
        <w:rPr>
          <w:spacing w:val="-4"/>
          <w:w w:val="100"/>
        </w:rPr>
        <w:t>证书》，证书有效期为</w:t>
      </w:r>
      <w:r>
        <w:rPr>
          <w:rFonts w:ascii="宋体" w:hAnsi="宋体" w:cs="宋体" w:eastAsia="宋体" w:hint="default"/>
          <w:spacing w:val="-4"/>
          <w:w w:val="100"/>
        </w:rPr>
        <w:t>3</w:t>
      </w:r>
      <w:r>
        <w:rPr>
          <w:spacing w:val="-4"/>
          <w:w w:val="100"/>
        </w:rPr>
        <w:t>年。根据《财政部、国家税务总局关于进一步鼓励软件产业和集成电路产业发展企</w:t>
      </w:r>
      <w:r>
        <w:rPr>
          <w:spacing w:val="-99"/>
          <w:w w:val="100"/>
        </w:rPr>
        <w:t> </w:t>
      </w:r>
      <w:r>
        <w:rPr>
          <w:spacing w:val="-99"/>
          <w:w w:val="100"/>
        </w:rPr>
      </w:r>
      <w:r>
        <w:rPr>
          <w:spacing w:val="-4"/>
          <w:w w:val="100"/>
        </w:rPr>
        <w:t>业所得税政策的通知》（财税【</w:t>
      </w:r>
      <w:r>
        <w:rPr>
          <w:rFonts w:ascii="宋体" w:hAnsi="宋体" w:cs="宋体" w:eastAsia="宋体" w:hint="default"/>
          <w:spacing w:val="-4"/>
          <w:w w:val="100"/>
        </w:rPr>
        <w:t>2012</w:t>
      </w:r>
      <w:r>
        <w:rPr>
          <w:spacing w:val="-4"/>
          <w:w w:val="100"/>
        </w:rPr>
        <w:t>】</w:t>
      </w:r>
      <w:r>
        <w:rPr>
          <w:rFonts w:ascii="宋体" w:hAnsi="宋体" w:cs="宋体" w:eastAsia="宋体" w:hint="default"/>
          <w:spacing w:val="-4"/>
          <w:w w:val="100"/>
        </w:rPr>
        <w:t>27</w:t>
      </w:r>
      <w:r>
        <w:rPr>
          <w:spacing w:val="-4"/>
          <w:w w:val="100"/>
        </w:rPr>
        <w:t>号）规定，公司子公司北京天源迪科网络科技有限公司，从开始</w:t>
      </w:r>
      <w:r>
        <w:rPr>
          <w:spacing w:val="-70"/>
          <w:w w:val="100"/>
        </w:rPr>
        <w:t> </w:t>
      </w:r>
      <w:r>
        <w:rPr>
          <w:spacing w:val="-70"/>
          <w:w w:val="100"/>
        </w:rPr>
      </w:r>
      <w:r>
        <w:rPr>
          <w:spacing w:val="-6"/>
        </w:rPr>
        <w:t>获利年度即</w:t>
      </w:r>
      <w:r>
        <w:rPr>
          <w:rFonts w:ascii="宋体" w:hAnsi="宋体" w:cs="宋体" w:eastAsia="宋体" w:hint="default"/>
          <w:spacing w:val="-6"/>
        </w:rPr>
        <w:t>2016</w:t>
      </w:r>
      <w:r>
        <w:rPr>
          <w:spacing w:val="-6"/>
        </w:rPr>
        <w:t>年度起，两年免征企业所得税，三年减半征收企业所得税。故本公司之子公司北京网络</w:t>
      </w:r>
      <w:r>
        <w:rPr>
          <w:rFonts w:ascii="宋体" w:hAnsi="宋体" w:cs="宋体" w:eastAsia="宋体" w:hint="default"/>
          <w:spacing w:val="-6"/>
        </w:rPr>
        <w:t>2019</w:t>
      </w:r>
      <w:r>
        <w:rPr>
          <w:rFonts w:ascii="宋体" w:hAnsi="宋体" w:cs="宋体" w:eastAsia="宋体" w:hint="default"/>
          <w:spacing w:val="-26"/>
        </w:rPr>
        <w:t> </w:t>
      </w:r>
      <w:r>
        <w:rPr/>
        <w:t>年度减按</w:t>
      </w:r>
      <w:r>
        <w:rPr>
          <w:rFonts w:ascii="宋体" w:hAnsi="宋体" w:cs="宋体" w:eastAsia="宋体" w:hint="default"/>
        </w:rPr>
        <w:t>12.5%</w:t>
      </w:r>
      <w:r>
        <w:rPr/>
        <w:t>的税率征收企业所得税。</w:t>
      </w:r>
    </w:p>
    <w:p>
      <w:pPr>
        <w:pStyle w:val="BodyText"/>
        <w:spacing w:line="273" w:lineRule="auto"/>
        <w:ind w:left="535" w:right="1007"/>
        <w:jc w:val="left"/>
      </w:pPr>
      <w:r>
        <w:rPr>
          <w:rFonts w:ascii="宋体" w:hAnsi="宋体" w:cs="宋体" w:eastAsia="宋体" w:hint="default"/>
          <w:b/>
          <w:bCs/>
        </w:rPr>
        <w:t>上海维恩孛特：</w:t>
      </w:r>
      <w:r>
        <w:rPr>
          <w:rFonts w:ascii="宋体" w:hAnsi="宋体" w:cs="宋体" w:eastAsia="宋体" w:hint="default"/>
          <w:b/>
          <w:bCs/>
          <w:spacing w:val="-104"/>
        </w:rPr>
        <w:t> </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月，本公司之孙公司上海维恩孛特通过复审拟被认定为国家高新技术企业，已公示尚未办理</w:t>
      </w:r>
    </w:p>
    <w:p>
      <w:pPr>
        <w:pStyle w:val="BodyText"/>
        <w:spacing w:line="240" w:lineRule="auto" w:before="8"/>
        <w:ind w:right="1764"/>
        <w:jc w:val="left"/>
      </w:pPr>
      <w:r>
        <w:rPr/>
        <w:t>高新技术企业证书，自</w:t>
      </w:r>
      <w:r>
        <w:rPr>
          <w:rFonts w:ascii="宋体" w:hAnsi="宋体" w:cs="宋体" w:eastAsia="宋体" w:hint="default"/>
        </w:rPr>
        <w:t>2019</w:t>
      </w:r>
      <w:r>
        <w:rPr/>
        <w:t>年起至</w:t>
      </w:r>
      <w:r>
        <w:rPr>
          <w:rFonts w:ascii="宋体" w:hAnsi="宋体" w:cs="宋体" w:eastAsia="宋体" w:hint="default"/>
        </w:rPr>
        <w:t>2021</w:t>
      </w:r>
      <w:r>
        <w:rPr/>
        <w:t>年减按</w:t>
      </w:r>
      <w:r>
        <w:rPr>
          <w:rFonts w:ascii="宋体" w:hAnsi="宋体" w:cs="宋体" w:eastAsia="宋体" w:hint="default"/>
        </w:rPr>
        <w:t>15%</w:t>
      </w:r>
      <w:r>
        <w:rPr/>
        <w:t>税率征收企业所得税。</w:t>
      </w:r>
    </w:p>
    <w:p>
      <w:pPr>
        <w:pStyle w:val="BodyText"/>
        <w:spacing w:line="256" w:lineRule="auto" w:before="37"/>
        <w:ind w:left="535" w:right="1013"/>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）增值税</w:t>
      </w:r>
      <w:r>
        <w:rPr>
          <w:rFonts w:ascii="宋体" w:hAnsi="宋体" w:cs="宋体" w:eastAsia="宋体" w:hint="default"/>
          <w:b/>
          <w:bCs/>
          <w:w w:val="100"/>
        </w:rPr>
        <w:t> </w:t>
      </w:r>
      <w:r>
        <w:rPr>
          <w:spacing w:val="-6"/>
          <w:w w:val="100"/>
        </w:rPr>
        <w:t>根据《国务院关于印发进一步鼓励软件产业和集成电路产业发展若干政策的通知》（国发</w:t>
      </w:r>
      <w:r>
        <w:rPr>
          <w:rFonts w:ascii="宋体" w:hAnsi="宋体" w:cs="宋体" w:eastAsia="宋体" w:hint="default"/>
          <w:spacing w:val="-6"/>
          <w:w w:val="100"/>
        </w:rPr>
        <w:t>[2011]4</w:t>
      </w:r>
      <w:r>
        <w:rPr>
          <w:spacing w:val="-6"/>
          <w:w w:val="100"/>
        </w:rPr>
        <w:t>号），</w:t>
      </w:r>
    </w:p>
    <w:p>
      <w:pPr>
        <w:pStyle w:val="BodyText"/>
        <w:spacing w:line="273" w:lineRule="auto" w:before="22"/>
        <w:ind w:right="1127"/>
        <w:jc w:val="both"/>
      </w:pPr>
      <w:r>
        <w:rPr>
          <w:spacing w:val="-2"/>
        </w:rPr>
        <w:t>以及财政部、国家税务总局财税财税</w:t>
      </w:r>
      <w:r>
        <w:rPr>
          <w:rFonts w:ascii="宋体" w:hAnsi="宋体" w:cs="宋体" w:eastAsia="宋体" w:hint="default"/>
          <w:spacing w:val="-2"/>
        </w:rPr>
        <w:t>[2011]100</w:t>
      </w:r>
      <w:r>
        <w:rPr>
          <w:spacing w:val="-2"/>
        </w:rPr>
        <w:t>号《关于软件产品增值税政策的通知》的规定，自</w:t>
      </w:r>
      <w:r>
        <w:rPr>
          <w:rFonts w:ascii="宋体" w:hAnsi="宋体" w:cs="宋体" w:eastAsia="宋体" w:hint="default"/>
          <w:spacing w:val="-2"/>
        </w:rPr>
        <w:t>2011</w:t>
      </w:r>
      <w:r>
        <w:rPr>
          <w:spacing w:val="-2"/>
        </w:rPr>
        <w:t>年</w:t>
      </w:r>
      <w:r>
        <w:rPr>
          <w:rFonts w:ascii="宋体" w:hAnsi="宋体" w:cs="宋体" w:eastAsia="宋体" w:hint="default"/>
          <w:spacing w:val="-2"/>
        </w:rPr>
        <w:t>1</w:t>
      </w:r>
      <w:r>
        <w:rPr>
          <w:rFonts w:ascii="宋体" w:hAnsi="宋体" w:cs="宋体" w:eastAsia="宋体" w:hint="default"/>
          <w:spacing w:val="-21"/>
        </w:rPr>
        <w:t> </w:t>
      </w:r>
      <w:r>
        <w:rPr>
          <w:spacing w:val="-2"/>
        </w:rPr>
        <w:t>月</w:t>
      </w:r>
      <w:r>
        <w:rPr>
          <w:rFonts w:ascii="宋体" w:hAnsi="宋体" w:cs="宋体" w:eastAsia="宋体" w:hint="default"/>
          <w:spacing w:val="-2"/>
        </w:rPr>
        <w:t>1</w:t>
      </w:r>
      <w:r>
        <w:rPr>
          <w:spacing w:val="-2"/>
        </w:rPr>
        <w:t>日起执行，增值税一般纳税人销售其自行开发生产的软件产品，按</w:t>
      </w:r>
      <w:r>
        <w:rPr>
          <w:rFonts w:ascii="宋体" w:hAnsi="宋体" w:cs="宋体" w:eastAsia="宋体" w:hint="default"/>
          <w:spacing w:val="-2"/>
        </w:rPr>
        <w:t>17%</w:t>
      </w:r>
      <w:r>
        <w:rPr>
          <w:spacing w:val="-2"/>
        </w:rPr>
        <w:t>税率征收增值税后，对其增值税</w:t>
      </w:r>
      <w:r>
        <w:rPr>
          <w:spacing w:val="-32"/>
        </w:rPr>
        <w:t> </w:t>
      </w:r>
      <w:r>
        <w:rPr>
          <w:spacing w:val="-32"/>
        </w:rPr>
      </w:r>
      <w:r>
        <w:rPr/>
        <w:t>实际税负超过</w:t>
      </w:r>
      <w:r>
        <w:rPr>
          <w:rFonts w:ascii="宋体" w:hAnsi="宋体" w:cs="宋体" w:eastAsia="宋体" w:hint="default"/>
        </w:rPr>
        <w:t>3%</w:t>
      </w:r>
      <w:r>
        <w:rPr/>
        <w:t>的部分实行即征即退政策。</w:t>
      </w:r>
    </w:p>
    <w:p>
      <w:pPr>
        <w:pStyle w:val="BodyText"/>
        <w:spacing w:line="273" w:lineRule="auto" w:before="8"/>
        <w:ind w:right="1203" w:firstLine="422"/>
        <w:jc w:val="both"/>
      </w:pPr>
      <w:r>
        <w:rPr>
          <w:spacing w:val="-1"/>
        </w:rPr>
        <w:t>根据财税</w:t>
      </w:r>
      <w:r>
        <w:rPr>
          <w:rFonts w:ascii="宋体" w:hAnsi="宋体" w:cs="宋体" w:eastAsia="宋体" w:hint="default"/>
          <w:spacing w:val="-1"/>
        </w:rPr>
        <w:t>[2016]36</w:t>
      </w:r>
      <w:r>
        <w:rPr>
          <w:spacing w:val="-1"/>
        </w:rPr>
        <w:t>号《财政部国家税务总局关于全面推开营业税改征增值税试点的通知》附件</w:t>
      </w:r>
      <w:r>
        <w:rPr>
          <w:rFonts w:ascii="宋体" w:hAnsi="宋体" w:cs="宋体" w:eastAsia="宋体" w:hint="default"/>
          <w:spacing w:val="-1"/>
        </w:rPr>
        <w:t>3</w:t>
      </w:r>
      <w:r>
        <w:rPr>
          <w:spacing w:val="-1"/>
        </w:rPr>
        <w:t>营业</w:t>
      </w:r>
      <w:r>
        <w:rPr>
          <w:w w:val="100"/>
        </w:rPr>
        <w:t> </w:t>
      </w:r>
      <w:r>
        <w:rPr>
          <w:spacing w:val="-4"/>
          <w:w w:val="100"/>
        </w:rPr>
        <w:t>税改征增值税试点过渡政策的规定：第一大类免征增值税目录中，（十九）统借统还业务的利息收入免征</w:t>
      </w:r>
      <w:r>
        <w:rPr>
          <w:spacing w:val="-83"/>
          <w:w w:val="100"/>
        </w:rPr>
        <w:t> </w:t>
      </w:r>
      <w:r>
        <w:rPr>
          <w:spacing w:val="-83"/>
          <w:w w:val="100"/>
        </w:rPr>
      </w:r>
      <w:r>
        <w:rPr>
          <w:spacing w:val="-4"/>
          <w:w w:val="100"/>
        </w:rPr>
        <w:t>增值税；（二十六）纳税人提供技术转让、技术开发和与之相关的技术咨询、技术服务取得的收入免征增</w:t>
      </w:r>
      <w:r>
        <w:rPr>
          <w:spacing w:val="-83"/>
          <w:w w:val="100"/>
        </w:rPr>
        <w:t> </w:t>
      </w:r>
      <w:r>
        <w:rPr>
          <w:spacing w:val="-83"/>
          <w:w w:val="100"/>
        </w:rPr>
      </w:r>
      <w:r>
        <w:rPr/>
        <w:t>值税。</w:t>
      </w:r>
    </w:p>
    <w:p>
      <w:pPr>
        <w:pStyle w:val="BodyText"/>
        <w:spacing w:line="273" w:lineRule="auto"/>
        <w:ind w:right="1007" w:firstLine="422"/>
        <w:jc w:val="left"/>
      </w:pPr>
      <w:r>
        <w:rPr>
          <w:spacing w:val="-4"/>
          <w:w w:val="100"/>
        </w:rPr>
        <w:t>根据财政部、税务总局关于调整增值税税率的通知（财税〔</w:t>
      </w:r>
      <w:r>
        <w:rPr>
          <w:rFonts w:ascii="宋体" w:hAnsi="宋体" w:cs="宋体" w:eastAsia="宋体" w:hint="default"/>
          <w:spacing w:val="-4"/>
          <w:w w:val="100"/>
        </w:rPr>
        <w:t>2018</w:t>
      </w:r>
      <w:r>
        <w:rPr>
          <w:spacing w:val="-4"/>
          <w:w w:val="100"/>
        </w:rPr>
        <w:t>〕</w:t>
      </w:r>
      <w:r>
        <w:rPr>
          <w:rFonts w:ascii="宋体" w:hAnsi="宋体" w:cs="宋体" w:eastAsia="宋体" w:hint="default"/>
          <w:spacing w:val="-4"/>
          <w:w w:val="100"/>
        </w:rPr>
        <w:t>32</w:t>
      </w:r>
      <w:r>
        <w:rPr>
          <w:spacing w:val="-4"/>
          <w:w w:val="100"/>
        </w:rPr>
        <w:t>号），自</w:t>
      </w:r>
      <w:r>
        <w:rPr>
          <w:rFonts w:ascii="宋体" w:hAnsi="宋体" w:cs="宋体" w:eastAsia="宋体" w:hint="default"/>
          <w:spacing w:val="-4"/>
          <w:w w:val="100"/>
        </w:rPr>
        <w:t>2018</w:t>
      </w:r>
      <w:r>
        <w:rPr>
          <w:spacing w:val="-4"/>
          <w:w w:val="100"/>
        </w:rPr>
        <w:t>年</w:t>
      </w:r>
      <w:r>
        <w:rPr>
          <w:rFonts w:ascii="宋体" w:hAnsi="宋体" w:cs="宋体" w:eastAsia="宋体" w:hint="default"/>
          <w:spacing w:val="-4"/>
          <w:w w:val="100"/>
        </w:rPr>
        <w:t>5</w:t>
      </w:r>
      <w:r>
        <w:rPr>
          <w:spacing w:val="-4"/>
          <w:w w:val="100"/>
        </w:rPr>
        <w:t>月</w:t>
      </w:r>
      <w:r>
        <w:rPr>
          <w:rFonts w:ascii="宋体" w:hAnsi="宋体" w:cs="宋体" w:eastAsia="宋体" w:hint="default"/>
          <w:spacing w:val="-4"/>
          <w:w w:val="100"/>
        </w:rPr>
        <w:t>1</w:t>
      </w:r>
      <w:r>
        <w:rPr>
          <w:spacing w:val="-4"/>
          <w:w w:val="100"/>
        </w:rPr>
        <w:t>日起，纳税</w:t>
      </w:r>
      <w:r>
        <w:rPr>
          <w:w w:val="100"/>
        </w:rPr>
        <w:t> </w:t>
      </w:r>
      <w:r>
        <w:rPr/>
        <w:t>人发生增值税应税销售行为或者进口货物，原适用</w:t>
      </w:r>
      <w:r>
        <w:rPr>
          <w:rFonts w:ascii="宋体" w:hAnsi="宋体" w:cs="宋体" w:eastAsia="宋体" w:hint="default"/>
        </w:rPr>
        <w:t>17%</w:t>
      </w:r>
      <w:r>
        <w:rPr/>
        <w:t>和</w:t>
      </w:r>
      <w:r>
        <w:rPr>
          <w:rFonts w:ascii="宋体" w:hAnsi="宋体" w:cs="宋体" w:eastAsia="宋体" w:hint="default"/>
        </w:rPr>
        <w:t>11%</w:t>
      </w:r>
      <w:r>
        <w:rPr/>
        <w:t>税率的，税率分别调整为</w:t>
      </w:r>
      <w:r>
        <w:rPr>
          <w:rFonts w:ascii="宋体" w:hAnsi="宋体" w:cs="宋体" w:eastAsia="宋体" w:hint="default"/>
        </w:rPr>
        <w:t>16%</w:t>
      </w:r>
      <w:r>
        <w:rPr/>
        <w:t>、</w:t>
      </w:r>
      <w:r>
        <w:rPr>
          <w:rFonts w:ascii="宋体" w:hAnsi="宋体" w:cs="宋体" w:eastAsia="宋体" w:hint="default"/>
        </w:rPr>
        <w:t>10%</w:t>
      </w:r>
      <w:r>
        <w:rPr/>
        <w:t>。</w:t>
      </w:r>
    </w:p>
    <w:p>
      <w:pPr>
        <w:pStyle w:val="BodyText"/>
        <w:spacing w:line="273" w:lineRule="auto"/>
        <w:ind w:right="1007" w:firstLine="422"/>
        <w:jc w:val="left"/>
      </w:pPr>
      <w:r>
        <w:rPr>
          <w:spacing w:val="-4"/>
          <w:w w:val="100"/>
        </w:rPr>
        <w:t>根据财政部、税务总局、海关总署《关于深化增值税改革有关政策的公告》（财政部、税务总局、海</w:t>
      </w:r>
      <w:r>
        <w:rPr>
          <w:w w:val="100"/>
        </w:rPr>
        <w:t> </w:t>
      </w:r>
      <w:r>
        <w:rPr>
          <w:spacing w:val="-2"/>
        </w:rPr>
        <w:t>关总署公告</w:t>
      </w:r>
      <w:r>
        <w:rPr>
          <w:rFonts w:ascii="宋体" w:hAnsi="宋体" w:cs="宋体" w:eastAsia="宋体" w:hint="default"/>
          <w:spacing w:val="-2"/>
        </w:rPr>
        <w:t>2019</w:t>
      </w:r>
      <w:r>
        <w:rPr>
          <w:spacing w:val="-2"/>
        </w:rPr>
        <w:t>年第</w:t>
      </w:r>
      <w:r>
        <w:rPr>
          <w:rFonts w:ascii="宋体" w:hAnsi="宋体" w:cs="宋体" w:eastAsia="宋体" w:hint="default"/>
          <w:spacing w:val="-2"/>
        </w:rPr>
        <w:t>39</w:t>
      </w:r>
      <w:r>
        <w:rPr>
          <w:spacing w:val="-2"/>
        </w:rPr>
        <w:t>号）的规定，本公司自</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w:t>
      </w:r>
      <w:r>
        <w:rPr>
          <w:spacing w:val="-2"/>
        </w:rPr>
        <w:t>日起发生增值税应税销售行为或者进口货物，原</w:t>
      </w:r>
      <w:r>
        <w:rPr>
          <w:spacing w:val="-21"/>
        </w:rPr>
        <w:t> </w:t>
      </w:r>
      <w:r>
        <w:rPr>
          <w:spacing w:val="-21"/>
        </w:rPr>
      </w:r>
      <w:r>
        <w:rPr/>
        <w:t>适用</w:t>
      </w:r>
      <w:r>
        <w:rPr>
          <w:rFonts w:ascii="宋体" w:hAnsi="宋体" w:cs="宋体" w:eastAsia="宋体" w:hint="default"/>
        </w:rPr>
        <w:t>16%</w:t>
      </w:r>
      <w:r>
        <w:rPr/>
        <w:t>和</w:t>
      </w:r>
      <w:r>
        <w:rPr>
          <w:rFonts w:ascii="宋体" w:hAnsi="宋体" w:cs="宋体" w:eastAsia="宋体" w:hint="default"/>
        </w:rPr>
        <w:t>10%</w:t>
      </w:r>
      <w:r>
        <w:rPr/>
        <w:t>税率的，税率分别调整为</w:t>
      </w:r>
      <w:r>
        <w:rPr>
          <w:rFonts w:ascii="宋体" w:hAnsi="宋体" w:cs="宋体" w:eastAsia="宋体" w:hint="default"/>
        </w:rPr>
        <w:t>13%</w:t>
      </w:r>
      <w:r>
        <w:rPr/>
        <w:t>、</w:t>
      </w:r>
      <w:r>
        <w:rPr>
          <w:rFonts w:ascii="宋体" w:hAnsi="宋体" w:cs="宋体" w:eastAsia="宋体" w:hint="default"/>
        </w:rPr>
        <w:t>9%</w:t>
      </w:r>
      <w:r>
        <w:rPr/>
        <w:t>。</w:t>
      </w:r>
    </w:p>
    <w:p>
      <w:pPr>
        <w:spacing w:before="76"/>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公司需遵守《深圳证券交易所行业信息披露指引第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号——上市公司从事软件与信息技术服务业务》的披露要求</w:t>
      </w:r>
    </w:p>
    <w:p>
      <w:pPr>
        <w:spacing w:line="240" w:lineRule="auto" w:before="8"/>
        <w:rPr>
          <w:rFonts w:ascii="宋体" w:hAnsi="宋体" w:cs="宋体" w:eastAsia="宋体" w:hint="default"/>
          <w:sz w:val="25"/>
          <w:szCs w:val="25"/>
        </w:rPr>
      </w:pPr>
    </w:p>
    <w:p>
      <w:pPr>
        <w:spacing w:line="484" w:lineRule="auto" w:before="0"/>
        <w:ind w:left="113" w:right="7859" w:firstLine="0"/>
        <w:jc w:val="left"/>
        <w:rPr>
          <w:rFonts w:ascii="宋体" w:hAnsi="宋体" w:cs="宋体" w:eastAsia="宋体" w:hint="default"/>
          <w:sz w:val="21"/>
          <w:szCs w:val="21"/>
        </w:rPr>
      </w:pPr>
      <w:bookmarkStart w:name="3、其他" w:id="234"/>
      <w:bookmarkEnd w:id="23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七、合并财务报表项目注释" w:id="235"/>
      <w:bookmarkEnd w:id="235"/>
      <w:r>
        <w:rPr>
          <w:rFonts w:ascii="宋体" w:hAnsi="宋体" w:cs="宋体" w:eastAsia="宋体" w:hint="default"/>
          <w:b/>
          <w:bCs/>
          <w:w w:val="100"/>
          <w:sz w:val="21"/>
          <w:szCs w:val="21"/>
        </w:rPr>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bookmarkStart w:name="1、货币资金" w:id="236"/>
      <w:bookmarkEnd w:id="23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17"/>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136,335.76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223,676.69</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320,429,049.03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240,012,543.87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155,784,922.48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63,348,697.45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476,350,307.27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303,584,918.01</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3654"/>
        <w:gridCol w:w="2439"/>
        <w:gridCol w:w="2442"/>
      </w:tblGrid>
      <w:tr>
        <w:trPr>
          <w:trHeight w:val="353" w:hRule="exact"/>
        </w:trPr>
        <w:tc>
          <w:tcPr>
            <w:tcW w:w="36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632"/>
              <w:jc w:val="right"/>
              <w:rPr>
                <w:rFonts w:ascii="宋体" w:hAnsi="宋体" w:cs="宋体" w:eastAsia="宋体" w:hint="default"/>
                <w:sz w:val="18"/>
                <w:szCs w:val="18"/>
              </w:rPr>
            </w:pPr>
            <w:r>
              <w:rPr>
                <w:rFonts w:ascii="宋体" w:hAnsi="宋体" w:cs="宋体" w:eastAsia="宋体" w:hint="default"/>
                <w:sz w:val="18"/>
                <w:szCs w:val="18"/>
              </w:rPr>
              <w:t>项目</w:t>
            </w:r>
          </w:p>
        </w:tc>
        <w:tc>
          <w:tcPr>
            <w:tcW w:w="24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4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3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票据保证金</w:t>
            </w:r>
          </w:p>
        </w:tc>
        <w:tc>
          <w:tcPr>
            <w:tcW w:w="2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2"/>
                <w:sz w:val="18"/>
              </w:rPr>
              <w:t>102,539,695.86</w:t>
            </w:r>
          </w:p>
        </w:tc>
        <w:tc>
          <w:tcPr>
            <w:tcW w:w="24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3"/>
              <w:jc w:val="right"/>
              <w:rPr>
                <w:rFonts w:ascii="宋体" w:hAnsi="宋体" w:cs="宋体" w:eastAsia="宋体" w:hint="default"/>
                <w:sz w:val="18"/>
                <w:szCs w:val="18"/>
              </w:rPr>
            </w:pPr>
            <w:r>
              <w:rPr>
                <w:rFonts w:ascii="宋体"/>
                <w:spacing w:val="-1"/>
                <w:sz w:val="18"/>
              </w:rPr>
              <w:t>54,600,000.00</w:t>
            </w:r>
          </w:p>
        </w:tc>
      </w:tr>
      <w:tr>
        <w:trPr>
          <w:trHeight w:val="356" w:hRule="exact"/>
        </w:trPr>
        <w:tc>
          <w:tcPr>
            <w:tcW w:w="3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right="-5"/>
              <w:jc w:val="right"/>
              <w:rPr>
                <w:rFonts w:ascii="宋体" w:hAnsi="宋体" w:cs="宋体" w:eastAsia="宋体" w:hint="default"/>
                <w:sz w:val="18"/>
                <w:szCs w:val="18"/>
              </w:rPr>
            </w:pPr>
            <w:r>
              <w:rPr>
                <w:rFonts w:ascii="宋体"/>
                <w:spacing w:val="-1"/>
                <w:sz w:val="18"/>
              </w:rPr>
              <w:t>9,716,033.58</w:t>
            </w:r>
          </w:p>
        </w:tc>
        <w:tc>
          <w:tcPr>
            <w:tcW w:w="24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5"/>
              <w:ind w:right="3"/>
              <w:jc w:val="right"/>
              <w:rPr>
                <w:rFonts w:ascii="宋体" w:hAnsi="宋体" w:cs="宋体" w:eastAsia="宋体" w:hint="default"/>
                <w:sz w:val="18"/>
                <w:szCs w:val="18"/>
              </w:rPr>
            </w:pPr>
            <w:r>
              <w:rPr>
                <w:rFonts w:ascii="宋体"/>
                <w:spacing w:val="-1"/>
                <w:sz w:val="18"/>
              </w:rPr>
              <w:t>7,210,495.57</w:t>
            </w:r>
          </w:p>
        </w:tc>
      </w:tr>
      <w:tr>
        <w:trPr>
          <w:trHeight w:val="350" w:hRule="exact"/>
        </w:trPr>
        <w:tc>
          <w:tcPr>
            <w:tcW w:w="3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支付宝保证金</w:t>
            </w:r>
          </w:p>
        </w:tc>
        <w:tc>
          <w:tcPr>
            <w:tcW w:w="2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pacing w:val="-1"/>
                <w:sz w:val="18"/>
              </w:rPr>
              <w:t>450,000.00</w:t>
            </w:r>
          </w:p>
        </w:tc>
        <w:tc>
          <w:tcPr>
            <w:tcW w:w="24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3"/>
              <w:jc w:val="right"/>
              <w:rPr>
                <w:rFonts w:ascii="宋体" w:hAnsi="宋体" w:cs="宋体" w:eastAsia="宋体" w:hint="default"/>
                <w:sz w:val="18"/>
                <w:szCs w:val="18"/>
              </w:rPr>
            </w:pPr>
            <w:r>
              <w:rPr>
                <w:rFonts w:ascii="宋体"/>
                <w:spacing w:val="-1"/>
                <w:sz w:val="18"/>
              </w:rPr>
              <w:t>450,000.00</w:t>
            </w:r>
          </w:p>
        </w:tc>
      </w:tr>
      <w:tr>
        <w:trPr>
          <w:trHeight w:val="350" w:hRule="exact"/>
        </w:trPr>
        <w:tc>
          <w:tcPr>
            <w:tcW w:w="3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pacing w:val="-2"/>
                <w:sz w:val="18"/>
              </w:rPr>
              <w:t>41,141,793.04</w:t>
            </w:r>
          </w:p>
        </w:tc>
        <w:tc>
          <w:tcPr>
            <w:tcW w:w="2442" w:type="dxa"/>
            <w:tcBorders>
              <w:top w:val="single" w:sz="12" w:space="0" w:color="000000"/>
              <w:left w:val="single" w:sz="6" w:space="0" w:color="000000"/>
              <w:bottom w:val="single" w:sz="12" w:space="0" w:color="000000"/>
              <w:right w:val="nil" w:sz="6" w:space="0" w:color="auto"/>
            </w:tcBorders>
          </w:tcPr>
          <w:p>
            <w:pPr/>
          </w:p>
        </w:tc>
      </w:tr>
      <w:tr>
        <w:trPr>
          <w:trHeight w:val="355" w:hRule="exact"/>
        </w:trPr>
        <w:tc>
          <w:tcPr>
            <w:tcW w:w="3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right="-5"/>
              <w:jc w:val="right"/>
              <w:rPr>
                <w:rFonts w:ascii="宋体" w:hAnsi="宋体" w:cs="宋体" w:eastAsia="宋体" w:hint="default"/>
                <w:sz w:val="18"/>
                <w:szCs w:val="18"/>
              </w:rPr>
            </w:pPr>
            <w:r>
              <w:rPr>
                <w:rFonts w:ascii="宋体"/>
                <w:spacing w:val="-1"/>
                <w:sz w:val="18"/>
              </w:rPr>
              <w:t>1,495,299.81</w:t>
            </w:r>
          </w:p>
        </w:tc>
        <w:tc>
          <w:tcPr>
            <w:tcW w:w="2442" w:type="dxa"/>
            <w:tcBorders>
              <w:top w:val="single" w:sz="12" w:space="0" w:color="000000"/>
              <w:left w:val="single" w:sz="6" w:space="0" w:color="000000"/>
              <w:bottom w:val="single" w:sz="12" w:space="0" w:color="000000"/>
              <w:right w:val="nil" w:sz="6" w:space="0" w:color="auto"/>
            </w:tcBorders>
          </w:tcPr>
          <w:p>
            <w:pPr/>
          </w:p>
        </w:tc>
      </w:tr>
      <w:tr>
        <w:trPr>
          <w:trHeight w:val="351" w:hRule="exact"/>
        </w:trPr>
        <w:tc>
          <w:tcPr>
            <w:tcW w:w="3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632"/>
              <w:jc w:val="right"/>
              <w:rPr>
                <w:rFonts w:ascii="宋体" w:hAnsi="宋体" w:cs="宋体" w:eastAsia="宋体" w:hint="default"/>
                <w:sz w:val="18"/>
                <w:szCs w:val="18"/>
              </w:rPr>
            </w:pPr>
            <w:r>
              <w:rPr>
                <w:rFonts w:ascii="宋体" w:hAnsi="宋体" w:cs="宋体" w:eastAsia="宋体" w:hint="default"/>
                <w:sz w:val="18"/>
                <w:szCs w:val="18"/>
              </w:rPr>
              <w:t>合计</w:t>
            </w:r>
          </w:p>
        </w:tc>
        <w:tc>
          <w:tcPr>
            <w:tcW w:w="2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pacing w:val="-2"/>
                <w:sz w:val="18"/>
              </w:rPr>
              <w:t>155,342,822.29</w:t>
            </w:r>
          </w:p>
        </w:tc>
        <w:tc>
          <w:tcPr>
            <w:tcW w:w="24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3"/>
              <w:jc w:val="right"/>
              <w:rPr>
                <w:rFonts w:ascii="宋体" w:hAnsi="宋体" w:cs="宋体" w:eastAsia="宋体" w:hint="default"/>
                <w:sz w:val="18"/>
                <w:szCs w:val="18"/>
              </w:rPr>
            </w:pPr>
            <w:r>
              <w:rPr>
                <w:rFonts w:ascii="宋体"/>
                <w:spacing w:val="-1"/>
                <w:sz w:val="18"/>
              </w:rPr>
              <w:t>62,260,495.57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764"/>
        <w:jc w:val="left"/>
        <w:rPr>
          <w:b w:val="0"/>
          <w:bCs w:val="0"/>
        </w:rPr>
      </w:pPr>
      <w:bookmarkStart w:name="2、交易性金融资产" w:id="237"/>
      <w:bookmarkEnd w:id="237"/>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85"/>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益的金融资产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2,232,720.00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1,722,384.00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88"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2,232,720.00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1,722,384.00</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3、衍生金融资产" w:id="238"/>
      <w:bookmarkEnd w:id="238"/>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3"/>
        <w:spacing w:line="240" w:lineRule="auto"/>
        <w:ind w:right="1764"/>
        <w:jc w:val="left"/>
        <w:rPr>
          <w:b w:val="0"/>
          <w:bCs w:val="0"/>
        </w:rPr>
      </w:pPr>
      <w:bookmarkStart w:name="4、应收票据" w:id="239"/>
      <w:bookmarkEnd w:id="239"/>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1）应收票据分类列示" w:id="240"/>
      <w:bookmarkEnd w:id="240"/>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28,327,642.70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21,470,291.97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75,646,034.46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94,526,200.38</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减：坏账准备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-2,269,381.04</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101,704,296.12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64" w:right="0"/>
              <w:jc w:val="left"/>
              <w:rPr>
                <w:rFonts w:ascii="Times New Roman" w:hAnsi="Times New Roman" w:cs="Times New Roman" w:eastAsia="Times New Roman" w:hint="default"/>
                <w:sz w:val="18"/>
                <w:szCs w:val="18"/>
              </w:rPr>
            </w:pPr>
            <w:r>
              <w:rPr>
                <w:rFonts w:ascii="Times New Roman"/>
                <w:sz w:val="18"/>
              </w:rPr>
              <w:t>115,996,492.35</w:t>
            </w:r>
          </w:p>
        </w:tc>
      </w:tr>
    </w:tbl>
    <w:p>
      <w:pPr>
        <w:spacing w:before="53"/>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932"/>
        <w:gridCol w:w="797"/>
        <w:gridCol w:w="792"/>
      </w:tblGrid>
      <w:tr>
        <w:trPr>
          <w:trHeight w:val="398" w:hRule="exact"/>
        </w:trPr>
        <w:tc>
          <w:tcPr>
            <w:tcW w:w="16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7" w:type="dxa"/>
            <w:vMerge/>
            <w:tcBorders>
              <w:left w:val="single" w:sz="4" w:space="0" w:color="000000"/>
              <w:right w:val="single" w:sz="4" w:space="0" w:color="000000"/>
            </w:tcBorders>
            <w:shd w:val="clear" w:color="auto" w:fill="D2D2D2"/>
          </w:tcPr>
          <w:p>
            <w:pPr/>
          </w:p>
        </w:tc>
        <w:tc>
          <w:tcPr>
            <w:tcW w:w="15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302" w:right="113" w:hanging="183"/>
              <w:jc w:val="left"/>
              <w:rPr>
                <w:rFonts w:ascii="宋体" w:hAnsi="宋体" w:cs="宋体" w:eastAsia="宋体" w:hint="default"/>
                <w:sz w:val="18"/>
                <w:szCs w:val="18"/>
              </w:rPr>
            </w:pPr>
            <w:r>
              <w:rPr>
                <w:rFonts w:ascii="宋体" w:hAnsi="宋体" w:cs="宋体" w:eastAsia="宋体" w:hint="default"/>
                <w:sz w:val="18"/>
                <w:szCs w:val="18"/>
              </w:rPr>
              <w:t>账面价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w:t>
            </w:r>
          </w:p>
        </w:tc>
        <w:tc>
          <w:tcPr>
            <w:tcW w:w="15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302" w:right="113" w:hanging="178"/>
              <w:jc w:val="left"/>
              <w:rPr>
                <w:rFonts w:ascii="宋体" w:hAnsi="宋体" w:cs="宋体" w:eastAsia="宋体" w:hint="default"/>
                <w:sz w:val="18"/>
                <w:szCs w:val="18"/>
              </w:rPr>
            </w:pPr>
            <w:r>
              <w:rPr>
                <w:rFonts w:ascii="宋体" w:hAnsi="宋体" w:cs="宋体" w:eastAsia="宋体" w:hint="default"/>
                <w:sz w:val="18"/>
                <w:szCs w:val="18"/>
              </w:rPr>
              <w:t>账面价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w:t>
            </w:r>
          </w:p>
        </w:tc>
      </w:tr>
      <w:tr>
        <w:trPr>
          <w:trHeight w:val="720" w:hRule="exact"/>
        </w:trPr>
        <w:tc>
          <w:tcPr>
            <w:tcW w:w="1637"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87" w:right="99" w:hanging="178"/>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07" w:right="118"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394"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8"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5" w:right="257"/>
              <w:jc w:val="left"/>
              <w:rPr>
                <w:rFonts w:ascii="宋体" w:hAnsi="宋体" w:cs="宋体" w:eastAsia="宋体" w:hint="default"/>
                <w:sz w:val="18"/>
                <w:szCs w:val="18"/>
              </w:rPr>
            </w:pPr>
            <w:r>
              <w:rPr>
                <w:rFonts w:ascii="宋体" w:hAnsi="宋体" w:cs="宋体" w:eastAsia="宋体" w:hint="default"/>
                <w:spacing w:val="-3"/>
                <w:sz w:val="18"/>
                <w:szCs w:val="18"/>
              </w:rPr>
              <w:t>按组合计提坏账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准备的应收票据</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103,97</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3,677.1</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2,269,3</w:t>
            </w:r>
          </w:p>
          <w:p>
            <w:pPr>
              <w:pStyle w:val="TableParagraph"/>
              <w:spacing w:line="240" w:lineRule="auto" w:before="105"/>
              <w:ind w:left="154" w:right="0"/>
              <w:jc w:val="center"/>
              <w:rPr>
                <w:rFonts w:ascii="Times New Roman" w:hAnsi="Times New Roman" w:cs="Times New Roman" w:eastAsia="Times New Roman" w:hint="default"/>
                <w:sz w:val="18"/>
                <w:szCs w:val="18"/>
              </w:rPr>
            </w:pPr>
            <w:r>
              <w:rPr>
                <w:rFonts w:ascii="Times New Roman"/>
                <w:sz w:val="18"/>
              </w:rPr>
              <w:t>81.04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2.18%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101,70</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4,296.1</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115,99</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6,492.3</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115,99</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6,492.3</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r>
      <w:tr>
        <w:trPr>
          <w:trHeight w:val="404"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0"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28,327,</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642.70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4" w:right="0"/>
              <w:jc w:val="left"/>
              <w:rPr>
                <w:rFonts w:ascii="Times New Roman" w:hAnsi="Times New Roman" w:cs="Times New Roman" w:eastAsia="Times New Roman" w:hint="default"/>
                <w:sz w:val="18"/>
                <w:szCs w:val="18"/>
              </w:rPr>
            </w:pPr>
            <w:r>
              <w:rPr>
                <w:rFonts w:ascii="Times New Roman"/>
                <w:sz w:val="18"/>
              </w:rPr>
              <w:t>27.25</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28,327,</w:t>
            </w:r>
          </w:p>
          <w:p>
            <w:pPr>
              <w:pStyle w:val="TableParagraph"/>
              <w:spacing w:line="240" w:lineRule="auto" w:before="105"/>
              <w:ind w:left="182" w:right="0"/>
              <w:jc w:val="left"/>
              <w:rPr>
                <w:rFonts w:ascii="Times New Roman" w:hAnsi="Times New Roman" w:cs="Times New Roman" w:eastAsia="Times New Roman" w:hint="default"/>
                <w:sz w:val="18"/>
                <w:szCs w:val="18"/>
              </w:rPr>
            </w:pPr>
            <w:r>
              <w:rPr>
                <w:rFonts w:ascii="Times New Roman"/>
                <w:sz w:val="18"/>
              </w:rPr>
              <w:t>642.70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21,470,</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291.97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18.51%</w:t>
            </w: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4" w:right="0"/>
              <w:jc w:val="left"/>
              <w:rPr>
                <w:rFonts w:ascii="Times New Roman" w:hAnsi="Times New Roman" w:cs="Times New Roman" w:eastAsia="Times New Roman" w:hint="default"/>
                <w:sz w:val="18"/>
                <w:szCs w:val="18"/>
              </w:rPr>
            </w:pPr>
            <w:r>
              <w:rPr>
                <w:rFonts w:ascii="Times New Roman"/>
                <w:sz w:val="18"/>
              </w:rPr>
              <w:t>21,470,</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291.97</w:t>
            </w:r>
          </w:p>
        </w:tc>
      </w:tr>
      <w:tr>
        <w:trPr>
          <w:trHeight w:val="715"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0" w:right="0"/>
              <w:jc w:val="left"/>
              <w:rPr>
                <w:rFonts w:ascii="Times New Roman" w:hAnsi="Times New Roman" w:cs="Times New Roman" w:eastAsia="Times New Roman" w:hint="default"/>
                <w:sz w:val="18"/>
                <w:szCs w:val="18"/>
              </w:rPr>
            </w:pPr>
            <w:r>
              <w:rPr>
                <w:rFonts w:ascii="Times New Roman"/>
                <w:sz w:val="18"/>
              </w:rPr>
              <w:t>75,646,</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034.46</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4" w:right="0"/>
              <w:jc w:val="left"/>
              <w:rPr>
                <w:rFonts w:ascii="Times New Roman" w:hAnsi="Times New Roman" w:cs="Times New Roman" w:eastAsia="Times New Roman" w:hint="default"/>
                <w:sz w:val="18"/>
                <w:szCs w:val="18"/>
              </w:rPr>
            </w:pPr>
            <w:r>
              <w:rPr>
                <w:rFonts w:ascii="Times New Roman"/>
                <w:sz w:val="18"/>
              </w:rPr>
              <w:t>72.75</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9" w:right="0"/>
              <w:jc w:val="center"/>
              <w:rPr>
                <w:rFonts w:ascii="Times New Roman" w:hAnsi="Times New Roman" w:cs="Times New Roman" w:eastAsia="Times New Roman" w:hint="default"/>
                <w:sz w:val="18"/>
                <w:szCs w:val="18"/>
              </w:rPr>
            </w:pPr>
            <w:r>
              <w:rPr>
                <w:rFonts w:ascii="Times New Roman"/>
                <w:sz w:val="18"/>
              </w:rPr>
              <w:t>2,269,3</w:t>
            </w:r>
          </w:p>
          <w:p>
            <w:pPr>
              <w:pStyle w:val="TableParagraph"/>
              <w:spacing w:line="240" w:lineRule="auto" w:before="105"/>
              <w:ind w:left="154" w:right="0"/>
              <w:jc w:val="center"/>
              <w:rPr>
                <w:rFonts w:ascii="Times New Roman" w:hAnsi="Times New Roman" w:cs="Times New Roman" w:eastAsia="Times New Roman" w:hint="default"/>
                <w:sz w:val="18"/>
                <w:szCs w:val="18"/>
              </w:rPr>
            </w:pPr>
            <w:r>
              <w:rPr>
                <w:rFonts w:ascii="Times New Roman"/>
                <w:sz w:val="18"/>
              </w:rPr>
              <w:t>81.04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9" w:right="0"/>
              <w:jc w:val="left"/>
              <w:rPr>
                <w:rFonts w:ascii="Times New Roman" w:hAnsi="Times New Roman" w:cs="Times New Roman" w:eastAsia="Times New Roman" w:hint="default"/>
                <w:sz w:val="18"/>
                <w:szCs w:val="18"/>
              </w:rPr>
            </w:pPr>
            <w:r>
              <w:rPr>
                <w:rFonts w:ascii="Times New Roman"/>
                <w:sz w:val="18"/>
              </w:rPr>
              <w:t>73,376,</w:t>
            </w:r>
          </w:p>
          <w:p>
            <w:pPr>
              <w:pStyle w:val="TableParagraph"/>
              <w:spacing w:line="240" w:lineRule="auto" w:before="105"/>
              <w:ind w:left="182" w:right="0"/>
              <w:jc w:val="left"/>
              <w:rPr>
                <w:rFonts w:ascii="Times New Roman" w:hAnsi="Times New Roman" w:cs="Times New Roman" w:eastAsia="Times New Roman" w:hint="default"/>
                <w:sz w:val="18"/>
                <w:szCs w:val="18"/>
              </w:rPr>
            </w:pPr>
            <w:r>
              <w:rPr>
                <w:rFonts w:ascii="Times New Roman"/>
                <w:sz w:val="18"/>
              </w:rPr>
              <w:t>653.42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9" w:right="0"/>
              <w:jc w:val="left"/>
              <w:rPr>
                <w:rFonts w:ascii="Times New Roman" w:hAnsi="Times New Roman" w:cs="Times New Roman" w:eastAsia="Times New Roman" w:hint="default"/>
                <w:sz w:val="18"/>
                <w:szCs w:val="18"/>
              </w:rPr>
            </w:pPr>
            <w:r>
              <w:rPr>
                <w:rFonts w:ascii="Times New Roman"/>
                <w:sz w:val="18"/>
              </w:rPr>
              <w:t>94,526,</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200.38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81.49%</w:t>
            </w: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4" w:right="0"/>
              <w:jc w:val="left"/>
              <w:rPr>
                <w:rFonts w:ascii="Times New Roman" w:hAnsi="Times New Roman" w:cs="Times New Roman" w:eastAsia="Times New Roman" w:hint="default"/>
                <w:sz w:val="18"/>
                <w:szCs w:val="18"/>
              </w:rPr>
            </w:pPr>
            <w:r>
              <w:rPr>
                <w:rFonts w:ascii="Times New Roman"/>
                <w:sz w:val="18"/>
              </w:rPr>
              <w:t>94,526,</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200.38</w:t>
            </w:r>
          </w:p>
        </w:tc>
      </w:tr>
      <w:tr>
        <w:trPr>
          <w:trHeight w:val="1028"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103,97</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3,677.1</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2,269,3</w:t>
            </w:r>
          </w:p>
          <w:p>
            <w:pPr>
              <w:pStyle w:val="TableParagraph"/>
              <w:spacing w:line="240" w:lineRule="auto" w:before="105"/>
              <w:ind w:left="154" w:right="0"/>
              <w:jc w:val="center"/>
              <w:rPr>
                <w:rFonts w:ascii="Times New Roman" w:hAnsi="Times New Roman" w:cs="Times New Roman" w:eastAsia="Times New Roman" w:hint="default"/>
                <w:sz w:val="18"/>
                <w:szCs w:val="18"/>
              </w:rPr>
            </w:pPr>
            <w:r>
              <w:rPr>
                <w:rFonts w:ascii="Times New Roman"/>
                <w:sz w:val="18"/>
              </w:rPr>
              <w:t>81.04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2.18%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101,70</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4,296.1</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115,99</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6,492.3</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115,99</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6,492.3</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4"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399"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28,327,642.70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75,646,034.46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2,269,381.04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3.00%</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103,973,677.16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2,269,381.04</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362" w:lineRule="auto"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2096" w:space="6734"/>
            <w:col w:w="2060"/>
          </w:cols>
        </w:sectPr>
      </w:pP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3"/>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9"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62" w:lineRule="auto"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如是按照预期信用损失一般模型计提应收票据坏账准备，请参照其他应收款的披露方式披露坏账准备的相关信息：</w:t>
      </w:r>
    </w:p>
    <w:p>
      <w:pPr>
        <w:spacing w:after="0" w:line="362" w:lineRule="auto"/>
        <w:jc w:val="left"/>
        <w:rPr>
          <w:rFonts w:ascii="宋体" w:hAnsi="宋体" w:cs="宋体" w:eastAsia="宋体" w:hint="default"/>
          <w:sz w:val="18"/>
          <w:szCs w:val="18"/>
        </w:rPr>
        <w:sectPr>
          <w:type w:val="continuous"/>
          <w:pgSz w:w="11910" w:h="16840"/>
          <w:pgMar w:top="1100" w:bottom="1220" w:left="1020" w:right="0"/>
        </w:sectPr>
      </w:pPr>
    </w:p>
    <w:p>
      <w:pPr>
        <w:spacing w:line="240" w:lineRule="auto" w:before="2"/>
        <w:rPr>
          <w:rFonts w:ascii="宋体" w:hAnsi="宋体" w:cs="宋体" w:eastAsia="宋体" w:hint="default"/>
          <w:sz w:val="23"/>
          <w:szCs w:val="23"/>
        </w:rPr>
      </w:pPr>
    </w:p>
    <w:p>
      <w:pPr>
        <w:spacing w:before="46"/>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2）本期计提、收回或转回的坏账准备情况" w:id="241"/>
      <w:bookmarkEnd w:id="24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23"/>
          <w:szCs w:val="23"/>
        </w:rPr>
      </w:pPr>
    </w:p>
    <w:p>
      <w:pPr>
        <w:spacing w:before="46"/>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2,269,381.04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2,269,381.04</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2,269,381.04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2,269,381.04</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其中本期坏账准备收回或转回金额重要的：</w:t>
      </w:r>
    </w:p>
    <w:p>
      <w:pPr>
        <w:spacing w:before="119"/>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3）期末公司已质押的应收票据" w:id="242"/>
      <w:bookmarkEnd w:id="242"/>
      <w:r>
        <w:rPr>
          <w:b w:val="0"/>
          <w:bCs w:val="0"/>
        </w:rPr>
      </w: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期末已质押金额</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4）期末公司已背书或贴现且在资产负债表日尚未到期的应收票据" w:id="243"/>
      <w:bookmarkEnd w:id="243"/>
      <w:r>
        <w:rPr>
          <w:b w:val="0"/>
          <w:bCs w:val="0"/>
        </w:rPr>
      </w: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74"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期末未终止确认金额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2"/>
                <w:sz w:val="18"/>
              </w:rPr>
              <w:t>80,297,711.29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325,000,000.00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80,297,711.29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325,000,000.00</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5）期末公司因出票人未履约而将其转应收账款的票据" w:id="244"/>
      <w:bookmarkEnd w:id="244"/>
      <w:r>
        <w:rPr>
          <w:b w:val="0"/>
          <w:bCs w:val="0"/>
        </w:rPr>
      </w: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39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74" w:right="0"/>
              <w:jc w:val="left"/>
              <w:rPr>
                <w:rFonts w:ascii="宋体" w:hAnsi="宋体" w:cs="宋体" w:eastAsia="宋体" w:hint="default"/>
                <w:sz w:val="18"/>
                <w:szCs w:val="18"/>
              </w:rPr>
            </w:pPr>
            <w:r>
              <w:rPr>
                <w:rFonts w:ascii="宋体" w:hAnsi="宋体" w:cs="宋体" w:eastAsia="宋体" w:hint="default"/>
                <w:spacing w:val="-3"/>
                <w:sz w:val="18"/>
                <w:szCs w:val="18"/>
              </w:rPr>
              <w:t>期末转应收账款金额</w:t>
            </w:r>
          </w:p>
        </w:tc>
      </w:tr>
      <w:tr>
        <w:trPr>
          <w:trHeight w:val="40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1,781,346.00</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1,781,346.00</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3"/>
        <w:spacing w:line="240" w:lineRule="auto"/>
        <w:ind w:right="1764"/>
        <w:jc w:val="left"/>
        <w:rPr>
          <w:b w:val="0"/>
          <w:bCs w:val="0"/>
        </w:rPr>
      </w:pPr>
      <w:bookmarkStart w:name="（6）本期实际核销的应收票据情况" w:id="245"/>
      <w:bookmarkEnd w:id="245"/>
      <w:r>
        <w:rPr>
          <w:b w:val="0"/>
          <w:bCs w:val="0"/>
        </w:rPr>
      </w: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其中重要的应收票据核销情况：</w:t>
      </w:r>
    </w:p>
    <w:p>
      <w:pPr>
        <w:spacing w:before="114"/>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715"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2" w:right="156" w:hanging="270"/>
              <w:jc w:val="left"/>
              <w:rPr>
                <w:rFonts w:ascii="宋体" w:hAnsi="宋体" w:cs="宋体" w:eastAsia="宋体" w:hint="default"/>
                <w:sz w:val="18"/>
                <w:szCs w:val="18"/>
              </w:rPr>
            </w:pPr>
            <w:r>
              <w:rPr>
                <w:rFonts w:ascii="宋体" w:hAnsi="宋体" w:cs="宋体" w:eastAsia="宋体" w:hint="default"/>
                <w:spacing w:val="-3"/>
                <w:sz w:val="18"/>
                <w:szCs w:val="18"/>
              </w:rPr>
              <w:t>款项是否由关联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交易产生</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应收票据核销说明：</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5、应收账款" w:id="246"/>
      <w:bookmarkEnd w:id="246"/>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1）应收账款分类披露" w:id="247"/>
      <w:bookmarkEnd w:id="24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797"/>
        <w:gridCol w:w="792"/>
        <w:gridCol w:w="931"/>
      </w:tblGrid>
      <w:tr>
        <w:trPr>
          <w:trHeight w:val="394" w:hRule="exact"/>
        </w:trPr>
        <w:tc>
          <w:tcPr>
            <w:tcW w:w="16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7" w:type="dxa"/>
            <w:vMerge/>
            <w:tcBorders>
              <w:left w:val="single" w:sz="4" w:space="0" w:color="000000"/>
              <w:right w:val="single" w:sz="4" w:space="0" w:color="000000"/>
            </w:tcBorders>
            <w:shd w:val="clear" w:color="auto" w:fill="D2D2D2"/>
          </w:tcPr>
          <w:p>
            <w:pPr/>
          </w:p>
        </w:tc>
        <w:tc>
          <w:tcPr>
            <w:tcW w:w="15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21" w:lineRule="auto"/>
              <w:ind w:left="302" w:right="113" w:hanging="183"/>
              <w:jc w:val="left"/>
              <w:rPr>
                <w:rFonts w:ascii="宋体" w:hAnsi="宋体" w:cs="宋体" w:eastAsia="宋体" w:hint="default"/>
                <w:sz w:val="18"/>
                <w:szCs w:val="18"/>
              </w:rPr>
            </w:pPr>
            <w:r>
              <w:rPr>
                <w:rFonts w:ascii="宋体" w:hAnsi="宋体" w:cs="宋体" w:eastAsia="宋体" w:hint="default"/>
                <w:sz w:val="18"/>
                <w:szCs w:val="18"/>
              </w:rPr>
              <w:t>账面价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w:t>
            </w:r>
          </w:p>
        </w:tc>
        <w:tc>
          <w:tcPr>
            <w:tcW w:w="15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21" w:lineRule="auto"/>
              <w:ind w:left="374" w:right="185" w:hanging="183"/>
              <w:jc w:val="left"/>
              <w:rPr>
                <w:rFonts w:ascii="宋体" w:hAnsi="宋体" w:cs="宋体" w:eastAsia="宋体" w:hint="default"/>
                <w:sz w:val="18"/>
                <w:szCs w:val="18"/>
              </w:rPr>
            </w:pPr>
            <w:r>
              <w:rPr>
                <w:rFonts w:ascii="宋体" w:hAnsi="宋体" w:cs="宋体" w:eastAsia="宋体" w:hint="default"/>
                <w:sz w:val="18"/>
                <w:szCs w:val="18"/>
              </w:rPr>
              <w:t>账面价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w:t>
            </w:r>
          </w:p>
        </w:tc>
      </w:tr>
      <w:tr>
        <w:trPr>
          <w:trHeight w:val="721" w:hRule="exact"/>
        </w:trPr>
        <w:tc>
          <w:tcPr>
            <w:tcW w:w="1637"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87" w:right="99" w:hanging="178"/>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02" w:right="113" w:hanging="178"/>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2"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5" w:right="257"/>
              <w:jc w:val="left"/>
              <w:rPr>
                <w:rFonts w:ascii="宋体" w:hAnsi="宋体" w:cs="宋体" w:eastAsia="宋体" w:hint="default"/>
                <w:sz w:val="18"/>
                <w:szCs w:val="18"/>
              </w:rPr>
            </w:pPr>
            <w:r>
              <w:rPr>
                <w:rFonts w:ascii="宋体" w:hAnsi="宋体" w:cs="宋体" w:eastAsia="宋体" w:hint="default"/>
                <w:spacing w:val="-3"/>
                <w:sz w:val="18"/>
                <w:szCs w:val="18"/>
              </w:rPr>
              <w:t>按组合计提坏账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准备的应收账款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1,684,0</w:t>
            </w:r>
          </w:p>
          <w:p>
            <w:pPr>
              <w:pStyle w:val="TableParagraph"/>
              <w:spacing w:line="240" w:lineRule="auto" w:before="100"/>
              <w:ind w:left="110" w:right="0"/>
              <w:jc w:val="left"/>
              <w:rPr>
                <w:rFonts w:ascii="Times New Roman" w:hAnsi="Times New Roman" w:cs="Times New Roman" w:eastAsia="Times New Roman" w:hint="default"/>
                <w:sz w:val="18"/>
                <w:szCs w:val="18"/>
              </w:rPr>
            </w:pPr>
            <w:r>
              <w:rPr>
                <w:rFonts w:ascii="Times New Roman"/>
                <w:sz w:val="18"/>
              </w:rPr>
              <w:t>37,169.</w:t>
            </w:r>
          </w:p>
          <w:p>
            <w:pPr>
              <w:pStyle w:val="TableParagraph"/>
              <w:spacing w:line="240" w:lineRule="auto" w:before="110"/>
              <w:ind w:left="470" w:right="0"/>
              <w:jc w:val="left"/>
              <w:rPr>
                <w:rFonts w:ascii="Times New Roman" w:hAnsi="Times New Roman" w:cs="Times New Roman" w:eastAsia="Times New Roman" w:hint="default"/>
                <w:sz w:val="18"/>
                <w:szCs w:val="18"/>
              </w:rPr>
            </w:pPr>
            <w:r>
              <w:rPr>
                <w:rFonts w:ascii="Times New Roman"/>
                <w:sz w:val="18"/>
              </w:rPr>
              <w:t>97</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106,91</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2,531.5</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6.35%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1,577,1</w:t>
            </w:r>
          </w:p>
          <w:p>
            <w:pPr>
              <w:pStyle w:val="TableParagraph"/>
              <w:spacing w:line="240" w:lineRule="auto" w:before="100"/>
              <w:ind w:left="139" w:right="0"/>
              <w:jc w:val="left"/>
              <w:rPr>
                <w:rFonts w:ascii="Times New Roman" w:hAnsi="Times New Roman" w:cs="Times New Roman" w:eastAsia="Times New Roman" w:hint="default"/>
                <w:sz w:val="18"/>
                <w:szCs w:val="18"/>
              </w:rPr>
            </w:pPr>
            <w:r>
              <w:rPr>
                <w:rFonts w:ascii="Times New Roman"/>
                <w:sz w:val="18"/>
              </w:rPr>
              <w:t>24,638.</w:t>
            </w:r>
          </w:p>
          <w:p>
            <w:pPr>
              <w:pStyle w:val="TableParagraph"/>
              <w:spacing w:line="240" w:lineRule="auto" w:before="110"/>
              <w:ind w:left="499" w:right="0"/>
              <w:jc w:val="left"/>
              <w:rPr>
                <w:rFonts w:ascii="Times New Roman" w:hAnsi="Times New Roman" w:cs="Times New Roman" w:eastAsia="Times New Roman" w:hint="default"/>
                <w:sz w:val="18"/>
                <w:szCs w:val="18"/>
              </w:rPr>
            </w:pPr>
            <w:r>
              <w:rPr>
                <w:rFonts w:ascii="Times New Roman"/>
                <w:sz w:val="18"/>
              </w:rPr>
              <w:t>39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1,619,1</w:t>
            </w:r>
          </w:p>
          <w:p>
            <w:pPr>
              <w:pStyle w:val="TableParagraph"/>
              <w:spacing w:line="240" w:lineRule="auto" w:before="100"/>
              <w:ind w:left="129" w:right="0"/>
              <w:jc w:val="left"/>
              <w:rPr>
                <w:rFonts w:ascii="Times New Roman" w:hAnsi="Times New Roman" w:cs="Times New Roman" w:eastAsia="Times New Roman" w:hint="default"/>
                <w:sz w:val="18"/>
                <w:szCs w:val="18"/>
              </w:rPr>
            </w:pPr>
            <w:r>
              <w:rPr>
                <w:rFonts w:ascii="Times New Roman"/>
                <w:sz w:val="18"/>
              </w:rPr>
              <w:t>50,184.</w:t>
            </w:r>
          </w:p>
          <w:p>
            <w:pPr>
              <w:pStyle w:val="TableParagraph"/>
              <w:spacing w:line="240" w:lineRule="auto" w:before="110"/>
              <w:ind w:left="489" w:right="0"/>
              <w:jc w:val="left"/>
              <w:rPr>
                <w:rFonts w:ascii="Times New Roman" w:hAnsi="Times New Roman" w:cs="Times New Roman" w:eastAsia="Times New Roman" w:hint="default"/>
                <w:sz w:val="18"/>
                <w:szCs w:val="18"/>
              </w:rPr>
            </w:pPr>
            <w:r>
              <w:rPr>
                <w:rFonts w:ascii="Times New Roman"/>
                <w:sz w:val="18"/>
              </w:rPr>
              <w:t>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83,761,</w:t>
            </w:r>
          </w:p>
          <w:p>
            <w:pPr>
              <w:pStyle w:val="TableParagraph"/>
              <w:spacing w:line="240" w:lineRule="auto" w:before="105"/>
              <w:ind w:left="192" w:right="0"/>
              <w:jc w:val="left"/>
              <w:rPr>
                <w:rFonts w:ascii="Times New Roman" w:hAnsi="Times New Roman" w:cs="Times New Roman" w:eastAsia="Times New Roman" w:hint="default"/>
                <w:sz w:val="18"/>
                <w:szCs w:val="18"/>
              </w:rPr>
            </w:pPr>
            <w:r>
              <w:rPr>
                <w:rFonts w:ascii="Times New Roman"/>
                <w:sz w:val="18"/>
              </w:rPr>
              <w:t>548.99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5.17%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1,535,38</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8,635.95</w:t>
            </w:r>
          </w:p>
        </w:tc>
      </w:tr>
      <w:tr>
        <w:trPr>
          <w:trHeight w:val="404"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1,684,0</w:t>
            </w:r>
          </w:p>
          <w:p>
            <w:pPr>
              <w:pStyle w:val="TableParagraph"/>
              <w:spacing w:line="240" w:lineRule="auto" w:before="100"/>
              <w:ind w:left="110" w:right="0"/>
              <w:jc w:val="left"/>
              <w:rPr>
                <w:rFonts w:ascii="Times New Roman" w:hAnsi="Times New Roman" w:cs="Times New Roman" w:eastAsia="Times New Roman" w:hint="default"/>
                <w:sz w:val="18"/>
                <w:szCs w:val="18"/>
              </w:rPr>
            </w:pPr>
            <w:r>
              <w:rPr>
                <w:rFonts w:ascii="Times New Roman"/>
                <w:sz w:val="18"/>
              </w:rPr>
              <w:t>37,169.</w:t>
            </w:r>
          </w:p>
          <w:p>
            <w:pPr>
              <w:pStyle w:val="TableParagraph"/>
              <w:spacing w:line="240" w:lineRule="auto" w:before="110"/>
              <w:ind w:left="470" w:right="0"/>
              <w:jc w:val="left"/>
              <w:rPr>
                <w:rFonts w:ascii="Times New Roman" w:hAnsi="Times New Roman" w:cs="Times New Roman" w:eastAsia="Times New Roman" w:hint="default"/>
                <w:sz w:val="18"/>
                <w:szCs w:val="18"/>
              </w:rPr>
            </w:pPr>
            <w:r>
              <w:rPr>
                <w:rFonts w:ascii="Times New Roman"/>
                <w:sz w:val="18"/>
              </w:rPr>
              <w:t>97</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106,91</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2,531.5</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6.35%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1,577,1</w:t>
            </w:r>
          </w:p>
          <w:p>
            <w:pPr>
              <w:pStyle w:val="TableParagraph"/>
              <w:spacing w:line="240" w:lineRule="auto" w:before="100"/>
              <w:ind w:left="139" w:right="0"/>
              <w:jc w:val="left"/>
              <w:rPr>
                <w:rFonts w:ascii="Times New Roman" w:hAnsi="Times New Roman" w:cs="Times New Roman" w:eastAsia="Times New Roman" w:hint="default"/>
                <w:sz w:val="18"/>
                <w:szCs w:val="18"/>
              </w:rPr>
            </w:pPr>
            <w:r>
              <w:rPr>
                <w:rFonts w:ascii="Times New Roman"/>
                <w:sz w:val="18"/>
              </w:rPr>
              <w:t>24,638.</w:t>
            </w:r>
          </w:p>
          <w:p>
            <w:pPr>
              <w:pStyle w:val="TableParagraph"/>
              <w:spacing w:line="240" w:lineRule="auto" w:before="110"/>
              <w:ind w:left="499" w:right="0"/>
              <w:jc w:val="left"/>
              <w:rPr>
                <w:rFonts w:ascii="Times New Roman" w:hAnsi="Times New Roman" w:cs="Times New Roman" w:eastAsia="Times New Roman" w:hint="default"/>
                <w:sz w:val="18"/>
                <w:szCs w:val="18"/>
              </w:rPr>
            </w:pPr>
            <w:r>
              <w:rPr>
                <w:rFonts w:ascii="Times New Roman"/>
                <w:sz w:val="18"/>
              </w:rPr>
              <w:t>39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1,619,1</w:t>
            </w:r>
          </w:p>
          <w:p>
            <w:pPr>
              <w:pStyle w:val="TableParagraph"/>
              <w:spacing w:line="240" w:lineRule="auto" w:before="100"/>
              <w:ind w:left="129" w:right="0"/>
              <w:jc w:val="left"/>
              <w:rPr>
                <w:rFonts w:ascii="Times New Roman" w:hAnsi="Times New Roman" w:cs="Times New Roman" w:eastAsia="Times New Roman" w:hint="default"/>
                <w:sz w:val="18"/>
                <w:szCs w:val="18"/>
              </w:rPr>
            </w:pPr>
            <w:r>
              <w:rPr>
                <w:rFonts w:ascii="Times New Roman"/>
                <w:sz w:val="18"/>
              </w:rPr>
              <w:t>50,184.</w:t>
            </w:r>
          </w:p>
          <w:p>
            <w:pPr>
              <w:pStyle w:val="TableParagraph"/>
              <w:spacing w:line="240" w:lineRule="auto" w:before="110"/>
              <w:ind w:left="489" w:right="0"/>
              <w:jc w:val="left"/>
              <w:rPr>
                <w:rFonts w:ascii="Times New Roman" w:hAnsi="Times New Roman" w:cs="Times New Roman" w:eastAsia="Times New Roman" w:hint="default"/>
                <w:sz w:val="18"/>
                <w:szCs w:val="18"/>
              </w:rPr>
            </w:pPr>
            <w:r>
              <w:rPr>
                <w:rFonts w:ascii="Times New Roman"/>
                <w:sz w:val="18"/>
              </w:rPr>
              <w:t>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83,761,</w:t>
            </w:r>
          </w:p>
          <w:p>
            <w:pPr>
              <w:pStyle w:val="TableParagraph"/>
              <w:spacing w:line="240" w:lineRule="auto" w:before="105"/>
              <w:ind w:left="192" w:right="0"/>
              <w:jc w:val="left"/>
              <w:rPr>
                <w:rFonts w:ascii="Times New Roman" w:hAnsi="Times New Roman" w:cs="Times New Roman" w:eastAsia="Times New Roman" w:hint="default"/>
                <w:sz w:val="18"/>
                <w:szCs w:val="18"/>
              </w:rPr>
            </w:pPr>
            <w:r>
              <w:rPr>
                <w:rFonts w:ascii="Times New Roman"/>
                <w:sz w:val="18"/>
              </w:rPr>
              <w:t>548.99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5.17%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1,535,38</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8,635.95</w:t>
            </w:r>
          </w:p>
        </w:tc>
      </w:tr>
      <w:tr>
        <w:trPr>
          <w:trHeight w:val="1028"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1,684,0</w:t>
            </w:r>
          </w:p>
          <w:p>
            <w:pPr>
              <w:pStyle w:val="TableParagraph"/>
              <w:spacing w:line="240" w:lineRule="auto" w:before="100"/>
              <w:ind w:left="110" w:right="0"/>
              <w:jc w:val="left"/>
              <w:rPr>
                <w:rFonts w:ascii="Times New Roman" w:hAnsi="Times New Roman" w:cs="Times New Roman" w:eastAsia="Times New Roman" w:hint="default"/>
                <w:sz w:val="18"/>
                <w:szCs w:val="18"/>
              </w:rPr>
            </w:pPr>
            <w:r>
              <w:rPr>
                <w:rFonts w:ascii="Times New Roman"/>
                <w:sz w:val="18"/>
              </w:rPr>
              <w:t>37,169.</w:t>
            </w:r>
          </w:p>
          <w:p>
            <w:pPr>
              <w:pStyle w:val="TableParagraph"/>
              <w:spacing w:line="240" w:lineRule="auto" w:before="110"/>
              <w:ind w:left="470" w:right="0"/>
              <w:jc w:val="left"/>
              <w:rPr>
                <w:rFonts w:ascii="Times New Roman" w:hAnsi="Times New Roman" w:cs="Times New Roman" w:eastAsia="Times New Roman" w:hint="default"/>
                <w:sz w:val="18"/>
                <w:szCs w:val="18"/>
              </w:rPr>
            </w:pPr>
            <w:r>
              <w:rPr>
                <w:rFonts w:ascii="Times New Roman"/>
                <w:sz w:val="18"/>
              </w:rPr>
              <w:t>97</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10"/>
              <w:ind w:left="49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106,91</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2,531.5</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6.35%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1,577,1</w:t>
            </w:r>
          </w:p>
          <w:p>
            <w:pPr>
              <w:pStyle w:val="TableParagraph"/>
              <w:spacing w:line="240" w:lineRule="auto" w:before="100"/>
              <w:ind w:left="139" w:right="0"/>
              <w:jc w:val="left"/>
              <w:rPr>
                <w:rFonts w:ascii="Times New Roman" w:hAnsi="Times New Roman" w:cs="Times New Roman" w:eastAsia="Times New Roman" w:hint="default"/>
                <w:sz w:val="18"/>
                <w:szCs w:val="18"/>
              </w:rPr>
            </w:pPr>
            <w:r>
              <w:rPr>
                <w:rFonts w:ascii="Times New Roman"/>
                <w:sz w:val="18"/>
              </w:rPr>
              <w:t>24,638.</w:t>
            </w:r>
          </w:p>
          <w:p>
            <w:pPr>
              <w:pStyle w:val="TableParagraph"/>
              <w:spacing w:line="240" w:lineRule="auto" w:before="110"/>
              <w:ind w:left="499" w:right="0"/>
              <w:jc w:val="left"/>
              <w:rPr>
                <w:rFonts w:ascii="Times New Roman" w:hAnsi="Times New Roman" w:cs="Times New Roman" w:eastAsia="Times New Roman" w:hint="default"/>
                <w:sz w:val="18"/>
                <w:szCs w:val="18"/>
              </w:rPr>
            </w:pPr>
            <w:r>
              <w:rPr>
                <w:rFonts w:ascii="Times New Roman"/>
                <w:sz w:val="18"/>
              </w:rPr>
              <w:t>39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1,619,1</w:t>
            </w:r>
          </w:p>
          <w:p>
            <w:pPr>
              <w:pStyle w:val="TableParagraph"/>
              <w:spacing w:line="240" w:lineRule="auto" w:before="100"/>
              <w:ind w:left="129" w:right="0"/>
              <w:jc w:val="left"/>
              <w:rPr>
                <w:rFonts w:ascii="Times New Roman" w:hAnsi="Times New Roman" w:cs="Times New Roman" w:eastAsia="Times New Roman" w:hint="default"/>
                <w:sz w:val="18"/>
                <w:szCs w:val="18"/>
              </w:rPr>
            </w:pPr>
            <w:r>
              <w:rPr>
                <w:rFonts w:ascii="Times New Roman"/>
                <w:sz w:val="18"/>
              </w:rPr>
              <w:t>50,184.</w:t>
            </w:r>
          </w:p>
          <w:p>
            <w:pPr>
              <w:pStyle w:val="TableParagraph"/>
              <w:spacing w:line="240" w:lineRule="auto" w:before="110"/>
              <w:ind w:left="489" w:right="0"/>
              <w:jc w:val="left"/>
              <w:rPr>
                <w:rFonts w:ascii="Times New Roman" w:hAnsi="Times New Roman" w:cs="Times New Roman" w:eastAsia="Times New Roman" w:hint="default"/>
                <w:sz w:val="18"/>
                <w:szCs w:val="18"/>
              </w:rPr>
            </w:pPr>
            <w:r>
              <w:rPr>
                <w:rFonts w:ascii="Times New Roman"/>
                <w:sz w:val="18"/>
              </w:rPr>
              <w:t>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83,761,</w:t>
            </w:r>
          </w:p>
          <w:p>
            <w:pPr>
              <w:pStyle w:val="TableParagraph"/>
              <w:spacing w:line="240" w:lineRule="auto" w:before="110"/>
              <w:ind w:left="192" w:right="0"/>
              <w:jc w:val="left"/>
              <w:rPr>
                <w:rFonts w:ascii="Times New Roman" w:hAnsi="Times New Roman" w:cs="Times New Roman" w:eastAsia="Times New Roman" w:hint="default"/>
                <w:sz w:val="18"/>
                <w:szCs w:val="18"/>
              </w:rPr>
            </w:pPr>
            <w:r>
              <w:rPr>
                <w:rFonts w:ascii="Times New Roman"/>
                <w:sz w:val="18"/>
              </w:rPr>
              <w:t>548.99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5.17%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1,535,38</w:t>
            </w:r>
          </w:p>
          <w:p>
            <w:pPr>
              <w:pStyle w:val="TableParagraph"/>
              <w:spacing w:line="240" w:lineRule="auto" w:before="110"/>
              <w:ind w:left="191" w:right="0"/>
              <w:jc w:val="left"/>
              <w:rPr>
                <w:rFonts w:ascii="Times New Roman" w:hAnsi="Times New Roman" w:cs="Times New Roman" w:eastAsia="Times New Roman" w:hint="default"/>
                <w:sz w:val="18"/>
                <w:szCs w:val="18"/>
              </w:rPr>
            </w:pPr>
            <w:r>
              <w:rPr>
                <w:rFonts w:ascii="Times New Roman"/>
                <w:sz w:val="18"/>
              </w:rPr>
              <w:t>8,635.95</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399"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1,358,754,765.52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40,762,642.98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222,405,165.35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22,240,516.53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47,446,543.01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9,489,308.60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42,021,265.25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21,010,632.63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50.00%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13,409,430.84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13,409,430.84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1,684,037,169.97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106,912,531.58</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906" w:footer="1022" w:top="1100" w:bottom="1220" w:left="1020" w:right="0"/>
        </w:sectPr>
      </w:pPr>
    </w:p>
    <w:p>
      <w:pPr>
        <w:spacing w:line="357" w:lineRule="auto" w:before="46"/>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2096" w:space="6734"/>
            <w:col w:w="2060"/>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3"/>
      </w:tblGrid>
      <w:tr>
        <w:trPr>
          <w:trHeight w:val="404"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57" w:lineRule="auto" w:before="56"/>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如是按照预期信用损失一般模型计提应收账款坏账准备，请参照其他应收款的披露方式披露坏账准备的相关信息：</w:t>
      </w:r>
    </w:p>
    <w:p>
      <w:pPr>
        <w:spacing w:line="357" w:lineRule="auto" w:before="32"/>
        <w:ind w:left="113" w:right="9217"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按账龄披露</w:t>
      </w:r>
    </w:p>
    <w:p>
      <w:pPr>
        <w:spacing w:before="2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39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9"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1,358,754,765.52</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222,405,165.35</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47,446,543.01</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55,430,696.09</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42,021,265.25</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13,409,430.84</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1,684,037,169.97</w:t>
            </w:r>
          </w:p>
        </w:tc>
      </w:tr>
    </w:tbl>
    <w:p>
      <w:pPr>
        <w:spacing w:before="53"/>
        <w:ind w:left="113" w:right="1007" w:firstLine="0"/>
        <w:jc w:val="left"/>
        <w:rPr>
          <w:rFonts w:ascii="宋体" w:hAnsi="宋体" w:cs="宋体" w:eastAsia="宋体" w:hint="default"/>
          <w:sz w:val="18"/>
          <w:szCs w:val="18"/>
        </w:rPr>
      </w:pPr>
      <w:r>
        <w:rPr>
          <w:rFonts w:ascii="宋体" w:hAnsi="宋体" w:cs="宋体" w:eastAsia="宋体" w:hint="default"/>
          <w:spacing w:val="-3"/>
          <w:sz w:val="18"/>
          <w:szCs w:val="18"/>
        </w:rPr>
        <w:t>公司需要遵守《深圳证券交易所行业信息披露指引第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号——上市公司从事软件与信息技术服务业务》的披露要求</w:t>
      </w:r>
    </w:p>
    <w:p>
      <w:pPr>
        <w:spacing w:line="240" w:lineRule="auto" w:before="3"/>
        <w:rPr>
          <w:rFonts w:ascii="宋体" w:hAnsi="宋体" w:cs="宋体" w:eastAsia="宋体" w:hint="default"/>
          <w:sz w:val="25"/>
          <w:szCs w:val="25"/>
        </w:rPr>
      </w:pPr>
    </w:p>
    <w:p>
      <w:pPr>
        <w:pStyle w:val="Heading3"/>
        <w:spacing w:line="240" w:lineRule="auto"/>
        <w:ind w:right="1764"/>
        <w:jc w:val="left"/>
        <w:rPr>
          <w:b w:val="0"/>
          <w:bCs w:val="0"/>
        </w:rPr>
      </w:pPr>
      <w:bookmarkStart w:name="（2）本期计提、收回或转回的坏账准备情况" w:id="248"/>
      <w:bookmarkEnd w:id="24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23"/>
          <w:szCs w:val="23"/>
        </w:rPr>
      </w:pPr>
    </w:p>
    <w:p>
      <w:pPr>
        <w:spacing w:before="46"/>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9"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166"/>
              <w:jc w:val="both"/>
              <w:rPr>
                <w:rFonts w:ascii="宋体" w:hAnsi="宋体" w:cs="宋体" w:eastAsia="宋体" w:hint="default"/>
                <w:sz w:val="18"/>
                <w:szCs w:val="18"/>
              </w:rPr>
            </w:pPr>
            <w:r>
              <w:rPr>
                <w:rFonts w:ascii="宋体" w:hAnsi="宋体" w:cs="宋体" w:eastAsia="宋体" w:hint="default"/>
                <w:spacing w:val="-2"/>
                <w:sz w:val="18"/>
                <w:szCs w:val="18"/>
              </w:rPr>
              <w:t>单项计提预期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信用损失的应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收账款</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66"/>
              <w:jc w:val="both"/>
              <w:rPr>
                <w:rFonts w:ascii="宋体" w:hAnsi="宋体" w:cs="宋体" w:eastAsia="宋体" w:hint="default"/>
                <w:sz w:val="18"/>
                <w:szCs w:val="18"/>
              </w:rPr>
            </w:pPr>
            <w:r>
              <w:rPr>
                <w:rFonts w:ascii="宋体" w:hAnsi="宋体" w:cs="宋体" w:eastAsia="宋体" w:hint="default"/>
                <w:spacing w:val="-2"/>
                <w:sz w:val="18"/>
                <w:szCs w:val="18"/>
              </w:rPr>
              <w:t>按组合计提预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期信用损失的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应收账款</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其中：账龄组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合</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83,761,548.99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23,150,982.59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106,912,531.58</w:t>
            </w: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合并范围内关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联方组合</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83,761,548.99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23,150,982.59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106,912,531.58</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其中本期坏账准备收回或转回金额重要的：</w:t>
      </w:r>
    </w:p>
    <w:p>
      <w:pPr>
        <w:spacing w:after="0"/>
        <w:jc w:val="left"/>
        <w:rPr>
          <w:rFonts w:ascii="宋体" w:hAnsi="宋体" w:cs="宋体" w:eastAsia="宋体" w:hint="default"/>
          <w:sz w:val="18"/>
          <w:szCs w:val="18"/>
        </w:rPr>
        <w:sectPr>
          <w:type w:val="continuous"/>
          <w:pgSz w:w="11910" w:h="16840"/>
          <w:pgMar w:top="1100" w:bottom="1220" w:left="1020" w:right="0"/>
        </w:sectPr>
      </w:pPr>
    </w:p>
    <w:p>
      <w:pPr>
        <w:spacing w:line="240" w:lineRule="auto" w:before="2"/>
        <w:rPr>
          <w:rFonts w:ascii="宋体" w:hAnsi="宋体" w:cs="宋体" w:eastAsia="宋体" w:hint="default"/>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5" w:right="0"/>
              <w:jc w:val="left"/>
              <w:rPr>
                <w:rFonts w:ascii="宋体" w:hAnsi="宋体" w:cs="宋体" w:eastAsia="宋体" w:hint="default"/>
                <w:sz w:val="18"/>
                <w:szCs w:val="18"/>
              </w:rPr>
            </w:pPr>
            <w:r>
              <w:rPr>
                <w:rFonts w:ascii="宋体" w:hAnsi="宋体" w:cs="宋体" w:eastAsia="宋体" w:hint="default"/>
                <w:spacing w:val="-3"/>
                <w:sz w:val="18"/>
                <w:szCs w:val="18"/>
              </w:rPr>
              <w:t>收回或转回金额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3）本期实际核销的应收账款情况" w:id="249"/>
      <w:bookmarkEnd w:id="249"/>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其中重要的应收账款核销情况：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710"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2" w:right="156" w:hanging="270"/>
              <w:jc w:val="left"/>
              <w:rPr>
                <w:rFonts w:ascii="宋体" w:hAnsi="宋体" w:cs="宋体" w:eastAsia="宋体" w:hint="default"/>
                <w:sz w:val="18"/>
                <w:szCs w:val="18"/>
              </w:rPr>
            </w:pPr>
            <w:r>
              <w:rPr>
                <w:rFonts w:ascii="宋体" w:hAnsi="宋体" w:cs="宋体" w:eastAsia="宋体" w:hint="default"/>
                <w:spacing w:val="-3"/>
                <w:sz w:val="18"/>
                <w:szCs w:val="18"/>
              </w:rPr>
              <w:t>款项是否由关联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交易产生</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应收账款核销说明：</w:t>
      </w:r>
    </w:p>
    <w:p>
      <w:pPr>
        <w:spacing w:line="240" w:lineRule="auto" w:before="9"/>
        <w:rPr>
          <w:rFonts w:ascii="宋体" w:hAnsi="宋体" w:cs="宋体" w:eastAsia="宋体" w:hint="default"/>
          <w:sz w:val="26"/>
          <w:szCs w:val="26"/>
        </w:rPr>
      </w:pPr>
    </w:p>
    <w:p>
      <w:pPr>
        <w:pStyle w:val="Heading3"/>
        <w:spacing w:line="240" w:lineRule="auto"/>
        <w:ind w:right="1764"/>
        <w:jc w:val="left"/>
        <w:rPr>
          <w:b w:val="0"/>
          <w:bCs w:val="0"/>
        </w:rPr>
      </w:pPr>
      <w:bookmarkStart w:name="（4）按欠款方归集的期末余额前五名的应收账款情况" w:id="250"/>
      <w:bookmarkEnd w:id="250"/>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83"/>
        <w:gridCol w:w="2531"/>
        <w:gridCol w:w="2526"/>
        <w:gridCol w:w="2531"/>
      </w:tblGrid>
      <w:tr>
        <w:trPr>
          <w:trHeight w:val="716"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989" w:right="170" w:hanging="812"/>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占应收账款期末余额合计数</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73,223,444.02</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4.35%</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2,196,703.32</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55,174,122.32</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3.28%</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3,041,348.19</w:t>
            </w:r>
          </w:p>
        </w:tc>
      </w:tr>
      <w:tr>
        <w:trPr>
          <w:trHeight w:val="398"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53,450,438.53</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3.17%</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3,532,373.14</w:t>
            </w:r>
          </w:p>
        </w:tc>
      </w:tr>
      <w:tr>
        <w:trPr>
          <w:trHeight w:val="404"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47,452,611.37</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2.82%</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2,056,697.76</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44,497,256.62</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2.64%</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1,334,917.70</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273,797,872.86</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16.26%</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5）因金融资产转移而终止确认的应收账款" w:id="251"/>
      <w:bookmarkEnd w:id="251"/>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764"/>
        <w:jc w:val="left"/>
        <w:rPr>
          <w:b w:val="0"/>
          <w:bCs w:val="0"/>
        </w:rPr>
      </w:pPr>
      <w:bookmarkStart w:name="（6）转移应收账款且继续涉入形成的资产、负债金额" w:id="252"/>
      <w:bookmarkEnd w:id="252"/>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1"/>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6、应收款项融资" w:id="253"/>
      <w:bookmarkEnd w:id="253"/>
      <w:r>
        <w:rPr>
          <w:b w:val="0"/>
          <w:bCs w:val="0"/>
        </w:rPr>
      </w:r>
      <w:r>
        <w:rPr>
          <w:rFonts w:ascii="Times New Roman" w:hAnsi="Times New Roman" w:cs="Times New Roman" w:eastAsia="Times New Roman" w:hint="default"/>
        </w:rPr>
        <w:t>6</w:t>
      </w:r>
      <w:r>
        <w:rPr/>
        <w:t>、应收款项融资</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01"/>
              <w:jc w:val="right"/>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43,379,836.02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01"/>
              <w:jc w:val="righ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43,379,836.02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应收款项融资本期增减变动及公允价值变动情况</w:t>
      </w:r>
    </w:p>
    <w:p>
      <w:pPr>
        <w:spacing w:before="114"/>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2"/>
        <w:rPr>
          <w:rFonts w:ascii="宋体" w:hAnsi="宋体" w:cs="宋体" w:eastAsia="宋体" w:hint="default"/>
          <w:sz w:val="23"/>
          <w:szCs w:val="23"/>
        </w:rPr>
      </w:pPr>
    </w:p>
    <w:p>
      <w:pPr>
        <w:spacing w:before="46"/>
        <w:ind w:left="113" w:right="1007" w:firstLine="0"/>
        <w:jc w:val="left"/>
        <w:rPr>
          <w:rFonts w:ascii="宋体" w:hAnsi="宋体" w:cs="宋体" w:eastAsia="宋体" w:hint="default"/>
          <w:sz w:val="18"/>
          <w:szCs w:val="18"/>
        </w:rPr>
      </w:pPr>
      <w:r>
        <w:rPr>
          <w:rFonts w:ascii="宋体" w:hAnsi="宋体" w:cs="宋体" w:eastAsia="宋体" w:hint="default"/>
          <w:spacing w:val="-3"/>
          <w:sz w:val="18"/>
          <w:szCs w:val="18"/>
        </w:rPr>
        <w:t>如是按照预期信用损失一般模型计提应收款项融资减值准备，请参照其他应收款的披露方式披露减值准备的相关信息：</w:t>
      </w:r>
    </w:p>
    <w:p>
      <w:pPr>
        <w:spacing w:line="362" w:lineRule="auto" w:before="115"/>
        <w:ind w:left="113" w:right="9217"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其他说明：</w:t>
      </w:r>
    </w:p>
    <w:p>
      <w:pPr>
        <w:spacing w:line="240" w:lineRule="auto" w:before="4"/>
        <w:rPr>
          <w:rFonts w:ascii="宋体" w:hAnsi="宋体" w:cs="宋体" w:eastAsia="宋体" w:hint="default"/>
          <w:sz w:val="19"/>
          <w:szCs w:val="19"/>
        </w:rPr>
      </w:pPr>
    </w:p>
    <w:p>
      <w:pPr>
        <w:pStyle w:val="Heading3"/>
        <w:spacing w:line="240" w:lineRule="auto"/>
        <w:ind w:right="1764"/>
        <w:jc w:val="left"/>
        <w:rPr>
          <w:b w:val="0"/>
          <w:bCs w:val="0"/>
        </w:rPr>
      </w:pPr>
      <w:bookmarkStart w:name="7、预付款项" w:id="254"/>
      <w:bookmarkEnd w:id="254"/>
      <w:r>
        <w:rPr>
          <w:b w:val="0"/>
          <w:bCs w:val="0"/>
        </w:rPr>
      </w:r>
      <w:r>
        <w:rPr>
          <w:rFonts w:ascii="Times New Roman" w:hAnsi="Times New Roman" w:cs="Times New Roman" w:eastAsia="Times New Roman" w:hint="default"/>
        </w:rPr>
        <w:t>7</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1）预付款项按账龄列示" w:id="255"/>
      <w:bookmarkEnd w:id="255"/>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16"/>
        <w:gridCol w:w="1916"/>
        <w:gridCol w:w="1916"/>
        <w:gridCol w:w="1916"/>
      </w:tblGrid>
      <w:tr>
        <w:trPr>
          <w:trHeight w:val="403"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449,989,299.79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99.42%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96,541,885.93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99.08%</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2,252,590.29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658,865.98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0.68%</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294,770.83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237,500.00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0.24%</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98,951.87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700.00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452,635,612.78</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97,438,951.91</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账龄超过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年且金额重要的预付款项未及时结算原因的说明：</w:t>
      </w:r>
    </w:p>
    <w:p>
      <w:pPr>
        <w:spacing w:line="240" w:lineRule="auto" w:before="8"/>
        <w:rPr>
          <w:rFonts w:ascii="宋体" w:hAnsi="宋体" w:cs="宋体" w:eastAsia="宋体" w:hint="default"/>
          <w:sz w:val="25"/>
          <w:szCs w:val="25"/>
        </w:rPr>
      </w:pPr>
    </w:p>
    <w:p>
      <w:pPr>
        <w:pStyle w:val="Heading3"/>
        <w:spacing w:line="240" w:lineRule="auto"/>
        <w:ind w:right="1764"/>
        <w:jc w:val="left"/>
        <w:rPr>
          <w:b w:val="0"/>
          <w:bCs w:val="0"/>
        </w:rPr>
      </w:pPr>
      <w:bookmarkStart w:name="（2）按预付对象归集的期末余额前五名的预付款情况" w:id="256"/>
      <w:bookmarkEnd w:id="256"/>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3" w:type="dxa"/>
        <w:tblLayout w:type="fixed"/>
        <w:tblCellMar>
          <w:top w:w="0" w:type="dxa"/>
          <w:left w:w="0" w:type="dxa"/>
          <w:bottom w:w="0" w:type="dxa"/>
          <w:right w:w="0" w:type="dxa"/>
        </w:tblCellMar>
        <w:tblLook w:val="01E0"/>
      </w:tblPr>
      <w:tblGrid>
        <w:gridCol w:w="3371"/>
        <w:gridCol w:w="2578"/>
        <w:gridCol w:w="2586"/>
      </w:tblGrid>
      <w:tr>
        <w:trPr>
          <w:trHeight w:val="353" w:hRule="exact"/>
        </w:trPr>
        <w:tc>
          <w:tcPr>
            <w:tcW w:w="33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5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8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249" w:right="0"/>
              <w:jc w:val="left"/>
              <w:rPr>
                <w:rFonts w:ascii="宋体" w:hAnsi="宋体" w:cs="宋体" w:eastAsia="宋体" w:hint="default"/>
                <w:sz w:val="18"/>
                <w:szCs w:val="18"/>
              </w:rPr>
            </w:pPr>
            <w:r>
              <w:rPr>
                <w:rFonts w:ascii="宋体" w:hAnsi="宋体" w:cs="宋体" w:eastAsia="宋体" w:hint="default"/>
                <w:sz w:val="18"/>
                <w:szCs w:val="18"/>
              </w:rPr>
              <w:t>占预付款项总额的比例</w:t>
            </w:r>
            <w:r>
              <w:rPr>
                <w:rFonts w:ascii="宋体" w:hAnsi="宋体" w:cs="宋体" w:eastAsia="宋体" w:hint="default"/>
                <w:sz w:val="18"/>
                <w:szCs w:val="18"/>
              </w:rPr>
              <w:t>(%)</w:t>
            </w:r>
          </w:p>
        </w:tc>
      </w:tr>
      <w:tr>
        <w:trPr>
          <w:trHeight w:val="355" w:hRule="exact"/>
        </w:trPr>
        <w:tc>
          <w:tcPr>
            <w:tcW w:w="33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pacing w:val="-3"/>
                <w:sz w:val="18"/>
                <w:szCs w:val="18"/>
              </w:rPr>
              <w:t>期末余额前五名预付款项汇总</w:t>
            </w:r>
          </w:p>
        </w:tc>
        <w:tc>
          <w:tcPr>
            <w:tcW w:w="25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1305" w:right="-5"/>
              <w:jc w:val="left"/>
              <w:rPr>
                <w:rFonts w:ascii="宋体" w:hAnsi="宋体" w:cs="宋体" w:eastAsia="宋体" w:hint="default"/>
                <w:sz w:val="18"/>
                <w:szCs w:val="18"/>
              </w:rPr>
            </w:pPr>
            <w:r>
              <w:rPr>
                <w:rFonts w:ascii="宋体"/>
                <w:spacing w:val="-2"/>
                <w:sz w:val="18"/>
              </w:rPr>
              <w:t>426,711,972.99</w:t>
            </w:r>
          </w:p>
        </w:tc>
        <w:tc>
          <w:tcPr>
            <w:tcW w:w="258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5"/>
              <w:ind w:right="9"/>
              <w:jc w:val="right"/>
              <w:rPr>
                <w:rFonts w:ascii="宋体" w:hAnsi="宋体" w:cs="宋体" w:eastAsia="宋体" w:hint="default"/>
                <w:sz w:val="18"/>
                <w:szCs w:val="18"/>
              </w:rPr>
            </w:pPr>
            <w:r>
              <w:rPr>
                <w:rFonts w:ascii="宋体"/>
                <w:sz w:val="18"/>
              </w:rPr>
              <w:t>94.27</w:t>
            </w:r>
          </w:p>
        </w:tc>
      </w:tr>
      <w:tr>
        <w:trPr>
          <w:trHeight w:val="351" w:hRule="exact"/>
        </w:trPr>
        <w:tc>
          <w:tcPr>
            <w:tcW w:w="3371" w:type="dxa"/>
            <w:tcBorders>
              <w:top w:val="single" w:sz="12" w:space="0" w:color="000000"/>
              <w:left w:val="single" w:sz="6" w:space="0" w:color="000000"/>
              <w:bottom w:val="single" w:sz="12" w:space="0" w:color="000000"/>
              <w:right w:val="nil" w:sz="6" w:space="0" w:color="auto"/>
            </w:tcBorders>
          </w:tcPr>
          <w:p>
            <w:pPr/>
          </w:p>
        </w:tc>
        <w:tc>
          <w:tcPr>
            <w:tcW w:w="5164" w:type="dxa"/>
            <w:gridSpan w:val="2"/>
            <w:tcBorders>
              <w:top w:val="single" w:sz="12" w:space="0" w:color="000000"/>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b/>
          <w:bCs/>
          <w:sz w:val="24"/>
          <w:szCs w:val="24"/>
        </w:rPr>
      </w:pPr>
    </w:p>
    <w:p>
      <w:pPr>
        <w:spacing w:before="46"/>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3"/>
        <w:spacing w:line="240" w:lineRule="auto"/>
        <w:ind w:right="1764"/>
        <w:jc w:val="left"/>
        <w:rPr>
          <w:b w:val="0"/>
          <w:bCs w:val="0"/>
        </w:rPr>
      </w:pPr>
      <w:bookmarkStart w:name="8、其他应收款" w:id="257"/>
      <w:bookmarkEnd w:id="257"/>
      <w:r>
        <w:rPr>
          <w:b w:val="0"/>
          <w:bCs w:val="0"/>
        </w:rPr>
      </w:r>
      <w:r>
        <w:rPr>
          <w:rFonts w:ascii="Times New Roman" w:hAnsi="Times New Roman" w:cs="Times New Roman" w:eastAsia="Times New Roman" w:hint="default"/>
        </w:rPr>
        <w:t>8</w:t>
      </w:r>
      <w:r>
        <w:rPr/>
        <w:t>、其他应收款</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57,129,082.85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57,073,821.42</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57,129,082.85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57,073,821.42</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1）应收利息" w:id="258"/>
      <w:bookmarkEnd w:id="258"/>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1）应收利息分类" w:id="259"/>
      <w:bookmarkEnd w:id="259"/>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3"/>
        <w:spacing w:line="240" w:lineRule="auto" w:before="36"/>
        <w:ind w:right="1764"/>
        <w:jc w:val="left"/>
        <w:rPr>
          <w:b w:val="0"/>
          <w:bCs w:val="0"/>
        </w:rPr>
      </w:pPr>
      <w:bookmarkStart w:name="2）重要逾期利息" w:id="260"/>
      <w:bookmarkEnd w:id="260"/>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686" w:right="137" w:hanging="543"/>
              <w:jc w:val="left"/>
              <w:rPr>
                <w:rFonts w:ascii="宋体" w:hAnsi="宋体" w:cs="宋体" w:eastAsia="宋体" w:hint="default"/>
                <w:sz w:val="18"/>
                <w:szCs w:val="18"/>
              </w:rPr>
            </w:pPr>
            <w:r>
              <w:rPr>
                <w:rFonts w:ascii="宋体" w:hAnsi="宋体" w:cs="宋体" w:eastAsia="宋体" w:hint="default"/>
                <w:spacing w:val="-3"/>
                <w:sz w:val="18"/>
                <w:szCs w:val="18"/>
              </w:rPr>
              <w:t>是否发生减值及其判</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断依据</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3"/>
        <w:spacing w:line="240" w:lineRule="auto"/>
        <w:ind w:right="1764"/>
        <w:jc w:val="left"/>
        <w:rPr>
          <w:b w:val="0"/>
          <w:bCs w:val="0"/>
        </w:rPr>
      </w:pPr>
      <w:bookmarkStart w:name="3）坏账准备计提情况" w:id="261"/>
      <w:bookmarkEnd w:id="261"/>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1"/>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2）应收股利" w:id="262"/>
      <w:bookmarkEnd w:id="262"/>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1）应收股利分类" w:id="263"/>
      <w:bookmarkEnd w:id="263"/>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2）重要的账龄超过1年的应收股利" w:id="264"/>
      <w:bookmarkEnd w:id="264"/>
      <w:r>
        <w:rPr>
          <w:b w:val="0"/>
          <w:bCs w:val="0"/>
        </w:rPr>
      </w:r>
      <w:r>
        <w:rPr>
          <w:rFonts w:ascii="Times New Roman" w:hAnsi="Times New Roman" w:cs="Times New Roman" w:eastAsia="Times New Roman" w:hint="default"/>
        </w:rPr>
        <w:t>2</w:t>
      </w:r>
      <w:r>
        <w:rPr/>
        <w:t>）重要的账龄超过</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686" w:right="137" w:hanging="543"/>
              <w:jc w:val="left"/>
              <w:rPr>
                <w:rFonts w:ascii="宋体" w:hAnsi="宋体" w:cs="宋体" w:eastAsia="宋体" w:hint="default"/>
                <w:sz w:val="18"/>
                <w:szCs w:val="18"/>
              </w:rPr>
            </w:pPr>
            <w:r>
              <w:rPr>
                <w:rFonts w:ascii="宋体" w:hAnsi="宋体" w:cs="宋体" w:eastAsia="宋体" w:hint="default"/>
                <w:spacing w:val="-3"/>
                <w:sz w:val="18"/>
                <w:szCs w:val="18"/>
              </w:rPr>
              <w:t>是否发生减值及其判</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断依据</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3）坏账准备计提情况" w:id="265"/>
      <w:bookmarkEnd w:id="265"/>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9"/>
        <w:rPr>
          <w:rFonts w:ascii="宋体" w:hAnsi="宋体" w:cs="宋体" w:eastAsia="宋体" w:hint="default"/>
          <w:b/>
          <w:bCs/>
          <w:sz w:val="26"/>
          <w:szCs w:val="26"/>
        </w:rPr>
      </w:pPr>
    </w:p>
    <w:p>
      <w:pPr>
        <w:spacing w:line="362" w:lineRule="auto" w:before="0"/>
        <w:ind w:left="113" w:right="9217"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其他说明：</w:t>
      </w:r>
    </w:p>
    <w:p>
      <w:pPr>
        <w:spacing w:line="240" w:lineRule="auto" w:before="4"/>
        <w:rPr>
          <w:rFonts w:ascii="宋体" w:hAnsi="宋体" w:cs="宋体" w:eastAsia="宋体" w:hint="default"/>
          <w:sz w:val="19"/>
          <w:szCs w:val="19"/>
        </w:rPr>
      </w:pPr>
    </w:p>
    <w:p>
      <w:pPr>
        <w:pStyle w:val="Heading3"/>
        <w:spacing w:line="240" w:lineRule="auto"/>
        <w:ind w:right="1764"/>
        <w:jc w:val="left"/>
        <w:rPr>
          <w:b w:val="0"/>
          <w:bCs w:val="0"/>
        </w:rPr>
      </w:pPr>
      <w:bookmarkStart w:name="（3）其他应收款" w:id="266"/>
      <w:bookmarkEnd w:id="266"/>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1）其他应收款按款项性质分类情况" w:id="267"/>
      <w:bookmarkEnd w:id="267"/>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4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员工借款及备用金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15,055,030.37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16,993,445.03</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38,169,252.87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32,639,861.37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723,521.11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390,319.46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7,203,042.73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8,396,999.80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1,149,633.45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2,444,498.69</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62,300,480.53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60,865,124.35</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3"/>
        <w:spacing w:line="240" w:lineRule="auto" w:before="36"/>
        <w:ind w:right="1764"/>
        <w:jc w:val="left"/>
        <w:rPr>
          <w:b w:val="0"/>
          <w:bCs w:val="0"/>
        </w:rPr>
      </w:pPr>
      <w:bookmarkStart w:name="2）坏账准备计提情况" w:id="268"/>
      <w:bookmarkEnd w:id="268"/>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652"/>
        <w:gridCol w:w="2098"/>
        <w:gridCol w:w="2103"/>
        <w:gridCol w:w="1800"/>
      </w:tblGrid>
      <w:tr>
        <w:trPr>
          <w:trHeight w:val="404"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461" w:right="137" w:hanging="312"/>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个月预期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63" w:right="137" w:hanging="1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整个存续期预期信用损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64" w:right="142" w:hanging="1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整个存续期预期信用损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0"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3,791,302.93</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3,791,302.93</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127"/>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r>
              <w:rPr>
                <w:rFonts w:ascii="宋体" w:hAnsi="宋体" w:cs="宋体" w:eastAsia="宋体" w:hint="default"/>
                <w:w w:val="101"/>
                <w:sz w:val="18"/>
                <w:szCs w:val="18"/>
              </w:rPr>
              <w:t> </w:t>
            </w:r>
            <w:r>
              <w:rPr>
                <w:rFonts w:ascii="宋体" w:hAnsi="宋体" w:cs="宋体" w:eastAsia="宋体" w:hint="default"/>
                <w:sz w:val="18"/>
                <w:szCs w:val="18"/>
              </w:rPr>
              <w:t>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1,384,723.59</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1,384,723.59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1,294.50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1,294.50</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3,334.34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3,334.34</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105" w:right="12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5,171,397.68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5,171,397.68</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损失准备本期变动金额重大的账面余额变动情况</w:t>
      </w:r>
    </w:p>
    <w:p>
      <w:pPr>
        <w:spacing w:line="357" w:lineRule="auto" w:before="119"/>
        <w:ind w:left="113" w:right="2229"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3897" w:space="4934"/>
            <w:col w:w="2059"/>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35,500,625.70</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22,197,629.99</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2,734,717.66</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1,867,507.18</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1,055,429.81</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812,077.37</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62,300,480.53</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3）本期计提、收回或转回的坏账准备情况" w:id="269"/>
      <w:bookmarkEnd w:id="269"/>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spacing w:before="46"/>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2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417"/>
        <w:gridCol w:w="1100"/>
        <w:gridCol w:w="1340"/>
        <w:gridCol w:w="1330"/>
        <w:gridCol w:w="1330"/>
        <w:gridCol w:w="1330"/>
        <w:gridCol w:w="1724"/>
      </w:tblGrid>
      <w:tr>
        <w:trPr>
          <w:trHeight w:val="403" w:hRule="exact"/>
        </w:trPr>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1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9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417" w:type="dxa"/>
            <w:vMerge/>
            <w:tcBorders>
              <w:left w:val="single" w:sz="4" w:space="0" w:color="000000"/>
              <w:bottom w:val="single" w:sz="4" w:space="0" w:color="000000"/>
              <w:right w:val="single" w:sz="4" w:space="0" w:color="000000"/>
            </w:tcBorders>
            <w:shd w:val="clear" w:color="auto" w:fill="D2D2D2"/>
          </w:tcPr>
          <w:p>
            <w:pPr/>
          </w:p>
        </w:tc>
        <w:tc>
          <w:tcPr>
            <w:tcW w:w="1100"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计提</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4" w:type="dxa"/>
            <w:vMerge/>
            <w:tcBorders>
              <w:left w:val="single" w:sz="4" w:space="0" w:color="000000"/>
              <w:bottom w:val="single" w:sz="4" w:space="0" w:color="000000"/>
              <w:right w:val="single" w:sz="4" w:space="0" w:color="000000"/>
            </w:tcBorders>
            <w:shd w:val="clear" w:color="auto" w:fill="D2D2D2"/>
          </w:tcPr>
          <w:p>
            <w:pP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其中本期坏账准备转回或收回金额重要的：</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65" w:right="0"/>
              <w:jc w:val="left"/>
              <w:rPr>
                <w:rFonts w:ascii="宋体" w:hAnsi="宋体" w:cs="宋体" w:eastAsia="宋体" w:hint="default"/>
                <w:sz w:val="18"/>
                <w:szCs w:val="18"/>
              </w:rPr>
            </w:pPr>
            <w:r>
              <w:rPr>
                <w:rFonts w:ascii="宋体" w:hAnsi="宋体" w:cs="宋体" w:eastAsia="宋体" w:hint="default"/>
                <w:spacing w:val="-3"/>
                <w:sz w:val="18"/>
                <w:szCs w:val="18"/>
              </w:rPr>
              <w:t>转回或收回金额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100" w:bottom="1220" w:left="1020" w:right="0"/>
        </w:sectPr>
      </w:pPr>
    </w:p>
    <w:p>
      <w:pPr>
        <w:spacing w:line="240" w:lineRule="auto" w:before="13"/>
        <w:rPr>
          <w:rFonts w:ascii="宋体" w:hAnsi="宋体" w:cs="宋体" w:eastAsia="宋体" w:hint="default"/>
          <w:sz w:val="21"/>
          <w:szCs w:val="21"/>
        </w:rPr>
      </w:pPr>
    </w:p>
    <w:p>
      <w:pPr>
        <w:pStyle w:val="Heading3"/>
        <w:spacing w:line="240" w:lineRule="auto" w:before="36"/>
        <w:ind w:right="1764"/>
        <w:jc w:val="left"/>
        <w:rPr>
          <w:b w:val="0"/>
          <w:bCs w:val="0"/>
        </w:rPr>
      </w:pPr>
      <w:bookmarkStart w:name="4）本期实际核销的其他应收款情况" w:id="270"/>
      <w:bookmarkEnd w:id="270"/>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89"/>
              <w:jc w:val="right"/>
              <w:rPr>
                <w:rFonts w:ascii="Times New Roman" w:hAnsi="Times New Roman" w:cs="Times New Roman" w:eastAsia="Times New Roman" w:hint="default"/>
                <w:sz w:val="18"/>
                <w:szCs w:val="18"/>
              </w:rPr>
            </w:pPr>
            <w:r>
              <w:rPr>
                <w:rFonts w:ascii="Times New Roman"/>
                <w:spacing w:val="-1"/>
                <w:sz w:val="18"/>
              </w:rPr>
              <w:t>1,294.50</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其中重要的其他应收款核销情况：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5"/>
        <w:gridCol w:w="1594"/>
        <w:gridCol w:w="1599"/>
        <w:gridCol w:w="1594"/>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其他应收款性质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427" w:right="161" w:hanging="270"/>
              <w:jc w:val="left"/>
              <w:rPr>
                <w:rFonts w:ascii="宋体" w:hAnsi="宋体" w:cs="宋体" w:eastAsia="宋体" w:hint="default"/>
                <w:sz w:val="18"/>
                <w:szCs w:val="18"/>
              </w:rPr>
            </w:pPr>
            <w:r>
              <w:rPr>
                <w:rFonts w:ascii="宋体" w:hAnsi="宋体" w:cs="宋体" w:eastAsia="宋体" w:hint="default"/>
                <w:spacing w:val="-3"/>
                <w:sz w:val="18"/>
                <w:szCs w:val="18"/>
              </w:rPr>
              <w:t>款项是否由关联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交易产生</w:t>
            </w:r>
          </w:p>
        </w:tc>
      </w:tr>
    </w:tbl>
    <w:p>
      <w:pPr>
        <w:spacing w:before="56"/>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5）按欠款方归集的期末余额前五名的其他应收款情况" w:id="271"/>
      <w:bookmarkEnd w:id="271"/>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5"/>
        <w:gridCol w:w="1594"/>
        <w:gridCol w:w="1599"/>
        <w:gridCol w:w="1594"/>
      </w:tblGrid>
      <w:tr>
        <w:trPr>
          <w:trHeight w:val="102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345"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63" w:right="161"/>
              <w:jc w:val="center"/>
              <w:rPr>
                <w:rFonts w:ascii="宋体" w:hAnsi="宋体" w:cs="宋体" w:eastAsia="宋体" w:hint="default"/>
                <w:sz w:val="18"/>
                <w:szCs w:val="18"/>
              </w:rPr>
            </w:pPr>
            <w:r>
              <w:rPr>
                <w:rFonts w:ascii="宋体" w:hAnsi="宋体" w:cs="宋体" w:eastAsia="宋体" w:hint="default"/>
                <w:spacing w:val="-3"/>
                <w:sz w:val="18"/>
                <w:szCs w:val="18"/>
              </w:rPr>
              <w:t>占其他应收款期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末余额合计数的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701" w:right="161" w:hanging="543"/>
              <w:jc w:val="left"/>
              <w:rPr>
                <w:rFonts w:ascii="宋体" w:hAnsi="宋体" w:cs="宋体" w:eastAsia="宋体" w:hint="default"/>
                <w:sz w:val="18"/>
                <w:szCs w:val="18"/>
              </w:rPr>
            </w:pPr>
            <w:r>
              <w:rPr>
                <w:rFonts w:ascii="宋体" w:hAnsi="宋体" w:cs="宋体" w:eastAsia="宋体" w:hint="default"/>
                <w:spacing w:val="-3"/>
                <w:sz w:val="18"/>
                <w:szCs w:val="18"/>
              </w:rPr>
              <w:t>坏账准备期末余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105" w:right="214"/>
              <w:jc w:val="left"/>
              <w:rPr>
                <w:rFonts w:ascii="宋体" w:hAnsi="宋体" w:cs="宋体" w:eastAsia="宋体" w:hint="default"/>
                <w:sz w:val="18"/>
                <w:szCs w:val="18"/>
              </w:rPr>
            </w:pPr>
            <w:r>
              <w:rPr>
                <w:rFonts w:ascii="宋体" w:hAnsi="宋体" w:cs="宋体" w:eastAsia="宋体" w:hint="default"/>
                <w:spacing w:val="-3"/>
                <w:sz w:val="18"/>
                <w:szCs w:val="18"/>
              </w:rPr>
              <w:t>广西壮族自治区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粮食局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10,270,360.10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1,027,036.01</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14"/>
              <w:jc w:val="left"/>
              <w:rPr>
                <w:rFonts w:ascii="宋体" w:hAnsi="宋体" w:cs="宋体" w:eastAsia="宋体" w:hint="default"/>
                <w:sz w:val="18"/>
                <w:szCs w:val="18"/>
              </w:rPr>
            </w:pPr>
            <w:r>
              <w:rPr>
                <w:rFonts w:ascii="宋体" w:hAnsi="宋体" w:cs="宋体" w:eastAsia="宋体" w:hint="default"/>
                <w:spacing w:val="-3"/>
                <w:sz w:val="18"/>
                <w:szCs w:val="18"/>
              </w:rPr>
              <w:t>浙江省市场监督</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管理局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3,953,495.00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118,604.85</w:t>
            </w:r>
          </w:p>
        </w:tc>
      </w:tr>
      <w:tr>
        <w:trPr>
          <w:trHeight w:val="71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上海市公安局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2,472,356.70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5" w:right="127"/>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年以</w:t>
            </w:r>
            <w:r>
              <w:rPr>
                <w:rFonts w:ascii="宋体" w:hAnsi="宋体" w:cs="宋体" w:eastAsia="宋体" w:hint="default"/>
                <w:spacing w:val="-5"/>
                <w:w w:val="101"/>
                <w:sz w:val="18"/>
                <w:szCs w:val="18"/>
              </w:rPr>
              <w:t> </w:t>
            </w:r>
            <w:r>
              <w:rPr>
                <w:rFonts w:ascii="宋体" w:hAnsi="宋体" w:cs="宋体" w:eastAsia="宋体" w:hint="default"/>
                <w:sz w:val="18"/>
                <w:szCs w:val="18"/>
              </w:rPr>
              <w:t>上</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232,495.07</w:t>
            </w: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214"/>
              <w:jc w:val="both"/>
              <w:rPr>
                <w:rFonts w:ascii="宋体" w:hAnsi="宋体" w:cs="宋体" w:eastAsia="宋体" w:hint="default"/>
                <w:sz w:val="18"/>
                <w:szCs w:val="18"/>
              </w:rPr>
            </w:pPr>
            <w:r>
              <w:rPr>
                <w:rFonts w:ascii="宋体" w:hAnsi="宋体" w:cs="宋体" w:eastAsia="宋体" w:hint="default"/>
                <w:spacing w:val="-3"/>
                <w:sz w:val="18"/>
                <w:szCs w:val="18"/>
              </w:rPr>
              <w:t>中国联合网络通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信有限公司重庆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市分公司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2,130,000.00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年以上</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230,000.00</w:t>
            </w:r>
          </w:p>
        </w:tc>
      </w:tr>
      <w:tr>
        <w:trPr>
          <w:trHeight w:val="102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214"/>
              <w:jc w:val="both"/>
              <w:rPr>
                <w:rFonts w:ascii="宋体" w:hAnsi="宋体" w:cs="宋体" w:eastAsia="宋体" w:hint="default"/>
                <w:sz w:val="18"/>
                <w:szCs w:val="18"/>
              </w:rPr>
            </w:pPr>
            <w:r>
              <w:rPr>
                <w:rFonts w:ascii="宋体" w:hAnsi="宋体" w:cs="宋体" w:eastAsia="宋体" w:hint="default"/>
                <w:spacing w:val="-3"/>
                <w:sz w:val="18"/>
                <w:szCs w:val="18"/>
              </w:rPr>
              <w:t>深圳数字电视国</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家工程实验室股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sz w:val="18"/>
                <w:szCs w:val="18"/>
              </w:rPr>
              <w:t>房租及押金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1,894,107.60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166,051.12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20,720,319.40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33.27%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1,774,187.05</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6）涉及政府补助的应收款项" w:id="272"/>
      <w:bookmarkEnd w:id="272"/>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16"/>
        <w:gridCol w:w="1916"/>
        <w:gridCol w:w="1916"/>
        <w:gridCol w:w="1916"/>
      </w:tblGrid>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590" w:right="142" w:hanging="452"/>
              <w:jc w:val="left"/>
              <w:rPr>
                <w:rFonts w:ascii="宋体" w:hAnsi="宋体" w:cs="宋体" w:eastAsia="宋体" w:hint="default"/>
                <w:sz w:val="18"/>
                <w:szCs w:val="18"/>
              </w:rPr>
            </w:pPr>
            <w:r>
              <w:rPr>
                <w:rFonts w:ascii="宋体" w:hAnsi="宋体" w:cs="宋体" w:eastAsia="宋体" w:hint="default"/>
                <w:spacing w:val="-3"/>
                <w:sz w:val="18"/>
                <w:szCs w:val="18"/>
              </w:rPr>
              <w:t>预计收取的时间、金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额及依据</w:t>
            </w:r>
          </w:p>
        </w:tc>
      </w:tr>
    </w:tbl>
    <w:p>
      <w:pPr>
        <w:spacing w:after="0" w:line="321"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3"/>
        <w:spacing w:line="240" w:lineRule="auto" w:before="36"/>
        <w:ind w:right="1764"/>
        <w:jc w:val="left"/>
        <w:rPr>
          <w:b w:val="0"/>
          <w:bCs w:val="0"/>
        </w:rPr>
      </w:pPr>
      <w:bookmarkStart w:name="7）因金融资产转移而终止确认的其他应收款" w:id="273"/>
      <w:bookmarkEnd w:id="273"/>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764"/>
        <w:jc w:val="left"/>
        <w:rPr>
          <w:b w:val="0"/>
          <w:bCs w:val="0"/>
        </w:rPr>
      </w:pPr>
      <w:bookmarkStart w:name="8）转移其他应收款且继续涉入形成的资产、负债金额" w:id="274"/>
      <w:bookmarkEnd w:id="274"/>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1"/>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9、存货" w:id="275"/>
      <w:bookmarkEnd w:id="275"/>
      <w:r>
        <w:rPr>
          <w:b w:val="0"/>
          <w:bCs w:val="0"/>
        </w:rPr>
      </w:r>
      <w:r>
        <w:rPr>
          <w:rFonts w:ascii="Times New Roman" w:hAnsi="Times New Roman" w:cs="Times New Roman" w:eastAsia="Times New Roman" w:hint="default"/>
        </w:rPr>
        <w:t>9</w:t>
      </w:r>
      <w:r>
        <w:rPr/>
        <w:t>、存货</w:t>
      </w:r>
      <w:r>
        <w:rPr>
          <w:b w:val="0"/>
          <w:bCs w:val="0"/>
        </w:rPr>
      </w:r>
    </w:p>
    <w:p>
      <w:pPr>
        <w:spacing w:line="240" w:lineRule="auto" w:before="1"/>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13" w:right="176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1）存货分类" w:id="276"/>
      <w:bookmarkEnd w:id="276"/>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1"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61,844,253.26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3" w:right="0"/>
              <w:jc w:val="center"/>
              <w:rPr>
                <w:rFonts w:ascii="Times New Roman" w:hAnsi="Times New Roman" w:cs="Times New Roman" w:eastAsia="Times New Roman" w:hint="default"/>
                <w:sz w:val="18"/>
                <w:szCs w:val="18"/>
              </w:rPr>
            </w:pPr>
            <w:r>
              <w:rPr>
                <w:rFonts w:ascii="Times New Roman"/>
                <w:sz w:val="18"/>
              </w:rPr>
              <w:t>61,844,253.26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10,980,965.21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10,980,965.21</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667,470,923.64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7" w:right="0"/>
              <w:jc w:val="center"/>
              <w:rPr>
                <w:rFonts w:ascii="Times New Roman" w:hAnsi="Times New Roman" w:cs="Times New Roman" w:eastAsia="Times New Roman" w:hint="default"/>
                <w:sz w:val="18"/>
                <w:szCs w:val="18"/>
              </w:rPr>
            </w:pPr>
            <w:r>
              <w:rPr>
                <w:rFonts w:ascii="Times New Roman"/>
                <w:sz w:val="18"/>
              </w:rPr>
              <w:t>667,470,923.64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313,300,676.57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313,300,676.57</w:t>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484,673,966.92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7" w:right="0"/>
              <w:jc w:val="center"/>
              <w:rPr>
                <w:rFonts w:ascii="Times New Roman" w:hAnsi="Times New Roman" w:cs="Times New Roman" w:eastAsia="Times New Roman" w:hint="default"/>
                <w:sz w:val="18"/>
                <w:szCs w:val="18"/>
              </w:rPr>
            </w:pPr>
            <w:r>
              <w:rPr>
                <w:rFonts w:ascii="Times New Roman"/>
                <w:sz w:val="18"/>
              </w:rPr>
              <w:t>484,673,966.92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538,435,302.65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538,435,302.65</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7"/>
              <w:jc w:val="right"/>
              <w:rPr>
                <w:rFonts w:ascii="Times New Roman" w:hAnsi="Times New Roman" w:cs="Times New Roman" w:eastAsia="Times New Roman" w:hint="default"/>
                <w:sz w:val="18"/>
                <w:szCs w:val="18"/>
              </w:rPr>
            </w:pPr>
            <w:r>
              <w:rPr>
                <w:rFonts w:ascii="Times New Roman"/>
                <w:spacing w:val="-1"/>
                <w:sz w:val="18"/>
              </w:rPr>
              <w:t>1,213,989,143.</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82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7"/>
              <w:jc w:val="right"/>
              <w:rPr>
                <w:rFonts w:ascii="Times New Roman" w:hAnsi="Times New Roman" w:cs="Times New Roman" w:eastAsia="Times New Roman" w:hint="default"/>
                <w:sz w:val="18"/>
                <w:szCs w:val="18"/>
              </w:rPr>
            </w:pPr>
            <w:r>
              <w:rPr>
                <w:rFonts w:ascii="Times New Roman"/>
                <w:spacing w:val="-1"/>
                <w:sz w:val="18"/>
              </w:rPr>
              <w:t>1,213,989,143.</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82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862,716,944.43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862,716,944.43</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2）存货跌价准备" w:id="277"/>
      <w:bookmarkEnd w:id="277"/>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6"/>
        <w:rPr>
          <w:rFonts w:ascii="宋体" w:hAnsi="宋体" w:cs="宋体" w:eastAsia="宋体" w:hint="default"/>
          <w:sz w:val="19"/>
          <w:szCs w:val="19"/>
        </w:rPr>
      </w:pPr>
    </w:p>
    <w:p>
      <w:pPr>
        <w:pStyle w:val="Heading3"/>
        <w:spacing w:line="240" w:lineRule="auto" w:before="36"/>
        <w:ind w:right="1764"/>
        <w:jc w:val="left"/>
        <w:rPr>
          <w:b w:val="0"/>
          <w:bCs w:val="0"/>
        </w:rPr>
      </w:pPr>
      <w:bookmarkStart w:name="（3）存货期末余额含有借款费用资本化金额的说明" w:id="278"/>
      <w:bookmarkEnd w:id="278"/>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764"/>
        <w:jc w:val="left"/>
        <w:rPr>
          <w:b w:val="0"/>
          <w:bCs w:val="0"/>
        </w:rPr>
      </w:pPr>
      <w:bookmarkStart w:name="（4）期末建造合同形成的已完工未结算资产情况" w:id="279"/>
      <w:bookmarkEnd w:id="279"/>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10、合同资产" w:id="280"/>
      <w:bookmarkEnd w:id="280"/>
      <w:r>
        <w:rPr>
          <w:b w:val="0"/>
          <w:bCs w:val="0"/>
        </w:rPr>
      </w:r>
      <w:r>
        <w:rPr>
          <w:rFonts w:ascii="Times New Roman" w:hAnsi="Times New Roman" w:cs="Times New Roman" w:eastAsia="Times New Roman" w:hint="default"/>
        </w:rPr>
        <w:t>10</w:t>
      </w:r>
      <w:r>
        <w:rPr/>
        <w:t>、合同资产</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132"/>
        <w:gridCol w:w="1196"/>
        <w:gridCol w:w="1330"/>
        <w:gridCol w:w="1196"/>
        <w:gridCol w:w="1195"/>
        <w:gridCol w:w="1201"/>
        <w:gridCol w:w="1323"/>
      </w:tblGrid>
      <w:tr>
        <w:trPr>
          <w:trHeight w:val="398" w:hRule="exact"/>
        </w:trPr>
        <w:tc>
          <w:tcPr>
            <w:tcW w:w="21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132"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0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3"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2"/>
        <w:rPr>
          <w:rFonts w:ascii="宋体" w:hAnsi="宋体" w:cs="宋体" w:eastAsia="宋体" w:hint="default"/>
          <w:sz w:val="23"/>
          <w:szCs w:val="23"/>
        </w:rPr>
      </w:pPr>
    </w:p>
    <w:p>
      <w:pPr>
        <w:spacing w:before="46"/>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合同资产的账面价值在本期内发生的重大变动金额和原因：</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204"/>
        <w:gridCol w:w="2420"/>
        <w:gridCol w:w="4945"/>
      </w:tblGrid>
      <w:tr>
        <w:trPr>
          <w:trHeight w:val="399"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如是按照预期信用损失一般模型计提合同资产坏账准备，请参照其他应收款的披露方式披露坏账准备的相关信息：</w:t>
      </w:r>
    </w:p>
    <w:p>
      <w:pPr>
        <w:spacing w:line="357" w:lineRule="auto" w:before="119"/>
        <w:ind w:left="113" w:right="7695"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本期合同资产计提减值准备情况</w:t>
      </w:r>
    </w:p>
    <w:p>
      <w:pPr>
        <w:spacing w:before="31"/>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9" w:right="0"/>
              <w:jc w:val="left"/>
              <w:rPr>
                <w:rFonts w:ascii="宋体" w:hAnsi="宋体" w:cs="宋体" w:eastAsia="宋体" w:hint="default"/>
                <w:sz w:val="18"/>
                <w:szCs w:val="18"/>
              </w:rPr>
            </w:pPr>
            <w:r>
              <w:rPr>
                <w:rFonts w:ascii="宋体" w:hAnsi="宋体" w:cs="宋体" w:eastAsia="宋体" w:hint="default"/>
                <w:spacing w:val="-3"/>
                <w:sz w:val="18"/>
                <w:szCs w:val="18"/>
              </w:rPr>
              <w:t>本期转销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核销</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3"/>
        <w:spacing w:line="240" w:lineRule="auto"/>
        <w:ind w:right="1764"/>
        <w:jc w:val="left"/>
        <w:rPr>
          <w:b w:val="0"/>
          <w:bCs w:val="0"/>
        </w:rPr>
      </w:pPr>
      <w:bookmarkStart w:name="11、持有待售资产" w:id="281"/>
      <w:bookmarkEnd w:id="281"/>
      <w:r>
        <w:rPr>
          <w:b w:val="0"/>
          <w:bCs w:val="0"/>
        </w:rPr>
      </w:r>
      <w:r>
        <w:rPr>
          <w:rFonts w:ascii="Times New Roman" w:hAnsi="Times New Roman" w:cs="Times New Roman" w:eastAsia="Times New Roman" w:hint="default"/>
        </w:rPr>
        <w:t>11</w:t>
      </w:r>
      <w:r>
        <w:rPr/>
        <w:t>、持有待售资产</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4"/>
        <w:gridCol w:w="1368"/>
        <w:gridCol w:w="1369"/>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12、一年内到期的非流动资产" w:id="282"/>
      <w:bookmarkEnd w:id="282"/>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6"/>
        <w:ind w:left="113" w:right="1764" w:firstLine="0"/>
        <w:jc w:val="left"/>
        <w:rPr>
          <w:rFonts w:ascii="宋体" w:hAnsi="宋体" w:cs="宋体" w:eastAsia="宋体" w:hint="default"/>
          <w:sz w:val="18"/>
          <w:szCs w:val="18"/>
        </w:rPr>
      </w:pPr>
      <w:r>
        <w:rPr>
          <w:rFonts w:ascii="宋体" w:hAnsi="宋体" w:cs="宋体" w:eastAsia="宋体" w:hint="default"/>
          <w:sz w:val="18"/>
          <w:szCs w:val="18"/>
        </w:rPr>
        <w:t>重要的债权投资</w:t>
      </w:r>
      <w:r>
        <w:rPr>
          <w:rFonts w:ascii="Times New Roman" w:hAnsi="Times New Roman" w:cs="Times New Roman" w:eastAsia="Times New Roman" w:hint="default"/>
          <w:sz w:val="18"/>
          <w:szCs w:val="18"/>
        </w:rPr>
        <w:t>/</w:t>
      </w:r>
      <w:r>
        <w:rPr>
          <w:rFonts w:ascii="宋体" w:hAnsi="宋体" w:cs="宋体" w:eastAsia="宋体" w:hint="default"/>
          <w:sz w:val="18"/>
          <w:szCs w:val="18"/>
        </w:rPr>
        <w:t>其他债权投资</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960"/>
        <w:gridCol w:w="956"/>
        <w:gridCol w:w="956"/>
        <w:gridCol w:w="960"/>
        <w:gridCol w:w="956"/>
        <w:gridCol w:w="956"/>
        <w:gridCol w:w="956"/>
        <w:gridCol w:w="960"/>
      </w:tblGrid>
      <w:tr>
        <w:trPr>
          <w:trHeight w:val="399"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3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3"/>
        <w:spacing w:line="240" w:lineRule="auto"/>
        <w:ind w:right="1764"/>
        <w:jc w:val="left"/>
        <w:rPr>
          <w:b w:val="0"/>
          <w:bCs w:val="0"/>
        </w:rPr>
      </w:pPr>
      <w:bookmarkStart w:name="13、其他流动资产" w:id="283"/>
      <w:bookmarkEnd w:id="283"/>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6" w:footer="1022" w:top="1100" w:bottom="1220" w:left="1020" w:right="0"/>
        </w:sect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pacing w:val="-2"/>
          <w:sz w:val="18"/>
          <w:szCs w:val="18"/>
        </w:rPr>
        <w:t>是否已执行新收入准则</w:t>
      </w:r>
    </w:p>
    <w:p>
      <w:pPr>
        <w:spacing w:before="115"/>
        <w:ind w:left="113"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1919" w:space="6912"/>
            <w:col w:w="2059"/>
          </w:cols>
        </w:sectPr>
      </w:pP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17,803,301.72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12,701,868.63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多缴所得税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440,736.22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694,312.62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未到期租金摊销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100,407.32</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18,344,445.26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13,396,181.25</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type w:val="continuous"/>
          <w:pgSz w:w="11910" w:h="16840"/>
          <w:pgMar w:top="1100" w:bottom="1220" w:left="1020" w:right="0"/>
        </w:sectPr>
      </w:pPr>
    </w:p>
    <w:p>
      <w:pPr>
        <w:spacing w:line="240" w:lineRule="auto" w:before="8"/>
        <w:rPr>
          <w:rFonts w:ascii="宋体" w:hAnsi="宋体" w:cs="宋体" w:eastAsia="宋体" w:hint="default"/>
          <w:sz w:val="21"/>
          <w:szCs w:val="21"/>
        </w:rPr>
      </w:pPr>
    </w:p>
    <w:p>
      <w:pPr>
        <w:pStyle w:val="Heading3"/>
        <w:spacing w:line="240" w:lineRule="auto" w:before="36"/>
        <w:ind w:right="1764"/>
        <w:jc w:val="left"/>
        <w:rPr>
          <w:b w:val="0"/>
          <w:bCs w:val="0"/>
        </w:rPr>
      </w:pPr>
      <w:bookmarkStart w:name="14、债权投资" w:id="284"/>
      <w:bookmarkEnd w:id="284"/>
      <w:r>
        <w:rPr>
          <w:b w:val="0"/>
          <w:bCs w:val="0"/>
        </w:rPr>
      </w:r>
      <w:r>
        <w:rPr>
          <w:rFonts w:ascii="Times New Roman" w:hAnsi="Times New Roman" w:cs="Times New Roman" w:eastAsia="Times New Roman" w:hint="default"/>
        </w:rPr>
        <w:t>14</w:t>
      </w:r>
      <w:r>
        <w:rPr/>
        <w:t>、债权投资</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4"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重要的债权投资</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960"/>
        <w:gridCol w:w="956"/>
        <w:gridCol w:w="956"/>
        <w:gridCol w:w="960"/>
        <w:gridCol w:w="956"/>
        <w:gridCol w:w="956"/>
        <w:gridCol w:w="956"/>
        <w:gridCol w:w="960"/>
      </w:tblGrid>
      <w:tr>
        <w:trPr>
          <w:trHeight w:val="401"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3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0"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0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88"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06"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减值准备计提情况</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652"/>
        <w:gridCol w:w="2098"/>
        <w:gridCol w:w="2103"/>
        <w:gridCol w:w="1800"/>
      </w:tblGrid>
      <w:tr>
        <w:trPr>
          <w:trHeight w:val="404"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461" w:right="137" w:hanging="312"/>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个月预期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63" w:right="137" w:hanging="1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整个存续期预期信用损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64" w:right="142" w:hanging="1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整个存续期预期信用损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27"/>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r>
              <w:rPr>
                <w:rFonts w:ascii="宋体" w:hAnsi="宋体" w:cs="宋体" w:eastAsia="宋体" w:hint="default"/>
                <w:w w:val="101"/>
                <w:sz w:val="18"/>
                <w:szCs w:val="18"/>
              </w:rPr>
              <w:t> </w:t>
            </w:r>
            <w:r>
              <w:rPr>
                <w:rFonts w:ascii="宋体" w:hAnsi="宋体" w:cs="宋体" w:eastAsia="宋体" w:hint="default"/>
                <w:sz w:val="18"/>
                <w:szCs w:val="18"/>
              </w:rPr>
              <w:t>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before="54"/>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损失准备本期变动金额重大的账面余额变动情况</w:t>
      </w:r>
    </w:p>
    <w:p>
      <w:pPr>
        <w:spacing w:line="362" w:lineRule="auto" w:before="115"/>
        <w:ind w:left="113" w:right="8661"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其他说明：</w:t>
      </w:r>
    </w:p>
    <w:p>
      <w:pPr>
        <w:spacing w:line="240" w:lineRule="auto" w:before="3"/>
        <w:rPr>
          <w:rFonts w:ascii="宋体" w:hAnsi="宋体" w:cs="宋体" w:eastAsia="宋体" w:hint="default"/>
          <w:sz w:val="19"/>
          <w:szCs w:val="19"/>
        </w:rPr>
      </w:pPr>
    </w:p>
    <w:p>
      <w:pPr>
        <w:pStyle w:val="Heading3"/>
        <w:spacing w:line="240" w:lineRule="auto"/>
        <w:ind w:right="1764"/>
        <w:jc w:val="left"/>
        <w:rPr>
          <w:b w:val="0"/>
          <w:bCs w:val="0"/>
        </w:rPr>
      </w:pPr>
      <w:bookmarkStart w:name="15、其他债权投资" w:id="285"/>
      <w:bookmarkEnd w:id="285"/>
      <w:r>
        <w:rPr>
          <w:b w:val="0"/>
          <w:bCs w:val="0"/>
        </w:rPr>
      </w:r>
      <w:r>
        <w:rPr>
          <w:rFonts w:ascii="Times New Roman" w:hAnsi="Times New Roman" w:cs="Times New Roman" w:eastAsia="Times New Roman" w:hint="default"/>
        </w:rPr>
        <w:t>15</w:t>
      </w:r>
      <w:r>
        <w:rPr/>
        <w:t>、其他债权投资</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297"/>
        <w:gridCol w:w="1037"/>
        <w:gridCol w:w="1033"/>
        <w:gridCol w:w="1032"/>
        <w:gridCol w:w="1037"/>
        <w:gridCol w:w="1032"/>
        <w:gridCol w:w="1037"/>
        <w:gridCol w:w="1032"/>
        <w:gridCol w:w="1037"/>
      </w:tblGrid>
      <w:tr>
        <w:trPr>
          <w:trHeight w:val="1652" w:hRule="exact"/>
        </w:trPr>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153" w:right="141"/>
              <w:jc w:val="left"/>
              <w:rPr>
                <w:rFonts w:ascii="宋体" w:hAnsi="宋体" w:cs="宋体" w:eastAsia="宋体" w:hint="default"/>
                <w:sz w:val="18"/>
                <w:szCs w:val="18"/>
              </w:rPr>
            </w:pPr>
            <w:r>
              <w:rPr>
                <w:rFonts w:ascii="宋体" w:hAnsi="宋体" w:cs="宋体" w:eastAsia="宋体" w:hint="default"/>
                <w:sz w:val="18"/>
                <w:szCs w:val="18"/>
              </w:rPr>
              <w:t>本期公允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价值变动</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153" w:right="147"/>
              <w:jc w:val="left"/>
              <w:rPr>
                <w:rFonts w:ascii="宋体" w:hAnsi="宋体" w:cs="宋体" w:eastAsia="宋体" w:hint="default"/>
                <w:sz w:val="18"/>
                <w:szCs w:val="18"/>
              </w:rPr>
            </w:pPr>
            <w:r>
              <w:rPr>
                <w:rFonts w:ascii="宋体" w:hAnsi="宋体" w:cs="宋体" w:eastAsia="宋体" w:hint="default"/>
                <w:sz w:val="18"/>
                <w:szCs w:val="18"/>
              </w:rPr>
              <w:t>累计公允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价值变动</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48" w:right="147"/>
              <w:jc w:val="center"/>
              <w:rPr>
                <w:rFonts w:ascii="宋体" w:hAnsi="宋体" w:cs="宋体" w:eastAsia="宋体" w:hint="default"/>
                <w:sz w:val="18"/>
                <w:szCs w:val="18"/>
              </w:rPr>
            </w:pPr>
            <w:r>
              <w:rPr>
                <w:rFonts w:ascii="宋体" w:hAnsi="宋体" w:cs="宋体" w:eastAsia="宋体" w:hint="default"/>
                <w:spacing w:val="-2"/>
                <w:sz w:val="18"/>
                <w:szCs w:val="18"/>
              </w:rPr>
              <w:t>累计在其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他综合收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益中确认</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的损失准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备</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备注</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重要的其他债权投资</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960"/>
        <w:gridCol w:w="956"/>
        <w:gridCol w:w="956"/>
        <w:gridCol w:w="960"/>
        <w:gridCol w:w="956"/>
        <w:gridCol w:w="956"/>
        <w:gridCol w:w="956"/>
        <w:gridCol w:w="960"/>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其他债权项目</w:t>
            </w:r>
          </w:p>
        </w:tc>
        <w:tc>
          <w:tcPr>
            <w:tcW w:w="383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9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88"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6"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减值准备计提情况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652"/>
        <w:gridCol w:w="2098"/>
        <w:gridCol w:w="2103"/>
        <w:gridCol w:w="1800"/>
      </w:tblGrid>
      <w:tr>
        <w:trPr>
          <w:trHeight w:val="398"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6"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461" w:right="137" w:hanging="312"/>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个月预期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63" w:right="137" w:hanging="1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整个存续期预期信用损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64" w:right="142" w:hanging="1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整个存续期预期信用损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headerReference w:type="default" r:id="rId26"/>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16"/>
        <w:gridCol w:w="1652"/>
        <w:gridCol w:w="2098"/>
        <w:gridCol w:w="2103"/>
        <w:gridCol w:w="1800"/>
      </w:tblGrid>
      <w:tr>
        <w:trPr>
          <w:trHeight w:val="360"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损失准备本期变动金额重大的账面余额变动情况</w:t>
      </w:r>
    </w:p>
    <w:p>
      <w:pPr>
        <w:spacing w:line="357" w:lineRule="auto" w:before="119"/>
        <w:ind w:left="113" w:right="9217"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其他说明：</w:t>
      </w:r>
    </w:p>
    <w:p>
      <w:pPr>
        <w:spacing w:line="240" w:lineRule="auto" w:before="12"/>
        <w:rPr>
          <w:rFonts w:ascii="宋体" w:hAnsi="宋体" w:cs="宋体" w:eastAsia="宋体" w:hint="default"/>
          <w:sz w:val="19"/>
          <w:szCs w:val="19"/>
        </w:rPr>
      </w:pPr>
    </w:p>
    <w:p>
      <w:pPr>
        <w:pStyle w:val="Heading3"/>
        <w:spacing w:line="240" w:lineRule="auto"/>
        <w:ind w:right="1764"/>
        <w:jc w:val="left"/>
        <w:rPr>
          <w:b w:val="0"/>
          <w:bCs w:val="0"/>
        </w:rPr>
      </w:pPr>
      <w:bookmarkStart w:name="16、长期应收款" w:id="286"/>
      <w:bookmarkEnd w:id="286"/>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1）长期应收款情况" w:id="287"/>
      <w:bookmarkEnd w:id="287"/>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402"/>
        <w:gridCol w:w="1167"/>
        <w:gridCol w:w="1172"/>
        <w:gridCol w:w="1167"/>
        <w:gridCol w:w="1167"/>
        <w:gridCol w:w="1167"/>
        <w:gridCol w:w="1167"/>
        <w:gridCol w:w="1167"/>
      </w:tblGrid>
      <w:tr>
        <w:trPr>
          <w:trHeight w:val="403" w:hRule="exact"/>
        </w:trPr>
        <w:tc>
          <w:tcPr>
            <w:tcW w:w="14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398" w:hRule="exact"/>
        </w:trPr>
        <w:tc>
          <w:tcPr>
            <w:tcW w:w="1402"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vMerge/>
            <w:tcBorders>
              <w:left w:val="single" w:sz="4" w:space="0" w:color="000000"/>
              <w:bottom w:val="single" w:sz="4" w:space="0" w:color="000000"/>
              <w:right w:val="single" w:sz="4" w:space="0" w:color="000000"/>
            </w:tcBorders>
            <w:shd w:val="clear" w:color="auto" w:fill="D2D2D2"/>
          </w:tcPr>
          <w:p>
            <w:pP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坏账准备减值情况</w:t>
      </w:r>
    </w:p>
    <w:p>
      <w:pPr>
        <w:spacing w:before="12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652"/>
        <w:gridCol w:w="2098"/>
        <w:gridCol w:w="2103"/>
        <w:gridCol w:w="1800"/>
      </w:tblGrid>
      <w:tr>
        <w:trPr>
          <w:trHeight w:val="401"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461" w:right="137" w:hanging="312"/>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个月预期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63" w:right="137" w:hanging="1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整个存续期预期信用损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64" w:right="142" w:hanging="1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整个存续期预期信用损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0"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105" w:right="127"/>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r>
              <w:rPr>
                <w:rFonts w:ascii="宋体" w:hAnsi="宋体" w:cs="宋体" w:eastAsia="宋体" w:hint="default"/>
                <w:w w:val="101"/>
                <w:sz w:val="18"/>
                <w:szCs w:val="18"/>
              </w:rPr>
              <w:t> </w:t>
            </w:r>
            <w:r>
              <w:rPr>
                <w:rFonts w:ascii="宋体" w:hAnsi="宋体" w:cs="宋体" w:eastAsia="宋体" w:hint="default"/>
                <w:sz w:val="18"/>
                <w:szCs w:val="18"/>
              </w:rPr>
              <w:t>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损失准备本期变动金额重大的账面余额变动情况</w:t>
      </w:r>
    </w:p>
    <w:p>
      <w:pPr>
        <w:spacing w:before="115"/>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6"/>
          <w:szCs w:val="26"/>
        </w:rPr>
      </w:pPr>
    </w:p>
    <w:p>
      <w:pPr>
        <w:pStyle w:val="Heading3"/>
        <w:spacing w:line="240" w:lineRule="auto"/>
        <w:ind w:right="1764"/>
        <w:jc w:val="left"/>
        <w:rPr>
          <w:b w:val="0"/>
          <w:bCs w:val="0"/>
        </w:rPr>
      </w:pPr>
      <w:bookmarkStart w:name="（2）因金融资产转移而终止确认的长期应收款" w:id="288"/>
      <w:bookmarkEnd w:id="288"/>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3）转移长期应收款且继续涉入形成的资产、负债金额" w:id="289"/>
      <w:bookmarkEnd w:id="289"/>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9"/>
        <w:rPr>
          <w:rFonts w:ascii="宋体" w:hAnsi="宋体" w:cs="宋体" w:eastAsia="宋体" w:hint="default"/>
          <w:b/>
          <w:bCs/>
          <w:sz w:val="26"/>
          <w:szCs w:val="26"/>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3"/>
        <w:spacing w:line="240" w:lineRule="auto"/>
        <w:ind w:right="1764"/>
        <w:jc w:val="left"/>
        <w:rPr>
          <w:b w:val="0"/>
          <w:bCs w:val="0"/>
        </w:rPr>
      </w:pPr>
      <w:bookmarkStart w:name="17、长期股权投资" w:id="290"/>
      <w:bookmarkEnd w:id="290"/>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215" w:right="118" w:hanging="92"/>
              <w:jc w:val="left"/>
              <w:rPr>
                <w:rFonts w:ascii="宋体" w:hAnsi="宋体" w:cs="宋体" w:eastAsia="宋体" w:hint="default"/>
                <w:sz w:val="18"/>
                <w:szCs w:val="18"/>
              </w:rPr>
            </w:pPr>
            <w:r>
              <w:rPr>
                <w:rFonts w:ascii="宋体" w:hAnsi="宋体" w:cs="宋体" w:eastAsia="宋体" w:hint="default"/>
                <w:sz w:val="18"/>
                <w:szCs w:val="18"/>
              </w:rPr>
              <w:t>被投资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2" w:lineRule="auto"/>
              <w:ind w:left="124" w:right="11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w:t>
            </w:r>
            <w:r>
              <w:rPr>
                <w:rFonts w:ascii="宋体" w:hAnsi="宋体" w:cs="宋体" w:eastAsia="宋体" w:hint="default"/>
                <w:w w:val="101"/>
                <w:sz w:val="18"/>
                <w:szCs w:val="18"/>
              </w:rPr>
              <w:t> </w:t>
            </w: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账</w:t>
            </w:r>
            <w:r>
              <w:rPr>
                <w:rFonts w:ascii="宋体" w:hAnsi="宋体" w:cs="宋体" w:eastAsia="宋体" w:hint="default"/>
                <w:w w:val="101"/>
                <w:sz w:val="18"/>
                <w:szCs w:val="18"/>
              </w:rPr>
              <w:t> </w:t>
            </w:r>
            <w:r>
              <w:rPr>
                <w:rFonts w:ascii="宋体" w:hAnsi="宋体" w:cs="宋体" w:eastAsia="宋体" w:hint="default"/>
                <w:sz w:val="18"/>
                <w:szCs w:val="18"/>
              </w:rPr>
              <w:t>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63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2" w:lineRule="auto"/>
              <w:ind w:left="119" w:right="123"/>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期末余</w:t>
            </w:r>
            <w:r>
              <w:rPr>
                <w:rFonts w:ascii="宋体" w:hAnsi="宋体" w:cs="宋体" w:eastAsia="宋体" w:hint="default"/>
                <w:w w:val="101"/>
                <w:sz w:val="18"/>
                <w:szCs w:val="18"/>
              </w:rPr>
              <w:t> </w:t>
            </w: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账</w:t>
            </w:r>
            <w:r>
              <w:rPr>
                <w:rFonts w:ascii="宋体" w:hAnsi="宋体" w:cs="宋体" w:eastAsia="宋体" w:hint="default"/>
                <w:w w:val="101"/>
                <w:sz w:val="18"/>
                <w:szCs w:val="18"/>
              </w:rPr>
              <w:t> </w:t>
            </w:r>
            <w:r>
              <w:rPr>
                <w:rFonts w:ascii="宋体" w:hAnsi="宋体" w:cs="宋体" w:eastAsia="宋体" w:hint="default"/>
                <w:sz w:val="18"/>
                <w:szCs w:val="18"/>
              </w:rPr>
              <w:t>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9" w:lineRule="auto"/>
              <w:ind w:left="124" w:right="117"/>
              <w:jc w:val="both"/>
              <w:rPr>
                <w:rFonts w:ascii="宋体" w:hAnsi="宋体" w:cs="宋体" w:eastAsia="宋体" w:hint="default"/>
                <w:sz w:val="18"/>
                <w:szCs w:val="18"/>
              </w:rPr>
            </w:pPr>
            <w:r>
              <w:rPr>
                <w:rFonts w:ascii="宋体" w:hAnsi="宋体" w:cs="宋体" w:eastAsia="宋体" w:hint="default"/>
                <w:sz w:val="18"/>
                <w:szCs w:val="18"/>
              </w:rPr>
              <w:t>减值准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备期末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余额</w:t>
            </w:r>
          </w:p>
        </w:tc>
      </w:tr>
      <w:tr>
        <w:trPr>
          <w:trHeight w:val="1340"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307" w:right="118" w:hanging="183"/>
              <w:jc w:val="left"/>
              <w:rPr>
                <w:rFonts w:ascii="宋体" w:hAnsi="宋体" w:cs="宋体" w:eastAsia="宋体" w:hint="default"/>
                <w:sz w:val="18"/>
                <w:szCs w:val="18"/>
              </w:rPr>
            </w:pPr>
            <w:r>
              <w:rPr>
                <w:rFonts w:ascii="宋体" w:hAnsi="宋体" w:cs="宋体" w:eastAsia="宋体" w:hint="default"/>
                <w:sz w:val="18"/>
                <w:szCs w:val="18"/>
              </w:rPr>
              <w:t>追加投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307" w:right="117" w:hanging="183"/>
              <w:jc w:val="left"/>
              <w:rPr>
                <w:rFonts w:ascii="宋体" w:hAnsi="宋体" w:cs="宋体" w:eastAsia="宋体" w:hint="default"/>
                <w:sz w:val="18"/>
                <w:szCs w:val="18"/>
              </w:rPr>
            </w:pPr>
            <w:r>
              <w:rPr>
                <w:rFonts w:ascii="宋体" w:hAnsi="宋体" w:cs="宋体" w:eastAsia="宋体" w:hint="default"/>
                <w:sz w:val="18"/>
                <w:szCs w:val="18"/>
              </w:rPr>
              <w:t>减少投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25" w:right="117"/>
              <w:jc w:val="both"/>
              <w:rPr>
                <w:rFonts w:ascii="宋体" w:hAnsi="宋体" w:cs="宋体" w:eastAsia="宋体" w:hint="default"/>
                <w:sz w:val="18"/>
                <w:szCs w:val="18"/>
              </w:rPr>
            </w:pPr>
            <w:r>
              <w:rPr>
                <w:rFonts w:ascii="宋体" w:hAnsi="宋体" w:cs="宋体" w:eastAsia="宋体" w:hint="default"/>
                <w:sz w:val="18"/>
                <w:szCs w:val="18"/>
              </w:rPr>
              <w:t>权益法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下确认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损益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24" w:right="123"/>
              <w:jc w:val="both"/>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19" w:right="122"/>
              <w:jc w:val="left"/>
              <w:rPr>
                <w:rFonts w:ascii="宋体" w:hAnsi="宋体" w:cs="宋体" w:eastAsia="宋体" w:hint="default"/>
                <w:sz w:val="18"/>
                <w:szCs w:val="18"/>
              </w:rPr>
            </w:pPr>
            <w:r>
              <w:rPr>
                <w:rFonts w:ascii="宋体" w:hAnsi="宋体" w:cs="宋体" w:eastAsia="宋体" w:hint="default"/>
                <w:sz w:val="18"/>
                <w:szCs w:val="18"/>
              </w:rPr>
              <w:t>其他权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24" w:right="118"/>
              <w:jc w:val="both"/>
              <w:rPr>
                <w:rFonts w:ascii="宋体" w:hAnsi="宋体" w:cs="宋体" w:eastAsia="宋体" w:hint="default"/>
                <w:sz w:val="18"/>
                <w:szCs w:val="18"/>
              </w:rPr>
            </w:pPr>
            <w:r>
              <w:rPr>
                <w:rFonts w:ascii="宋体" w:hAnsi="宋体" w:cs="宋体" w:eastAsia="宋体" w:hint="default"/>
                <w:sz w:val="18"/>
                <w:szCs w:val="18"/>
              </w:rPr>
              <w:t>宣告发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放现金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股利或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24" w:right="118"/>
              <w:jc w:val="left"/>
              <w:rPr>
                <w:rFonts w:ascii="宋体" w:hAnsi="宋体" w:cs="宋体" w:eastAsia="宋体" w:hint="default"/>
                <w:sz w:val="18"/>
                <w:szCs w:val="18"/>
              </w:rPr>
            </w:pPr>
            <w:r>
              <w:rPr>
                <w:rFonts w:ascii="宋体" w:hAnsi="宋体" w:cs="宋体" w:eastAsia="宋体" w:hint="default"/>
                <w:sz w:val="18"/>
                <w:szCs w:val="18"/>
              </w:rPr>
              <w:t>计提减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值准备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4"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3"/>
              <w:ind w:left="105" w:right="137"/>
              <w:jc w:val="left"/>
              <w:rPr>
                <w:rFonts w:ascii="宋体" w:hAnsi="宋体" w:cs="宋体" w:eastAsia="宋体" w:hint="default"/>
                <w:sz w:val="18"/>
                <w:szCs w:val="18"/>
              </w:rPr>
            </w:pPr>
            <w:r>
              <w:rPr>
                <w:rFonts w:ascii="宋体" w:hAnsi="宋体" w:cs="宋体" w:eastAsia="宋体" w:hint="default"/>
                <w:sz w:val="18"/>
                <w:szCs w:val="18"/>
              </w:rPr>
              <w:t>深州市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汇巨信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42,177,</w:t>
            </w:r>
          </w:p>
          <w:p>
            <w:pPr>
              <w:pStyle w:val="TableParagraph"/>
              <w:spacing w:line="240" w:lineRule="auto" w:before="109"/>
              <w:ind w:left="192" w:right="0"/>
              <w:jc w:val="left"/>
              <w:rPr>
                <w:rFonts w:ascii="Times New Roman" w:hAnsi="Times New Roman" w:cs="Times New Roman" w:eastAsia="Times New Roman" w:hint="default"/>
                <w:sz w:val="18"/>
                <w:szCs w:val="18"/>
              </w:rPr>
            </w:pPr>
            <w:r>
              <w:rPr>
                <w:rFonts w:ascii="Times New Roman"/>
                <w:sz w:val="18"/>
              </w:rPr>
              <w:t>208.79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6" w:right="0"/>
              <w:jc w:val="center"/>
              <w:rPr>
                <w:rFonts w:ascii="Times New Roman" w:hAnsi="Times New Roman" w:cs="Times New Roman" w:eastAsia="Times New Roman" w:hint="default"/>
                <w:sz w:val="18"/>
                <w:szCs w:val="18"/>
              </w:rPr>
            </w:pPr>
            <w:r>
              <w:rPr>
                <w:rFonts w:ascii="Times New Roman"/>
                <w:sz w:val="18"/>
              </w:rPr>
              <w:t>474,55</w:t>
            </w:r>
          </w:p>
          <w:p>
            <w:pPr>
              <w:pStyle w:val="TableParagraph"/>
              <w:spacing w:line="240" w:lineRule="auto" w:before="109"/>
              <w:ind w:left="273" w:right="0"/>
              <w:jc w:val="center"/>
              <w:rPr>
                <w:rFonts w:ascii="Times New Roman" w:hAnsi="Times New Roman" w:cs="Times New Roman" w:eastAsia="Times New Roman" w:hint="default"/>
                <w:sz w:val="18"/>
                <w:szCs w:val="18"/>
              </w:rPr>
            </w:pPr>
            <w:r>
              <w:rPr>
                <w:rFonts w:ascii="Times New Roman"/>
                <w:sz w:val="18"/>
              </w:rPr>
              <w:t>4.81</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9"/>
              <w:ind w:left="370"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3" w:right="0"/>
              <w:jc w:val="left"/>
              <w:rPr>
                <w:rFonts w:ascii="Times New Roman" w:hAnsi="Times New Roman" w:cs="Times New Roman" w:eastAsia="Times New Roman" w:hint="default"/>
                <w:sz w:val="18"/>
                <w:szCs w:val="18"/>
              </w:rPr>
            </w:pPr>
            <w:r>
              <w:rPr>
                <w:rFonts w:ascii="Times New Roman"/>
                <w:sz w:val="18"/>
              </w:rPr>
              <w:t>42,251,</w:t>
            </w:r>
          </w:p>
          <w:p>
            <w:pPr>
              <w:pStyle w:val="TableParagraph"/>
              <w:spacing w:line="240" w:lineRule="auto" w:before="109"/>
              <w:ind w:left="187" w:right="0"/>
              <w:jc w:val="left"/>
              <w:rPr>
                <w:rFonts w:ascii="Times New Roman" w:hAnsi="Times New Roman" w:cs="Times New Roman" w:eastAsia="Times New Roman" w:hint="default"/>
                <w:sz w:val="18"/>
                <w:szCs w:val="18"/>
              </w:rPr>
            </w:pPr>
            <w:r>
              <w:rPr>
                <w:rFonts w:ascii="Times New Roman"/>
                <w:sz w:val="18"/>
              </w:rPr>
              <w:t>763.60</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98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5" w:right="137"/>
              <w:jc w:val="both"/>
              <w:rPr>
                <w:rFonts w:ascii="宋体" w:hAnsi="宋体" w:cs="宋体" w:eastAsia="宋体" w:hint="default"/>
                <w:sz w:val="18"/>
                <w:szCs w:val="18"/>
              </w:rPr>
            </w:pPr>
            <w:r>
              <w:rPr>
                <w:rFonts w:ascii="宋体" w:hAnsi="宋体" w:cs="宋体" w:eastAsia="宋体" w:hint="default"/>
                <w:sz w:val="18"/>
                <w:szCs w:val="18"/>
              </w:rPr>
              <w:t>息技术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105" w:right="137"/>
              <w:jc w:val="both"/>
              <w:rPr>
                <w:rFonts w:ascii="宋体" w:hAnsi="宋体" w:cs="宋体" w:eastAsia="宋体" w:hint="default"/>
                <w:sz w:val="18"/>
                <w:szCs w:val="18"/>
              </w:rPr>
            </w:pPr>
            <w:r>
              <w:rPr>
                <w:rFonts w:ascii="宋体" w:hAnsi="宋体" w:cs="宋体" w:eastAsia="宋体" w:hint="default"/>
                <w:sz w:val="18"/>
                <w:szCs w:val="18"/>
              </w:rPr>
              <w:t>北京信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邦安达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信息科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5,598,9</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71.15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41,961.</w:t>
            </w:r>
          </w:p>
          <w:p>
            <w:pPr>
              <w:pStyle w:val="TableParagraph"/>
              <w:spacing w:line="240" w:lineRule="auto" w:before="110"/>
              <w:ind w:left="509" w:right="0"/>
              <w:jc w:val="left"/>
              <w:rPr>
                <w:rFonts w:ascii="Times New Roman" w:hAnsi="Times New Roman" w:cs="Times New Roman" w:eastAsia="Times New Roman" w:hint="default"/>
                <w:sz w:val="18"/>
                <w:szCs w:val="18"/>
              </w:rPr>
            </w:pPr>
            <w:r>
              <w:rPr>
                <w:rFonts w:ascii="Times New Roman"/>
                <w:sz w:val="18"/>
              </w:rPr>
              <w:t>49</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5,640,9</w:t>
            </w:r>
          </w:p>
          <w:p>
            <w:pPr>
              <w:pStyle w:val="TableParagraph"/>
              <w:spacing w:line="240" w:lineRule="auto" w:before="110"/>
              <w:ind w:left="177" w:right="0"/>
              <w:jc w:val="center"/>
              <w:rPr>
                <w:rFonts w:ascii="Times New Roman" w:hAnsi="Times New Roman" w:cs="Times New Roman" w:eastAsia="Times New Roman" w:hint="default"/>
                <w:sz w:val="18"/>
                <w:szCs w:val="18"/>
              </w:rPr>
            </w:pPr>
            <w:r>
              <w:rPr>
                <w:rFonts w:ascii="Times New Roman"/>
                <w:sz w:val="18"/>
              </w:rPr>
              <w:t>32.64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37"/>
              <w:jc w:val="both"/>
              <w:rPr>
                <w:rFonts w:ascii="宋体" w:hAnsi="宋体" w:cs="宋体" w:eastAsia="宋体" w:hint="default"/>
                <w:sz w:val="18"/>
                <w:szCs w:val="18"/>
              </w:rPr>
            </w:pPr>
            <w:r>
              <w:rPr>
                <w:rFonts w:ascii="宋体" w:hAnsi="宋体" w:cs="宋体" w:eastAsia="宋体" w:hint="default"/>
                <w:sz w:val="18"/>
                <w:szCs w:val="18"/>
              </w:rPr>
              <w:t>广州天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源信息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科技股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23,871,</w:t>
            </w:r>
          </w:p>
          <w:p>
            <w:pPr>
              <w:pStyle w:val="TableParagraph"/>
              <w:spacing w:line="240" w:lineRule="auto" w:before="105"/>
              <w:ind w:left="192" w:right="0"/>
              <w:jc w:val="left"/>
              <w:rPr>
                <w:rFonts w:ascii="Times New Roman" w:hAnsi="Times New Roman" w:cs="Times New Roman" w:eastAsia="Times New Roman" w:hint="default"/>
                <w:sz w:val="18"/>
                <w:szCs w:val="18"/>
              </w:rPr>
            </w:pPr>
            <w:r>
              <w:rPr>
                <w:rFonts w:ascii="Times New Roman"/>
                <w:sz w:val="18"/>
              </w:rPr>
              <w:t>991.57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5,233,4</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90.21</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29,105,</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481.78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37"/>
              <w:jc w:val="both"/>
              <w:rPr>
                <w:rFonts w:ascii="宋体" w:hAnsi="宋体" w:cs="宋体" w:eastAsia="宋体" w:hint="default"/>
                <w:sz w:val="18"/>
                <w:szCs w:val="18"/>
              </w:rPr>
            </w:pPr>
            <w:r>
              <w:rPr>
                <w:rFonts w:ascii="宋体" w:hAnsi="宋体" w:cs="宋体" w:eastAsia="宋体" w:hint="default"/>
                <w:sz w:val="18"/>
                <w:szCs w:val="18"/>
              </w:rPr>
              <w:t>深圳墨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狼科技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361,71</w:t>
            </w:r>
          </w:p>
          <w:p>
            <w:pPr>
              <w:pStyle w:val="TableParagraph"/>
              <w:spacing w:line="240" w:lineRule="auto" w:before="105"/>
              <w:ind w:left="273" w:right="0"/>
              <w:jc w:val="center"/>
              <w:rPr>
                <w:rFonts w:ascii="Times New Roman" w:hAnsi="Times New Roman" w:cs="Times New Roman" w:eastAsia="Times New Roman" w:hint="default"/>
                <w:sz w:val="18"/>
                <w:szCs w:val="18"/>
              </w:rPr>
            </w:pPr>
            <w:r>
              <w:rPr>
                <w:rFonts w:ascii="Times New Roman"/>
                <w:sz w:val="18"/>
              </w:rPr>
              <w:t>3.24</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8,361,7</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13.24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95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137"/>
              <w:jc w:val="both"/>
              <w:rPr>
                <w:rFonts w:ascii="宋体" w:hAnsi="宋体" w:cs="宋体" w:eastAsia="宋体" w:hint="default"/>
                <w:sz w:val="18"/>
                <w:szCs w:val="18"/>
              </w:rPr>
            </w:pPr>
            <w:r>
              <w:rPr>
                <w:rFonts w:ascii="宋体" w:hAnsi="宋体" w:cs="宋体" w:eastAsia="宋体" w:hint="default"/>
                <w:sz w:val="18"/>
                <w:szCs w:val="18"/>
              </w:rPr>
              <w:t>深圳前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海维恩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贝特科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p>
            <w:pPr>
              <w:pStyle w:val="TableParagraph"/>
              <w:spacing w:line="240" w:lineRule="auto" w:before="23"/>
              <w:ind w:left="105" w:right="0"/>
              <w:jc w:val="both"/>
              <w:rPr>
                <w:rFonts w:ascii="宋体" w:hAnsi="宋体" w:cs="宋体" w:eastAsia="宋体" w:hint="default"/>
                <w:sz w:val="18"/>
                <w:szCs w:val="18"/>
              </w:rPr>
            </w:pPr>
            <w:r>
              <w:rPr>
                <w:rFonts w:ascii="宋体" w:hAnsi="宋体" w:cs="宋体" w:eastAsia="宋体" w:hint="default"/>
                <w:sz w:val="18"/>
                <w:szCs w:val="18"/>
              </w:rPr>
              <w:t>（注）</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-301,42</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1.01</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1,698,5</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78.99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71,648,</w:t>
            </w:r>
          </w:p>
          <w:p>
            <w:pPr>
              <w:pStyle w:val="TableParagraph"/>
              <w:spacing w:line="240" w:lineRule="auto" w:before="110"/>
              <w:ind w:left="192" w:right="0"/>
              <w:jc w:val="left"/>
              <w:rPr>
                <w:rFonts w:ascii="Times New Roman" w:hAnsi="Times New Roman" w:cs="Times New Roman" w:eastAsia="Times New Roman" w:hint="default"/>
                <w:sz w:val="18"/>
                <w:szCs w:val="18"/>
              </w:rPr>
            </w:pPr>
            <w:r>
              <w:rPr>
                <w:rFonts w:ascii="Times New Roman"/>
                <w:sz w:val="18"/>
              </w:rPr>
              <w:t>171.51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10"/>
              <w:ind w:left="191" w:right="0"/>
              <w:jc w:val="left"/>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3" w:right="0"/>
              <w:jc w:val="center"/>
              <w:rPr>
                <w:rFonts w:ascii="Times New Roman" w:hAnsi="Times New Roman" w:cs="Times New Roman" w:eastAsia="Times New Roman" w:hint="default"/>
                <w:sz w:val="18"/>
                <w:szCs w:val="18"/>
              </w:rPr>
            </w:pPr>
            <w:r>
              <w:rPr>
                <w:rFonts w:ascii="Times New Roman"/>
                <w:sz w:val="18"/>
              </w:rPr>
              <w:t>5,810,2</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98.74</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10"/>
              <w:ind w:left="370"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3" w:right="0"/>
              <w:jc w:val="left"/>
              <w:rPr>
                <w:rFonts w:ascii="Times New Roman" w:hAnsi="Times New Roman" w:cs="Times New Roman" w:eastAsia="Times New Roman" w:hint="default"/>
                <w:sz w:val="18"/>
                <w:szCs w:val="18"/>
              </w:rPr>
            </w:pPr>
            <w:r>
              <w:rPr>
                <w:rFonts w:ascii="Times New Roman"/>
                <w:sz w:val="18"/>
              </w:rPr>
              <w:t>87,058,</w:t>
            </w:r>
          </w:p>
          <w:p>
            <w:pPr>
              <w:pStyle w:val="TableParagraph"/>
              <w:spacing w:line="240" w:lineRule="auto" w:before="110"/>
              <w:ind w:left="187" w:right="0"/>
              <w:jc w:val="left"/>
              <w:rPr>
                <w:rFonts w:ascii="Times New Roman" w:hAnsi="Times New Roman" w:cs="Times New Roman" w:eastAsia="Times New Roman" w:hint="default"/>
                <w:sz w:val="18"/>
                <w:szCs w:val="18"/>
              </w:rPr>
            </w:pPr>
            <w:r>
              <w:rPr>
                <w:rFonts w:ascii="Times New Roman"/>
                <w:sz w:val="18"/>
              </w:rPr>
              <w:t>470.25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71,648,</w:t>
            </w:r>
          </w:p>
          <w:p>
            <w:pPr>
              <w:pStyle w:val="TableParagraph"/>
              <w:spacing w:line="240" w:lineRule="auto" w:before="110"/>
              <w:ind w:left="192" w:right="0"/>
              <w:jc w:val="left"/>
              <w:rPr>
                <w:rFonts w:ascii="Times New Roman" w:hAnsi="Times New Roman" w:cs="Times New Roman" w:eastAsia="Times New Roman" w:hint="default"/>
                <w:sz w:val="18"/>
                <w:szCs w:val="18"/>
              </w:rPr>
            </w:pPr>
            <w:r>
              <w:rPr>
                <w:rFonts w:ascii="Times New Roman"/>
                <w:sz w:val="18"/>
              </w:rPr>
              <w:t>171.51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10"/>
              <w:ind w:left="191" w:right="0"/>
              <w:jc w:val="left"/>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3" w:right="0"/>
              <w:jc w:val="center"/>
              <w:rPr>
                <w:rFonts w:ascii="Times New Roman" w:hAnsi="Times New Roman" w:cs="Times New Roman" w:eastAsia="Times New Roman" w:hint="default"/>
                <w:sz w:val="18"/>
                <w:szCs w:val="18"/>
              </w:rPr>
            </w:pPr>
            <w:r>
              <w:rPr>
                <w:rFonts w:ascii="Times New Roman"/>
                <w:sz w:val="18"/>
              </w:rPr>
              <w:t>5,810,2</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98.74</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10"/>
              <w:ind w:left="370"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3" w:right="0"/>
              <w:jc w:val="left"/>
              <w:rPr>
                <w:rFonts w:ascii="Times New Roman" w:hAnsi="Times New Roman" w:cs="Times New Roman" w:eastAsia="Times New Roman" w:hint="default"/>
                <w:sz w:val="18"/>
                <w:szCs w:val="18"/>
              </w:rPr>
            </w:pPr>
            <w:r>
              <w:rPr>
                <w:rFonts w:ascii="Times New Roman"/>
                <w:sz w:val="18"/>
              </w:rPr>
              <w:t>87,058,</w:t>
            </w:r>
          </w:p>
          <w:p>
            <w:pPr>
              <w:pStyle w:val="TableParagraph"/>
              <w:spacing w:line="240" w:lineRule="auto" w:before="110"/>
              <w:ind w:left="187" w:right="0"/>
              <w:jc w:val="left"/>
              <w:rPr>
                <w:rFonts w:ascii="Times New Roman" w:hAnsi="Times New Roman" w:cs="Times New Roman" w:eastAsia="Times New Roman" w:hint="default"/>
                <w:sz w:val="18"/>
                <w:szCs w:val="18"/>
              </w:rPr>
            </w:pPr>
            <w:r>
              <w:rPr>
                <w:rFonts w:ascii="Times New Roman"/>
                <w:sz w:val="18"/>
              </w:rPr>
              <w:t>470.25</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before="54"/>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89"/>
        <w:ind w:right="1007" w:firstLine="422"/>
        <w:jc w:val="left"/>
      </w:pPr>
      <w:r>
        <w:rPr>
          <w:spacing w:val="-2"/>
        </w:rPr>
        <w:t>注：子公司维恩贝特原持有深圳前海维恩贝特互联网金融服务有限公司</w:t>
      </w:r>
      <w:r>
        <w:rPr>
          <w:rFonts w:ascii="宋体" w:hAnsi="宋体" w:cs="宋体" w:eastAsia="宋体" w:hint="default"/>
          <w:spacing w:val="-2"/>
        </w:rPr>
        <w:t>100%</w:t>
      </w:r>
      <w:r>
        <w:rPr>
          <w:spacing w:val="-2"/>
        </w:rPr>
        <w:t>股份，投资成本</w:t>
      </w:r>
      <w:r>
        <w:rPr>
          <w:rFonts w:ascii="宋体" w:hAnsi="宋体" w:cs="宋体" w:eastAsia="宋体" w:hint="default"/>
          <w:spacing w:val="-2"/>
        </w:rPr>
        <w:t>500</w:t>
      </w:r>
      <w:r>
        <w:rPr>
          <w:spacing w:val="-2"/>
        </w:rPr>
        <w:t>万元。</w:t>
      </w:r>
      <w:r>
        <w:rPr>
          <w:w w:val="100"/>
        </w:rPr>
        <w:t> </w:t>
      </w:r>
      <w:r>
        <w:rPr>
          <w:rFonts w:ascii="宋体" w:hAnsi="宋体" w:cs="宋体" w:eastAsia="宋体" w:hint="default"/>
        </w:rPr>
        <w:t>2019</w:t>
      </w:r>
      <w:r>
        <w:rPr/>
        <w:t>年</w:t>
      </w:r>
      <w:r>
        <w:rPr>
          <w:rFonts w:ascii="宋体" w:hAnsi="宋体" w:cs="宋体" w:eastAsia="宋体" w:hint="default"/>
        </w:rPr>
        <w:t>5</w:t>
      </w:r>
      <w:r>
        <w:rPr/>
        <w:t>月，维恩贝特与深圳曦和供应链服务有限公司、深圳市财硕投资有限公司签订股权转让协议书，</w:t>
      </w:r>
      <w:r>
        <w:rPr>
          <w:w w:val="100"/>
        </w:rPr>
        <w:t> </w:t>
      </w:r>
      <w:r>
        <w:rPr/>
        <w:t>分别转让</w:t>
      </w:r>
      <w:r>
        <w:rPr>
          <w:rFonts w:ascii="宋体" w:hAnsi="宋体" w:cs="宋体" w:eastAsia="宋体" w:hint="default"/>
        </w:rPr>
        <w:t>30%</w:t>
      </w:r>
      <w:r>
        <w:rPr/>
        <w:t>股份给深圳曦和供应链服务有限公司，作价</w:t>
      </w:r>
      <w:r>
        <w:rPr>
          <w:rFonts w:ascii="宋体" w:hAnsi="宋体" w:cs="宋体" w:eastAsia="宋体" w:hint="default"/>
        </w:rPr>
        <w:t>150</w:t>
      </w:r>
      <w:r>
        <w:rPr/>
        <w:t>万元；转让</w:t>
      </w:r>
      <w:r>
        <w:rPr>
          <w:rFonts w:ascii="宋体" w:hAnsi="宋体" w:cs="宋体" w:eastAsia="宋体" w:hint="default"/>
        </w:rPr>
        <w:t>30%</w:t>
      </w:r>
      <w:r>
        <w:rPr/>
        <w:t>股份给深圳市财硕投资有限公</w:t>
      </w:r>
      <w:r>
        <w:rPr>
          <w:w w:val="100"/>
        </w:rPr>
        <w:t> </w:t>
      </w:r>
      <w:r>
        <w:rPr/>
        <w:t>司，作价</w:t>
      </w:r>
      <w:r>
        <w:rPr>
          <w:rFonts w:ascii="宋体" w:hAnsi="宋体" w:cs="宋体" w:eastAsia="宋体" w:hint="default"/>
        </w:rPr>
        <w:t>150</w:t>
      </w:r>
      <w:r>
        <w:rPr/>
        <w:t>万元；</w:t>
      </w:r>
      <w:r>
        <w:rPr>
          <w:rFonts w:ascii="宋体" w:hAnsi="宋体" w:cs="宋体" w:eastAsia="宋体" w:hint="default"/>
        </w:rPr>
        <w:t>2019</w:t>
      </w:r>
      <w:r>
        <w:rPr/>
        <w:t>年</w:t>
      </w:r>
      <w:r>
        <w:rPr>
          <w:rFonts w:ascii="宋体" w:hAnsi="宋体" w:cs="宋体" w:eastAsia="宋体" w:hint="default"/>
        </w:rPr>
        <w:t>6</w:t>
      </w:r>
      <w:r>
        <w:rPr/>
        <w:t>月已办完工商变更登记，同时深圳前海维恩贝特互联网金融服务有限公司更名</w:t>
      </w:r>
      <w:r>
        <w:rPr>
          <w:w w:val="100"/>
        </w:rPr>
        <w:t> </w:t>
      </w:r>
      <w:r>
        <w:rPr/>
        <w:t>为深圳前海维恩贝特科技有限公司。股权转让后剩余股权</w:t>
      </w:r>
      <w:r>
        <w:rPr>
          <w:rFonts w:ascii="宋体" w:hAnsi="宋体" w:cs="宋体" w:eastAsia="宋体" w:hint="default"/>
        </w:rPr>
        <w:t>40%</w:t>
      </w:r>
      <w:r>
        <w:rPr/>
        <w:t>按照公允价值计量并确认投资收益</w:t>
      </w:r>
      <w:r>
        <w:rPr>
          <w:w w:val="100"/>
        </w:rPr>
        <w:t> </w:t>
      </w:r>
      <w:r>
        <w:rPr>
          <w:rFonts w:ascii="宋体" w:hAnsi="宋体" w:cs="宋体" w:eastAsia="宋体" w:hint="default"/>
        </w:rPr>
        <w:t>637,117.42</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3"/>
        <w:spacing w:line="240" w:lineRule="auto"/>
        <w:ind w:right="1764"/>
        <w:jc w:val="left"/>
        <w:rPr>
          <w:b w:val="0"/>
          <w:bCs w:val="0"/>
        </w:rPr>
      </w:pPr>
      <w:bookmarkStart w:name="18、其他权益工具投资" w:id="291"/>
      <w:bookmarkEnd w:id="291"/>
      <w:r>
        <w:rPr>
          <w:b w:val="0"/>
          <w:bCs w:val="0"/>
        </w:rPr>
      </w:r>
      <w:r>
        <w:rPr>
          <w:rFonts w:ascii="Times New Roman" w:hAnsi="Times New Roman" w:cs="Times New Roman" w:eastAsia="Times New Roman" w:hint="default"/>
        </w:rPr>
        <w:t>18</w:t>
      </w:r>
      <w:r>
        <w:rPr/>
        <w:t>、其他权益工具投资</w:t>
      </w:r>
      <w:r>
        <w:rPr>
          <w:b w:val="0"/>
          <w:bCs w:val="0"/>
        </w:rPr>
      </w:r>
    </w:p>
    <w:p>
      <w:pPr>
        <w:spacing w:line="240" w:lineRule="auto" w:before="9"/>
        <w:rPr>
          <w:rFonts w:ascii="宋体" w:hAnsi="宋体" w:cs="宋体" w:eastAsia="宋体" w:hint="default"/>
          <w:b/>
          <w:bCs/>
          <w:sz w:val="26"/>
          <w:szCs w:val="26"/>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85"/>
              <w:jc w:val="left"/>
              <w:rPr>
                <w:rFonts w:ascii="宋体" w:hAnsi="宋体" w:cs="宋体" w:eastAsia="宋体" w:hint="default"/>
                <w:sz w:val="18"/>
                <w:szCs w:val="18"/>
              </w:rPr>
            </w:pPr>
            <w:r>
              <w:rPr>
                <w:rFonts w:ascii="宋体" w:hAnsi="宋体" w:cs="宋体" w:eastAsia="宋体" w:hint="default"/>
                <w:spacing w:val="-3"/>
                <w:sz w:val="18"/>
                <w:szCs w:val="18"/>
              </w:rPr>
              <w:t>东南亚电信集团股份有限公司（新加</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42,959,069.79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39,910,064.25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深圳市优课在线教育有限公司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7,687,500.00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7,687,500.00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深圳迅销科技股份有限公司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4,320,000.00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4,320,000.00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北京江融信科技有限公司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65,289,383.10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16,000,000.00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中电达通数据技术股份有限公司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258,000.00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3,900,000.00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pacing w:val="-3"/>
                <w:sz w:val="18"/>
                <w:szCs w:val="18"/>
              </w:rPr>
              <w:t>潍坊市云支付科技有限公司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2"/>
                <w:sz w:val="18"/>
              </w:rPr>
              <w:t>1,110,000.00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Times New Roman" w:hAnsi="Times New Roman" w:cs="Times New Roman" w:eastAsia="Times New Roman" w:hint="default"/>
                <w:sz w:val="18"/>
                <w:szCs w:val="18"/>
              </w:rPr>
            </w:pPr>
            <w:r>
              <w:rPr>
                <w:rFonts w:ascii="Times New Roman"/>
                <w:spacing w:val="-2"/>
                <w:sz w:val="18"/>
              </w:rPr>
              <w:t>1,110,000.00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121,623,952.89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72,927,564.25</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分项披露本期非交易性权益工具投资</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165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590" w:right="132" w:hanging="452"/>
              <w:jc w:val="left"/>
              <w:rPr>
                <w:rFonts w:ascii="宋体" w:hAnsi="宋体" w:cs="宋体" w:eastAsia="宋体" w:hint="default"/>
                <w:sz w:val="18"/>
                <w:szCs w:val="18"/>
              </w:rPr>
            </w:pPr>
            <w:r>
              <w:rPr>
                <w:rFonts w:ascii="宋体" w:hAnsi="宋体" w:cs="宋体" w:eastAsia="宋体" w:hint="default"/>
                <w:spacing w:val="-2"/>
                <w:sz w:val="18"/>
                <w:szCs w:val="18"/>
              </w:rPr>
              <w:t>确认的股利收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34" w:right="132"/>
              <w:jc w:val="center"/>
              <w:rPr>
                <w:rFonts w:ascii="宋体" w:hAnsi="宋体" w:cs="宋体" w:eastAsia="宋体" w:hint="default"/>
                <w:sz w:val="18"/>
                <w:szCs w:val="18"/>
              </w:rPr>
            </w:pPr>
            <w:r>
              <w:rPr>
                <w:rFonts w:ascii="宋体" w:hAnsi="宋体" w:cs="宋体" w:eastAsia="宋体" w:hint="default"/>
                <w:spacing w:val="-2"/>
                <w:sz w:val="18"/>
                <w:szCs w:val="18"/>
              </w:rPr>
              <w:t>其他综合收益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转入留存收益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39" w:right="132"/>
              <w:jc w:val="center"/>
              <w:rPr>
                <w:rFonts w:ascii="宋体" w:hAnsi="宋体" w:cs="宋体" w:eastAsia="宋体" w:hint="default"/>
                <w:sz w:val="18"/>
                <w:szCs w:val="18"/>
              </w:rPr>
            </w:pPr>
            <w:r>
              <w:rPr>
                <w:rFonts w:ascii="宋体" w:hAnsi="宋体" w:cs="宋体" w:eastAsia="宋体" w:hint="default"/>
                <w:spacing w:val="-2"/>
                <w:sz w:val="18"/>
                <w:szCs w:val="18"/>
              </w:rPr>
              <w:t>指定为以公允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价值计量且其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变动计入其他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综合收益的原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因</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39" w:right="132"/>
              <w:jc w:val="center"/>
              <w:rPr>
                <w:rFonts w:ascii="宋体" w:hAnsi="宋体" w:cs="宋体" w:eastAsia="宋体" w:hint="default"/>
                <w:sz w:val="18"/>
                <w:szCs w:val="18"/>
              </w:rPr>
            </w:pPr>
            <w:r>
              <w:rPr>
                <w:rFonts w:ascii="宋体" w:hAnsi="宋体" w:cs="宋体" w:eastAsia="宋体" w:hint="default"/>
                <w:spacing w:val="-2"/>
                <w:sz w:val="18"/>
                <w:szCs w:val="18"/>
              </w:rPr>
              <w:t>其他综合收益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转入留存收益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的原因</w:t>
            </w:r>
          </w:p>
        </w:tc>
      </w:tr>
      <w:tr>
        <w:trPr>
          <w:trHeight w:val="102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166"/>
              <w:jc w:val="both"/>
              <w:rPr>
                <w:rFonts w:ascii="宋体" w:hAnsi="宋体" w:cs="宋体" w:eastAsia="宋体" w:hint="default"/>
                <w:sz w:val="18"/>
                <w:szCs w:val="18"/>
              </w:rPr>
            </w:pPr>
            <w:r>
              <w:rPr>
                <w:rFonts w:ascii="宋体" w:hAnsi="宋体" w:cs="宋体" w:eastAsia="宋体" w:hint="default"/>
                <w:spacing w:val="-2"/>
                <w:sz w:val="18"/>
                <w:szCs w:val="18"/>
              </w:rPr>
              <w:t>东南亚电信集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团股份有限公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司（新加坡）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1,761,926.46</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计划长期持有</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66"/>
              <w:jc w:val="both"/>
              <w:rPr>
                <w:rFonts w:ascii="宋体" w:hAnsi="宋体" w:cs="宋体" w:eastAsia="宋体" w:hint="default"/>
                <w:sz w:val="18"/>
                <w:szCs w:val="18"/>
              </w:rPr>
            </w:pPr>
            <w:r>
              <w:rPr>
                <w:rFonts w:ascii="宋体" w:hAnsi="宋体" w:cs="宋体" w:eastAsia="宋体" w:hint="default"/>
                <w:spacing w:val="-2"/>
                <w:sz w:val="18"/>
                <w:szCs w:val="18"/>
              </w:rPr>
              <w:t>深圳市优课在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线教育有限公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计划长期持有</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深圳迅销科技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股份有限公司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计划长期持有</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北京江融信科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技有限公司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49,289,383.10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计划长期持有</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166"/>
              <w:jc w:val="both"/>
              <w:rPr>
                <w:rFonts w:ascii="宋体" w:hAnsi="宋体" w:cs="宋体" w:eastAsia="宋体" w:hint="default"/>
                <w:sz w:val="18"/>
                <w:szCs w:val="18"/>
              </w:rPr>
            </w:pPr>
            <w:r>
              <w:rPr>
                <w:rFonts w:ascii="宋体" w:hAnsi="宋体" w:cs="宋体" w:eastAsia="宋体" w:hint="default"/>
                <w:spacing w:val="-2"/>
                <w:sz w:val="18"/>
                <w:szCs w:val="18"/>
              </w:rPr>
              <w:t>中电达通数据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技术股份有限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3,642,000.00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sz w:val="18"/>
                <w:szCs w:val="18"/>
              </w:rPr>
              <w:t>计划长期持有</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潍坊市云支付</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科技有限公司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计划长期持有</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49,289,383.10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2" w:right="0"/>
              <w:jc w:val="left"/>
              <w:rPr>
                <w:rFonts w:ascii="Times New Roman" w:hAnsi="Times New Roman" w:cs="Times New Roman" w:eastAsia="Times New Roman" w:hint="default"/>
                <w:sz w:val="18"/>
                <w:szCs w:val="18"/>
              </w:rPr>
            </w:pPr>
            <w:r>
              <w:rPr>
                <w:rFonts w:ascii="Times New Roman"/>
                <w:sz w:val="18"/>
              </w:rPr>
              <w:t>5,403,926.46</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3"/>
        <w:spacing w:line="240" w:lineRule="auto"/>
        <w:ind w:right="1764"/>
        <w:jc w:val="left"/>
        <w:rPr>
          <w:b w:val="0"/>
          <w:bCs w:val="0"/>
        </w:rPr>
      </w:pPr>
      <w:bookmarkStart w:name="19、其他非流动金融资产" w:id="292"/>
      <w:bookmarkEnd w:id="292"/>
      <w:r>
        <w:rPr>
          <w:b w:val="0"/>
          <w:bCs w:val="0"/>
        </w:rPr>
      </w:r>
      <w:r>
        <w:rPr>
          <w:rFonts w:ascii="Times New Roman" w:hAnsi="Times New Roman" w:cs="Times New Roman" w:eastAsia="Times New Roman" w:hint="default"/>
        </w:rPr>
        <w:t>19</w:t>
      </w:r>
      <w:r>
        <w:rPr/>
        <w:t>、其他非流动金融资产</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3"/>
        <w:spacing w:line="240" w:lineRule="auto" w:before="36"/>
        <w:ind w:right="1764"/>
        <w:jc w:val="left"/>
        <w:rPr>
          <w:b w:val="0"/>
          <w:bCs w:val="0"/>
        </w:rPr>
      </w:pPr>
      <w:bookmarkStart w:name="20、投资性房地产" w:id="293"/>
      <w:bookmarkEnd w:id="293"/>
      <w:r>
        <w:rPr>
          <w:b w:val="0"/>
          <w:bCs w:val="0"/>
        </w:rPr>
      </w:r>
      <w:r>
        <w:rPr>
          <w:rFonts w:ascii="Times New Roman" w:hAnsi="Times New Roman" w:cs="Times New Roman" w:eastAsia="Times New Roman" w:hint="default"/>
        </w:rPr>
        <w:t>20</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1）采用成本计量模式的投资性房地产" w:id="294"/>
      <w:bookmarkEnd w:id="294"/>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7"/>
        <w:rPr>
          <w:rFonts w:ascii="宋体" w:hAnsi="宋体" w:cs="宋体" w:eastAsia="宋体" w:hint="default"/>
          <w:b/>
          <w:bCs/>
          <w:sz w:val="23"/>
          <w:szCs w:val="23"/>
        </w:rPr>
      </w:pPr>
    </w:p>
    <w:p>
      <w:pPr>
        <w:spacing w:before="46"/>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146,593,036.58</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146,593,036.58</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74,265,454.61</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74,265,454.61</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93" w:firstLine="331"/>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）存货</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固定资</w:t>
            </w:r>
            <w:r>
              <w:rPr>
                <w:rFonts w:ascii="宋体" w:hAnsi="宋体" w:cs="宋体" w:eastAsia="宋体" w:hint="default"/>
                <w:w w:val="101"/>
                <w:sz w:val="18"/>
                <w:szCs w:val="18"/>
              </w:rPr>
              <w:t> </w:t>
            </w:r>
            <w:r>
              <w:rPr>
                <w:rFonts w:ascii="宋体" w:hAnsi="宋体" w:cs="宋体" w:eastAsia="宋体" w:hint="default"/>
                <w:sz w:val="18"/>
                <w:szCs w:val="18"/>
              </w:rPr>
              <w:t>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74,265,454.61</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74,265,454.61</w:t>
            </w:r>
          </w:p>
        </w:tc>
      </w:tr>
      <w:tr>
        <w:trPr>
          <w:trHeight w:val="710"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0"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）企业合并增</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w w:val="101"/>
                <w:sz w:val="18"/>
                <w:szCs w:val="18"/>
              </w:rPr>
              <w:t>加</w:t>
            </w:r>
            <w:r>
              <w:rPr>
                <w:rFonts w:ascii="宋体" w:hAnsi="宋体" w:cs="宋体" w:eastAsia="宋体" w:hint="default"/>
                <w:sz w:val="18"/>
                <w:szCs w:val="18"/>
              </w:rPr>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220,858,491.19</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220,858,491.19</w:t>
            </w:r>
          </w:p>
        </w:tc>
      </w:tr>
      <w:tr>
        <w:trPr>
          <w:trHeight w:val="71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171"/>
              <w:jc w:val="left"/>
              <w:rPr>
                <w:rFonts w:ascii="宋体" w:hAnsi="宋体" w:cs="宋体" w:eastAsia="宋体" w:hint="default"/>
                <w:sz w:val="18"/>
                <w:szCs w:val="18"/>
              </w:rPr>
            </w:pPr>
            <w:r>
              <w:rPr>
                <w:rFonts w:ascii="宋体" w:hAnsi="宋体" w:cs="宋体" w:eastAsia="宋体" w:hint="default"/>
                <w:spacing w:val="-3"/>
                <w:sz w:val="18"/>
                <w:szCs w:val="18"/>
              </w:rPr>
              <w:t>二、累计折旧和累计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摊销</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6,737,139.31</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6,737,139.31</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4,882,923.19</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4,882,923.19</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0"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）计提或摊销</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4,882,923.19</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4,882,923.19</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11,620,062.50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11,620,062.50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、本期减少金额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期末账面价值</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209,238,428.69</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209,238,428.69</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期初账面价值</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139,855,897.27</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139,855,897.27</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2）采用公允价值计量模式的投资性房地产" w:id="295"/>
      <w:bookmarkEnd w:id="295"/>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10"/>
        <w:rPr>
          <w:rFonts w:ascii="宋体" w:hAnsi="宋体" w:cs="宋体" w:eastAsia="宋体" w:hint="default"/>
          <w:b/>
          <w:bCs/>
          <w:sz w:val="26"/>
          <w:szCs w:val="26"/>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3）未办妥产权证书的投资性房地产情况" w:id="296"/>
      <w:bookmarkEnd w:id="296"/>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401"/>
              <w:jc w:val="right"/>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78" w:right="0"/>
              <w:jc w:val="left"/>
              <w:rPr>
                <w:rFonts w:ascii="宋体" w:hAnsi="宋体" w:cs="宋体" w:eastAsia="宋体" w:hint="default"/>
                <w:sz w:val="18"/>
                <w:szCs w:val="18"/>
              </w:rPr>
            </w:pPr>
            <w:r>
              <w:rPr>
                <w:rFonts w:ascii="宋体" w:hAnsi="宋体" w:cs="宋体" w:eastAsia="宋体" w:hint="default"/>
                <w:spacing w:val="-3"/>
                <w:sz w:val="18"/>
                <w:szCs w:val="18"/>
              </w:rPr>
              <w:t>未办妥产权证书原因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448"/>
              <w:jc w:val="right"/>
              <w:rPr>
                <w:rFonts w:ascii="宋体" w:hAnsi="宋体" w:cs="宋体" w:eastAsia="宋体" w:hint="default"/>
                <w:sz w:val="18"/>
                <w:szCs w:val="18"/>
              </w:rPr>
            </w:pPr>
            <w:r>
              <w:rPr>
                <w:rFonts w:ascii="宋体" w:hAnsi="宋体" w:cs="宋体" w:eastAsia="宋体" w:hint="default"/>
                <w:spacing w:val="-3"/>
                <w:sz w:val="18"/>
                <w:szCs w:val="18"/>
              </w:rPr>
              <w:t>武汉天源迪科办公楼</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45" w:right="0"/>
              <w:jc w:val="left"/>
              <w:rPr>
                <w:rFonts w:ascii="Times New Roman" w:hAnsi="Times New Roman" w:cs="Times New Roman" w:eastAsia="Times New Roman" w:hint="default"/>
                <w:sz w:val="18"/>
                <w:szCs w:val="18"/>
              </w:rPr>
            </w:pPr>
            <w:r>
              <w:rPr>
                <w:rFonts w:ascii="Times New Roman"/>
                <w:sz w:val="18"/>
              </w:rPr>
              <w:t>72,857,381.60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3"/>
        <w:spacing w:line="240" w:lineRule="auto"/>
        <w:ind w:right="1764"/>
        <w:jc w:val="left"/>
        <w:rPr>
          <w:b w:val="0"/>
          <w:bCs w:val="0"/>
        </w:rPr>
      </w:pPr>
      <w:bookmarkStart w:name="21、固定资产" w:id="297"/>
      <w:bookmarkEnd w:id="297"/>
      <w:r>
        <w:rPr>
          <w:b w:val="0"/>
          <w:bCs w:val="0"/>
        </w:rPr>
      </w:r>
      <w:r>
        <w:rPr>
          <w:rFonts w:ascii="Times New Roman" w:hAnsi="Times New Roman" w:cs="Times New Roman" w:eastAsia="Times New Roman" w:hint="default"/>
        </w:rPr>
        <w:t>21</w:t>
      </w:r>
      <w:r>
        <w:rPr/>
        <w:t>、固定资产</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292,040,542.78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367,568,656.89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292,040,542.78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367,568,656.89</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1）固定资产情况" w:id="298"/>
      <w:bookmarkEnd w:id="298"/>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5"/>
        <w:gridCol w:w="1594"/>
        <w:gridCol w:w="1594"/>
        <w:gridCol w:w="1599"/>
      </w:tblGrid>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5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345,099,933.00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55,264,875.86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10,056,339.75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46" w:right="0"/>
              <w:jc w:val="left"/>
              <w:rPr>
                <w:rFonts w:ascii="Times New Roman" w:hAnsi="Times New Roman" w:cs="Times New Roman" w:eastAsia="Times New Roman" w:hint="default"/>
                <w:sz w:val="18"/>
                <w:szCs w:val="18"/>
              </w:rPr>
            </w:pPr>
            <w:r>
              <w:rPr>
                <w:rFonts w:ascii="Times New Roman"/>
                <w:sz w:val="18"/>
              </w:rPr>
              <w:t>30,667,297.53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441,088,446.14</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257"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806.71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9,743,739.76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2,267,648.16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10,951,826.21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22,964,020.84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806.71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9,743,739.76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2,267,648.16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46" w:right="0"/>
              <w:jc w:val="left"/>
              <w:rPr>
                <w:rFonts w:ascii="Times New Roman" w:hAnsi="Times New Roman" w:cs="Times New Roman" w:eastAsia="Times New Roman" w:hint="default"/>
                <w:sz w:val="18"/>
                <w:szCs w:val="18"/>
              </w:rPr>
            </w:pPr>
            <w:r>
              <w:rPr>
                <w:rFonts w:ascii="Times New Roman"/>
                <w:sz w:val="18"/>
              </w:rPr>
              <w:t>10,951,826.21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22,964,020.84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5"/>
        <w:gridCol w:w="1594"/>
        <w:gridCol w:w="1594"/>
        <w:gridCol w:w="1599"/>
      </w:tblGrid>
      <w:tr>
        <w:trPr>
          <w:trHeight w:val="36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程转入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123"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w:t>
            </w:r>
            <w:r>
              <w:rPr>
                <w:rFonts w:ascii="宋体" w:hAnsi="宋体" w:cs="宋体" w:eastAsia="宋体" w:hint="default"/>
                <w:w w:val="101"/>
                <w:sz w:val="18"/>
                <w:szCs w:val="18"/>
              </w:rPr>
              <w:t> </w:t>
            </w:r>
            <w:r>
              <w:rPr>
                <w:rFonts w:ascii="宋体" w:hAnsi="宋体" w:cs="宋体" w:eastAsia="宋体" w:hint="default"/>
                <w:sz w:val="18"/>
                <w:szCs w:val="18"/>
              </w:rPr>
              <w:t>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57"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74,265,454.61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4,133,342.25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5,749,128.90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84,747,925.76</w:t>
            </w:r>
          </w:p>
        </w:tc>
      </w:tr>
      <w:tr>
        <w:trPr>
          <w:trHeight w:val="71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23"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）处置或</w:t>
            </w:r>
            <w:r>
              <w:rPr>
                <w:rFonts w:ascii="宋体" w:hAnsi="宋体" w:cs="宋体" w:eastAsia="宋体" w:hint="default"/>
                <w:w w:val="101"/>
                <w:sz w:val="18"/>
                <w:szCs w:val="18"/>
              </w:rPr>
              <w:t> </w:t>
            </w:r>
            <w:r>
              <w:rPr>
                <w:rFonts w:ascii="宋体" w:hAnsi="宋体" w:cs="宋体" w:eastAsia="宋体" w:hint="default"/>
                <w:sz w:val="18"/>
                <w:szCs w:val="18"/>
              </w:rPr>
              <w:t>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4,133,342.25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5,749,128.90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10,482,471.15</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214"/>
              <w:jc w:val="left"/>
              <w:rPr>
                <w:rFonts w:ascii="宋体" w:hAnsi="宋体" w:cs="宋体" w:eastAsia="宋体" w:hint="default"/>
                <w:sz w:val="18"/>
                <w:szCs w:val="18"/>
              </w:rPr>
            </w:pPr>
            <w:r>
              <w:rPr>
                <w:rFonts w:ascii="宋体" w:hAnsi="宋体" w:cs="宋体" w:eastAsia="宋体" w:hint="default"/>
                <w:spacing w:val="-3"/>
                <w:sz w:val="18"/>
                <w:szCs w:val="18"/>
              </w:rPr>
              <w:t>转入投资性房地</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74,265,454.61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74,265,454.61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270,835,285.10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60,875,273.37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11,723,987.91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35,869,994.84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379,304,541.22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23,954,749.23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27,749,008.04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6,843,272.66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14,972,759.32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73,519,789.25</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257"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5,849,273.01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9,611,405.14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1,166,555.85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6,976,862.87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23,604,096.87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00"/>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5,849,273.01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9,611,405.14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1,166,555.85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6,976,862.87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23,604,096.87</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57"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4,029,745.79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360,998.29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5,469,143.60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9,859,887.68</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123"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）处置或</w:t>
            </w:r>
            <w:r>
              <w:rPr>
                <w:rFonts w:ascii="宋体" w:hAnsi="宋体" w:cs="宋体" w:eastAsia="宋体" w:hint="default"/>
                <w:w w:val="101"/>
                <w:sz w:val="18"/>
                <w:szCs w:val="18"/>
              </w:rPr>
              <w:t> </w:t>
            </w:r>
            <w:r>
              <w:rPr>
                <w:rFonts w:ascii="宋体" w:hAnsi="宋体" w:cs="宋体" w:eastAsia="宋体" w:hint="default"/>
                <w:sz w:val="18"/>
                <w:szCs w:val="18"/>
              </w:rPr>
              <w:t>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4,029,745.79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360,998.29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5,469,143.60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9,859,887.68</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29,804,022.24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33,330,667.39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7,648,830.22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16,480,478.59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87,263,998.44</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105" w:right="257"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00"/>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257"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123"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）处置或</w:t>
            </w:r>
            <w:r>
              <w:rPr>
                <w:rFonts w:ascii="宋体" w:hAnsi="宋体" w:cs="宋体" w:eastAsia="宋体" w:hint="default"/>
                <w:w w:val="101"/>
                <w:sz w:val="18"/>
                <w:szCs w:val="18"/>
              </w:rPr>
              <w:t> </w:t>
            </w:r>
            <w:r>
              <w:rPr>
                <w:rFonts w:ascii="宋体" w:hAnsi="宋体" w:cs="宋体" w:eastAsia="宋体" w:hint="default"/>
                <w:sz w:val="18"/>
                <w:szCs w:val="18"/>
              </w:rPr>
              <w:t>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257"/>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期末账面价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241,031,262.86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27,544,605.98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4,075,157.69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19,389,516.25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292,040,542.78</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5"/>
        <w:gridCol w:w="1594"/>
        <w:gridCol w:w="1594"/>
        <w:gridCol w:w="1599"/>
      </w:tblGrid>
      <w:tr>
        <w:trPr>
          <w:trHeight w:val="36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w w:val="101"/>
                <w:sz w:val="18"/>
                <w:szCs w:val="18"/>
              </w:rPr>
              <w:t>值</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257"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期初账面价</w:t>
            </w:r>
            <w:r>
              <w:rPr>
                <w:rFonts w:ascii="宋体" w:hAnsi="宋体" w:cs="宋体" w:eastAsia="宋体" w:hint="default"/>
                <w:w w:val="101"/>
                <w:sz w:val="18"/>
                <w:szCs w:val="18"/>
              </w:rPr>
              <w:t> </w:t>
            </w: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321,145,183.77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27,515,867.82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3,213,067.09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15,694,538.21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367,568,656.89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764"/>
        <w:jc w:val="left"/>
        <w:rPr>
          <w:b w:val="0"/>
          <w:bCs w:val="0"/>
        </w:rPr>
      </w:pPr>
      <w:bookmarkStart w:name="（2）暂时闲置的固定资产情况" w:id="299"/>
      <w:bookmarkEnd w:id="299"/>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7"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3）通过融资租赁租入的固定资产情况" w:id="300"/>
      <w:bookmarkEnd w:id="300"/>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4）通过经营租赁租出的固定资产" w:id="301"/>
      <w:bookmarkEnd w:id="301"/>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5"/>
        <w:rPr>
          <w:rFonts w:ascii="宋体" w:hAnsi="宋体" w:cs="宋体" w:eastAsia="宋体" w:hint="default"/>
          <w:sz w:val="19"/>
          <w:szCs w:val="19"/>
        </w:rPr>
      </w:pPr>
    </w:p>
    <w:p>
      <w:pPr>
        <w:pStyle w:val="Heading3"/>
        <w:spacing w:line="240" w:lineRule="auto" w:before="36"/>
        <w:ind w:right="1764"/>
        <w:jc w:val="left"/>
        <w:rPr>
          <w:b w:val="0"/>
          <w:bCs w:val="0"/>
        </w:rPr>
      </w:pPr>
      <w:bookmarkStart w:name="（5）未办妥产权证书的固定资产情况" w:id="302"/>
      <w:bookmarkEnd w:id="302"/>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01"/>
              <w:jc w:val="right"/>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448"/>
              <w:jc w:val="right"/>
              <w:rPr>
                <w:rFonts w:ascii="宋体" w:hAnsi="宋体" w:cs="宋体" w:eastAsia="宋体" w:hint="default"/>
                <w:sz w:val="18"/>
                <w:szCs w:val="18"/>
              </w:rPr>
            </w:pPr>
            <w:r>
              <w:rPr>
                <w:rFonts w:ascii="宋体" w:hAnsi="宋体" w:cs="宋体" w:eastAsia="宋体" w:hint="default"/>
                <w:spacing w:val="-3"/>
                <w:sz w:val="18"/>
                <w:szCs w:val="18"/>
              </w:rPr>
              <w:t>武汉天源迪科办公楼</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45" w:right="0"/>
              <w:jc w:val="left"/>
              <w:rPr>
                <w:rFonts w:ascii="Times New Roman" w:hAnsi="Times New Roman" w:cs="Times New Roman" w:eastAsia="Times New Roman" w:hint="default"/>
                <w:sz w:val="18"/>
                <w:szCs w:val="18"/>
              </w:rPr>
            </w:pPr>
            <w:r>
              <w:rPr>
                <w:rFonts w:ascii="Times New Roman"/>
                <w:sz w:val="18"/>
              </w:rPr>
              <w:t>12,263,578.81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6）固定资产清理" w:id="303"/>
      <w:bookmarkEnd w:id="303"/>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6"/>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22、在建工程" w:id="304"/>
      <w:bookmarkEnd w:id="304"/>
      <w:r>
        <w:rPr>
          <w:b w:val="0"/>
          <w:bCs w:val="0"/>
        </w:rPr>
      </w:r>
      <w:r>
        <w:rPr>
          <w:rFonts w:ascii="Times New Roman" w:hAnsi="Times New Roman" w:cs="Times New Roman" w:eastAsia="Times New Roman" w:hint="default"/>
        </w:rPr>
        <w:t>22</w:t>
      </w:r>
      <w:r>
        <w:rPr/>
        <w:t>、在建工程</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1）在建工程情况" w:id="305"/>
      <w:bookmarkEnd w:id="305"/>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4105"/>
        <w:gridCol w:w="4101"/>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2）重要在建工程项目本期变动情况" w:id="306"/>
      <w:bookmarkEnd w:id="306"/>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734"/>
        <w:gridCol w:w="735"/>
        <w:gridCol w:w="735"/>
        <w:gridCol w:w="739"/>
        <w:gridCol w:w="735"/>
        <w:gridCol w:w="734"/>
        <w:gridCol w:w="740"/>
        <w:gridCol w:w="735"/>
        <w:gridCol w:w="734"/>
        <w:gridCol w:w="740"/>
        <w:gridCol w:w="734"/>
        <w:gridCol w:w="735"/>
        <w:gridCol w:w="739"/>
      </w:tblGrid>
      <w:tr>
        <w:trPr>
          <w:trHeight w:val="1961"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319" w:lineRule="auto"/>
              <w:ind w:left="182" w:right="175"/>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pacing w:val="-86"/>
                <w:sz w:val="18"/>
                <w:szCs w:val="18"/>
              </w:rPr>
              <w:t> </w:t>
            </w:r>
            <w:r>
              <w:rPr>
                <w:rFonts w:ascii="宋体" w:hAnsi="宋体" w:cs="宋体" w:eastAsia="宋体" w:hint="default"/>
                <w:sz w:val="18"/>
                <w:szCs w:val="18"/>
              </w:rPr>
              <w:t>名称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319" w:lineRule="auto"/>
              <w:ind w:left="269" w:right="180" w:hanging="92"/>
              <w:jc w:val="left"/>
              <w:rPr>
                <w:rFonts w:ascii="宋体" w:hAnsi="宋体" w:cs="宋体" w:eastAsia="宋体" w:hint="default"/>
                <w:sz w:val="18"/>
                <w:szCs w:val="18"/>
              </w:rPr>
            </w:pPr>
            <w:r>
              <w:rPr>
                <w:rFonts w:ascii="宋体" w:hAnsi="宋体" w:cs="宋体" w:eastAsia="宋体" w:hint="default"/>
                <w:sz w:val="18"/>
                <w:szCs w:val="18"/>
              </w:rPr>
              <w:t>预算</w:t>
            </w:r>
            <w:r>
              <w:rPr>
                <w:rFonts w:ascii="宋体" w:hAnsi="宋体" w:cs="宋体" w:eastAsia="宋体" w:hint="default"/>
                <w:spacing w:val="-86"/>
                <w:sz w:val="18"/>
                <w:szCs w:val="18"/>
              </w:rPr>
              <w:t> </w:t>
            </w:r>
            <w:r>
              <w:rPr>
                <w:rFonts w:ascii="宋体" w:hAnsi="宋体" w:cs="宋体" w:eastAsia="宋体" w:hint="default"/>
                <w:sz w:val="18"/>
                <w:szCs w:val="18"/>
              </w:rPr>
              <w:t>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319" w:lineRule="auto"/>
              <w:ind w:left="182" w:right="177"/>
              <w:jc w:val="left"/>
              <w:rPr>
                <w:rFonts w:ascii="宋体" w:hAnsi="宋体" w:cs="宋体" w:eastAsia="宋体" w:hint="default"/>
                <w:sz w:val="18"/>
                <w:szCs w:val="18"/>
              </w:rPr>
            </w:pPr>
            <w:r>
              <w:rPr>
                <w:rFonts w:ascii="宋体" w:hAnsi="宋体" w:cs="宋体" w:eastAsia="宋体" w:hint="default"/>
                <w:sz w:val="18"/>
                <w:szCs w:val="18"/>
              </w:rPr>
              <w:t>期初</w:t>
            </w:r>
            <w:r>
              <w:rPr>
                <w:rFonts w:ascii="宋体" w:hAnsi="宋体" w:cs="宋体" w:eastAsia="宋体" w:hint="default"/>
                <w:spacing w:val="-86"/>
                <w:sz w:val="18"/>
                <w:szCs w:val="18"/>
              </w:rPr>
              <w:t> </w:t>
            </w:r>
            <w:r>
              <w:rPr>
                <w:rFonts w:ascii="宋体" w:hAnsi="宋体" w:cs="宋体" w:eastAsia="宋体" w:hint="default"/>
                <w:sz w:val="18"/>
                <w:szCs w:val="18"/>
              </w:rPr>
              <w:t>余额</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9" w:lineRule="auto"/>
              <w:ind w:left="182" w:right="180"/>
              <w:jc w:val="both"/>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pacing w:val="-86"/>
                <w:sz w:val="18"/>
                <w:szCs w:val="18"/>
              </w:rPr>
              <w:t> </w:t>
            </w:r>
            <w:r>
              <w:rPr>
                <w:rFonts w:ascii="宋体" w:hAnsi="宋体" w:cs="宋体" w:eastAsia="宋体" w:hint="default"/>
                <w:sz w:val="18"/>
                <w:szCs w:val="18"/>
              </w:rPr>
              <w:t>增加</w:t>
            </w:r>
            <w:r>
              <w:rPr>
                <w:rFonts w:ascii="宋体" w:hAnsi="宋体" w:cs="宋体" w:eastAsia="宋体" w:hint="default"/>
                <w:spacing w:val="-86"/>
                <w:sz w:val="18"/>
                <w:szCs w:val="18"/>
              </w:rPr>
              <w:t> </w:t>
            </w:r>
            <w:r>
              <w:rPr>
                <w:rFonts w:ascii="宋体" w:hAnsi="宋体" w:cs="宋体" w:eastAsia="宋体" w:hint="default"/>
                <w:sz w:val="18"/>
                <w:szCs w:val="18"/>
              </w:rPr>
              <w:t>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9" w:lineRule="auto"/>
              <w:ind w:left="177" w:right="182"/>
              <w:jc w:val="both"/>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pacing w:val="-86"/>
                <w:sz w:val="18"/>
                <w:szCs w:val="18"/>
              </w:rPr>
              <w:t> </w:t>
            </w:r>
            <w:r>
              <w:rPr>
                <w:rFonts w:ascii="宋体" w:hAnsi="宋体" w:cs="宋体" w:eastAsia="宋体" w:hint="default"/>
                <w:sz w:val="18"/>
                <w:szCs w:val="18"/>
              </w:rPr>
              <w:t>转入</w:t>
            </w:r>
            <w:r>
              <w:rPr>
                <w:rFonts w:ascii="宋体" w:hAnsi="宋体" w:cs="宋体" w:eastAsia="宋体" w:hint="default"/>
                <w:spacing w:val="-86"/>
                <w:sz w:val="18"/>
                <w:szCs w:val="18"/>
              </w:rPr>
              <w:t> </w:t>
            </w:r>
            <w:r>
              <w:rPr>
                <w:rFonts w:ascii="宋体" w:hAnsi="宋体" w:cs="宋体" w:eastAsia="宋体" w:hint="default"/>
                <w:sz w:val="18"/>
                <w:szCs w:val="18"/>
              </w:rPr>
              <w:t>固定</w:t>
            </w:r>
            <w:r>
              <w:rPr>
                <w:rFonts w:ascii="宋体" w:hAnsi="宋体" w:cs="宋体" w:eastAsia="宋体" w:hint="default"/>
                <w:spacing w:val="-86"/>
                <w:sz w:val="18"/>
                <w:szCs w:val="18"/>
              </w:rPr>
              <w:t> </w:t>
            </w:r>
            <w:r>
              <w:rPr>
                <w:rFonts w:ascii="宋体" w:hAnsi="宋体" w:cs="宋体" w:eastAsia="宋体" w:hint="default"/>
                <w:sz w:val="18"/>
                <w:szCs w:val="18"/>
              </w:rPr>
              <w:t>资产</w:t>
            </w:r>
            <w:r>
              <w:rPr>
                <w:rFonts w:ascii="宋体" w:hAnsi="宋体" w:cs="宋体" w:eastAsia="宋体" w:hint="default"/>
                <w:spacing w:val="-86"/>
                <w:sz w:val="18"/>
                <w:szCs w:val="18"/>
              </w:rPr>
              <w:t> </w:t>
            </w:r>
            <w:r>
              <w:rPr>
                <w:rFonts w:ascii="宋体" w:hAnsi="宋体" w:cs="宋体" w:eastAsia="宋体" w:hint="default"/>
                <w:sz w:val="18"/>
                <w:szCs w:val="18"/>
              </w:rPr>
              <w:t>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2"/>
              <w:ind w:left="182" w:right="175"/>
              <w:jc w:val="both"/>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pacing w:val="-86"/>
                <w:sz w:val="18"/>
                <w:szCs w:val="18"/>
              </w:rPr>
              <w:t> </w:t>
            </w: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减少</w:t>
            </w:r>
            <w:r>
              <w:rPr>
                <w:rFonts w:ascii="宋体" w:hAnsi="宋体" w:cs="宋体" w:eastAsia="宋体" w:hint="default"/>
                <w:spacing w:val="-86"/>
                <w:sz w:val="18"/>
                <w:szCs w:val="18"/>
              </w:rPr>
              <w:t> </w:t>
            </w:r>
            <w:r>
              <w:rPr>
                <w:rFonts w:ascii="宋体" w:hAnsi="宋体" w:cs="宋体" w:eastAsia="宋体" w:hint="default"/>
                <w:sz w:val="18"/>
                <w:szCs w:val="18"/>
              </w:rPr>
              <w:t>金额</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319" w:lineRule="auto"/>
              <w:ind w:left="182" w:right="180"/>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pacing w:val="-86"/>
                <w:sz w:val="18"/>
                <w:szCs w:val="18"/>
              </w:rPr>
              <w:t> </w:t>
            </w:r>
            <w:r>
              <w:rPr>
                <w:rFonts w:ascii="宋体" w:hAnsi="宋体" w:cs="宋体" w:eastAsia="宋体" w:hint="default"/>
                <w:sz w:val="18"/>
                <w:szCs w:val="18"/>
              </w:rPr>
              <w:t>余额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77" w:right="180"/>
              <w:jc w:val="both"/>
              <w:rPr>
                <w:rFonts w:ascii="宋体" w:hAnsi="宋体" w:cs="宋体" w:eastAsia="宋体" w:hint="default"/>
                <w:sz w:val="18"/>
                <w:szCs w:val="18"/>
              </w:rPr>
            </w:pPr>
            <w:r>
              <w:rPr>
                <w:rFonts w:ascii="宋体" w:hAnsi="宋体" w:cs="宋体" w:eastAsia="宋体" w:hint="default"/>
                <w:sz w:val="18"/>
                <w:szCs w:val="18"/>
              </w:rPr>
              <w:t>工程</w:t>
            </w:r>
            <w:r>
              <w:rPr>
                <w:rFonts w:ascii="宋体" w:hAnsi="宋体" w:cs="宋体" w:eastAsia="宋体" w:hint="default"/>
                <w:spacing w:val="-86"/>
                <w:sz w:val="18"/>
                <w:szCs w:val="18"/>
              </w:rPr>
              <w:t> </w:t>
            </w:r>
            <w:r>
              <w:rPr>
                <w:rFonts w:ascii="宋体" w:hAnsi="宋体" w:cs="宋体" w:eastAsia="宋体" w:hint="default"/>
                <w:sz w:val="18"/>
                <w:szCs w:val="18"/>
              </w:rPr>
              <w:t>累计</w:t>
            </w:r>
            <w:r>
              <w:rPr>
                <w:rFonts w:ascii="宋体" w:hAnsi="宋体" w:cs="宋体" w:eastAsia="宋体" w:hint="default"/>
                <w:spacing w:val="-86"/>
                <w:sz w:val="18"/>
                <w:szCs w:val="18"/>
              </w:rPr>
              <w:t> </w:t>
            </w:r>
            <w:r>
              <w:rPr>
                <w:rFonts w:ascii="宋体" w:hAnsi="宋体" w:cs="宋体" w:eastAsia="宋体" w:hint="default"/>
                <w:sz w:val="18"/>
                <w:szCs w:val="18"/>
              </w:rPr>
              <w:t>投入</w:t>
            </w:r>
            <w:r>
              <w:rPr>
                <w:rFonts w:ascii="宋体" w:hAnsi="宋体" w:cs="宋体" w:eastAsia="宋体" w:hint="default"/>
                <w:spacing w:val="-86"/>
                <w:sz w:val="18"/>
                <w:szCs w:val="18"/>
              </w:rPr>
              <w:t> </w:t>
            </w:r>
            <w:r>
              <w:rPr>
                <w:rFonts w:ascii="宋体" w:hAnsi="宋体" w:cs="宋体" w:eastAsia="宋体" w:hint="default"/>
                <w:sz w:val="18"/>
                <w:szCs w:val="18"/>
              </w:rPr>
              <w:t>占预</w:t>
            </w:r>
            <w:r>
              <w:rPr>
                <w:rFonts w:ascii="宋体" w:hAnsi="宋体" w:cs="宋体" w:eastAsia="宋体" w:hint="default"/>
                <w:spacing w:val="-86"/>
                <w:sz w:val="18"/>
                <w:szCs w:val="18"/>
              </w:rPr>
              <w:t> </w:t>
            </w:r>
            <w:r>
              <w:rPr>
                <w:rFonts w:ascii="宋体" w:hAnsi="宋体" w:cs="宋体" w:eastAsia="宋体" w:hint="default"/>
                <w:sz w:val="18"/>
                <w:szCs w:val="18"/>
              </w:rPr>
              <w:t>算比</w:t>
            </w:r>
            <w:r>
              <w:rPr>
                <w:rFonts w:ascii="宋体" w:hAnsi="宋体" w:cs="宋体" w:eastAsia="宋体" w:hint="default"/>
                <w:spacing w:val="-86"/>
                <w:sz w:val="18"/>
                <w:szCs w:val="18"/>
              </w:rPr>
              <w:t> </w:t>
            </w:r>
            <w:r>
              <w:rPr>
                <w:rFonts w:ascii="宋体" w:hAnsi="宋体" w:cs="宋体" w:eastAsia="宋体" w:hint="default"/>
                <w:sz w:val="18"/>
                <w:szCs w:val="18"/>
              </w:rPr>
              <w:t>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319" w:lineRule="auto"/>
              <w:ind w:left="182" w:right="175"/>
              <w:jc w:val="left"/>
              <w:rPr>
                <w:rFonts w:ascii="宋体" w:hAnsi="宋体" w:cs="宋体" w:eastAsia="宋体" w:hint="default"/>
                <w:sz w:val="18"/>
                <w:szCs w:val="18"/>
              </w:rPr>
            </w:pPr>
            <w:r>
              <w:rPr>
                <w:rFonts w:ascii="宋体" w:hAnsi="宋体" w:cs="宋体" w:eastAsia="宋体" w:hint="default"/>
                <w:sz w:val="18"/>
                <w:szCs w:val="18"/>
              </w:rPr>
              <w:t>工程</w:t>
            </w:r>
            <w:r>
              <w:rPr>
                <w:rFonts w:ascii="宋体" w:hAnsi="宋体" w:cs="宋体" w:eastAsia="宋体" w:hint="default"/>
                <w:spacing w:val="-86"/>
                <w:sz w:val="18"/>
                <w:szCs w:val="18"/>
              </w:rPr>
              <w:t> </w:t>
            </w:r>
            <w:r>
              <w:rPr>
                <w:rFonts w:ascii="宋体" w:hAnsi="宋体" w:cs="宋体" w:eastAsia="宋体" w:hint="default"/>
                <w:sz w:val="18"/>
                <w:szCs w:val="18"/>
              </w:rPr>
              <w:t>进度</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9" w:lineRule="auto"/>
              <w:ind w:left="182" w:right="182"/>
              <w:jc w:val="both"/>
              <w:rPr>
                <w:rFonts w:ascii="宋体" w:hAnsi="宋体" w:cs="宋体" w:eastAsia="宋体" w:hint="default"/>
                <w:sz w:val="18"/>
                <w:szCs w:val="18"/>
              </w:rPr>
            </w:pPr>
            <w:r>
              <w:rPr>
                <w:rFonts w:ascii="宋体" w:hAnsi="宋体" w:cs="宋体" w:eastAsia="宋体" w:hint="default"/>
                <w:sz w:val="18"/>
                <w:szCs w:val="18"/>
              </w:rPr>
              <w:t>利息</w:t>
            </w:r>
            <w:r>
              <w:rPr>
                <w:rFonts w:ascii="宋体" w:hAnsi="宋体" w:cs="宋体" w:eastAsia="宋体" w:hint="default"/>
                <w:spacing w:val="-86"/>
                <w:sz w:val="18"/>
                <w:szCs w:val="18"/>
              </w:rPr>
              <w:t> </w:t>
            </w: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化累</w:t>
            </w:r>
            <w:r>
              <w:rPr>
                <w:rFonts w:ascii="宋体" w:hAnsi="宋体" w:cs="宋体" w:eastAsia="宋体" w:hint="default"/>
                <w:spacing w:val="-86"/>
                <w:sz w:val="18"/>
                <w:szCs w:val="18"/>
              </w:rPr>
              <w:t> </w:t>
            </w:r>
            <w:r>
              <w:rPr>
                <w:rFonts w:ascii="宋体" w:hAnsi="宋体" w:cs="宋体" w:eastAsia="宋体" w:hint="default"/>
                <w:sz w:val="18"/>
                <w:szCs w:val="18"/>
              </w:rPr>
              <w:t>计金</w:t>
            </w:r>
            <w:r>
              <w:rPr>
                <w:rFonts w:ascii="宋体" w:hAnsi="宋体" w:cs="宋体" w:eastAsia="宋体" w:hint="default"/>
                <w:spacing w:val="-86"/>
                <w:sz w:val="18"/>
                <w:szCs w:val="18"/>
              </w:rPr>
              <w:t> </w:t>
            </w:r>
            <w:r>
              <w:rPr>
                <w:rFonts w:ascii="宋体" w:hAnsi="宋体" w:cs="宋体" w:eastAsia="宋体" w:hint="default"/>
                <w:sz w:val="18"/>
                <w:szCs w:val="18"/>
              </w:rPr>
              <w:t>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00" w:right="79"/>
              <w:jc w:val="center"/>
              <w:rPr>
                <w:rFonts w:ascii="宋体" w:hAnsi="宋体" w:cs="宋体" w:eastAsia="宋体" w:hint="default"/>
                <w:sz w:val="18"/>
                <w:szCs w:val="18"/>
              </w:rPr>
            </w:pPr>
            <w:r>
              <w:rPr>
                <w:rFonts w:ascii="宋体" w:hAnsi="宋体" w:cs="宋体" w:eastAsia="宋体" w:hint="default"/>
                <w:spacing w:val="-2"/>
                <w:sz w:val="18"/>
                <w:szCs w:val="18"/>
              </w:rPr>
              <w:t>其中：</w:t>
            </w:r>
            <w:r>
              <w:rPr>
                <w:rFonts w:ascii="宋体" w:hAnsi="宋体" w:cs="宋体" w:eastAsia="宋体" w:hint="default"/>
                <w:w w:val="101"/>
                <w:sz w:val="18"/>
                <w:szCs w:val="18"/>
              </w:rPr>
              <w:t> </w:t>
            </w:r>
            <w:r>
              <w:rPr>
                <w:rFonts w:ascii="宋体" w:hAnsi="宋体" w:cs="宋体" w:eastAsia="宋体" w:hint="default"/>
                <w:sz w:val="18"/>
                <w:szCs w:val="18"/>
              </w:rPr>
              <w:t>本期</w:t>
            </w:r>
            <w:r>
              <w:rPr>
                <w:rFonts w:ascii="宋体" w:hAnsi="宋体" w:cs="宋体" w:eastAsia="宋体" w:hint="default"/>
                <w:w w:val="101"/>
                <w:sz w:val="18"/>
                <w:szCs w:val="18"/>
              </w:rPr>
              <w:t> </w:t>
            </w:r>
            <w:r>
              <w:rPr>
                <w:rFonts w:ascii="宋体" w:hAnsi="宋体" w:cs="宋体" w:eastAsia="宋体" w:hint="default"/>
                <w:sz w:val="18"/>
                <w:szCs w:val="18"/>
              </w:rPr>
              <w:t>利息</w:t>
            </w:r>
            <w:r>
              <w:rPr>
                <w:rFonts w:ascii="宋体" w:hAnsi="宋体" w:cs="宋体" w:eastAsia="宋体" w:hint="default"/>
                <w:w w:val="101"/>
                <w:sz w:val="18"/>
                <w:szCs w:val="18"/>
              </w:rPr>
              <w:t> </w:t>
            </w:r>
            <w:r>
              <w:rPr>
                <w:rFonts w:ascii="宋体" w:hAnsi="宋体" w:cs="宋体" w:eastAsia="宋体" w:hint="default"/>
                <w:sz w:val="18"/>
                <w:szCs w:val="18"/>
              </w:rPr>
              <w:t>资本</w:t>
            </w:r>
            <w:r>
              <w:rPr>
                <w:rFonts w:ascii="宋体" w:hAnsi="宋体" w:cs="宋体" w:eastAsia="宋体" w:hint="default"/>
                <w:w w:val="101"/>
                <w:sz w:val="18"/>
                <w:szCs w:val="18"/>
              </w:rPr>
              <w:t> </w:t>
            </w:r>
            <w:r>
              <w:rPr>
                <w:rFonts w:ascii="宋体" w:hAnsi="宋体" w:cs="宋体" w:eastAsia="宋体" w:hint="default"/>
                <w:sz w:val="18"/>
                <w:szCs w:val="18"/>
              </w:rPr>
              <w:t>化金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2"/>
              <w:ind w:left="182" w:right="177"/>
              <w:jc w:val="both"/>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pacing w:val="-86"/>
                <w:sz w:val="18"/>
                <w:szCs w:val="18"/>
              </w:rPr>
              <w:t> </w:t>
            </w:r>
            <w:r>
              <w:rPr>
                <w:rFonts w:ascii="宋体" w:hAnsi="宋体" w:cs="宋体" w:eastAsia="宋体" w:hint="default"/>
                <w:sz w:val="18"/>
                <w:szCs w:val="18"/>
              </w:rPr>
              <w:t>利息</w:t>
            </w:r>
            <w:r>
              <w:rPr>
                <w:rFonts w:ascii="宋体" w:hAnsi="宋体" w:cs="宋体" w:eastAsia="宋体" w:hint="default"/>
                <w:spacing w:val="-86"/>
                <w:sz w:val="18"/>
                <w:szCs w:val="18"/>
              </w:rPr>
              <w:t> </w:t>
            </w: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化率</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319" w:lineRule="auto"/>
              <w:ind w:left="182" w:right="180"/>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86"/>
                <w:sz w:val="18"/>
                <w:szCs w:val="18"/>
              </w:rPr>
              <w:t> </w:t>
            </w:r>
            <w:r>
              <w:rPr>
                <w:rFonts w:ascii="宋体" w:hAnsi="宋体" w:cs="宋体" w:eastAsia="宋体" w:hint="default"/>
                <w:sz w:val="18"/>
                <w:szCs w:val="18"/>
              </w:rPr>
              <w:t>来源</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3）本期计提在建工程减值准备情况" w:id="307"/>
      <w:bookmarkEnd w:id="307"/>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4）工程物资" w:id="308"/>
      <w:bookmarkEnd w:id="308"/>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132"/>
        <w:gridCol w:w="1330"/>
        <w:gridCol w:w="1330"/>
        <w:gridCol w:w="1196"/>
        <w:gridCol w:w="1196"/>
        <w:gridCol w:w="1196"/>
        <w:gridCol w:w="1193"/>
      </w:tblGrid>
      <w:tr>
        <w:trPr>
          <w:trHeight w:val="398" w:hRule="exact"/>
        </w:trPr>
        <w:tc>
          <w:tcPr>
            <w:tcW w:w="21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132"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0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0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54"/>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3"/>
        <w:spacing w:line="240" w:lineRule="auto"/>
        <w:ind w:right="1764"/>
        <w:jc w:val="left"/>
        <w:rPr>
          <w:b w:val="0"/>
          <w:bCs w:val="0"/>
        </w:rPr>
      </w:pPr>
      <w:bookmarkStart w:name="23、生产性生物资产" w:id="309"/>
      <w:bookmarkEnd w:id="309"/>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1）采用成本计量模式的生产性生物资产" w:id="310"/>
      <w:bookmarkEnd w:id="310"/>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1"/>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2）采用公允价值计量模式的生产性生物资产" w:id="311"/>
      <w:bookmarkEnd w:id="311"/>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1"/>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24、油气资产" w:id="312"/>
      <w:bookmarkEnd w:id="312"/>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1"/>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25、使用权资产" w:id="313"/>
      <w:bookmarkEnd w:id="313"/>
      <w:r>
        <w:rPr>
          <w:b w:val="0"/>
          <w:bCs w:val="0"/>
        </w:rPr>
      </w:r>
      <w:r>
        <w:rPr>
          <w:rFonts w:ascii="Times New Roman" w:hAnsi="Times New Roman" w:cs="Times New Roman" w:eastAsia="Times New Roman" w:hint="default"/>
        </w:rPr>
        <w:t>25</w:t>
      </w:r>
      <w:r>
        <w:rPr/>
        <w:t>、使用权资产</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26、无形资产" w:id="314"/>
      <w:bookmarkEnd w:id="314"/>
      <w:r>
        <w:rPr>
          <w:b w:val="0"/>
          <w:bCs w:val="0"/>
        </w:rPr>
      </w:r>
      <w:r>
        <w:rPr>
          <w:rFonts w:ascii="Times New Roman" w:hAnsi="Times New Roman" w:cs="Times New Roman" w:eastAsia="Times New Roman" w:hint="default"/>
        </w:rPr>
        <w:t>26</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1）无形资产情况" w:id="315"/>
      <w:bookmarkEnd w:id="315"/>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5"/>
        <w:gridCol w:w="1594"/>
        <w:gridCol w:w="1594"/>
        <w:gridCol w:w="1599"/>
      </w:tblGrid>
      <w:tr>
        <w:trPr>
          <w:trHeight w:val="39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4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4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2" w:right="0"/>
              <w:jc w:val="left"/>
              <w:rPr>
                <w:rFonts w:ascii="宋体" w:hAnsi="宋体" w:cs="宋体" w:eastAsia="宋体" w:hint="default"/>
                <w:sz w:val="18"/>
                <w:szCs w:val="18"/>
              </w:rPr>
            </w:pPr>
            <w:r>
              <w:rPr>
                <w:rFonts w:ascii="宋体" w:hAnsi="宋体" w:cs="宋体" w:eastAsia="宋体" w:hint="default"/>
                <w:sz w:val="18"/>
                <w:szCs w:val="18"/>
              </w:rPr>
              <w:t>软件平台</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15,776,991.84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9" w:right="0"/>
              <w:jc w:val="left"/>
              <w:rPr>
                <w:rFonts w:ascii="Times New Roman" w:hAnsi="Times New Roman" w:cs="Times New Roman" w:eastAsia="Times New Roman" w:hint="default"/>
                <w:sz w:val="18"/>
                <w:szCs w:val="18"/>
              </w:rPr>
            </w:pPr>
            <w:r>
              <w:rPr>
                <w:rFonts w:ascii="Times New Roman"/>
                <w:sz w:val="18"/>
              </w:rPr>
              <w:t>673,979,186.95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35,284,286.48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725,040,465.27</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57"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103,970,627.92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4,413,005.02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108,383,632.94</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2"/>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4,413,005.02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4,413,005.02</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103,970,627.92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103,970,627.92</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22" w:firstLine="542"/>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w:t>
            </w:r>
            <w:r>
              <w:rPr>
                <w:rFonts w:ascii="宋体" w:hAnsi="宋体" w:cs="宋体" w:eastAsia="宋体" w:hint="default"/>
                <w:w w:val="101"/>
                <w:sz w:val="18"/>
                <w:szCs w:val="18"/>
              </w:rPr>
              <w:t> </w:t>
            </w:r>
            <w:r>
              <w:rPr>
                <w:rFonts w:ascii="宋体" w:hAnsi="宋体" w:cs="宋体" w:eastAsia="宋体" w:hint="default"/>
                <w:sz w:val="18"/>
                <w:szCs w:val="18"/>
              </w:rPr>
              <w:t>合并增加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57"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2"/>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15,776,991.84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9" w:right="0"/>
              <w:jc w:val="left"/>
              <w:rPr>
                <w:rFonts w:ascii="Times New Roman" w:hAnsi="Times New Roman" w:cs="Times New Roman" w:eastAsia="Times New Roman" w:hint="default"/>
                <w:sz w:val="18"/>
                <w:szCs w:val="18"/>
              </w:rPr>
            </w:pPr>
            <w:r>
              <w:rPr>
                <w:rFonts w:ascii="Times New Roman"/>
                <w:sz w:val="18"/>
              </w:rPr>
              <w:t>777,949,814.87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39,697,291.50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833,424,098.21</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2,239,156.09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9" w:right="0"/>
              <w:jc w:val="left"/>
              <w:rPr>
                <w:rFonts w:ascii="Times New Roman" w:hAnsi="Times New Roman" w:cs="Times New Roman" w:eastAsia="Times New Roman" w:hint="default"/>
                <w:sz w:val="18"/>
                <w:szCs w:val="18"/>
              </w:rPr>
            </w:pPr>
            <w:r>
              <w:rPr>
                <w:rFonts w:ascii="Times New Roman"/>
                <w:sz w:val="18"/>
              </w:rPr>
              <w:t>473,458,299.96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31,566,441.90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507,263,897.95</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57"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315,539.88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101,144,274.55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3,054,029.76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104,513,844.19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2"/>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315,539.88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9" w:right="0"/>
              <w:jc w:val="left"/>
              <w:rPr>
                <w:rFonts w:ascii="Times New Roman" w:hAnsi="Times New Roman" w:cs="Times New Roman" w:eastAsia="Times New Roman" w:hint="default"/>
                <w:sz w:val="18"/>
                <w:szCs w:val="18"/>
              </w:rPr>
            </w:pPr>
            <w:r>
              <w:rPr>
                <w:rFonts w:ascii="Times New Roman"/>
                <w:sz w:val="18"/>
              </w:rPr>
              <w:t>101,144,274.55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3,054,029.76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104,513,844.19</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105" w:right="257"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2"/>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2,554,695.97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9" w:right="0"/>
              <w:jc w:val="left"/>
              <w:rPr>
                <w:rFonts w:ascii="Times New Roman" w:hAnsi="Times New Roman" w:cs="Times New Roman" w:eastAsia="Times New Roman" w:hint="default"/>
                <w:sz w:val="18"/>
                <w:szCs w:val="18"/>
              </w:rPr>
            </w:pPr>
            <w:r>
              <w:rPr>
                <w:rFonts w:ascii="Times New Roman"/>
                <w:sz w:val="18"/>
              </w:rPr>
              <w:t>574,602,574.51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34,620,471.66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611,777,742.14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5"/>
        <w:gridCol w:w="1594"/>
        <w:gridCol w:w="1594"/>
        <w:gridCol w:w="1599"/>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57"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257"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57"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期末账面</w:t>
            </w:r>
            <w:r>
              <w:rPr>
                <w:rFonts w:ascii="宋体" w:hAnsi="宋体" w:cs="宋体" w:eastAsia="宋体" w:hint="default"/>
                <w:w w:val="101"/>
                <w:sz w:val="18"/>
                <w:szCs w:val="18"/>
              </w:rPr>
              <w:t> </w:t>
            </w:r>
            <w:r>
              <w:rPr>
                <w:rFonts w:ascii="宋体" w:hAnsi="宋体" w:cs="宋体" w:eastAsia="宋体" w:hint="default"/>
                <w:sz w:val="18"/>
                <w:szCs w:val="18"/>
              </w:rPr>
              <w:t>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13,222,295.87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203,347,240.36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5,076,819.84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221,646,356.07</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57"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期初账面</w:t>
            </w:r>
            <w:r>
              <w:rPr>
                <w:rFonts w:ascii="宋体" w:hAnsi="宋体" w:cs="宋体" w:eastAsia="宋体" w:hint="default"/>
                <w:w w:val="101"/>
                <w:sz w:val="18"/>
                <w:szCs w:val="18"/>
              </w:rPr>
              <w:t> </w:t>
            </w:r>
            <w:r>
              <w:rPr>
                <w:rFonts w:ascii="宋体" w:hAnsi="宋体" w:cs="宋体" w:eastAsia="宋体" w:hint="default"/>
                <w:sz w:val="18"/>
                <w:szCs w:val="18"/>
              </w:rPr>
              <w:t>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13,537,835.75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200,520,886.99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3,717,844.58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217,776,567.32</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本期末通过公司内部研发形成的无形资产占无形资产余额的比例</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93.34%</w:t>
      </w:r>
      <w:r>
        <w:rPr>
          <w:rFonts w:ascii="宋体" w:hAnsi="宋体" w:cs="宋体" w:eastAsia="宋体" w:hint="default"/>
          <w:sz w:val="18"/>
          <w:szCs w:val="18"/>
        </w:rPr>
        <w:t>。</w:t>
      </w:r>
    </w:p>
    <w:p>
      <w:pPr>
        <w:spacing w:line="240" w:lineRule="auto" w:before="3"/>
        <w:rPr>
          <w:rFonts w:ascii="宋体" w:hAnsi="宋体" w:cs="宋体" w:eastAsia="宋体" w:hint="default"/>
          <w:sz w:val="25"/>
          <w:szCs w:val="25"/>
        </w:rPr>
      </w:pPr>
    </w:p>
    <w:p>
      <w:pPr>
        <w:pStyle w:val="Heading3"/>
        <w:spacing w:line="240" w:lineRule="auto"/>
        <w:ind w:right="1764"/>
        <w:jc w:val="left"/>
        <w:rPr>
          <w:b w:val="0"/>
          <w:bCs w:val="0"/>
        </w:rPr>
      </w:pPr>
      <w:bookmarkStart w:name="（2）未办妥产权证书的土地使用权情况" w:id="316"/>
      <w:bookmarkEnd w:id="316"/>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3"/>
          <w:szCs w:val="23"/>
        </w:rPr>
      </w:pPr>
    </w:p>
    <w:p>
      <w:pPr>
        <w:pStyle w:val="Heading3"/>
        <w:spacing w:line="240" w:lineRule="auto"/>
        <w:ind w:right="1764"/>
        <w:jc w:val="left"/>
        <w:rPr>
          <w:b w:val="0"/>
          <w:bCs w:val="0"/>
        </w:rPr>
      </w:pPr>
      <w:bookmarkStart w:name="27、开发支出" w:id="317"/>
      <w:bookmarkEnd w:id="317"/>
      <w:r>
        <w:rPr>
          <w:b w:val="0"/>
          <w:bCs w:val="0"/>
        </w:rPr>
      </w:r>
      <w:r>
        <w:rPr>
          <w:rFonts w:ascii="Times New Roman" w:hAnsi="Times New Roman" w:cs="Times New Roman" w:eastAsia="Times New Roman" w:hint="default"/>
        </w:rPr>
        <w:t>27</w:t>
      </w:r>
      <w:r>
        <w:rPr/>
        <w:t>、开发支出</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061"/>
        <w:gridCol w:w="1066"/>
        <w:gridCol w:w="1061"/>
        <w:gridCol w:w="1066"/>
        <w:gridCol w:w="1061"/>
        <w:gridCol w:w="1066"/>
        <w:gridCol w:w="1061"/>
        <w:gridCol w:w="1066"/>
        <w:gridCol w:w="1061"/>
      </w:tblGrid>
      <w:tr>
        <w:trPr>
          <w:trHeight w:val="398"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45" w:right="156" w:hanging="178"/>
              <w:jc w:val="left"/>
              <w:rPr>
                <w:rFonts w:ascii="宋体" w:hAnsi="宋体" w:cs="宋体" w:eastAsia="宋体" w:hint="default"/>
                <w:sz w:val="18"/>
                <w:szCs w:val="18"/>
              </w:rPr>
            </w:pPr>
            <w:r>
              <w:rPr>
                <w:rFonts w:ascii="宋体" w:hAnsi="宋体" w:cs="宋体" w:eastAsia="宋体" w:hint="default"/>
                <w:sz w:val="18"/>
                <w:szCs w:val="18"/>
              </w:rPr>
              <w:t>内部开发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支出</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59" w:right="161" w:hanging="92"/>
              <w:jc w:val="left"/>
              <w:rPr>
                <w:rFonts w:ascii="宋体" w:hAnsi="宋体" w:cs="宋体" w:eastAsia="宋体" w:hint="default"/>
                <w:sz w:val="18"/>
                <w:szCs w:val="18"/>
              </w:rPr>
            </w:pPr>
            <w:r>
              <w:rPr>
                <w:rFonts w:ascii="宋体" w:hAnsi="宋体" w:cs="宋体" w:eastAsia="宋体" w:hint="default"/>
                <w:sz w:val="18"/>
                <w:szCs w:val="18"/>
              </w:rPr>
              <w:t>确认为无</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形资产</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40" w:right="161" w:hanging="178"/>
              <w:jc w:val="left"/>
              <w:rPr>
                <w:rFonts w:ascii="宋体" w:hAnsi="宋体" w:cs="宋体" w:eastAsia="宋体" w:hint="default"/>
                <w:sz w:val="18"/>
                <w:szCs w:val="18"/>
              </w:rPr>
            </w:pPr>
            <w:r>
              <w:rPr>
                <w:rFonts w:ascii="宋体" w:hAnsi="宋体" w:cs="宋体" w:eastAsia="宋体" w:hint="default"/>
                <w:sz w:val="18"/>
                <w:szCs w:val="18"/>
              </w:rPr>
              <w:t>转入当期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损益</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电信集团</w:t>
            </w:r>
          </w:p>
          <w:p>
            <w:pPr>
              <w:pStyle w:val="TableParagraph"/>
              <w:spacing w:line="240" w:lineRule="auto" w:before="7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BSS3.0 </w:t>
            </w:r>
            <w:r>
              <w:rPr>
                <w:rFonts w:ascii="宋体" w:hAnsi="宋体" w:cs="宋体" w:eastAsia="宋体" w:hint="default"/>
                <w:sz w:val="18"/>
                <w:szCs w:val="18"/>
              </w:rPr>
              <w:t>平</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台</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22,239,055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.03</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22,239,055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.03</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219"/>
              <w:jc w:val="both"/>
              <w:rPr>
                <w:rFonts w:ascii="宋体" w:hAnsi="宋体" w:cs="宋体" w:eastAsia="宋体" w:hint="default"/>
                <w:sz w:val="18"/>
                <w:szCs w:val="18"/>
              </w:rPr>
            </w:pPr>
            <w:r>
              <w:rPr>
                <w:rFonts w:ascii="宋体" w:hAnsi="宋体" w:cs="宋体" w:eastAsia="宋体" w:hint="default"/>
                <w:sz w:val="18"/>
                <w:szCs w:val="18"/>
              </w:rPr>
              <w:t>全业务服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务接入平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20,775,619</w:t>
            </w:r>
          </w:p>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sz w:val="18"/>
              </w:rPr>
              <w:t>.46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20,775,619</w:t>
            </w:r>
          </w:p>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sz w:val="18"/>
              </w:rPr>
              <w:t>.46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219"/>
              <w:jc w:val="left"/>
              <w:rPr>
                <w:rFonts w:ascii="宋体" w:hAnsi="宋体" w:cs="宋体" w:eastAsia="宋体" w:hint="default"/>
                <w:sz w:val="18"/>
                <w:szCs w:val="18"/>
              </w:rPr>
            </w:pPr>
            <w:r>
              <w:rPr>
                <w:rFonts w:ascii="宋体" w:hAnsi="宋体" w:cs="宋体" w:eastAsia="宋体" w:hint="default"/>
                <w:sz w:val="18"/>
                <w:szCs w:val="18"/>
              </w:rPr>
              <w:t>警务云架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构平台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20,540,355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.85</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20,540,355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.85</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云化融合</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39" w:right="0"/>
              <w:jc w:val="left"/>
              <w:rPr>
                <w:rFonts w:ascii="Times New Roman" w:hAnsi="Times New Roman" w:cs="Times New Roman" w:eastAsia="Times New Roman" w:hint="default"/>
                <w:sz w:val="18"/>
                <w:szCs w:val="18"/>
              </w:rPr>
            </w:pPr>
            <w:r>
              <w:rPr>
                <w:rFonts w:ascii="Times New Roman"/>
                <w:sz w:val="18"/>
              </w:rPr>
              <w:t>21,984,501</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39" w:right="0"/>
              <w:jc w:val="left"/>
              <w:rPr>
                <w:rFonts w:ascii="Times New Roman" w:hAnsi="Times New Roman" w:cs="Times New Roman" w:eastAsia="Times New Roman" w:hint="default"/>
                <w:sz w:val="18"/>
                <w:szCs w:val="18"/>
              </w:rPr>
            </w:pPr>
            <w:r>
              <w:rPr>
                <w:rFonts w:ascii="Times New Roman"/>
                <w:sz w:val="18"/>
              </w:rPr>
              <w:t>21,984,501</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061"/>
        <w:gridCol w:w="1066"/>
        <w:gridCol w:w="1061"/>
        <w:gridCol w:w="1066"/>
        <w:gridCol w:w="1061"/>
        <w:gridCol w:w="1066"/>
        <w:gridCol w:w="1061"/>
        <w:gridCol w:w="1066"/>
        <w:gridCol w:w="1061"/>
      </w:tblGrid>
      <w:tr>
        <w:trPr>
          <w:trHeight w:val="360"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计费平台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Times New Roman" w:hAnsi="Times New Roman" w:cs="Times New Roman" w:eastAsia="Times New Roman" w:hint="default"/>
                <w:sz w:val="18"/>
                <w:szCs w:val="18"/>
              </w:rPr>
            </w:pPr>
            <w:r>
              <w:rPr>
                <w:rFonts w:ascii="Times New Roman"/>
                <w:sz w:val="18"/>
              </w:rPr>
              <w:t>.48</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Times New Roman" w:hAnsi="Times New Roman" w:cs="Times New Roman" w:eastAsia="Times New Roman" w:hint="default"/>
                <w:sz w:val="18"/>
                <w:szCs w:val="18"/>
              </w:rPr>
            </w:pPr>
            <w:r>
              <w:rPr>
                <w:rFonts w:ascii="Times New Roman"/>
                <w:sz w:val="18"/>
              </w:rPr>
              <w:t>.48</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219"/>
              <w:jc w:val="left"/>
              <w:rPr>
                <w:rFonts w:ascii="Times New Roman" w:hAnsi="Times New Roman" w:cs="Times New Roman" w:eastAsia="Times New Roman" w:hint="default"/>
                <w:sz w:val="18"/>
                <w:szCs w:val="18"/>
              </w:rPr>
            </w:pPr>
            <w:r>
              <w:rPr>
                <w:rFonts w:ascii="宋体" w:hAnsi="宋体" w:cs="宋体" w:eastAsia="宋体" w:hint="default"/>
                <w:sz w:val="18"/>
                <w:szCs w:val="18"/>
              </w:rPr>
              <w:t>运营商智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BOSS</w:t>
            </w:r>
          </w:p>
          <w:p>
            <w:pPr>
              <w:pStyle w:val="TableParagraph"/>
              <w:spacing w:line="240" w:lineRule="auto" w:before="4"/>
              <w:ind w:left="105" w:right="0"/>
              <w:jc w:val="left"/>
              <w:rPr>
                <w:rFonts w:ascii="宋体" w:hAnsi="宋体" w:cs="宋体" w:eastAsia="宋体" w:hint="default"/>
                <w:sz w:val="18"/>
                <w:szCs w:val="18"/>
              </w:rPr>
            </w:pPr>
            <w:r>
              <w:rPr>
                <w:rFonts w:ascii="宋体" w:hAnsi="宋体" w:cs="宋体" w:eastAsia="宋体" w:hint="default"/>
                <w:sz w:val="18"/>
                <w:szCs w:val="18"/>
              </w:rPr>
              <w:t>云平台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18,431,096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.10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18,431,096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.10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新一代</w:t>
            </w:r>
          </w:p>
          <w:p>
            <w:pPr>
              <w:pStyle w:val="TableParagraph"/>
              <w:spacing w:line="240" w:lineRule="auto" w:before="7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BSS3.0 </w:t>
            </w:r>
            <w:r>
              <w:rPr>
                <w:rFonts w:ascii="宋体" w:hAnsi="宋体" w:cs="宋体" w:eastAsia="宋体" w:hint="default"/>
                <w:sz w:val="18"/>
                <w:szCs w:val="18"/>
              </w:rPr>
              <w:t>平</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台</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37,090,533</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z w:val="18"/>
              </w:rPr>
              <w:t>.48</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37,090,533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.48</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219"/>
              <w:jc w:val="both"/>
              <w:rPr>
                <w:rFonts w:ascii="宋体" w:hAnsi="宋体" w:cs="宋体" w:eastAsia="宋体" w:hint="default"/>
                <w:sz w:val="18"/>
                <w:szCs w:val="18"/>
              </w:rPr>
            </w:pPr>
            <w:r>
              <w:rPr>
                <w:rFonts w:ascii="宋体" w:hAnsi="宋体" w:cs="宋体" w:eastAsia="宋体" w:hint="default"/>
                <w:sz w:val="18"/>
                <w:szCs w:val="18"/>
              </w:rPr>
              <w:t>联通虚拟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运营开放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平台</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18,701,594</w:t>
            </w:r>
          </w:p>
          <w:p>
            <w:pPr>
              <w:pStyle w:val="TableParagraph"/>
              <w:spacing w:line="240" w:lineRule="auto" w:before="110"/>
              <w:ind w:right="94"/>
              <w:jc w:val="right"/>
              <w:rPr>
                <w:rFonts w:ascii="Times New Roman" w:hAnsi="Times New Roman" w:cs="Times New Roman" w:eastAsia="Times New Roman" w:hint="default"/>
                <w:sz w:val="18"/>
                <w:szCs w:val="18"/>
              </w:rPr>
            </w:pPr>
            <w:r>
              <w:rPr>
                <w:rFonts w:ascii="Times New Roman"/>
                <w:sz w:val="18"/>
              </w:rPr>
              <w:t>.37</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18,701,594</w:t>
            </w:r>
          </w:p>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sz w:val="18"/>
              </w:rPr>
              <w:t>.37</w:t>
            </w:r>
          </w:p>
        </w:tc>
      </w:tr>
      <w:tr>
        <w:trPr>
          <w:trHeight w:val="1023"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219"/>
              <w:jc w:val="both"/>
              <w:rPr>
                <w:rFonts w:ascii="宋体" w:hAnsi="宋体" w:cs="宋体" w:eastAsia="宋体" w:hint="default"/>
                <w:sz w:val="18"/>
                <w:szCs w:val="18"/>
              </w:rPr>
            </w:pPr>
            <w:r>
              <w:rPr>
                <w:rFonts w:ascii="宋体" w:hAnsi="宋体" w:cs="宋体" w:eastAsia="宋体" w:hint="default"/>
                <w:sz w:val="18"/>
                <w:szCs w:val="18"/>
              </w:rPr>
              <w:t>新零售清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算中心平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台</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24,312,979</w:t>
            </w:r>
          </w:p>
          <w:p>
            <w:pPr>
              <w:pStyle w:val="TableParagraph"/>
              <w:spacing w:line="240" w:lineRule="auto" w:before="110"/>
              <w:ind w:right="94"/>
              <w:jc w:val="right"/>
              <w:rPr>
                <w:rFonts w:ascii="Times New Roman" w:hAnsi="Times New Roman" w:cs="Times New Roman" w:eastAsia="Times New Roman" w:hint="default"/>
                <w:sz w:val="18"/>
                <w:szCs w:val="18"/>
              </w:rPr>
            </w:pPr>
            <w:r>
              <w:rPr>
                <w:rFonts w:ascii="Times New Roman"/>
                <w:sz w:val="18"/>
              </w:rPr>
              <w:t>.23</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24,312,979</w:t>
            </w:r>
          </w:p>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sz w:val="18"/>
              </w:rPr>
              <w:t>.23</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219"/>
              <w:jc w:val="left"/>
              <w:rPr>
                <w:rFonts w:ascii="宋体" w:hAnsi="宋体" w:cs="宋体" w:eastAsia="宋体" w:hint="default"/>
                <w:sz w:val="18"/>
                <w:szCs w:val="18"/>
              </w:rPr>
            </w:pPr>
            <w:r>
              <w:rPr>
                <w:rFonts w:ascii="宋体" w:hAnsi="宋体" w:cs="宋体" w:eastAsia="宋体" w:hint="default"/>
                <w:sz w:val="18"/>
                <w:szCs w:val="18"/>
              </w:rPr>
              <w:t>大数据安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全平台</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14,345,363</w:t>
            </w:r>
          </w:p>
          <w:p>
            <w:pPr>
              <w:pStyle w:val="TableParagraph"/>
              <w:spacing w:line="240" w:lineRule="auto" w:before="110"/>
              <w:ind w:right="94"/>
              <w:jc w:val="right"/>
              <w:rPr>
                <w:rFonts w:ascii="Times New Roman" w:hAnsi="Times New Roman" w:cs="Times New Roman" w:eastAsia="Times New Roman" w:hint="default"/>
                <w:sz w:val="18"/>
                <w:szCs w:val="18"/>
              </w:rPr>
            </w:pPr>
            <w:r>
              <w:rPr>
                <w:rFonts w:ascii="Times New Roman"/>
                <w:sz w:val="18"/>
              </w:rPr>
              <w:t>.47</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14,345,363</w:t>
            </w:r>
          </w:p>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sz w:val="18"/>
              </w:rPr>
              <w:t>.47</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219"/>
              <w:jc w:val="left"/>
              <w:rPr>
                <w:rFonts w:ascii="宋体" w:hAnsi="宋体" w:cs="宋体" w:eastAsia="宋体" w:hint="default"/>
                <w:sz w:val="18"/>
                <w:szCs w:val="18"/>
              </w:rPr>
            </w:pPr>
            <w:r>
              <w:rPr>
                <w:rFonts w:ascii="宋体" w:hAnsi="宋体" w:cs="宋体" w:eastAsia="宋体" w:hint="default"/>
                <w:sz w:val="18"/>
                <w:szCs w:val="18"/>
              </w:rPr>
              <w:t>公安全息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作战平台</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2"/>
                <w:sz w:val="18"/>
              </w:rPr>
              <w:t>9,263,957.</w:t>
            </w:r>
          </w:p>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z w:val="18"/>
              </w:rPr>
              <w:t>88</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2"/>
                <w:sz w:val="18"/>
              </w:rPr>
              <w:t>9,263,957.</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88</w:t>
            </w:r>
          </w:p>
        </w:tc>
      </w:tr>
      <w:tr>
        <w:trPr>
          <w:trHeight w:val="716"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219"/>
              <w:jc w:val="left"/>
              <w:rPr>
                <w:rFonts w:ascii="宋体" w:hAnsi="宋体" w:cs="宋体" w:eastAsia="宋体" w:hint="default"/>
                <w:sz w:val="18"/>
                <w:szCs w:val="18"/>
              </w:rPr>
            </w:pPr>
            <w:r>
              <w:rPr>
                <w:rFonts w:ascii="宋体" w:hAnsi="宋体" w:cs="宋体" w:eastAsia="宋体" w:hint="default"/>
                <w:sz w:val="18"/>
                <w:szCs w:val="18"/>
              </w:rPr>
              <w:t>资源管控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技术研究</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21,981,984</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z w:val="18"/>
              </w:rPr>
              <w:t>.43</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21,981,984</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.43</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647"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219"/>
              <w:jc w:val="both"/>
              <w:rPr>
                <w:rFonts w:ascii="宋体" w:hAnsi="宋体" w:cs="宋体" w:eastAsia="宋体" w:hint="default"/>
                <w:sz w:val="18"/>
                <w:szCs w:val="18"/>
              </w:rPr>
            </w:pPr>
            <w:r>
              <w:rPr>
                <w:rFonts w:ascii="宋体" w:hAnsi="宋体" w:cs="宋体" w:eastAsia="宋体" w:hint="default"/>
                <w:sz w:val="18"/>
                <w:szCs w:val="18"/>
              </w:rPr>
              <w:t>基于机器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学习算法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的人工智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能技术研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究</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96"/>
              <w:jc w:val="right"/>
              <w:rPr>
                <w:rFonts w:ascii="Times New Roman" w:hAnsi="Times New Roman" w:cs="Times New Roman" w:eastAsia="Times New Roman" w:hint="default"/>
                <w:sz w:val="18"/>
                <w:szCs w:val="18"/>
              </w:rPr>
            </w:pPr>
            <w:r>
              <w:rPr>
                <w:rFonts w:ascii="Times New Roman"/>
                <w:spacing w:val="-2"/>
                <w:sz w:val="18"/>
              </w:rPr>
              <w:t>8,148,944.</w:t>
            </w:r>
          </w:p>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z w:val="18"/>
              </w:rPr>
              <w:t>03</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1"/>
              <w:jc w:val="right"/>
              <w:rPr>
                <w:rFonts w:ascii="Times New Roman" w:hAnsi="Times New Roman" w:cs="Times New Roman" w:eastAsia="Times New Roman" w:hint="default"/>
                <w:sz w:val="18"/>
                <w:szCs w:val="18"/>
              </w:rPr>
            </w:pPr>
            <w:r>
              <w:rPr>
                <w:rFonts w:ascii="Times New Roman"/>
                <w:spacing w:val="-2"/>
                <w:sz w:val="18"/>
              </w:rPr>
              <w:t>8,148,944.</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03</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219"/>
              <w:jc w:val="both"/>
              <w:rPr>
                <w:rFonts w:ascii="宋体" w:hAnsi="宋体" w:cs="宋体" w:eastAsia="宋体" w:hint="default"/>
                <w:sz w:val="18"/>
                <w:szCs w:val="18"/>
              </w:rPr>
            </w:pPr>
            <w:r>
              <w:rPr>
                <w:rFonts w:ascii="宋体" w:hAnsi="宋体" w:cs="宋体" w:eastAsia="宋体" w:hint="default"/>
                <w:sz w:val="18"/>
                <w:szCs w:val="18"/>
              </w:rPr>
              <w:t>智慧安保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可视化布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控技术研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究</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21,937,088</w:t>
            </w:r>
          </w:p>
          <w:p>
            <w:pPr>
              <w:pStyle w:val="TableParagraph"/>
              <w:spacing w:line="240" w:lineRule="auto" w:before="110"/>
              <w:ind w:right="94"/>
              <w:jc w:val="right"/>
              <w:rPr>
                <w:rFonts w:ascii="Times New Roman" w:hAnsi="Times New Roman" w:cs="Times New Roman" w:eastAsia="Times New Roman" w:hint="default"/>
                <w:sz w:val="18"/>
                <w:szCs w:val="18"/>
              </w:rPr>
            </w:pPr>
            <w:r>
              <w:rPr>
                <w:rFonts w:ascii="Times New Roman"/>
                <w:sz w:val="18"/>
              </w:rPr>
              <w:t>.32</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21,937,088</w:t>
            </w:r>
          </w:p>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sz w:val="18"/>
              </w:rPr>
              <w:t>.32</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219"/>
              <w:jc w:val="both"/>
              <w:rPr>
                <w:rFonts w:ascii="宋体" w:hAnsi="宋体" w:cs="宋体" w:eastAsia="宋体" w:hint="default"/>
                <w:sz w:val="18"/>
                <w:szCs w:val="18"/>
              </w:rPr>
            </w:pPr>
            <w:r>
              <w:rPr>
                <w:rFonts w:ascii="宋体" w:hAnsi="宋体" w:cs="宋体" w:eastAsia="宋体" w:hint="default"/>
                <w:sz w:val="18"/>
                <w:szCs w:val="18"/>
              </w:rPr>
              <w:t>迪智高级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版产品孵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化技术研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究</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10,460,883</w:t>
            </w:r>
          </w:p>
          <w:p>
            <w:pPr>
              <w:pStyle w:val="TableParagraph"/>
              <w:spacing w:line="240" w:lineRule="auto" w:before="110"/>
              <w:ind w:right="94"/>
              <w:jc w:val="right"/>
              <w:rPr>
                <w:rFonts w:ascii="Times New Roman" w:hAnsi="Times New Roman" w:cs="Times New Roman" w:eastAsia="Times New Roman" w:hint="default"/>
                <w:sz w:val="18"/>
                <w:szCs w:val="18"/>
              </w:rPr>
            </w:pPr>
            <w:r>
              <w:rPr>
                <w:rFonts w:ascii="Times New Roman"/>
                <w:sz w:val="18"/>
              </w:rPr>
              <w:t>.13</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10,460,883</w:t>
            </w:r>
          </w:p>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sz w:val="18"/>
              </w:rPr>
              <w:t>.13</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219"/>
              <w:jc w:val="both"/>
              <w:rPr>
                <w:rFonts w:ascii="宋体" w:hAnsi="宋体" w:cs="宋体" w:eastAsia="宋体" w:hint="default"/>
                <w:sz w:val="18"/>
                <w:szCs w:val="18"/>
              </w:rPr>
            </w:pPr>
            <w:r>
              <w:rPr>
                <w:rFonts w:ascii="宋体" w:hAnsi="宋体" w:cs="宋体" w:eastAsia="宋体" w:hint="default"/>
                <w:sz w:val="18"/>
                <w:szCs w:val="18"/>
              </w:rPr>
              <w:t>大数据人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工智能实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时决策关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键技术研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究</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94"/>
              <w:jc w:val="right"/>
              <w:rPr>
                <w:rFonts w:ascii="Times New Roman" w:hAnsi="Times New Roman" w:cs="Times New Roman" w:eastAsia="Times New Roman" w:hint="default"/>
                <w:sz w:val="18"/>
                <w:szCs w:val="18"/>
              </w:rPr>
            </w:pPr>
            <w:r>
              <w:rPr>
                <w:rFonts w:ascii="Times New Roman"/>
                <w:spacing w:val="-1"/>
                <w:sz w:val="18"/>
              </w:rPr>
              <w:t>25,069,529</w:t>
            </w:r>
          </w:p>
          <w:p>
            <w:pPr>
              <w:pStyle w:val="TableParagraph"/>
              <w:spacing w:line="240" w:lineRule="auto" w:before="110"/>
              <w:ind w:right="94"/>
              <w:jc w:val="right"/>
              <w:rPr>
                <w:rFonts w:ascii="Times New Roman" w:hAnsi="Times New Roman" w:cs="Times New Roman" w:eastAsia="Times New Roman" w:hint="default"/>
                <w:sz w:val="18"/>
                <w:szCs w:val="18"/>
              </w:rPr>
            </w:pPr>
            <w:r>
              <w:rPr>
                <w:rFonts w:ascii="Times New Roman"/>
                <w:sz w:val="18"/>
              </w:rPr>
              <w:t>.67</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pacing w:val="-1"/>
                <w:sz w:val="18"/>
              </w:rPr>
              <w:t>25,069,529</w:t>
            </w:r>
          </w:p>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sz w:val="18"/>
              </w:rPr>
              <w:t>.67</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219"/>
              <w:jc w:val="both"/>
              <w:rPr>
                <w:rFonts w:ascii="宋体" w:hAnsi="宋体" w:cs="宋体" w:eastAsia="宋体" w:hint="default"/>
                <w:sz w:val="18"/>
                <w:szCs w:val="18"/>
              </w:rPr>
            </w:pPr>
            <w:r>
              <w:rPr>
                <w:rFonts w:ascii="宋体" w:hAnsi="宋体" w:cs="宋体" w:eastAsia="宋体" w:hint="default"/>
                <w:sz w:val="18"/>
                <w:szCs w:val="18"/>
              </w:rPr>
              <w:t>直销银行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系统的关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键技术研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15,153,861</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z w:val="18"/>
              </w:rPr>
              <w:t>.36</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15,153,861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.36</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061"/>
        <w:gridCol w:w="1066"/>
        <w:gridCol w:w="1061"/>
        <w:gridCol w:w="1066"/>
        <w:gridCol w:w="1061"/>
        <w:gridCol w:w="1066"/>
        <w:gridCol w:w="1061"/>
        <w:gridCol w:w="1066"/>
        <w:gridCol w:w="1061"/>
      </w:tblGrid>
      <w:tr>
        <w:trPr>
          <w:trHeight w:val="1964"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219"/>
              <w:jc w:val="both"/>
              <w:rPr>
                <w:rFonts w:ascii="宋体" w:hAnsi="宋体" w:cs="宋体" w:eastAsia="宋体" w:hint="default"/>
                <w:sz w:val="18"/>
                <w:szCs w:val="18"/>
              </w:rPr>
            </w:pPr>
            <w:r>
              <w:rPr>
                <w:rFonts w:ascii="宋体" w:hAnsi="宋体" w:cs="宋体" w:eastAsia="宋体" w:hint="default"/>
                <w:sz w:val="18"/>
                <w:szCs w:val="18"/>
              </w:rPr>
              <w:t>行业互联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网电子超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市标准版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产品研发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项目</w:t>
            </w:r>
          </w:p>
          <w:p>
            <w:pPr>
              <w:pStyle w:val="TableParagraph"/>
              <w:spacing w:line="240" w:lineRule="auto" w:before="23"/>
              <w:ind w:left="105"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10,972,280</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z w:val="18"/>
              </w:rPr>
              <w:t>.39</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10,972,280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.39</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647"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41"/>
              <w:jc w:val="left"/>
              <w:rPr>
                <w:rFonts w:ascii="宋体" w:hAnsi="宋体" w:cs="宋体" w:eastAsia="宋体" w:hint="default"/>
                <w:sz w:val="18"/>
                <w:szCs w:val="18"/>
              </w:rPr>
            </w:pPr>
            <w:r>
              <w:rPr>
                <w:rFonts w:ascii="宋体" w:hAnsi="宋体" w:cs="宋体" w:eastAsia="宋体" w:hint="default"/>
                <w:sz w:val="18"/>
                <w:szCs w:val="18"/>
              </w:rPr>
              <w:t>产品技术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服务线研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发体系产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品研发项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目【</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96"/>
              <w:jc w:val="right"/>
              <w:rPr>
                <w:rFonts w:ascii="Times New Roman" w:hAnsi="Times New Roman" w:cs="Times New Roman" w:eastAsia="Times New Roman" w:hint="default"/>
                <w:sz w:val="18"/>
                <w:szCs w:val="18"/>
              </w:rPr>
            </w:pPr>
            <w:r>
              <w:rPr>
                <w:rFonts w:ascii="Times New Roman"/>
                <w:spacing w:val="-2"/>
                <w:sz w:val="18"/>
              </w:rPr>
              <w:t>4,569,356.</w:t>
            </w:r>
          </w:p>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z w:val="18"/>
              </w:rPr>
              <w:t>93</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1"/>
              <w:jc w:val="right"/>
              <w:rPr>
                <w:rFonts w:ascii="Times New Roman" w:hAnsi="Times New Roman" w:cs="Times New Roman" w:eastAsia="Times New Roman" w:hint="default"/>
                <w:sz w:val="18"/>
                <w:szCs w:val="18"/>
              </w:rPr>
            </w:pPr>
            <w:r>
              <w:rPr>
                <w:rFonts w:ascii="Times New Roman"/>
                <w:spacing w:val="-2"/>
                <w:sz w:val="18"/>
              </w:rPr>
              <w:t>4,569,356.</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93</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05" w:right="219"/>
              <w:jc w:val="both"/>
              <w:rPr>
                <w:rFonts w:ascii="宋体" w:hAnsi="宋体" w:cs="宋体" w:eastAsia="宋体" w:hint="default"/>
                <w:sz w:val="18"/>
                <w:szCs w:val="18"/>
              </w:rPr>
            </w:pPr>
            <w:r>
              <w:rPr>
                <w:rFonts w:ascii="宋体" w:hAnsi="宋体" w:cs="宋体" w:eastAsia="宋体" w:hint="default"/>
                <w:sz w:val="18"/>
                <w:szCs w:val="18"/>
              </w:rPr>
              <w:t>智能助手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系统研发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项目</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4,035,787.</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36</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4,035,787.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36</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219"/>
              <w:jc w:val="both"/>
              <w:rPr>
                <w:rFonts w:ascii="宋体" w:hAnsi="宋体" w:cs="宋体" w:eastAsia="宋体" w:hint="default"/>
                <w:sz w:val="18"/>
                <w:szCs w:val="18"/>
              </w:rPr>
            </w:pPr>
            <w:r>
              <w:rPr>
                <w:rFonts w:ascii="宋体" w:hAnsi="宋体" w:cs="宋体" w:eastAsia="宋体" w:hint="default"/>
                <w:sz w:val="18"/>
                <w:szCs w:val="18"/>
              </w:rPr>
              <w:t>基于微服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务技术框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架的实时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服务推送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平台开发</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96"/>
              <w:jc w:val="right"/>
              <w:rPr>
                <w:rFonts w:ascii="Times New Roman" w:hAnsi="Times New Roman" w:cs="Times New Roman" w:eastAsia="Times New Roman" w:hint="default"/>
                <w:sz w:val="18"/>
                <w:szCs w:val="18"/>
              </w:rPr>
            </w:pPr>
            <w:r>
              <w:rPr>
                <w:rFonts w:ascii="Times New Roman"/>
                <w:spacing w:val="-2"/>
                <w:sz w:val="18"/>
              </w:rPr>
              <w:t>4,426,966.</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12</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pacing w:val="-2"/>
                <w:sz w:val="18"/>
              </w:rPr>
              <w:t>4,426,966.</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12</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219"/>
              <w:jc w:val="both"/>
              <w:rPr>
                <w:rFonts w:ascii="宋体" w:hAnsi="宋体" w:cs="宋体" w:eastAsia="宋体" w:hint="default"/>
                <w:sz w:val="18"/>
                <w:szCs w:val="18"/>
              </w:rPr>
            </w:pPr>
            <w:r>
              <w:rPr>
                <w:rFonts w:ascii="宋体" w:hAnsi="宋体" w:cs="宋体" w:eastAsia="宋体" w:hint="default"/>
                <w:sz w:val="18"/>
                <w:szCs w:val="18"/>
              </w:rPr>
              <w:t>基于计算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机视觉分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析技术的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智能视频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监控开发</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94"/>
              <w:jc w:val="right"/>
              <w:rPr>
                <w:rFonts w:ascii="Times New Roman" w:hAnsi="Times New Roman" w:cs="Times New Roman" w:eastAsia="Times New Roman" w:hint="default"/>
                <w:sz w:val="18"/>
                <w:szCs w:val="18"/>
              </w:rPr>
            </w:pPr>
            <w:r>
              <w:rPr>
                <w:rFonts w:ascii="Times New Roman"/>
                <w:spacing w:val="-1"/>
                <w:sz w:val="18"/>
              </w:rPr>
              <w:t>22,617,295</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z w:val="18"/>
              </w:rPr>
              <w:t>.57</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pacing w:val="-1"/>
                <w:sz w:val="18"/>
              </w:rPr>
              <w:t>22,617,295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.57</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219"/>
              <w:jc w:val="left"/>
              <w:rPr>
                <w:rFonts w:ascii="宋体" w:hAnsi="宋体" w:cs="宋体" w:eastAsia="宋体" w:hint="default"/>
                <w:sz w:val="18"/>
                <w:szCs w:val="18"/>
              </w:rPr>
            </w:pPr>
            <w:r>
              <w:rPr>
                <w:rFonts w:ascii="宋体" w:hAnsi="宋体" w:cs="宋体" w:eastAsia="宋体" w:hint="default"/>
                <w:sz w:val="18"/>
                <w:szCs w:val="18"/>
              </w:rPr>
              <w:t>智能风控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云平台</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19,140,481</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z w:val="18"/>
              </w:rPr>
              <w:t>.79</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19,140,481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.79</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05" w:right="219"/>
              <w:jc w:val="both"/>
              <w:rPr>
                <w:rFonts w:ascii="宋体" w:hAnsi="宋体" w:cs="宋体" w:eastAsia="宋体" w:hint="default"/>
                <w:sz w:val="18"/>
                <w:szCs w:val="18"/>
              </w:rPr>
            </w:pPr>
            <w:r>
              <w:rPr>
                <w:rFonts w:ascii="宋体" w:hAnsi="宋体" w:cs="宋体" w:eastAsia="宋体" w:hint="default"/>
                <w:sz w:val="18"/>
                <w:szCs w:val="18"/>
              </w:rPr>
              <w:t>天源迪科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数据库安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全代理平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台软件的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研发</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94"/>
              <w:jc w:val="right"/>
              <w:rPr>
                <w:rFonts w:ascii="Times New Roman" w:hAnsi="Times New Roman" w:cs="Times New Roman" w:eastAsia="Times New Roman" w:hint="default"/>
                <w:sz w:val="18"/>
                <w:szCs w:val="18"/>
              </w:rPr>
            </w:pPr>
            <w:r>
              <w:rPr>
                <w:rFonts w:ascii="Times New Roman"/>
                <w:spacing w:val="-1"/>
                <w:sz w:val="18"/>
              </w:rPr>
              <w:t>16,478,128</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z w:val="18"/>
              </w:rPr>
              <w:t>.46</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pacing w:val="-1"/>
                <w:sz w:val="18"/>
              </w:rPr>
              <w:t>16,478,128</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.46</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80"/>
              <w:jc w:val="both"/>
              <w:rPr>
                <w:rFonts w:ascii="Times New Roman" w:hAnsi="Times New Roman" w:cs="Times New Roman" w:eastAsia="Times New Roman" w:hint="default"/>
                <w:sz w:val="18"/>
                <w:szCs w:val="18"/>
              </w:rPr>
            </w:pPr>
            <w:r>
              <w:rPr>
                <w:rFonts w:ascii="宋体" w:hAnsi="宋体" w:cs="宋体" w:eastAsia="宋体" w:hint="default"/>
                <w:sz w:val="18"/>
                <w:szCs w:val="18"/>
              </w:rPr>
              <w:t>天源迪科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境外人员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电子档案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软件</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V1.0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9,653,871.</w:t>
            </w:r>
          </w:p>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z w:val="18"/>
              </w:rPr>
              <w:t>94</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9,653,871.</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94</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219"/>
              <w:jc w:val="both"/>
              <w:rPr>
                <w:rFonts w:ascii="宋体" w:hAnsi="宋体" w:cs="宋体" w:eastAsia="宋体" w:hint="default"/>
                <w:sz w:val="18"/>
                <w:szCs w:val="18"/>
              </w:rPr>
            </w:pPr>
            <w:r>
              <w:rPr>
                <w:rFonts w:ascii="宋体" w:hAnsi="宋体" w:cs="宋体" w:eastAsia="宋体" w:hint="default"/>
                <w:sz w:val="18"/>
                <w:szCs w:val="18"/>
              </w:rPr>
              <w:t>宝贝团无</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线优惠券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推广系统</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3,643,839.</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3,643,839.</w:t>
            </w:r>
          </w:p>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219"/>
              <w:jc w:val="both"/>
              <w:rPr>
                <w:rFonts w:ascii="宋体" w:hAnsi="宋体" w:cs="宋体" w:eastAsia="宋体" w:hint="default"/>
                <w:sz w:val="18"/>
                <w:szCs w:val="18"/>
              </w:rPr>
            </w:pPr>
            <w:r>
              <w:rPr>
                <w:rFonts w:ascii="宋体" w:hAnsi="宋体" w:cs="宋体" w:eastAsia="宋体" w:hint="default"/>
                <w:sz w:val="18"/>
                <w:szCs w:val="18"/>
              </w:rPr>
              <w:t>车联网运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营平台研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4,606,528.</w:t>
            </w:r>
          </w:p>
          <w:p>
            <w:pPr>
              <w:pStyle w:val="TableParagraph"/>
              <w:spacing w:line="240" w:lineRule="auto" w:before="109"/>
              <w:ind w:right="95"/>
              <w:jc w:val="right"/>
              <w:rPr>
                <w:rFonts w:ascii="Times New Roman" w:hAnsi="Times New Roman" w:cs="Times New Roman" w:eastAsia="Times New Roman" w:hint="default"/>
                <w:sz w:val="18"/>
                <w:szCs w:val="18"/>
              </w:rPr>
            </w:pPr>
            <w:r>
              <w:rPr>
                <w:rFonts w:ascii="Times New Roman"/>
                <w:sz w:val="18"/>
              </w:rPr>
              <w:t>57</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4,606,528.</w:t>
            </w:r>
          </w:p>
          <w:p>
            <w:pPr>
              <w:pStyle w:val="TableParagraph"/>
              <w:spacing w:line="240" w:lineRule="auto" w:before="109"/>
              <w:ind w:right="98"/>
              <w:jc w:val="right"/>
              <w:rPr>
                <w:rFonts w:ascii="Times New Roman" w:hAnsi="Times New Roman" w:cs="Times New Roman" w:eastAsia="Times New Roman" w:hint="default"/>
                <w:sz w:val="18"/>
                <w:szCs w:val="18"/>
              </w:rPr>
            </w:pPr>
            <w:r>
              <w:rPr>
                <w:rFonts w:ascii="Times New Roman"/>
                <w:sz w:val="18"/>
              </w:rPr>
              <w:t>57</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061"/>
        <w:gridCol w:w="1066"/>
        <w:gridCol w:w="1061"/>
        <w:gridCol w:w="1066"/>
        <w:gridCol w:w="1061"/>
        <w:gridCol w:w="1066"/>
        <w:gridCol w:w="1061"/>
        <w:gridCol w:w="1066"/>
        <w:gridCol w:w="1061"/>
      </w:tblGrid>
      <w:tr>
        <w:trPr>
          <w:trHeight w:val="1340"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05" w:right="94"/>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VR</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技</w:t>
            </w:r>
            <w:r>
              <w:rPr>
                <w:rFonts w:ascii="宋体" w:hAnsi="宋体" w:cs="宋体" w:eastAsia="宋体" w:hint="default"/>
                <w:w w:val="101"/>
                <w:sz w:val="18"/>
                <w:szCs w:val="18"/>
              </w:rPr>
              <w:t> </w:t>
            </w:r>
            <w:r>
              <w:rPr>
                <w:rFonts w:ascii="宋体" w:hAnsi="宋体" w:cs="宋体" w:eastAsia="宋体" w:hint="default"/>
                <w:sz w:val="18"/>
                <w:szCs w:val="18"/>
              </w:rPr>
              <w:t>术的大视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频互动系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统软件</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5,491,989.</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43</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5,491,989.</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43</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647"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05" w:right="209"/>
              <w:jc w:val="left"/>
              <w:rPr>
                <w:rFonts w:ascii="宋体" w:hAnsi="宋体" w:cs="宋体" w:eastAsia="宋体" w:hint="default"/>
                <w:sz w:val="18"/>
                <w:szCs w:val="18"/>
              </w:rPr>
            </w:pPr>
            <w:r>
              <w:rPr>
                <w:rFonts w:ascii="宋体" w:hAnsi="宋体" w:cs="宋体" w:eastAsia="宋体" w:hint="default"/>
                <w:sz w:val="18"/>
                <w:szCs w:val="18"/>
              </w:rPr>
              <w:t>基于移动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互联网的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农业险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pacing w:val="-3"/>
                <w:sz w:val="18"/>
                <w:szCs w:val="18"/>
              </w:rPr>
              <w:t>APP</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系统</w:t>
            </w:r>
            <w:r>
              <w:rPr>
                <w:rFonts w:ascii="宋体" w:hAnsi="宋体" w:cs="宋体" w:eastAsia="宋体" w:hint="default"/>
                <w:spacing w:val="-88"/>
                <w:sz w:val="18"/>
                <w:szCs w:val="18"/>
              </w:rPr>
              <w:t> </w:t>
            </w:r>
            <w:r>
              <w:rPr>
                <w:rFonts w:ascii="宋体" w:hAnsi="宋体" w:cs="宋体" w:eastAsia="宋体" w:hint="default"/>
                <w:sz w:val="18"/>
                <w:szCs w:val="18"/>
              </w:rPr>
              <w:t>研发</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96"/>
              <w:jc w:val="right"/>
              <w:rPr>
                <w:rFonts w:ascii="Times New Roman" w:hAnsi="Times New Roman" w:cs="Times New Roman" w:eastAsia="Times New Roman" w:hint="default"/>
                <w:sz w:val="18"/>
                <w:szCs w:val="18"/>
              </w:rPr>
            </w:pPr>
            <w:r>
              <w:rPr>
                <w:rFonts w:ascii="Times New Roman"/>
                <w:spacing w:val="-2"/>
                <w:sz w:val="18"/>
              </w:rPr>
              <w:t>4,847,004.</w:t>
            </w:r>
          </w:p>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z w:val="18"/>
              </w:rPr>
              <w:t>31</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1"/>
              <w:jc w:val="right"/>
              <w:rPr>
                <w:rFonts w:ascii="Times New Roman" w:hAnsi="Times New Roman" w:cs="Times New Roman" w:eastAsia="Times New Roman" w:hint="default"/>
                <w:sz w:val="18"/>
                <w:szCs w:val="18"/>
              </w:rPr>
            </w:pPr>
            <w:r>
              <w:rPr>
                <w:rFonts w:ascii="Times New Roman"/>
                <w:spacing w:val="-2"/>
                <w:sz w:val="18"/>
              </w:rPr>
              <w:t>4,847,004.</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31</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9" w:right="0"/>
              <w:jc w:val="left"/>
              <w:rPr>
                <w:rFonts w:ascii="Times New Roman" w:hAnsi="Times New Roman" w:cs="Times New Roman" w:eastAsia="Times New Roman" w:hint="default"/>
                <w:sz w:val="18"/>
                <w:szCs w:val="18"/>
              </w:rPr>
            </w:pPr>
            <w:r>
              <w:rPr>
                <w:rFonts w:ascii="Times New Roman"/>
                <w:sz w:val="18"/>
              </w:rPr>
              <w:t>103,970,62</w:t>
            </w:r>
          </w:p>
          <w:p>
            <w:pPr>
              <w:pStyle w:val="TableParagraph"/>
              <w:spacing w:line="240" w:lineRule="auto" w:before="105"/>
              <w:ind w:left="633" w:right="0"/>
              <w:jc w:val="left"/>
              <w:rPr>
                <w:rFonts w:ascii="Times New Roman" w:hAnsi="Times New Roman" w:cs="Times New Roman" w:eastAsia="Times New Roman" w:hint="default"/>
                <w:sz w:val="18"/>
                <w:szCs w:val="18"/>
              </w:rPr>
            </w:pPr>
            <w:r>
              <w:rPr>
                <w:rFonts w:ascii="Times New Roman"/>
                <w:sz w:val="18"/>
              </w:rPr>
              <w:t>7.92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9" w:right="0"/>
              <w:jc w:val="left"/>
              <w:rPr>
                <w:rFonts w:ascii="Times New Roman" w:hAnsi="Times New Roman" w:cs="Times New Roman" w:eastAsia="Times New Roman" w:hint="default"/>
                <w:sz w:val="18"/>
                <w:szCs w:val="18"/>
              </w:rPr>
            </w:pPr>
            <w:r>
              <w:rPr>
                <w:rFonts w:ascii="Times New Roman"/>
                <w:sz w:val="18"/>
              </w:rPr>
              <w:t>316,950,24</w:t>
            </w:r>
          </w:p>
          <w:p>
            <w:pPr>
              <w:pStyle w:val="TableParagraph"/>
              <w:spacing w:line="240" w:lineRule="auto" w:before="105"/>
              <w:ind w:left="633" w:right="0"/>
              <w:jc w:val="left"/>
              <w:rPr>
                <w:rFonts w:ascii="Times New Roman" w:hAnsi="Times New Roman" w:cs="Times New Roman" w:eastAsia="Times New Roman" w:hint="default"/>
                <w:sz w:val="18"/>
                <w:szCs w:val="18"/>
              </w:rPr>
            </w:pPr>
            <w:r>
              <w:rPr>
                <w:rFonts w:ascii="Times New Roman"/>
                <w:sz w:val="18"/>
              </w:rPr>
              <w:t>9.35</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9" w:right="0"/>
              <w:jc w:val="left"/>
              <w:rPr>
                <w:rFonts w:ascii="Times New Roman" w:hAnsi="Times New Roman" w:cs="Times New Roman" w:eastAsia="Times New Roman" w:hint="default"/>
                <w:sz w:val="18"/>
                <w:szCs w:val="18"/>
              </w:rPr>
            </w:pPr>
            <w:r>
              <w:rPr>
                <w:rFonts w:ascii="Times New Roman"/>
                <w:sz w:val="18"/>
              </w:rPr>
              <w:t>103,970,62</w:t>
            </w:r>
          </w:p>
          <w:p>
            <w:pPr>
              <w:pStyle w:val="TableParagraph"/>
              <w:spacing w:line="240" w:lineRule="auto" w:before="105"/>
              <w:ind w:left="634" w:right="0"/>
              <w:jc w:val="left"/>
              <w:rPr>
                <w:rFonts w:ascii="Times New Roman" w:hAnsi="Times New Roman" w:cs="Times New Roman" w:eastAsia="Times New Roman" w:hint="default"/>
                <w:sz w:val="18"/>
                <w:szCs w:val="18"/>
              </w:rPr>
            </w:pPr>
            <w:r>
              <w:rPr>
                <w:rFonts w:ascii="Times New Roman"/>
                <w:sz w:val="18"/>
              </w:rPr>
              <w:t>7.92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4" w:right="0"/>
              <w:jc w:val="left"/>
              <w:rPr>
                <w:rFonts w:ascii="Times New Roman" w:hAnsi="Times New Roman" w:cs="Times New Roman" w:eastAsia="Times New Roman" w:hint="default"/>
                <w:sz w:val="18"/>
                <w:szCs w:val="18"/>
              </w:rPr>
            </w:pPr>
            <w:r>
              <w:rPr>
                <w:rFonts w:ascii="Times New Roman"/>
                <w:sz w:val="18"/>
              </w:rPr>
              <w:t>213,235,82</w:t>
            </w:r>
          </w:p>
          <w:p>
            <w:pPr>
              <w:pStyle w:val="TableParagraph"/>
              <w:spacing w:line="240" w:lineRule="auto" w:before="105"/>
              <w:ind w:left="628" w:right="0"/>
              <w:jc w:val="left"/>
              <w:rPr>
                <w:rFonts w:ascii="Times New Roman" w:hAnsi="Times New Roman" w:cs="Times New Roman" w:eastAsia="Times New Roman" w:hint="default"/>
                <w:sz w:val="18"/>
                <w:szCs w:val="18"/>
              </w:rPr>
            </w:pPr>
            <w:r>
              <w:rPr>
                <w:rFonts w:ascii="Times New Roman"/>
                <w:sz w:val="18"/>
              </w:rPr>
              <w:t>0.92</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4" w:right="0"/>
              <w:jc w:val="left"/>
              <w:rPr>
                <w:rFonts w:ascii="Times New Roman" w:hAnsi="Times New Roman" w:cs="Times New Roman" w:eastAsia="Times New Roman" w:hint="default"/>
                <w:sz w:val="18"/>
                <w:szCs w:val="18"/>
              </w:rPr>
            </w:pPr>
            <w:r>
              <w:rPr>
                <w:rFonts w:ascii="Times New Roman"/>
                <w:sz w:val="18"/>
              </w:rPr>
              <w:t>103,714,42</w:t>
            </w:r>
          </w:p>
          <w:p>
            <w:pPr>
              <w:pStyle w:val="TableParagraph"/>
              <w:spacing w:line="240" w:lineRule="auto" w:before="105"/>
              <w:ind w:left="628" w:right="0"/>
              <w:jc w:val="left"/>
              <w:rPr>
                <w:rFonts w:ascii="Times New Roman" w:hAnsi="Times New Roman" w:cs="Times New Roman" w:eastAsia="Times New Roman" w:hint="default"/>
                <w:sz w:val="18"/>
                <w:szCs w:val="18"/>
              </w:rPr>
            </w:pPr>
            <w:r>
              <w:rPr>
                <w:rFonts w:ascii="Times New Roman"/>
                <w:sz w:val="18"/>
              </w:rPr>
              <w:t>8.43</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3"/>
        <w:spacing w:line="240" w:lineRule="auto"/>
        <w:ind w:right="1764"/>
        <w:jc w:val="left"/>
        <w:rPr>
          <w:b w:val="0"/>
          <w:bCs w:val="0"/>
        </w:rPr>
      </w:pPr>
      <w:bookmarkStart w:name="28、商誉" w:id="318"/>
      <w:bookmarkEnd w:id="318"/>
      <w:r>
        <w:rPr>
          <w:b w:val="0"/>
          <w:bCs w:val="0"/>
        </w:rPr>
      </w:r>
      <w:r>
        <w:rPr>
          <w:rFonts w:ascii="Times New Roman" w:hAnsi="Times New Roman" w:cs="Times New Roman" w:eastAsia="Times New Roman" w:hint="default"/>
        </w:rPr>
        <w:t>28</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1）商誉账面原值" w:id="319"/>
      <w:bookmarkEnd w:id="319"/>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4"/>
        <w:gridCol w:w="1368"/>
        <w:gridCol w:w="1368"/>
        <w:gridCol w:w="1369"/>
        <w:gridCol w:w="1369"/>
      </w:tblGrid>
      <w:tr>
        <w:trPr>
          <w:trHeight w:val="404"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39" w:right="132"/>
              <w:jc w:val="center"/>
              <w:rPr>
                <w:rFonts w:ascii="宋体" w:hAnsi="宋体" w:cs="宋体" w:eastAsia="宋体" w:hint="default"/>
                <w:sz w:val="18"/>
                <w:szCs w:val="18"/>
              </w:rPr>
            </w:pPr>
            <w:r>
              <w:rPr>
                <w:rFonts w:ascii="宋体" w:hAnsi="宋体" w:cs="宋体" w:eastAsia="宋体" w:hint="default"/>
                <w:spacing w:val="-2"/>
                <w:sz w:val="18"/>
                <w:szCs w:val="18"/>
              </w:rPr>
              <w:t>被投资单位名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称或形成商誉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的事项</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86" w:right="132" w:hanging="452"/>
              <w:jc w:val="left"/>
              <w:rPr>
                <w:rFonts w:ascii="宋体" w:hAnsi="宋体" w:cs="宋体" w:eastAsia="宋体" w:hint="default"/>
                <w:sz w:val="18"/>
                <w:szCs w:val="18"/>
              </w:rPr>
            </w:pPr>
            <w:r>
              <w:rPr>
                <w:rFonts w:ascii="宋体" w:hAnsi="宋体" w:cs="宋体" w:eastAsia="宋体" w:hint="default"/>
                <w:spacing w:val="-2"/>
                <w:sz w:val="18"/>
                <w:szCs w:val="18"/>
              </w:rPr>
              <w:t>企业合并形成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广州易杰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27,673,109.50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27,673,109.50</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广州易星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1,478,319.78</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1,478,319.78</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2,764,044.72</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2,764,044.72</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广西驿途</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4,274,008.29</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4,274,008.29</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深圳宝贝团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7,064,931.14</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7,064,931.14</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维恩贝特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611,765,517.72</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611,765,517.72</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655,019,931.15</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655,019,931.15</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2）商誉减值准备" w:id="320"/>
      <w:bookmarkEnd w:id="320"/>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4"/>
        <w:gridCol w:w="1368"/>
        <w:gridCol w:w="1368"/>
        <w:gridCol w:w="1369"/>
        <w:gridCol w:w="1369"/>
      </w:tblGrid>
      <w:tr>
        <w:trPr>
          <w:trHeight w:val="404"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9"/>
              <w:ind w:left="139" w:right="132"/>
              <w:jc w:val="center"/>
              <w:rPr>
                <w:rFonts w:ascii="宋体" w:hAnsi="宋体" w:cs="宋体" w:eastAsia="宋体" w:hint="default"/>
                <w:sz w:val="18"/>
                <w:szCs w:val="18"/>
              </w:rPr>
            </w:pPr>
            <w:r>
              <w:rPr>
                <w:rFonts w:ascii="宋体" w:hAnsi="宋体" w:cs="宋体" w:eastAsia="宋体" w:hint="default"/>
                <w:spacing w:val="-2"/>
                <w:sz w:val="18"/>
                <w:szCs w:val="18"/>
              </w:rPr>
              <w:t>被投资单位名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称或形成商誉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的事项</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广州易杰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1" w:right="0"/>
              <w:jc w:val="left"/>
              <w:rPr>
                <w:rFonts w:ascii="Times New Roman" w:hAnsi="Times New Roman" w:cs="Times New Roman" w:eastAsia="Times New Roman" w:hint="default"/>
                <w:sz w:val="18"/>
                <w:szCs w:val="18"/>
              </w:rPr>
            </w:pPr>
            <w:r>
              <w:rPr>
                <w:rFonts w:ascii="Times New Roman"/>
                <w:sz w:val="18"/>
              </w:rPr>
              <w:t>1,020,017.91</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7" w:right="0"/>
              <w:jc w:val="left"/>
              <w:rPr>
                <w:rFonts w:ascii="Times New Roman" w:hAnsi="Times New Roman" w:cs="Times New Roman" w:eastAsia="Times New Roman" w:hint="default"/>
                <w:sz w:val="18"/>
                <w:szCs w:val="18"/>
              </w:rPr>
            </w:pPr>
            <w:r>
              <w:rPr>
                <w:rFonts w:ascii="Times New Roman"/>
                <w:sz w:val="18"/>
              </w:rPr>
              <w:t>1,020,017.91</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广州易星</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广西驿途</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4"/>
        <w:gridCol w:w="1368"/>
        <w:gridCol w:w="1368"/>
        <w:gridCol w:w="1369"/>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深圳宝贝团</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维恩贝特</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11" w:right="0"/>
              <w:jc w:val="left"/>
              <w:rPr>
                <w:rFonts w:ascii="Times New Roman" w:hAnsi="Times New Roman" w:cs="Times New Roman" w:eastAsia="Times New Roman" w:hint="default"/>
                <w:sz w:val="18"/>
                <w:szCs w:val="18"/>
              </w:rPr>
            </w:pPr>
            <w:r>
              <w:rPr>
                <w:rFonts w:ascii="Times New Roman"/>
                <w:sz w:val="18"/>
              </w:rPr>
              <w:t>1,020,017.91</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07" w:right="0"/>
              <w:jc w:val="left"/>
              <w:rPr>
                <w:rFonts w:ascii="Times New Roman" w:hAnsi="Times New Roman" w:cs="Times New Roman" w:eastAsia="Times New Roman" w:hint="default"/>
                <w:sz w:val="18"/>
                <w:szCs w:val="18"/>
              </w:rPr>
            </w:pPr>
            <w:r>
              <w:rPr>
                <w:rFonts w:ascii="Times New Roman"/>
                <w:sz w:val="18"/>
              </w:rPr>
              <w:t>1,020,017.91</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商誉所在资产组或资产组组合的相关信息</w:t>
      </w:r>
    </w:p>
    <w:p>
      <w:pPr>
        <w:pStyle w:val="BodyText"/>
        <w:spacing w:line="261" w:lineRule="auto" w:before="89"/>
        <w:ind w:right="1109" w:firstLine="422"/>
        <w:jc w:val="left"/>
      </w:pPr>
      <w:r>
        <w:rPr>
          <w:rFonts w:ascii="Times New Roman" w:hAnsi="Times New Roman" w:cs="Times New Roman" w:eastAsia="Times New Roman" w:hint="default"/>
          <w:spacing w:val="-3"/>
        </w:rPr>
        <w:t>1</w:t>
      </w:r>
      <w:r>
        <w:rPr>
          <w:spacing w:val="-3"/>
        </w:rPr>
        <w:t>、本公司</w:t>
      </w:r>
      <w:r>
        <w:rPr>
          <w:rFonts w:ascii="Times New Roman" w:hAnsi="Times New Roman" w:cs="Times New Roman" w:eastAsia="Times New Roman" w:hint="default"/>
          <w:spacing w:val="-3"/>
        </w:rPr>
        <w:t>2010</w:t>
      </w:r>
      <w:r>
        <w:rPr>
          <w:spacing w:val="-3"/>
        </w:rPr>
        <w:t>年收购广州易杰产生商誉</w:t>
      </w:r>
      <w:r>
        <w:rPr>
          <w:rFonts w:ascii="Times New Roman" w:hAnsi="Times New Roman" w:cs="Times New Roman" w:eastAsia="Times New Roman" w:hint="default"/>
          <w:spacing w:val="-3"/>
        </w:rPr>
        <w:t>27,673,109.50</w:t>
      </w:r>
      <w:r>
        <w:rPr>
          <w:spacing w:val="-3"/>
        </w:rPr>
        <w:t>元。本公司以被收购公司整体作为资产组组合进</w:t>
      </w:r>
      <w:r>
        <w:rPr>
          <w:w w:val="100"/>
        </w:rPr>
        <w:t> </w:t>
      </w:r>
      <w:r>
        <w:rPr>
          <w:spacing w:val="-2"/>
        </w:rPr>
        <w:t>行资产减值测试，将该商誉划分到广州易杰资产组。广州易杰的资产组可收回金额按照预计未来现金流量</w:t>
      </w:r>
      <w:r>
        <w:rPr>
          <w:spacing w:val="-33"/>
        </w:rPr>
        <w:t> </w:t>
      </w:r>
      <w:r>
        <w:rPr>
          <w:spacing w:val="-33"/>
        </w:rPr>
      </w:r>
      <w:r>
        <w:rPr/>
        <w:t>现值确定。预计未来现金流量根据公司</w:t>
      </w: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年期现金流量预测为基础，现金流量预测使用的折现率</w:t>
      </w:r>
      <w:r>
        <w:rPr>
          <w:spacing w:val="-100"/>
        </w:rPr>
        <w:t> </w:t>
      </w:r>
      <w:r>
        <w:rPr>
          <w:spacing w:val="-100"/>
        </w:rPr>
      </w:r>
      <w:r>
        <w:rPr>
          <w:rFonts w:ascii="Times New Roman" w:hAnsi="Times New Roman" w:cs="Times New Roman" w:eastAsia="Times New Roman" w:hint="default"/>
        </w:rPr>
        <w:t>13.74%(2018 </w:t>
      </w:r>
      <w:r>
        <w:rPr>
          <w:spacing w:val="-4"/>
        </w:rPr>
        <w:t>年：</w:t>
      </w:r>
      <w:r>
        <w:rPr>
          <w:rFonts w:ascii="Times New Roman" w:hAnsi="Times New Roman" w:cs="Times New Roman" w:eastAsia="Times New Roman" w:hint="default"/>
          <w:spacing w:val="-4"/>
        </w:rPr>
        <w:t>13.47%)</w:t>
      </w:r>
      <w:r>
        <w:rPr>
          <w:spacing w:val="-4"/>
        </w:rPr>
        <w:t>，公司根据历史实际经营数据、行业发展趋势、预期收入增长率、毛利率等指标</w:t>
      </w:r>
      <w:r>
        <w:rPr>
          <w:spacing w:val="-76"/>
        </w:rPr>
        <w:t> </w:t>
      </w:r>
      <w:r>
        <w:rPr>
          <w:spacing w:val="-76"/>
        </w:rPr>
      </w:r>
      <w:r>
        <w:rPr/>
        <w:t>编制预测未来</w:t>
      </w:r>
      <w:r>
        <w:rPr>
          <w:spacing w:val="-18"/>
        </w:rPr>
        <w:t> </w:t>
      </w:r>
      <w:r>
        <w:rPr>
          <w:rFonts w:ascii="Times New Roman" w:hAnsi="Times New Roman" w:cs="Times New Roman" w:eastAsia="Times New Roman" w:hint="default"/>
        </w:rPr>
        <w:t>5</w:t>
      </w:r>
      <w:r>
        <w:rPr/>
        <w:t>年现金流量，预测期以后的现金流量维持不变。经减值测算，除广州易杰以前年度计提商</w:t>
      </w:r>
      <w:r>
        <w:rPr>
          <w:w w:val="100"/>
        </w:rPr>
        <w:t> </w:t>
      </w:r>
      <w:r>
        <w:rPr/>
        <w:t>誉减值准备</w:t>
      </w:r>
      <w:r>
        <w:rPr>
          <w:rFonts w:ascii="Times New Roman" w:hAnsi="Times New Roman" w:cs="Times New Roman" w:eastAsia="Times New Roman" w:hint="default"/>
        </w:rPr>
        <w:t>1,020,017.91</w:t>
      </w:r>
      <w:r>
        <w:rPr/>
        <w:t>元外，本年度未发现广州易杰商誉有明显减值情况，未计提减值准备。</w:t>
      </w:r>
    </w:p>
    <w:p>
      <w:pPr>
        <w:pStyle w:val="BodyText"/>
        <w:spacing w:line="261" w:lineRule="auto" w:before="0"/>
        <w:ind w:right="1108" w:firstLine="422"/>
        <w:jc w:val="left"/>
      </w:pPr>
      <w:r>
        <w:rPr>
          <w:rFonts w:ascii="Times New Roman" w:hAnsi="Times New Roman" w:cs="Times New Roman" w:eastAsia="Times New Roman" w:hint="default"/>
          <w:spacing w:val="-1"/>
        </w:rPr>
        <w:t>2</w:t>
      </w:r>
      <w:r>
        <w:rPr>
          <w:spacing w:val="-1"/>
        </w:rPr>
        <w:t>、本公司</w:t>
      </w:r>
      <w:r>
        <w:rPr>
          <w:rFonts w:ascii="Times New Roman" w:hAnsi="Times New Roman" w:cs="Times New Roman" w:eastAsia="Times New Roman" w:hint="default"/>
          <w:spacing w:val="-1"/>
        </w:rPr>
        <w:t>2011</w:t>
      </w:r>
      <w:r>
        <w:rPr>
          <w:spacing w:val="-1"/>
        </w:rPr>
        <w:t>年收购广州易星产生商誉</w:t>
      </w:r>
      <w:r>
        <w:rPr>
          <w:rFonts w:ascii="Times New Roman" w:hAnsi="Times New Roman" w:cs="Times New Roman" w:eastAsia="Times New Roman" w:hint="default"/>
          <w:spacing w:val="-1"/>
        </w:rPr>
        <w:t>1,478,319.78</w:t>
      </w:r>
      <w:r>
        <w:rPr>
          <w:spacing w:val="-1"/>
        </w:rPr>
        <w:t>元。本公司以被收购公司整体作为资产组组合进</w:t>
      </w:r>
      <w:r>
        <w:rPr>
          <w:w w:val="100"/>
        </w:rPr>
        <w:t> </w:t>
      </w:r>
      <w:r>
        <w:rPr>
          <w:spacing w:val="-2"/>
        </w:rPr>
        <w:t>行资产减值测试，将该商誉划分到广州易星资产组。广州易星的资产组可收回金额按照预计未来现金流量</w:t>
      </w:r>
      <w:r>
        <w:rPr>
          <w:spacing w:val="-33"/>
        </w:rPr>
        <w:t> </w:t>
      </w:r>
      <w:r>
        <w:rPr>
          <w:spacing w:val="-33"/>
        </w:rPr>
      </w:r>
      <w:r>
        <w:rPr/>
        <w:t>现值确定。预计未来现金流量根据公司</w:t>
      </w: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年期现金流量预测为基础，现金流量预测使用的折现率</w:t>
      </w:r>
      <w:r>
        <w:rPr>
          <w:spacing w:val="-100"/>
        </w:rPr>
        <w:t> </w:t>
      </w:r>
      <w:r>
        <w:rPr>
          <w:spacing w:val="-100"/>
        </w:rPr>
      </w:r>
      <w:r>
        <w:rPr>
          <w:rFonts w:ascii="Times New Roman" w:hAnsi="Times New Roman" w:cs="Times New Roman" w:eastAsia="Times New Roman" w:hint="default"/>
        </w:rPr>
        <w:t>13.74%(2018 </w:t>
      </w:r>
      <w:r>
        <w:rPr>
          <w:spacing w:val="-4"/>
        </w:rPr>
        <w:t>年：</w:t>
      </w:r>
      <w:r>
        <w:rPr>
          <w:rFonts w:ascii="Times New Roman" w:hAnsi="Times New Roman" w:cs="Times New Roman" w:eastAsia="Times New Roman" w:hint="default"/>
          <w:spacing w:val="-4"/>
        </w:rPr>
        <w:t>13.47%)</w:t>
      </w:r>
      <w:r>
        <w:rPr>
          <w:spacing w:val="-4"/>
        </w:rPr>
        <w:t>，公司根据历史实际经营数据、行业发展趋势、预期收入增长率、毛利率等指标</w:t>
      </w:r>
      <w:r>
        <w:rPr>
          <w:spacing w:val="-76"/>
        </w:rPr>
        <w:t> </w:t>
      </w:r>
      <w:r>
        <w:rPr>
          <w:spacing w:val="-76"/>
        </w:rPr>
      </w:r>
      <w:r>
        <w:rPr/>
        <w:t>编制预测未来</w:t>
      </w:r>
      <w:r>
        <w:rPr>
          <w:spacing w:val="-17"/>
        </w:rPr>
        <w:t> </w:t>
      </w:r>
      <w:r>
        <w:rPr>
          <w:rFonts w:ascii="Times New Roman" w:hAnsi="Times New Roman" w:cs="Times New Roman" w:eastAsia="Times New Roman" w:hint="default"/>
        </w:rPr>
        <w:t>5</w:t>
      </w:r>
      <w:r>
        <w:rPr/>
        <w:t>年现金流量，预测期以后的现金流量维持不变。经减值测算，公司未发现广州易星商誉有</w:t>
      </w:r>
      <w:r>
        <w:rPr>
          <w:w w:val="100"/>
        </w:rPr>
        <w:t> </w:t>
      </w:r>
      <w:r>
        <w:rPr/>
        <w:t>明显减值情况，未计提减值准备。</w:t>
      </w:r>
    </w:p>
    <w:p>
      <w:pPr>
        <w:pStyle w:val="BodyText"/>
        <w:spacing w:line="261" w:lineRule="auto" w:before="18"/>
        <w:ind w:right="1109" w:firstLine="422"/>
        <w:jc w:val="left"/>
      </w:pPr>
      <w:r>
        <w:rPr>
          <w:rFonts w:ascii="Times New Roman" w:hAnsi="Times New Roman" w:cs="Times New Roman" w:eastAsia="Times New Roman" w:hint="default"/>
          <w:spacing w:val="-1"/>
        </w:rPr>
        <w:t>3</w:t>
      </w:r>
      <w:r>
        <w:rPr>
          <w:spacing w:val="-1"/>
        </w:rPr>
        <w:t>、本公司</w:t>
      </w:r>
      <w:r>
        <w:rPr>
          <w:rFonts w:ascii="Times New Roman" w:hAnsi="Times New Roman" w:cs="Times New Roman" w:eastAsia="Times New Roman" w:hint="default"/>
          <w:spacing w:val="-1"/>
        </w:rPr>
        <w:t>2012</w:t>
      </w:r>
      <w:r>
        <w:rPr>
          <w:spacing w:val="-1"/>
        </w:rPr>
        <w:t>年收购深圳金华威产生商誉</w:t>
      </w:r>
      <w:r>
        <w:rPr>
          <w:rFonts w:ascii="Times New Roman" w:hAnsi="Times New Roman" w:cs="Times New Roman" w:eastAsia="Times New Roman" w:hint="default"/>
          <w:spacing w:val="-1"/>
        </w:rPr>
        <w:t>2,764,044.72</w:t>
      </w:r>
      <w:r>
        <w:rPr>
          <w:spacing w:val="-1"/>
        </w:rPr>
        <w:t>元。本公司以被收购公司整体作为资产组组合</w:t>
      </w:r>
      <w:r>
        <w:rPr>
          <w:w w:val="100"/>
        </w:rPr>
        <w:t> </w:t>
      </w:r>
      <w:r>
        <w:rPr>
          <w:spacing w:val="-2"/>
        </w:rPr>
        <w:t>进行资产减值测试，将该商誉划分到深圳金华威资产组。深圳金华威的资产组可收回金额按照预计未来现</w:t>
      </w:r>
      <w:r>
        <w:rPr>
          <w:spacing w:val="-33"/>
        </w:rPr>
        <w:t> </w:t>
      </w:r>
      <w:r>
        <w:rPr>
          <w:spacing w:val="-33"/>
        </w:rPr>
      </w:r>
      <w:r>
        <w:rPr/>
        <w:t>金流量现值确定。预计未来现金流量根据公司</w:t>
      </w: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年期现金流量预测为基础，现金流量预测使用的折现率</w:t>
      </w:r>
      <w:r>
        <w:rPr>
          <w:spacing w:val="-103"/>
        </w:rPr>
        <w:t> </w:t>
      </w:r>
      <w:r>
        <w:rPr>
          <w:spacing w:val="-103"/>
        </w:rPr>
      </w:r>
      <w:r>
        <w:rPr>
          <w:rFonts w:ascii="Times New Roman" w:hAnsi="Times New Roman" w:cs="Times New Roman" w:eastAsia="Times New Roman" w:hint="default"/>
        </w:rPr>
        <w:t>13.74%(2018 </w:t>
      </w:r>
      <w:r>
        <w:rPr>
          <w:spacing w:val="-4"/>
        </w:rPr>
        <w:t>年：</w:t>
      </w:r>
      <w:r>
        <w:rPr>
          <w:rFonts w:ascii="Times New Roman" w:hAnsi="Times New Roman" w:cs="Times New Roman" w:eastAsia="Times New Roman" w:hint="default"/>
          <w:spacing w:val="-4"/>
        </w:rPr>
        <w:t>13.47%)</w:t>
      </w:r>
      <w:r>
        <w:rPr>
          <w:spacing w:val="-4"/>
        </w:rPr>
        <w:t>，公司根据历史实际经营数据、行业发展趋势、预期收入增长率、毛利率等指标</w:t>
      </w:r>
      <w:r>
        <w:rPr>
          <w:spacing w:val="-76"/>
        </w:rPr>
        <w:t> </w:t>
      </w:r>
      <w:r>
        <w:rPr>
          <w:spacing w:val="-76"/>
        </w:rPr>
      </w:r>
      <w:r>
        <w:rPr/>
        <w:t>编制预测未来</w:t>
      </w:r>
      <w:r>
        <w:rPr>
          <w:spacing w:val="-18"/>
        </w:rPr>
        <w:t> </w:t>
      </w:r>
      <w:r>
        <w:rPr>
          <w:rFonts w:ascii="Times New Roman" w:hAnsi="Times New Roman" w:cs="Times New Roman" w:eastAsia="Times New Roman" w:hint="default"/>
        </w:rPr>
        <w:t>5</w:t>
      </w:r>
      <w:r>
        <w:rPr/>
        <w:t>年现金流量，预测期以后的现金流量维持不变。经减值测算，公司未发现深圳金华威商誉</w:t>
      </w:r>
      <w:r>
        <w:rPr>
          <w:w w:val="100"/>
        </w:rPr>
        <w:t> </w:t>
      </w:r>
      <w:r>
        <w:rPr/>
        <w:t>存在减值情况，未计提减值准备。</w:t>
      </w:r>
    </w:p>
    <w:p>
      <w:pPr>
        <w:pStyle w:val="BodyText"/>
        <w:spacing w:line="261" w:lineRule="auto" w:before="18"/>
        <w:ind w:right="1109" w:firstLine="422"/>
        <w:jc w:val="left"/>
      </w:pPr>
      <w:r>
        <w:rPr>
          <w:rFonts w:ascii="Times New Roman" w:hAnsi="Times New Roman" w:cs="Times New Roman" w:eastAsia="Times New Roman" w:hint="default"/>
          <w:spacing w:val="-1"/>
        </w:rPr>
        <w:t>4</w:t>
      </w:r>
      <w:r>
        <w:rPr>
          <w:spacing w:val="-1"/>
        </w:rPr>
        <w:t>、本公司</w:t>
      </w:r>
      <w:r>
        <w:rPr>
          <w:rFonts w:ascii="Times New Roman" w:hAnsi="Times New Roman" w:cs="Times New Roman" w:eastAsia="Times New Roman" w:hint="default"/>
          <w:spacing w:val="-1"/>
        </w:rPr>
        <w:t>2012</w:t>
      </w:r>
      <w:r>
        <w:rPr>
          <w:spacing w:val="-1"/>
        </w:rPr>
        <w:t>年收购广西驿途产生商誉</w:t>
      </w:r>
      <w:r>
        <w:rPr>
          <w:rFonts w:ascii="Times New Roman" w:hAnsi="Times New Roman" w:cs="Times New Roman" w:eastAsia="Times New Roman" w:hint="default"/>
          <w:spacing w:val="-1"/>
        </w:rPr>
        <w:t>4,274,008.29</w:t>
      </w:r>
      <w:r>
        <w:rPr>
          <w:spacing w:val="-1"/>
        </w:rPr>
        <w:t>元。本公司以被收购公司整体作为资产组组合进</w:t>
      </w:r>
      <w:r>
        <w:rPr>
          <w:w w:val="100"/>
        </w:rPr>
        <w:t> </w:t>
      </w:r>
      <w:r>
        <w:rPr>
          <w:spacing w:val="-2"/>
        </w:rPr>
        <w:t>行资产减值测试，将该商誉划分到广西驿途资产组。广西驿途的资产组可收回金额按照预计未来现金流量</w:t>
      </w:r>
      <w:r>
        <w:rPr>
          <w:spacing w:val="-33"/>
        </w:rPr>
        <w:t> </w:t>
      </w:r>
      <w:r>
        <w:rPr>
          <w:spacing w:val="-33"/>
        </w:rPr>
      </w:r>
      <w:r>
        <w:rPr/>
        <w:t>现值确定。预计未来现金流量根据公司</w:t>
      </w: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年期现金流量预测为基础，现金流量预测使用的折现率</w:t>
      </w:r>
      <w:r>
        <w:rPr>
          <w:spacing w:val="-100"/>
        </w:rPr>
        <w:t> </w:t>
      </w:r>
      <w:r>
        <w:rPr>
          <w:spacing w:val="-100"/>
        </w:rPr>
      </w:r>
      <w:r>
        <w:rPr>
          <w:rFonts w:ascii="Times New Roman" w:hAnsi="Times New Roman" w:cs="Times New Roman" w:eastAsia="Times New Roman" w:hint="default"/>
        </w:rPr>
        <w:t>13.74%(2018 </w:t>
      </w:r>
      <w:r>
        <w:rPr>
          <w:spacing w:val="-4"/>
        </w:rPr>
        <w:t>年：</w:t>
      </w:r>
      <w:r>
        <w:rPr>
          <w:rFonts w:ascii="Times New Roman" w:hAnsi="Times New Roman" w:cs="Times New Roman" w:eastAsia="Times New Roman" w:hint="default"/>
          <w:spacing w:val="-4"/>
        </w:rPr>
        <w:t>13.47%)</w:t>
      </w:r>
      <w:r>
        <w:rPr>
          <w:spacing w:val="-4"/>
        </w:rPr>
        <w:t>，公司根据历史实际经营数据、行业发展趋势、预期收入增长率、毛利率等指标</w:t>
      </w:r>
      <w:r>
        <w:rPr>
          <w:spacing w:val="-76"/>
        </w:rPr>
        <w:t> </w:t>
      </w:r>
      <w:r>
        <w:rPr>
          <w:spacing w:val="-76"/>
        </w:rPr>
      </w:r>
      <w:r>
        <w:rPr/>
        <w:t>编制预测未来</w:t>
      </w:r>
      <w:r>
        <w:rPr>
          <w:spacing w:val="-18"/>
        </w:rPr>
        <w:t> </w:t>
      </w:r>
      <w:r>
        <w:rPr>
          <w:rFonts w:ascii="Times New Roman" w:hAnsi="Times New Roman" w:cs="Times New Roman" w:eastAsia="Times New Roman" w:hint="default"/>
        </w:rPr>
        <w:t>5</w:t>
      </w:r>
      <w:r>
        <w:rPr/>
        <w:t>年现金流量，预测期以后的现金流量维持不变。经减值测算，公司未发现广西驿途商誉有</w:t>
      </w:r>
      <w:r>
        <w:rPr>
          <w:w w:val="100"/>
        </w:rPr>
        <w:t> </w:t>
      </w:r>
      <w:r>
        <w:rPr/>
        <w:t>明显减值情况，未计提减值准备。</w:t>
      </w:r>
    </w:p>
    <w:p>
      <w:pPr>
        <w:pStyle w:val="BodyText"/>
        <w:spacing w:line="261" w:lineRule="auto" w:before="18"/>
        <w:ind w:right="1108" w:firstLine="422"/>
        <w:jc w:val="left"/>
      </w:pPr>
      <w:r>
        <w:rPr>
          <w:rFonts w:ascii="Times New Roman" w:hAnsi="Times New Roman" w:cs="Times New Roman" w:eastAsia="Times New Roman" w:hint="default"/>
          <w:spacing w:val="-1"/>
        </w:rPr>
        <w:t>5</w:t>
      </w:r>
      <w:r>
        <w:rPr>
          <w:spacing w:val="-1"/>
        </w:rPr>
        <w:t>、本公司</w:t>
      </w:r>
      <w:r>
        <w:rPr>
          <w:rFonts w:ascii="Times New Roman" w:hAnsi="Times New Roman" w:cs="Times New Roman" w:eastAsia="Times New Roman" w:hint="default"/>
          <w:spacing w:val="-1"/>
        </w:rPr>
        <w:t>2015</w:t>
      </w:r>
      <w:r>
        <w:rPr>
          <w:spacing w:val="-1"/>
        </w:rPr>
        <w:t>年收购深圳宝贝团产生商誉</w:t>
      </w:r>
      <w:r>
        <w:rPr>
          <w:rFonts w:ascii="Times New Roman" w:hAnsi="Times New Roman" w:cs="Times New Roman" w:eastAsia="Times New Roman" w:hint="default"/>
          <w:spacing w:val="-1"/>
        </w:rPr>
        <w:t>7,064,931.14</w:t>
      </w:r>
      <w:r>
        <w:rPr>
          <w:spacing w:val="-1"/>
        </w:rPr>
        <w:t>元。本公司以被收购公司整体作为资产组组合</w:t>
      </w:r>
      <w:r>
        <w:rPr>
          <w:w w:val="100"/>
        </w:rPr>
        <w:t> </w:t>
      </w:r>
      <w:r>
        <w:rPr>
          <w:spacing w:val="-2"/>
        </w:rPr>
        <w:t>进行资产减值测试，将该商誉划分到深圳宝贝团资产组。深圳宝贝团的资产组可收回金额按照预计未来现</w:t>
      </w:r>
      <w:r>
        <w:rPr>
          <w:spacing w:val="-33"/>
        </w:rPr>
        <w:t> </w:t>
      </w:r>
      <w:r>
        <w:rPr>
          <w:spacing w:val="-33"/>
        </w:rPr>
      </w:r>
      <w:r>
        <w:rPr/>
        <w:t>金流量现值确定。预计未来现金流量根据公司</w:t>
      </w: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年期现金流量预测为基础，现金流量预测使用的折现率</w:t>
      </w:r>
      <w:r>
        <w:rPr>
          <w:spacing w:val="-103"/>
        </w:rPr>
        <w:t> </w:t>
      </w:r>
      <w:r>
        <w:rPr>
          <w:spacing w:val="-103"/>
        </w:rPr>
      </w:r>
      <w:r>
        <w:rPr>
          <w:rFonts w:ascii="Times New Roman" w:hAnsi="Times New Roman" w:cs="Times New Roman" w:eastAsia="Times New Roman" w:hint="default"/>
        </w:rPr>
        <w:t>13.74%(2018 </w:t>
      </w:r>
      <w:r>
        <w:rPr>
          <w:spacing w:val="-4"/>
        </w:rPr>
        <w:t>年：</w:t>
      </w:r>
      <w:r>
        <w:rPr>
          <w:rFonts w:ascii="Times New Roman" w:hAnsi="Times New Roman" w:cs="Times New Roman" w:eastAsia="Times New Roman" w:hint="default"/>
          <w:spacing w:val="-4"/>
        </w:rPr>
        <w:t>13.47%)</w:t>
      </w:r>
      <w:r>
        <w:rPr>
          <w:spacing w:val="-4"/>
        </w:rPr>
        <w:t>，公司根据历史实际经营数据、行业发展趋势、预期收入增长率、毛利率等指标</w:t>
      </w:r>
      <w:r>
        <w:rPr>
          <w:spacing w:val="-74"/>
        </w:rPr>
        <w:t> </w:t>
      </w:r>
      <w:r>
        <w:rPr>
          <w:spacing w:val="-74"/>
        </w:rPr>
      </w:r>
      <w:r>
        <w:rPr/>
        <w:t>编制预测未来</w:t>
      </w:r>
      <w:r>
        <w:rPr>
          <w:spacing w:val="-17"/>
        </w:rPr>
        <w:t> </w:t>
      </w:r>
      <w:r>
        <w:rPr>
          <w:rFonts w:ascii="Times New Roman" w:hAnsi="Times New Roman" w:cs="Times New Roman" w:eastAsia="Times New Roman" w:hint="default"/>
        </w:rPr>
        <w:t>5</w:t>
      </w:r>
      <w:r>
        <w:rPr/>
        <w:t>年现金流量，预测期以后的现金流量维持不变。经减值测算，公司未发现深圳宝贝团商誉</w:t>
      </w:r>
      <w:r>
        <w:rPr>
          <w:w w:val="100"/>
        </w:rPr>
        <w:t> </w:t>
      </w:r>
      <w:r>
        <w:rPr/>
        <w:t>存在减值情况，未计提减值准备。</w:t>
      </w:r>
    </w:p>
    <w:p>
      <w:pPr>
        <w:pStyle w:val="BodyText"/>
        <w:spacing w:line="259" w:lineRule="auto" w:before="18"/>
        <w:ind w:right="1103" w:firstLine="422"/>
        <w:jc w:val="both"/>
      </w:pPr>
      <w:r>
        <w:rPr>
          <w:rFonts w:ascii="Times New Roman" w:hAnsi="Times New Roman" w:cs="Times New Roman" w:eastAsia="Times New Roman" w:hint="default"/>
          <w:spacing w:val="-2"/>
        </w:rPr>
        <w:t>6</w:t>
      </w:r>
      <w:r>
        <w:rPr>
          <w:spacing w:val="-2"/>
        </w:rPr>
        <w:t>、本公司</w:t>
      </w:r>
      <w:r>
        <w:rPr>
          <w:rFonts w:ascii="Times New Roman" w:hAnsi="Times New Roman" w:cs="Times New Roman" w:eastAsia="Times New Roman" w:hint="default"/>
          <w:spacing w:val="-2"/>
        </w:rPr>
        <w:t>2017</w:t>
      </w:r>
      <w:r>
        <w:rPr>
          <w:spacing w:val="-2"/>
        </w:rPr>
        <w:t>年收购维恩贝特产生商誉</w:t>
      </w:r>
      <w:r>
        <w:rPr>
          <w:rFonts w:ascii="Times New Roman" w:hAnsi="Times New Roman" w:cs="Times New Roman" w:eastAsia="Times New Roman" w:hint="default"/>
          <w:spacing w:val="-2"/>
        </w:rPr>
        <w:t>611,765,517.72</w:t>
      </w:r>
      <w:r>
        <w:rPr>
          <w:spacing w:val="-2"/>
        </w:rPr>
        <w:t>元。本公司以被收购公司经营性流动资产、长</w:t>
      </w:r>
      <w:r>
        <w:rPr>
          <w:w w:val="100"/>
        </w:rPr>
        <w:t> </w:t>
      </w:r>
      <w:r>
        <w:rPr>
          <w:spacing w:val="-2"/>
        </w:rPr>
        <w:t>期资产、流动负债作为资产组组合进行资产减值测试，将该商誉划分到维恩贝特资产组。维恩贝特的资产</w:t>
      </w:r>
      <w:r>
        <w:rPr>
          <w:spacing w:val="-33"/>
        </w:rPr>
        <w:t> </w:t>
      </w:r>
      <w:r>
        <w:rPr>
          <w:spacing w:val="-33"/>
        </w:rPr>
      </w:r>
      <w:r>
        <w:rPr/>
        <w:t>组可收回金额按照预计未来现金流量现值确定。预计未来现金流量根据公司</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年期现金流量预测为基础，</w:t>
      </w:r>
      <w:r>
        <w:rPr>
          <w:w w:val="100"/>
        </w:rPr>
        <w:t> </w:t>
      </w:r>
      <w:r>
        <w:rPr/>
        <w:t>现金流量预测使用的折现率 </w:t>
      </w:r>
      <w:r>
        <w:rPr>
          <w:rFonts w:ascii="Times New Roman" w:hAnsi="Times New Roman" w:cs="Times New Roman" w:eastAsia="Times New Roman" w:hint="default"/>
        </w:rPr>
        <w:t>13.74%(2018</w:t>
      </w:r>
      <w:r>
        <w:rPr>
          <w:rFonts w:ascii="Times New Roman" w:hAnsi="Times New Roman" w:cs="Times New Roman" w:eastAsia="Times New Roman" w:hint="default"/>
          <w:spacing w:val="48"/>
        </w:rPr>
        <w:t> </w:t>
      </w:r>
      <w:r>
        <w:rPr/>
        <w:t>年：</w:t>
      </w:r>
      <w:r>
        <w:rPr>
          <w:rFonts w:ascii="Times New Roman" w:hAnsi="Times New Roman" w:cs="Times New Roman" w:eastAsia="Times New Roman" w:hint="default"/>
        </w:rPr>
        <w:t>13.47%)</w:t>
      </w:r>
      <w:r>
        <w:rPr/>
        <w:t>，公司根据历史实际经营数据、行业发展趋势、预</w:t>
      </w:r>
      <w:r>
        <w:rPr>
          <w:w w:val="100"/>
        </w:rPr>
        <w:t> </w:t>
      </w:r>
      <w:r>
        <w:rPr/>
        <w:t>期收入增长率、毛利率等指标编制预测未来</w:t>
      </w:r>
      <w:r>
        <w:rPr>
          <w:spacing w:val="-15"/>
        </w:rPr>
        <w:t> </w:t>
      </w:r>
      <w:r>
        <w:rPr>
          <w:rFonts w:ascii="Times New Roman" w:hAnsi="Times New Roman" w:cs="Times New Roman" w:eastAsia="Times New Roman" w:hint="default"/>
        </w:rPr>
        <w:t>5</w:t>
      </w:r>
      <w:r>
        <w:rPr/>
        <w:t>年现金流量，预测期以后的现金流量维持不变。公司委托北</w:t>
      </w:r>
      <w:r>
        <w:rPr>
          <w:w w:val="100"/>
        </w:rPr>
        <w:t> </w:t>
      </w:r>
      <w:r>
        <w:rPr>
          <w:spacing w:val="-2"/>
        </w:rPr>
        <w:t>京中林资产评估有限公司对维恩贝特的商誉进行减值测试，并出具了中林评字【</w:t>
      </w:r>
      <w:r>
        <w:rPr>
          <w:rFonts w:ascii="Times New Roman" w:hAnsi="Times New Roman" w:cs="Times New Roman" w:eastAsia="Times New Roman" w:hint="default"/>
          <w:spacing w:val="-2"/>
        </w:rPr>
        <w:t>2020</w:t>
      </w:r>
      <w:r>
        <w:rPr>
          <w:spacing w:val="-2"/>
        </w:rPr>
        <w:t>】</w:t>
      </w:r>
      <w:r>
        <w:rPr>
          <w:rFonts w:ascii="Times New Roman" w:hAnsi="Times New Roman" w:cs="Times New Roman" w:eastAsia="Times New Roman" w:hint="default"/>
          <w:spacing w:val="-2"/>
        </w:rPr>
        <w:t>90</w:t>
      </w:r>
      <w:r>
        <w:rPr>
          <w:spacing w:val="-2"/>
        </w:rPr>
        <w:t>号评估报告。经</w:t>
      </w:r>
      <w:r>
        <w:rPr>
          <w:spacing w:val="-24"/>
        </w:rPr>
        <w:t> </w:t>
      </w:r>
      <w:r>
        <w:rPr>
          <w:spacing w:val="-24"/>
        </w:rPr>
      </w:r>
      <w:r>
        <w:rPr/>
        <w:t>减值测算，公司未发现维恩贝特商誉存在减值情况，未计提减值准备。</w:t>
      </w:r>
    </w:p>
    <w:p>
      <w:pPr>
        <w:spacing w:after="0" w:line="259" w:lineRule="auto"/>
        <w:jc w:val="both"/>
        <w:sectPr>
          <w:pgSz w:w="11910" w:h="16840"/>
          <w:pgMar w:header="906" w:footer="1022" w:top="1100" w:bottom="1220" w:left="1020" w:right="0"/>
        </w:sectPr>
      </w:pPr>
    </w:p>
    <w:p>
      <w:pPr>
        <w:spacing w:line="240" w:lineRule="auto" w:before="2"/>
        <w:rPr>
          <w:rFonts w:ascii="宋体" w:hAnsi="宋体" w:cs="宋体" w:eastAsia="宋体" w:hint="default"/>
          <w:sz w:val="23"/>
          <w:szCs w:val="23"/>
        </w:rPr>
      </w:pPr>
    </w:p>
    <w:p>
      <w:pPr>
        <w:spacing w:line="316" w:lineRule="auto" w:before="46"/>
        <w:ind w:left="113" w:right="1007" w:firstLine="0"/>
        <w:jc w:val="left"/>
        <w:rPr>
          <w:rFonts w:ascii="宋体" w:hAnsi="宋体" w:cs="宋体" w:eastAsia="宋体" w:hint="default"/>
          <w:sz w:val="18"/>
          <w:szCs w:val="18"/>
        </w:rPr>
      </w:pPr>
      <w:r>
        <w:rPr>
          <w:rFonts w:ascii="宋体" w:hAnsi="宋体" w:cs="宋体" w:eastAsia="宋体" w:hint="default"/>
          <w:spacing w:val="-4"/>
          <w:sz w:val="18"/>
          <w:szCs w:val="18"/>
        </w:rPr>
        <w:t>说明商誉减值测试过程、关键参数（如预计未来现金流量现值时的预测期增长率、稳定期增长率、利润率、折现率、预测期</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等）及商誉减值损失的确认方法：</w:t>
      </w:r>
    </w:p>
    <w:p>
      <w:pPr>
        <w:spacing w:line="362" w:lineRule="auto" w:before="57"/>
        <w:ind w:left="113" w:right="8661" w:firstLine="0"/>
        <w:jc w:val="left"/>
        <w:rPr>
          <w:rFonts w:ascii="宋体" w:hAnsi="宋体" w:cs="宋体" w:eastAsia="宋体" w:hint="default"/>
          <w:sz w:val="18"/>
          <w:szCs w:val="18"/>
        </w:rPr>
      </w:pPr>
      <w:r>
        <w:rPr>
          <w:rFonts w:ascii="宋体" w:hAnsi="宋体" w:cs="宋体" w:eastAsia="宋体" w:hint="default"/>
          <w:spacing w:val="-3"/>
          <w:sz w:val="18"/>
          <w:szCs w:val="18"/>
        </w:rPr>
        <w:t>商誉减值测试的影响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其他说明</w:t>
      </w:r>
    </w:p>
    <w:p>
      <w:pPr>
        <w:spacing w:line="240" w:lineRule="auto" w:before="3"/>
        <w:rPr>
          <w:rFonts w:ascii="宋体" w:hAnsi="宋体" w:cs="宋体" w:eastAsia="宋体" w:hint="default"/>
          <w:sz w:val="19"/>
          <w:szCs w:val="19"/>
        </w:rPr>
      </w:pPr>
    </w:p>
    <w:p>
      <w:pPr>
        <w:pStyle w:val="Heading3"/>
        <w:spacing w:line="240" w:lineRule="auto"/>
        <w:ind w:right="1764"/>
        <w:jc w:val="left"/>
        <w:rPr>
          <w:b w:val="0"/>
          <w:bCs w:val="0"/>
        </w:rPr>
      </w:pPr>
      <w:bookmarkStart w:name="29、长期待摊费用" w:id="321"/>
      <w:bookmarkEnd w:id="321"/>
      <w:r>
        <w:rPr>
          <w:b w:val="0"/>
          <w:bCs w:val="0"/>
        </w:rPr>
      </w:r>
      <w:r>
        <w:rPr>
          <w:rFonts w:ascii="Times New Roman" w:hAnsi="Times New Roman" w:cs="Times New Roman" w:eastAsia="Times New Roman" w:hint="default"/>
        </w:rPr>
        <w:t>29</w:t>
      </w:r>
      <w:r>
        <w:rPr/>
        <w:t>、长期待摊费用</w:t>
      </w:r>
      <w:r>
        <w:rPr>
          <w:b w:val="0"/>
          <w:bCs w:val="0"/>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5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9"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9"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16,526,670.54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4,323,542.26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5,695,381.44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15,154,831.36</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14"/>
              <w:jc w:val="left"/>
              <w:rPr>
                <w:rFonts w:ascii="宋体" w:hAnsi="宋体" w:cs="宋体" w:eastAsia="宋体" w:hint="default"/>
                <w:sz w:val="18"/>
                <w:szCs w:val="18"/>
              </w:rPr>
            </w:pPr>
            <w:r>
              <w:rPr>
                <w:rFonts w:ascii="宋体" w:hAnsi="宋体" w:cs="宋体" w:eastAsia="宋体" w:hint="default"/>
                <w:spacing w:val="-3"/>
                <w:sz w:val="18"/>
                <w:szCs w:val="18"/>
              </w:rPr>
              <w:t>高尔夫会员资格</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证</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580,457.93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66,500.04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513,957.89</w:t>
            </w:r>
          </w:p>
        </w:tc>
      </w:tr>
      <w:tr>
        <w:trPr>
          <w:trHeight w:val="39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车位费</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152,380.97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19,047.60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133,333.37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17,259,509.44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4,323,542.26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5,780,929.08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15,802,122.62</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3"/>
        <w:spacing w:line="240" w:lineRule="auto"/>
        <w:ind w:right="1764"/>
        <w:jc w:val="left"/>
        <w:rPr>
          <w:b w:val="0"/>
          <w:bCs w:val="0"/>
        </w:rPr>
      </w:pPr>
      <w:bookmarkStart w:name="30、递延所得税资产/递延所得税负债" w:id="322"/>
      <w:bookmarkEnd w:id="322"/>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1）未经抵销的递延所得税资产" w:id="323"/>
      <w:bookmarkEnd w:id="323"/>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26"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114,296,437.54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18,505,523.51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87,454,296.02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12,890,452.80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213,625,211.63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32,043,781.77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187,288,669.54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28,093,300.43</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31,624,819.20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4,743,722.88</w:t>
            </w: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327,921,649.17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50,549,305.28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306,367,784.76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45,727,476.11</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2）未经抵销的递延所得税负债" w:id="324"/>
      <w:bookmarkEnd w:id="324"/>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4"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49,289,383.10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4,928,938.31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35,575,931.23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3,557,593.12</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49,289,383.10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4,928,938.31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35,575,931.23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3,557,593.12</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3）以抵销后净额列示的递延所得税资产或负债" w:id="325"/>
      <w:bookmarkEnd w:id="325"/>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26" w:right="142" w:hanging="183"/>
              <w:jc w:val="left"/>
              <w:rPr>
                <w:rFonts w:ascii="宋体" w:hAnsi="宋体" w:cs="宋体" w:eastAsia="宋体" w:hint="default"/>
                <w:sz w:val="18"/>
                <w:szCs w:val="18"/>
              </w:rPr>
            </w:pPr>
            <w:r>
              <w:rPr>
                <w:rFonts w:ascii="宋体" w:hAnsi="宋体" w:cs="宋体" w:eastAsia="宋体" w:hint="default"/>
                <w:spacing w:val="-3"/>
                <w:sz w:val="18"/>
                <w:szCs w:val="18"/>
              </w:rPr>
              <w:t>递延所得税资产和负</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债期末互抵金额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0" w:right="137" w:hanging="92"/>
              <w:jc w:val="left"/>
              <w:rPr>
                <w:rFonts w:ascii="宋体" w:hAnsi="宋体" w:cs="宋体" w:eastAsia="宋体" w:hint="default"/>
                <w:sz w:val="18"/>
                <w:szCs w:val="18"/>
              </w:rPr>
            </w:pPr>
            <w:r>
              <w:rPr>
                <w:rFonts w:ascii="宋体" w:hAnsi="宋体" w:cs="宋体" w:eastAsia="宋体" w:hint="default"/>
                <w:spacing w:val="-3"/>
                <w:sz w:val="18"/>
                <w:szCs w:val="18"/>
              </w:rPr>
              <w:t>抵销后递延所得税资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产或负债期末余额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26" w:right="137" w:hanging="183"/>
              <w:jc w:val="left"/>
              <w:rPr>
                <w:rFonts w:ascii="宋体" w:hAnsi="宋体" w:cs="宋体" w:eastAsia="宋体" w:hint="default"/>
                <w:sz w:val="18"/>
                <w:szCs w:val="18"/>
              </w:rPr>
            </w:pPr>
            <w:r>
              <w:rPr>
                <w:rFonts w:ascii="宋体" w:hAnsi="宋体" w:cs="宋体" w:eastAsia="宋体" w:hint="default"/>
                <w:spacing w:val="-3"/>
                <w:sz w:val="18"/>
                <w:szCs w:val="18"/>
              </w:rPr>
              <w:t>递延所得税资产和负</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债期初互抵金额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5" w:right="137" w:hanging="92"/>
              <w:jc w:val="left"/>
              <w:rPr>
                <w:rFonts w:ascii="宋体" w:hAnsi="宋体" w:cs="宋体" w:eastAsia="宋体" w:hint="default"/>
                <w:sz w:val="18"/>
                <w:szCs w:val="18"/>
              </w:rPr>
            </w:pPr>
            <w:r>
              <w:rPr>
                <w:rFonts w:ascii="宋体" w:hAnsi="宋体" w:cs="宋体" w:eastAsia="宋体" w:hint="default"/>
                <w:spacing w:val="-3"/>
                <w:sz w:val="18"/>
                <w:szCs w:val="18"/>
              </w:rPr>
              <w:t>抵销后递延所得税资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产或负债期初余额</w:t>
            </w: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50,549,305.28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45,727,476.11</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4,928,938.31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3,557,593.12</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4）未确认递延所得税资产明细" w:id="326"/>
      <w:bookmarkEnd w:id="326"/>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56,872.76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98,555.90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105,189,149.63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76,200,595.03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105,246,022.39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76,299,150.93</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5）未确认递延所得税资产的可抵扣亏损将于以下年度到期" w:id="327"/>
      <w:bookmarkEnd w:id="327"/>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3,405,093.53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20,053,991.06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20,053,991.06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3,416,609.97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3,416,609.97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4,372,312.48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5,294,799.01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48,786,310.05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44,030,101.46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28,559,926.07</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105,189,149.63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76,200,595.03</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31、其他非流动资产" w:id="328"/>
      <w:bookmarkEnd w:id="328"/>
      <w:r>
        <w:rPr>
          <w:b w:val="0"/>
          <w:bCs w:val="0"/>
        </w:rPr>
      </w:r>
      <w:r>
        <w:rPr>
          <w:rFonts w:ascii="Times New Roman" w:hAnsi="Times New Roman" w:cs="Times New Roman" w:eastAsia="Times New Roman" w:hint="default"/>
        </w:rPr>
        <w:t>31</w:t>
      </w:r>
      <w:r>
        <w:rPr/>
        <w:t>、其他非流动资产</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6" w:footer="1022" w:top="1100" w:bottom="1220" w:left="1020" w:right="0"/>
        </w:sect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pacing w:val="-2"/>
          <w:sz w:val="18"/>
          <w:szCs w:val="18"/>
        </w:rPr>
        <w:t>是否已执行新收入准则</w:t>
      </w:r>
    </w:p>
    <w:p>
      <w:pPr>
        <w:spacing w:before="119"/>
        <w:ind w:left="113"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1919" w:space="6912"/>
            <w:col w:w="2059"/>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预付土地保证金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41,058,320.00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预付在建工程款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608,423.80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328,564.88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预付固定资产款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204,405.95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550,000.00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41,871,149.75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878,564.88</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type w:val="continuous"/>
          <w:pgSz w:w="11910" w:h="16840"/>
          <w:pgMar w:top="1100" w:bottom="1220" w:left="1020" w:right="0"/>
        </w:sectPr>
      </w:pPr>
    </w:p>
    <w:p>
      <w:pPr>
        <w:spacing w:line="240" w:lineRule="auto" w:before="8"/>
        <w:rPr>
          <w:rFonts w:ascii="宋体" w:hAnsi="宋体" w:cs="宋体" w:eastAsia="宋体" w:hint="default"/>
          <w:sz w:val="21"/>
          <w:szCs w:val="21"/>
        </w:rPr>
      </w:pPr>
    </w:p>
    <w:p>
      <w:pPr>
        <w:pStyle w:val="Heading3"/>
        <w:spacing w:line="240" w:lineRule="auto" w:before="36"/>
        <w:ind w:right="1764"/>
        <w:jc w:val="left"/>
        <w:rPr>
          <w:b w:val="0"/>
          <w:bCs w:val="0"/>
        </w:rPr>
      </w:pPr>
      <w:bookmarkStart w:name="32、短期借款" w:id="329"/>
      <w:bookmarkEnd w:id="329"/>
      <w:r>
        <w:rPr>
          <w:b w:val="0"/>
          <w:bCs w:val="0"/>
        </w:rPr>
      </w:r>
      <w:r>
        <w:rPr>
          <w:rFonts w:ascii="Times New Roman" w:hAnsi="Times New Roman" w:cs="Times New Roman" w:eastAsia="Times New Roman" w:hint="default"/>
        </w:rPr>
        <w:t>32</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1）短期借款分类" w:id="330"/>
      <w:bookmarkEnd w:id="330"/>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859,000,000.00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473,000,000.00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258,000,000.00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135,000,000.00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保理借款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票据贴现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881,110,000.00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298,000,000.00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未到期应付利息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1,925,049.30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2,030,035,049.30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966,000,000.00</w:t>
            </w:r>
          </w:p>
        </w:tc>
      </w:tr>
    </w:tbl>
    <w:p>
      <w:pPr>
        <w:spacing w:before="54"/>
        <w:ind w:left="113" w:right="1764"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
        <w:rPr>
          <w:rFonts w:ascii="宋体" w:hAnsi="宋体" w:cs="宋体" w:eastAsia="宋体" w:hint="default"/>
          <w:sz w:val="13"/>
          <w:szCs w:val="13"/>
        </w:rPr>
      </w:pPr>
    </w:p>
    <w:p>
      <w:pPr>
        <w:pStyle w:val="BodyText"/>
        <w:spacing w:line="264" w:lineRule="auto" w:before="0"/>
        <w:ind w:right="1007"/>
        <w:jc w:val="left"/>
      </w:pPr>
      <w:r>
        <w:rPr>
          <w:spacing w:val="-2"/>
        </w:rPr>
        <w:t>注：根据平安商业保理有限公司与深圳金华威签订的保理协议，深圳金华威以与深圳市齐普生科技股份有</w:t>
      </w:r>
      <w:r>
        <w:rPr>
          <w:spacing w:val="-33"/>
        </w:rPr>
        <w:t> </w:t>
      </w:r>
      <w:r>
        <w:rPr>
          <w:spacing w:val="-33"/>
        </w:rPr>
      </w:r>
      <w:r>
        <w:rPr/>
        <w:t>限公司签订的合同编号为</w:t>
      </w:r>
      <w:r>
        <w:rPr>
          <w:rFonts w:ascii="宋体" w:hAnsi="宋体" w:cs="宋体" w:eastAsia="宋体" w:hint="default"/>
        </w:rPr>
        <w:t>SZ191007L19092</w:t>
      </w:r>
      <w:r>
        <w:rPr/>
        <w:t>的</w:t>
      </w:r>
      <w:r>
        <w:rPr>
          <w:rFonts w:ascii="宋体" w:hAnsi="宋体" w:cs="宋体" w:eastAsia="宋体" w:hint="default"/>
        </w:rPr>
        <w:t>42,029,545</w:t>
      </w:r>
      <w:r>
        <w:rPr>
          <w:rFonts w:ascii="Times New Roman" w:hAnsi="Times New Roman" w:cs="Times New Roman" w:eastAsia="Times New Roman" w:hint="default"/>
        </w:rPr>
        <w:t>.00</w:t>
      </w:r>
      <w:r>
        <w:rPr/>
        <w:t>元应收账款转让予平安商业保理有限公司取得</w:t>
      </w:r>
      <w:r>
        <w:rPr>
          <w:w w:val="100"/>
        </w:rPr>
        <w:t> </w:t>
      </w:r>
      <w:r>
        <w:rPr>
          <w:rFonts w:ascii="宋体" w:hAnsi="宋体" w:cs="宋体" w:eastAsia="宋体" w:hint="default"/>
        </w:rPr>
        <w:t>3,3</w:t>
      </w:r>
      <w:r>
        <w:rPr>
          <w:rFonts w:ascii="Times New Roman" w:hAnsi="Times New Roman" w:cs="Times New Roman" w:eastAsia="Times New Roman" w:hint="default"/>
        </w:rPr>
        <w:t>00</w:t>
      </w:r>
      <w:r>
        <w:rPr/>
        <w:t>万元的借款，扣除保证金</w:t>
      </w:r>
      <w:r>
        <w:rPr>
          <w:rFonts w:ascii="宋体" w:hAnsi="宋体" w:cs="宋体" w:eastAsia="宋体" w:hint="default"/>
        </w:rPr>
        <w:t>300</w:t>
      </w:r>
      <w:r>
        <w:rPr/>
        <w:t>万元，实际取得借款</w:t>
      </w:r>
      <w:r>
        <w:rPr>
          <w:rFonts w:ascii="宋体" w:hAnsi="宋体" w:cs="宋体" w:eastAsia="宋体" w:hint="default"/>
        </w:rPr>
        <w:t>3,000</w:t>
      </w:r>
      <w:r>
        <w:rPr/>
        <w:t>万元。</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9"/>
          <w:szCs w:val="29"/>
        </w:rPr>
      </w:pPr>
    </w:p>
    <w:p>
      <w:pPr>
        <w:pStyle w:val="Heading3"/>
        <w:spacing w:line="240" w:lineRule="auto"/>
        <w:ind w:right="1764"/>
        <w:jc w:val="left"/>
        <w:rPr>
          <w:b w:val="0"/>
          <w:bCs w:val="0"/>
        </w:rPr>
      </w:pPr>
      <w:bookmarkStart w:name="（2）已逾期未偿还的短期借款情况" w:id="331"/>
      <w:bookmarkEnd w:id="331"/>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2"/>
        <w:rPr>
          <w:rFonts w:ascii="宋体" w:hAnsi="宋体" w:cs="宋体" w:eastAsia="宋体" w:hint="default"/>
          <w:b/>
          <w:bCs/>
          <w:sz w:val="23"/>
          <w:szCs w:val="23"/>
        </w:rPr>
      </w:pPr>
    </w:p>
    <w:p>
      <w:pPr>
        <w:spacing w:before="46"/>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本期末已逾期未偿还的短期借款总额为元，其中重要的已逾期未偿还的短期借款情况如下：</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5"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5"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33、交易性金融负债" w:id="332"/>
      <w:bookmarkEnd w:id="332"/>
      <w:r>
        <w:rPr>
          <w:b w:val="0"/>
          <w:bCs w:val="0"/>
        </w:rPr>
      </w:r>
      <w:r>
        <w:rPr>
          <w:rFonts w:ascii="Times New Roman" w:hAnsi="Times New Roman" w:cs="Times New Roman" w:eastAsia="Times New Roman" w:hint="default"/>
        </w:rPr>
        <w:t>33</w:t>
      </w:r>
      <w:r>
        <w:rPr/>
        <w:t>、交易性金融负债</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88"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54"/>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3"/>
        <w:spacing w:line="240" w:lineRule="auto"/>
        <w:ind w:right="1764"/>
        <w:jc w:val="left"/>
        <w:rPr>
          <w:b w:val="0"/>
          <w:bCs w:val="0"/>
        </w:rPr>
      </w:pPr>
      <w:bookmarkStart w:name="34、衍生金融负债" w:id="333"/>
      <w:bookmarkEnd w:id="333"/>
      <w:r>
        <w:rPr>
          <w:b w:val="0"/>
          <w:bCs w:val="0"/>
        </w:rPr>
      </w:r>
      <w:r>
        <w:rPr>
          <w:rFonts w:ascii="Times New Roman" w:hAnsi="Times New Roman" w:cs="Times New Roman" w:eastAsia="Times New Roman" w:hint="default"/>
        </w:rPr>
        <w:t>34</w:t>
      </w:r>
      <w:r>
        <w:rPr/>
        <w:t>、衍生金融负债</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6"/>
        <w:rPr>
          <w:rFonts w:ascii="宋体" w:hAnsi="宋体" w:cs="宋体" w:eastAsia="宋体" w:hint="default"/>
          <w:sz w:val="23"/>
          <w:szCs w:val="23"/>
        </w:rPr>
      </w:pPr>
    </w:p>
    <w:p>
      <w:pPr>
        <w:spacing w:before="46"/>
        <w:ind w:left="0" w:right="1122" w:firstLine="0"/>
        <w:jc w:val="right"/>
        <w:rPr>
          <w:rFonts w:ascii="宋体" w:hAnsi="宋体" w:cs="宋体" w:eastAsia="宋体" w:hint="default"/>
          <w:sz w:val="18"/>
          <w:szCs w:val="18"/>
        </w:rPr>
      </w:pPr>
      <w:bookmarkStart w:name="35、应付票据" w:id="334"/>
      <w:bookmarkEnd w:id="334"/>
      <w:r>
        <w:rPr/>
      </w: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本期末已到期未支付的应付票据总额为元。</w:t>
      </w:r>
    </w:p>
    <w:p>
      <w:pPr>
        <w:spacing w:line="240" w:lineRule="auto" w:before="8"/>
        <w:rPr>
          <w:rFonts w:ascii="宋体" w:hAnsi="宋体" w:cs="宋体" w:eastAsia="宋体" w:hint="default"/>
          <w:sz w:val="26"/>
          <w:szCs w:val="26"/>
        </w:rPr>
      </w:pPr>
    </w:p>
    <w:p>
      <w:pPr>
        <w:pStyle w:val="Heading3"/>
        <w:spacing w:line="240" w:lineRule="auto"/>
        <w:ind w:right="1764"/>
        <w:jc w:val="left"/>
        <w:rPr>
          <w:b w:val="0"/>
          <w:bCs w:val="0"/>
        </w:rPr>
      </w:pPr>
      <w:bookmarkStart w:name="36、应付账款" w:id="335"/>
      <w:bookmarkEnd w:id="335"/>
      <w:r>
        <w:rPr>
          <w:b w:val="0"/>
          <w:bCs w:val="0"/>
        </w:rPr>
      </w:r>
      <w:r>
        <w:rPr>
          <w:rFonts w:ascii="Times New Roman" w:hAnsi="Times New Roman" w:cs="Times New Roman" w:eastAsia="Times New Roman" w:hint="default"/>
        </w:rPr>
        <w:t>36</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1）应付账款列示" w:id="336"/>
      <w:bookmarkEnd w:id="336"/>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48,863,793.03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61,034,556.20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16,544,511.84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1,793,190.49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1,085,093.80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4,208,188.72</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4,837,510.86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1,342,708.02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71,330,909.53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68,378,643.43</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2）账龄超过1年的重要应付账款" w:id="337"/>
      <w:bookmarkEnd w:id="337"/>
      <w:r>
        <w:rPr>
          <w:b w:val="0"/>
          <w:bCs w:val="0"/>
        </w:rPr>
      </w:r>
      <w:r>
        <w:rPr/>
        <w:t>（</w:t>
      </w:r>
      <w:r>
        <w:rPr>
          <w:rFonts w:ascii="Times New Roman" w:hAnsi="Times New Roman" w:cs="Times New Roman" w:eastAsia="Times New Roman" w:hint="default"/>
        </w:rPr>
        <w:t>2</w:t>
      </w:r>
      <w:r>
        <w:rPr/>
        <w:t>）账龄超过</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bl>
    <w:p>
      <w:pPr>
        <w:spacing w:before="54"/>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37、预收款项" w:id="338"/>
      <w:bookmarkEnd w:id="338"/>
      <w:r>
        <w:rPr>
          <w:b w:val="0"/>
          <w:bCs w:val="0"/>
        </w:rPr>
      </w:r>
      <w:r>
        <w:rPr>
          <w:rFonts w:ascii="Times New Roman" w:hAnsi="Times New Roman" w:cs="Times New Roman" w:eastAsia="Times New Roman" w:hint="default"/>
        </w:rPr>
        <w:t>37</w:t>
      </w:r>
      <w:r>
        <w:rPr/>
        <w:t>、预收款项</w:t>
      </w:r>
      <w:r>
        <w:rPr>
          <w:b w:val="0"/>
          <w:bCs w:val="0"/>
        </w:rPr>
      </w:r>
    </w:p>
    <w:p>
      <w:pPr>
        <w:spacing w:line="240" w:lineRule="auto" w:before="1"/>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20"/>
        <w:ind w:left="113" w:right="176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1）预收款项列示" w:id="339"/>
      <w:bookmarkEnd w:id="339"/>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249,398,937.83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159,508,409.71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249,398,937.83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159,508,409.71</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2）账龄超过1年的重要预收款项" w:id="340"/>
      <w:bookmarkEnd w:id="340"/>
      <w:r>
        <w:rPr>
          <w:b w:val="0"/>
          <w:bCs w:val="0"/>
        </w:rPr>
      </w:r>
      <w:r>
        <w:rPr/>
        <w:t>（</w:t>
      </w:r>
      <w:r>
        <w:rPr>
          <w:rFonts w:ascii="Times New Roman" w:hAnsi="Times New Roman" w:cs="Times New Roman" w:eastAsia="Times New Roman" w:hint="default"/>
        </w:rPr>
        <w:t>2</w:t>
      </w:r>
      <w:r>
        <w:rPr/>
        <w:t>）账龄超过</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bl>
    <w:p>
      <w:pPr>
        <w:spacing w:after="0" w:line="240" w:lineRule="auto"/>
        <w:jc w:val="left"/>
        <w:rPr>
          <w:rFonts w:ascii="宋体" w:hAnsi="宋体" w:cs="宋体" w:eastAsia="宋体" w:hint="default"/>
          <w:sz w:val="18"/>
          <w:szCs w:val="18"/>
        </w:rPr>
        <w:sectPr>
          <w:headerReference w:type="default" r:id="rId27"/>
          <w:pgSz w:w="11910" w:h="16840"/>
          <w:pgMar w:header="914" w:footer="1022" w:top="1700" w:bottom="1220" w:left="1020" w:right="0"/>
        </w:sectPr>
      </w:pPr>
    </w:p>
    <w:p>
      <w:pPr>
        <w:spacing w:line="240" w:lineRule="auto" w:before="13"/>
        <w:rPr>
          <w:rFonts w:ascii="宋体" w:hAnsi="宋体" w:cs="宋体" w:eastAsia="宋体" w:hint="default"/>
          <w:sz w:val="21"/>
          <w:szCs w:val="21"/>
        </w:rPr>
      </w:pPr>
    </w:p>
    <w:p>
      <w:pPr>
        <w:pStyle w:val="Heading3"/>
        <w:spacing w:line="240" w:lineRule="auto" w:before="36"/>
        <w:ind w:right="1764"/>
        <w:jc w:val="left"/>
        <w:rPr>
          <w:b w:val="0"/>
          <w:bCs w:val="0"/>
        </w:rPr>
      </w:pPr>
      <w:bookmarkStart w:name="（3）期末建造合同形成的已结算未完工项目情况" w:id="341"/>
      <w:bookmarkEnd w:id="341"/>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3"/>
        <w:spacing w:line="240" w:lineRule="auto"/>
        <w:ind w:right="1764"/>
        <w:jc w:val="left"/>
        <w:rPr>
          <w:b w:val="0"/>
          <w:bCs w:val="0"/>
        </w:rPr>
      </w:pPr>
      <w:bookmarkStart w:name="38、合同负债" w:id="342"/>
      <w:bookmarkEnd w:id="342"/>
      <w:r>
        <w:rPr>
          <w:b w:val="0"/>
          <w:bCs w:val="0"/>
        </w:rPr>
      </w:r>
      <w:r>
        <w:rPr>
          <w:rFonts w:ascii="Times New Roman" w:hAnsi="Times New Roman" w:cs="Times New Roman" w:eastAsia="Times New Roman" w:hint="default"/>
        </w:rPr>
        <w:t>38</w:t>
      </w:r>
      <w:r>
        <w:rPr/>
        <w:t>、合同负债</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报告期内账面价值发生重大变动的金额和原因</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204"/>
        <w:gridCol w:w="2420"/>
        <w:gridCol w:w="4945"/>
      </w:tblGrid>
      <w:tr>
        <w:trPr>
          <w:trHeight w:val="401"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line="240" w:lineRule="auto" w:before="5"/>
        <w:rPr>
          <w:rFonts w:ascii="宋体" w:hAnsi="宋体" w:cs="宋体" w:eastAsia="宋体" w:hint="default"/>
          <w:sz w:val="19"/>
          <w:szCs w:val="19"/>
        </w:rPr>
      </w:pPr>
    </w:p>
    <w:p>
      <w:pPr>
        <w:pStyle w:val="Heading3"/>
        <w:spacing w:line="240" w:lineRule="auto" w:before="36"/>
        <w:ind w:right="1764"/>
        <w:jc w:val="left"/>
        <w:rPr>
          <w:b w:val="0"/>
          <w:bCs w:val="0"/>
        </w:rPr>
      </w:pPr>
      <w:bookmarkStart w:name="39、应付职工薪酬" w:id="343"/>
      <w:bookmarkEnd w:id="343"/>
      <w:r>
        <w:rPr>
          <w:b w:val="0"/>
          <w:bCs w:val="0"/>
        </w:rPr>
      </w:r>
      <w:r>
        <w:rPr>
          <w:rFonts w:ascii="Times New Roman" w:hAnsi="Times New Roman" w:cs="Times New Roman" w:eastAsia="Times New Roman" w:hint="default"/>
        </w:rPr>
        <w:t>39</w:t>
      </w:r>
      <w:r>
        <w:rPr/>
        <w:t>、应付职工薪酬</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764"/>
        <w:jc w:val="left"/>
        <w:rPr>
          <w:b w:val="0"/>
          <w:bCs w:val="0"/>
        </w:rPr>
      </w:pPr>
      <w:bookmarkStart w:name="（1）应付职工薪酬列示" w:id="344"/>
      <w:bookmarkEnd w:id="344"/>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33,125,886.72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1,008,543,285.53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1,022,414,403.75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19,254,768.50</w:t>
            </w:r>
          </w:p>
        </w:tc>
      </w:tr>
      <w:tr>
        <w:trPr>
          <w:trHeight w:val="71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108"/>
              <w:jc w:val="left"/>
              <w:rPr>
                <w:rFonts w:ascii="宋体" w:hAnsi="宋体" w:cs="宋体" w:eastAsia="宋体" w:hint="default"/>
                <w:sz w:val="18"/>
                <w:szCs w:val="18"/>
              </w:rPr>
            </w:pPr>
            <w:r>
              <w:rPr>
                <w:rFonts w:ascii="宋体" w:hAnsi="宋体" w:cs="宋体" w:eastAsia="宋体" w:hint="default"/>
                <w:spacing w:val="-2"/>
                <w:sz w:val="18"/>
                <w:szCs w:val="18"/>
              </w:rPr>
              <w:t>二、离职后福利</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设定</w:t>
            </w:r>
            <w:r>
              <w:rPr>
                <w:rFonts w:ascii="宋体" w:hAnsi="宋体" w:cs="宋体" w:eastAsia="宋体" w:hint="default"/>
                <w:spacing w:val="-67"/>
                <w:sz w:val="18"/>
                <w:szCs w:val="18"/>
              </w:rPr>
              <w:t> </w:t>
            </w:r>
            <w:r>
              <w:rPr>
                <w:rFonts w:ascii="宋体" w:hAnsi="宋体" w:cs="宋体" w:eastAsia="宋体" w:hint="default"/>
                <w:sz w:val="18"/>
                <w:szCs w:val="18"/>
              </w:rPr>
              <w:t>提存计划</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424,365.55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52,230,980.98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52,273,284.66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382,061.87</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1,362,827.35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1,362,827.35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33,550,252.27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1,062,137,093.86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1,076,050,515.76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19,636,830.37</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2）短期薪酬列示" w:id="345"/>
      <w:bookmarkEnd w:id="345"/>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9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和补贴</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32,780,303.68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936,224,420.10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950,460,610.25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18,544,113.53</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11,750,428.74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11,518,978.74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231,450.00</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223,353.36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27,254,648.00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27,283,199.13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194,802.23</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其中：医疗保险</w:t>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w w:val="101"/>
                <w:sz w:val="18"/>
                <w:szCs w:val="18"/>
              </w:rPr>
              <w:t>费</w:t>
            </w:r>
            <w:r>
              <w:rPr>
                <w:rFonts w:ascii="宋体" w:hAnsi="宋体" w:cs="宋体" w:eastAsia="宋体" w:hint="default"/>
                <w:sz w:val="18"/>
                <w:szCs w:val="18"/>
              </w:rPr>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198,131.06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24,963,294.16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24,951,005.58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210,419.64</w:t>
            </w:r>
          </w:p>
        </w:tc>
      </w:tr>
      <w:tr>
        <w:trPr>
          <w:trHeight w:val="71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8" w:right="0"/>
              <w:jc w:val="left"/>
              <w:rPr>
                <w:rFonts w:ascii="宋体" w:hAnsi="宋体" w:cs="宋体" w:eastAsia="宋体" w:hint="default"/>
                <w:sz w:val="18"/>
                <w:szCs w:val="18"/>
              </w:rPr>
            </w:pPr>
            <w:r>
              <w:rPr>
                <w:rFonts w:ascii="宋体" w:hAnsi="宋体" w:cs="宋体" w:eastAsia="宋体" w:hint="default"/>
                <w:spacing w:val="-3"/>
                <w:sz w:val="18"/>
                <w:szCs w:val="18"/>
              </w:rPr>
              <w:t>工伤保险</w:t>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w w:val="101"/>
                <w:sz w:val="18"/>
                <w:szCs w:val="18"/>
              </w:rPr>
              <w:t>费</w:t>
            </w:r>
            <w:r>
              <w:rPr>
                <w:rFonts w:ascii="宋体" w:hAnsi="宋体" w:cs="宋体" w:eastAsia="宋体" w:hint="default"/>
                <w:sz w:val="18"/>
                <w:szCs w:val="18"/>
              </w:rPr>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5,082.16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600,777.76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638,861.94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-33,002.02</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008" w:right="0"/>
              <w:jc w:val="left"/>
              <w:rPr>
                <w:rFonts w:ascii="宋体" w:hAnsi="宋体" w:cs="宋体" w:eastAsia="宋体" w:hint="default"/>
                <w:sz w:val="18"/>
                <w:szCs w:val="18"/>
              </w:rPr>
            </w:pPr>
            <w:r>
              <w:rPr>
                <w:rFonts w:ascii="宋体" w:hAnsi="宋体" w:cs="宋体" w:eastAsia="宋体" w:hint="default"/>
                <w:spacing w:val="-3"/>
                <w:sz w:val="18"/>
                <w:szCs w:val="18"/>
              </w:rPr>
              <w:t>生育保险</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20,140.14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1,690,576.08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1,693,331.61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17,384.61</w:t>
            </w:r>
          </w:p>
        </w:tc>
      </w:tr>
    </w:tbl>
    <w:p>
      <w:pPr>
        <w:spacing w:after="0" w:line="240" w:lineRule="auto"/>
        <w:jc w:val="right"/>
        <w:rPr>
          <w:rFonts w:ascii="Times New Roman" w:hAnsi="Times New Roman" w:cs="Times New Roman" w:eastAsia="Times New Roman" w:hint="default"/>
          <w:sz w:val="18"/>
          <w:szCs w:val="18"/>
        </w:rPr>
        <w:sectPr>
          <w:headerReference w:type="default" r:id="rId28"/>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60"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w w:val="101"/>
                <w:sz w:val="18"/>
                <w:szCs w:val="18"/>
              </w:rPr>
              <w:t>费</w:t>
            </w:r>
            <w:r>
              <w:rPr>
                <w:rFonts w:ascii="宋体" w:hAnsi="宋体" w:cs="宋体" w:eastAsia="宋体" w:hint="default"/>
                <w:sz w:val="18"/>
                <w:szCs w:val="18"/>
              </w:rPr>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88,145.08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30,441,434.47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30,272,570.06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257,009.49</w:t>
            </w:r>
          </w:p>
        </w:tc>
      </w:tr>
      <w:tr>
        <w:trPr>
          <w:trHeight w:val="71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9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育经费</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34,084.60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2,872,354.22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2,879,045.57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27,393.25</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33,125,886.72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1,008,543,285.53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1,022,414,403.75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19,254,768.50</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3）设定提存计划列示" w:id="346"/>
      <w:bookmarkEnd w:id="346"/>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408,682.49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49,641,967.60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49,685,857.85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364,792.24</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15,683.06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1,754,282.46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1,754,210.04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15,755.48</w:t>
            </w: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残保金</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834,730.92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833,216.77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1,514.15</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424,365.55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52,230,980.98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52,273,284.66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382,061.87</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3"/>
        <w:spacing w:line="240" w:lineRule="auto"/>
        <w:ind w:right="1764"/>
        <w:jc w:val="left"/>
        <w:rPr>
          <w:b w:val="0"/>
          <w:bCs w:val="0"/>
        </w:rPr>
      </w:pPr>
      <w:bookmarkStart w:name="40、应交税费" w:id="347"/>
      <w:bookmarkEnd w:id="347"/>
      <w:r>
        <w:rPr>
          <w:b w:val="0"/>
          <w:bCs w:val="0"/>
        </w:rPr>
      </w:r>
      <w:r>
        <w:rPr>
          <w:rFonts w:ascii="Times New Roman" w:hAnsi="Times New Roman" w:cs="Times New Roman" w:eastAsia="Times New Roman" w:hint="default"/>
        </w:rPr>
        <w:t>40</w:t>
      </w:r>
      <w:r>
        <w:rPr/>
        <w:t>、应交税费</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6,941,278.51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10,944,560.85</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11,525,879.06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17,120,360.58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2,675,184.19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2,552,739.23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836,526.47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899,365.34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606,218.77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707,238.02</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165,603.77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105,704.95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371,238.42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367,793.42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23,121,929.19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32,697,762.39</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3"/>
        <w:spacing w:line="240" w:lineRule="auto"/>
        <w:ind w:right="1764"/>
        <w:jc w:val="left"/>
        <w:rPr>
          <w:b w:val="0"/>
          <w:bCs w:val="0"/>
        </w:rPr>
      </w:pPr>
      <w:bookmarkStart w:name="41、其他应付款" w:id="348"/>
      <w:bookmarkEnd w:id="348"/>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2"/>
                <w:sz w:val="18"/>
              </w:rPr>
              <w:t>11,242,797.72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30,613,540.18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23,696,743.54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30,613,540.18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34,939,541.26</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3"/>
        <w:spacing w:line="240" w:lineRule="auto" w:before="36"/>
        <w:ind w:right="1764"/>
        <w:jc w:val="left"/>
        <w:rPr>
          <w:b w:val="0"/>
          <w:bCs w:val="0"/>
        </w:rPr>
      </w:pPr>
      <w:bookmarkStart w:name="（1）应付利息" w:id="349"/>
      <w:bookmarkEnd w:id="349"/>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9,166,666.67</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2,076,131.05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2"/>
                <w:sz w:val="18"/>
              </w:rPr>
              <w:t>11,242,797.72</w:t>
            </w:r>
          </w:p>
        </w:tc>
      </w:tr>
    </w:tbl>
    <w:p>
      <w:pPr>
        <w:spacing w:before="54"/>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重要的已逾期未支付的利息情况：</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3"/>
        <w:spacing w:line="240" w:lineRule="auto"/>
        <w:ind w:right="1764"/>
        <w:jc w:val="left"/>
        <w:rPr>
          <w:b w:val="0"/>
          <w:bCs w:val="0"/>
        </w:rPr>
      </w:pPr>
      <w:bookmarkStart w:name="（2）应付股利" w:id="350"/>
      <w:bookmarkEnd w:id="350"/>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其他说明，包括重要的超过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年未支付的应付股利，应披露未支付原因：</w:t>
      </w:r>
    </w:p>
    <w:p>
      <w:pPr>
        <w:spacing w:line="240" w:lineRule="auto" w:before="3"/>
        <w:rPr>
          <w:rFonts w:ascii="宋体" w:hAnsi="宋体" w:cs="宋体" w:eastAsia="宋体" w:hint="default"/>
          <w:sz w:val="25"/>
          <w:szCs w:val="25"/>
        </w:rPr>
      </w:pPr>
    </w:p>
    <w:p>
      <w:pPr>
        <w:pStyle w:val="Heading3"/>
        <w:spacing w:line="240" w:lineRule="auto"/>
        <w:ind w:right="1764"/>
        <w:jc w:val="left"/>
        <w:rPr>
          <w:b w:val="0"/>
          <w:bCs w:val="0"/>
        </w:rPr>
      </w:pPr>
      <w:bookmarkStart w:name="（3）其他应付款" w:id="351"/>
      <w:bookmarkEnd w:id="351"/>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1）按款项性质列示其他应付款" w:id="352"/>
      <w:bookmarkEnd w:id="352"/>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1,284,536.24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1,068,125.28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5,577,585.67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3,754,054.05</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15,826,681.62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14,823,148.00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住房补贴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620,000.00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1,040,000.00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社保及公积金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2,005,609.61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1,142,041.09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5,299,127.04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1,869,375.12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30,613,540.18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23,696,743.54</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2）账龄超过1年的重要其他应付款" w:id="353"/>
      <w:bookmarkEnd w:id="353"/>
      <w:r>
        <w:rPr>
          <w:b w:val="0"/>
          <w:bCs w:val="0"/>
        </w:rPr>
      </w:r>
      <w:r>
        <w:rPr>
          <w:rFonts w:ascii="Times New Roman" w:hAnsi="Times New Roman" w:cs="Times New Roman" w:eastAsia="Times New Roman" w:hint="default"/>
        </w:rPr>
        <w:t>2</w:t>
      </w:r>
      <w:r>
        <w:rPr/>
        <w:t>）账龄超过</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94"/>
              <w:jc w:val="left"/>
              <w:rPr>
                <w:rFonts w:ascii="宋体" w:hAnsi="宋体" w:cs="宋体" w:eastAsia="宋体" w:hint="default"/>
                <w:sz w:val="18"/>
                <w:szCs w:val="18"/>
              </w:rPr>
            </w:pPr>
            <w:r>
              <w:rPr>
                <w:rFonts w:ascii="宋体" w:hAnsi="宋体" w:cs="宋体" w:eastAsia="宋体" w:hint="default"/>
                <w:spacing w:val="-8"/>
                <w:w w:val="101"/>
                <w:sz w:val="18"/>
                <w:szCs w:val="18"/>
              </w:rPr>
              <w:t>深圳市合生创利投资管理中心（有限合</w:t>
            </w:r>
            <w:r>
              <w:rPr>
                <w:rFonts w:ascii="宋体" w:hAnsi="宋体" w:cs="宋体" w:eastAsia="宋体" w:hint="default"/>
                <w:spacing w:val="-83"/>
                <w:w w:val="101"/>
                <w:sz w:val="18"/>
                <w:szCs w:val="18"/>
              </w:rPr>
              <w:t> </w:t>
            </w:r>
            <w:r>
              <w:rPr>
                <w:rFonts w:ascii="宋体" w:hAnsi="宋体" w:cs="宋体" w:eastAsia="宋体" w:hint="default"/>
                <w:spacing w:val="-83"/>
                <w:w w:val="101"/>
                <w:sz w:val="18"/>
                <w:szCs w:val="18"/>
              </w:rPr>
            </w:r>
            <w:r>
              <w:rPr>
                <w:rFonts w:ascii="宋体" w:hAnsi="宋体" w:cs="宋体" w:eastAsia="宋体" w:hint="default"/>
                <w:sz w:val="18"/>
                <w:szCs w:val="18"/>
              </w:rPr>
              <w:t>伙）</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借款续期</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科大讯飞股份有限公司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1,301,604.36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房租押金</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6,301,604.36</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42、持有待售负债" w:id="354"/>
      <w:bookmarkEnd w:id="354"/>
      <w:r>
        <w:rPr>
          <w:b w:val="0"/>
          <w:bCs w:val="0"/>
        </w:rPr>
      </w:r>
      <w:r>
        <w:rPr>
          <w:rFonts w:ascii="Times New Roman" w:hAnsi="Times New Roman" w:cs="Times New Roman" w:eastAsia="Times New Roman" w:hint="default"/>
        </w:rPr>
        <w:t>42</w:t>
      </w:r>
      <w:r>
        <w:rPr/>
        <w:t>、持有待售负债</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3"/>
        <w:spacing w:line="240" w:lineRule="auto"/>
        <w:ind w:right="1764"/>
        <w:jc w:val="left"/>
        <w:rPr>
          <w:b w:val="0"/>
          <w:bCs w:val="0"/>
        </w:rPr>
      </w:pPr>
      <w:bookmarkStart w:name="43、一年内到期的非流动负债" w:id="355"/>
      <w:bookmarkEnd w:id="355"/>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199,900,156.79</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229,900,156.79</w:t>
            </w:r>
          </w:p>
        </w:tc>
      </w:tr>
    </w:tbl>
    <w:p>
      <w:pPr>
        <w:spacing w:before="54"/>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3"/>
        <w:spacing w:line="240" w:lineRule="auto"/>
        <w:ind w:right="1764"/>
        <w:jc w:val="left"/>
        <w:rPr>
          <w:b w:val="0"/>
          <w:bCs w:val="0"/>
        </w:rPr>
      </w:pPr>
      <w:bookmarkStart w:name="44、其他流动负债" w:id="356"/>
      <w:bookmarkEnd w:id="356"/>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6" w:footer="1022" w:top="1100" w:bottom="1220" w:left="1020" w:right="0"/>
        </w:sect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pacing w:val="-2"/>
          <w:sz w:val="18"/>
          <w:szCs w:val="18"/>
        </w:rPr>
        <w:t>是否已执行新收入准则</w:t>
      </w:r>
    </w:p>
    <w:p>
      <w:pPr>
        <w:spacing w:before="115"/>
        <w:ind w:left="113"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1919" w:space="6912"/>
            <w:col w:w="2059"/>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短期应付债券的增减变动：</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797"/>
        <w:gridCol w:w="802"/>
        <w:gridCol w:w="797"/>
        <w:gridCol w:w="797"/>
        <w:gridCol w:w="797"/>
        <w:gridCol w:w="802"/>
        <w:gridCol w:w="797"/>
        <w:gridCol w:w="797"/>
        <w:gridCol w:w="797"/>
        <w:gridCol w:w="802"/>
        <w:gridCol w:w="797"/>
        <w:gridCol w:w="797"/>
      </w:tblGrid>
      <w:tr>
        <w:trPr>
          <w:trHeight w:val="1027"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307" w:right="118" w:hanging="183"/>
              <w:jc w:val="left"/>
              <w:rPr>
                <w:rFonts w:ascii="宋体" w:hAnsi="宋体" w:cs="宋体" w:eastAsia="宋体" w:hint="default"/>
                <w:sz w:val="18"/>
                <w:szCs w:val="18"/>
              </w:rPr>
            </w:pPr>
            <w:r>
              <w:rPr>
                <w:rFonts w:ascii="宋体" w:hAnsi="宋体" w:cs="宋体" w:eastAsia="宋体" w:hint="default"/>
                <w:sz w:val="18"/>
                <w:szCs w:val="18"/>
              </w:rPr>
              <w:t>债券名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称</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16"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302" w:right="123" w:hanging="183"/>
              <w:jc w:val="left"/>
              <w:rPr>
                <w:rFonts w:ascii="宋体" w:hAnsi="宋体" w:cs="宋体" w:eastAsia="宋体" w:hint="default"/>
                <w:sz w:val="18"/>
                <w:szCs w:val="18"/>
              </w:rPr>
            </w:pPr>
            <w:r>
              <w:rPr>
                <w:rFonts w:ascii="宋体" w:hAnsi="宋体" w:cs="宋体" w:eastAsia="宋体" w:hint="default"/>
                <w:sz w:val="18"/>
                <w:szCs w:val="18"/>
              </w:rPr>
              <w:t>发行日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302" w:right="122" w:hanging="183"/>
              <w:jc w:val="left"/>
              <w:rPr>
                <w:rFonts w:ascii="宋体" w:hAnsi="宋体" w:cs="宋体" w:eastAsia="宋体" w:hint="default"/>
                <w:sz w:val="18"/>
                <w:szCs w:val="18"/>
              </w:rPr>
            </w:pPr>
            <w:r>
              <w:rPr>
                <w:rFonts w:ascii="宋体" w:hAnsi="宋体" w:cs="宋体" w:eastAsia="宋体" w:hint="default"/>
                <w:sz w:val="18"/>
                <w:szCs w:val="18"/>
              </w:rPr>
              <w:t>债券期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307" w:right="117" w:hanging="183"/>
              <w:jc w:val="left"/>
              <w:rPr>
                <w:rFonts w:ascii="宋体" w:hAnsi="宋体" w:cs="宋体" w:eastAsia="宋体" w:hint="default"/>
                <w:sz w:val="18"/>
                <w:szCs w:val="18"/>
              </w:rPr>
            </w:pPr>
            <w:r>
              <w:rPr>
                <w:rFonts w:ascii="宋体" w:hAnsi="宋体" w:cs="宋体" w:eastAsia="宋体" w:hint="default"/>
                <w:sz w:val="18"/>
                <w:szCs w:val="18"/>
              </w:rPr>
              <w:t>发行金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307" w:right="123" w:hanging="183"/>
              <w:jc w:val="left"/>
              <w:rPr>
                <w:rFonts w:ascii="宋体" w:hAnsi="宋体" w:cs="宋体" w:eastAsia="宋体" w:hint="default"/>
                <w:sz w:val="18"/>
                <w:szCs w:val="18"/>
              </w:rPr>
            </w:pPr>
            <w:r>
              <w:rPr>
                <w:rFonts w:ascii="宋体" w:hAnsi="宋体" w:cs="宋体" w:eastAsia="宋体" w:hint="default"/>
                <w:sz w:val="18"/>
                <w:szCs w:val="18"/>
              </w:rPr>
              <w:t>期初余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302" w:right="122" w:hanging="183"/>
              <w:jc w:val="left"/>
              <w:rPr>
                <w:rFonts w:ascii="宋体" w:hAnsi="宋体" w:cs="宋体" w:eastAsia="宋体" w:hint="default"/>
                <w:sz w:val="18"/>
                <w:szCs w:val="18"/>
              </w:rPr>
            </w:pPr>
            <w:r>
              <w:rPr>
                <w:rFonts w:ascii="宋体" w:hAnsi="宋体" w:cs="宋体" w:eastAsia="宋体" w:hint="default"/>
                <w:sz w:val="18"/>
                <w:szCs w:val="18"/>
              </w:rPr>
              <w:t>本期发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9" w:right="123"/>
              <w:jc w:val="center"/>
              <w:rPr>
                <w:rFonts w:ascii="宋体" w:hAnsi="宋体" w:cs="宋体" w:eastAsia="宋体" w:hint="default"/>
                <w:sz w:val="18"/>
                <w:szCs w:val="18"/>
              </w:rPr>
            </w:pPr>
            <w:r>
              <w:rPr>
                <w:rFonts w:ascii="宋体" w:hAnsi="宋体" w:cs="宋体" w:eastAsia="宋体" w:hint="default"/>
                <w:spacing w:val="-2"/>
                <w:sz w:val="18"/>
                <w:szCs w:val="18"/>
              </w:rPr>
              <w:t>按面值</w:t>
            </w:r>
            <w:r>
              <w:rPr>
                <w:rFonts w:ascii="宋体" w:hAnsi="宋体" w:cs="宋体" w:eastAsia="宋体" w:hint="default"/>
                <w:w w:val="101"/>
                <w:sz w:val="18"/>
                <w:szCs w:val="18"/>
              </w:rPr>
              <w:t> </w:t>
            </w:r>
            <w:r>
              <w:rPr>
                <w:rFonts w:ascii="宋体" w:hAnsi="宋体" w:cs="宋体" w:eastAsia="宋体" w:hint="default"/>
                <w:spacing w:val="-2"/>
                <w:sz w:val="18"/>
                <w:szCs w:val="18"/>
              </w:rPr>
              <w:t>计提利</w:t>
            </w:r>
            <w:r>
              <w:rPr>
                <w:rFonts w:ascii="宋体" w:hAnsi="宋体" w:cs="宋体" w:eastAsia="宋体" w:hint="default"/>
                <w:w w:val="101"/>
                <w:sz w:val="18"/>
                <w:szCs w:val="18"/>
              </w:rPr>
              <w:t> </w:t>
            </w:r>
            <w:r>
              <w:rPr>
                <w:rFonts w:ascii="宋体" w:hAnsi="宋体" w:cs="宋体" w:eastAsia="宋体" w:hint="default"/>
                <w:sz w:val="18"/>
                <w:szCs w:val="18"/>
              </w:rPr>
              <w:t>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15" w:right="118" w:hanging="92"/>
              <w:jc w:val="left"/>
              <w:rPr>
                <w:rFonts w:ascii="宋体" w:hAnsi="宋体" w:cs="宋体" w:eastAsia="宋体" w:hint="default"/>
                <w:sz w:val="18"/>
                <w:szCs w:val="18"/>
              </w:rPr>
            </w:pPr>
            <w:r>
              <w:rPr>
                <w:rFonts w:ascii="宋体" w:hAnsi="宋体" w:cs="宋体" w:eastAsia="宋体" w:hint="default"/>
                <w:sz w:val="18"/>
                <w:szCs w:val="18"/>
              </w:rPr>
              <w:t>溢折价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摊销</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307" w:right="122" w:hanging="183"/>
              <w:jc w:val="left"/>
              <w:rPr>
                <w:rFonts w:ascii="宋体" w:hAnsi="宋体" w:cs="宋体" w:eastAsia="宋体" w:hint="default"/>
                <w:sz w:val="18"/>
                <w:szCs w:val="18"/>
              </w:rPr>
            </w:pPr>
            <w:r>
              <w:rPr>
                <w:rFonts w:ascii="宋体" w:hAnsi="宋体" w:cs="宋体" w:eastAsia="宋体" w:hint="default"/>
                <w:sz w:val="18"/>
                <w:szCs w:val="18"/>
              </w:rPr>
              <w:t>本期偿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还</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302" w:right="122" w:hanging="183"/>
              <w:jc w:val="left"/>
              <w:rPr>
                <w:rFonts w:ascii="宋体" w:hAnsi="宋体" w:cs="宋体" w:eastAsia="宋体" w:hint="default"/>
                <w:sz w:val="18"/>
                <w:szCs w:val="18"/>
              </w:rPr>
            </w:pPr>
            <w:r>
              <w:rPr>
                <w:rFonts w:ascii="宋体" w:hAnsi="宋体" w:cs="宋体" w:eastAsia="宋体" w:hint="default"/>
                <w:sz w:val="18"/>
                <w:szCs w:val="18"/>
              </w:rPr>
              <w:t>期末余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45、长期借款" w:id="357"/>
      <w:bookmarkEnd w:id="357"/>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1）长期借款分类" w:id="358"/>
      <w:bookmarkEnd w:id="358"/>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362" w:lineRule="auto" w:before="53"/>
        <w:ind w:left="113" w:right="7695"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其他说明，包括利率区间：</w:t>
      </w:r>
    </w:p>
    <w:p>
      <w:pPr>
        <w:spacing w:after="0" w:line="362" w:lineRule="auto"/>
        <w:jc w:val="left"/>
        <w:rPr>
          <w:rFonts w:ascii="宋体" w:hAnsi="宋体" w:cs="宋体" w:eastAsia="宋体" w:hint="default"/>
          <w:sz w:val="18"/>
          <w:szCs w:val="18"/>
        </w:rPr>
        <w:sectPr>
          <w:type w:val="continuous"/>
          <w:pgSz w:w="11910" w:h="16840"/>
          <w:pgMar w:top="1100" w:bottom="1220" w:left="1020" w:right="0"/>
        </w:sectPr>
      </w:pPr>
    </w:p>
    <w:p>
      <w:pPr>
        <w:spacing w:line="240" w:lineRule="auto" w:before="8"/>
        <w:rPr>
          <w:rFonts w:ascii="宋体" w:hAnsi="宋体" w:cs="宋体" w:eastAsia="宋体" w:hint="default"/>
          <w:sz w:val="21"/>
          <w:szCs w:val="21"/>
        </w:rPr>
      </w:pPr>
    </w:p>
    <w:p>
      <w:pPr>
        <w:pStyle w:val="Heading3"/>
        <w:spacing w:line="240" w:lineRule="auto" w:before="36"/>
        <w:ind w:right="1764"/>
        <w:jc w:val="left"/>
        <w:rPr>
          <w:b w:val="0"/>
          <w:bCs w:val="0"/>
        </w:rPr>
      </w:pPr>
      <w:bookmarkStart w:name="46、应付债券" w:id="359"/>
      <w:bookmarkEnd w:id="359"/>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1）应付债券" w:id="360"/>
      <w:bookmarkEnd w:id="360"/>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2）应付债券的增减变动（不包括划分为金融负债的优先股、永续债等其他金融工具）" w:id="361"/>
      <w:bookmarkEnd w:id="361"/>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797"/>
        <w:gridCol w:w="802"/>
        <w:gridCol w:w="797"/>
        <w:gridCol w:w="797"/>
        <w:gridCol w:w="797"/>
        <w:gridCol w:w="802"/>
        <w:gridCol w:w="797"/>
        <w:gridCol w:w="797"/>
        <w:gridCol w:w="797"/>
        <w:gridCol w:w="802"/>
        <w:gridCol w:w="797"/>
        <w:gridCol w:w="797"/>
      </w:tblGrid>
      <w:tr>
        <w:trPr>
          <w:trHeight w:val="1027"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07" w:right="118" w:hanging="183"/>
              <w:jc w:val="left"/>
              <w:rPr>
                <w:rFonts w:ascii="宋体" w:hAnsi="宋体" w:cs="宋体" w:eastAsia="宋体" w:hint="default"/>
                <w:sz w:val="18"/>
                <w:szCs w:val="18"/>
              </w:rPr>
            </w:pPr>
            <w:r>
              <w:rPr>
                <w:rFonts w:ascii="宋体" w:hAnsi="宋体" w:cs="宋体" w:eastAsia="宋体" w:hint="default"/>
                <w:sz w:val="18"/>
                <w:szCs w:val="18"/>
              </w:rPr>
              <w:t>债券名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称</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02" w:right="123" w:hanging="183"/>
              <w:jc w:val="left"/>
              <w:rPr>
                <w:rFonts w:ascii="宋体" w:hAnsi="宋体" w:cs="宋体" w:eastAsia="宋体" w:hint="default"/>
                <w:sz w:val="18"/>
                <w:szCs w:val="18"/>
              </w:rPr>
            </w:pPr>
            <w:r>
              <w:rPr>
                <w:rFonts w:ascii="宋体" w:hAnsi="宋体" w:cs="宋体" w:eastAsia="宋体" w:hint="default"/>
                <w:sz w:val="18"/>
                <w:szCs w:val="18"/>
              </w:rPr>
              <w:t>发行日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02" w:right="122" w:hanging="183"/>
              <w:jc w:val="left"/>
              <w:rPr>
                <w:rFonts w:ascii="宋体" w:hAnsi="宋体" w:cs="宋体" w:eastAsia="宋体" w:hint="default"/>
                <w:sz w:val="18"/>
                <w:szCs w:val="18"/>
              </w:rPr>
            </w:pPr>
            <w:r>
              <w:rPr>
                <w:rFonts w:ascii="宋体" w:hAnsi="宋体" w:cs="宋体" w:eastAsia="宋体" w:hint="default"/>
                <w:sz w:val="18"/>
                <w:szCs w:val="18"/>
              </w:rPr>
              <w:t>债券期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07" w:right="117" w:hanging="183"/>
              <w:jc w:val="left"/>
              <w:rPr>
                <w:rFonts w:ascii="宋体" w:hAnsi="宋体" w:cs="宋体" w:eastAsia="宋体" w:hint="default"/>
                <w:sz w:val="18"/>
                <w:szCs w:val="18"/>
              </w:rPr>
            </w:pPr>
            <w:r>
              <w:rPr>
                <w:rFonts w:ascii="宋体" w:hAnsi="宋体" w:cs="宋体" w:eastAsia="宋体" w:hint="default"/>
                <w:sz w:val="18"/>
                <w:szCs w:val="18"/>
              </w:rPr>
              <w:t>发行金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07" w:right="123" w:hanging="183"/>
              <w:jc w:val="left"/>
              <w:rPr>
                <w:rFonts w:ascii="宋体" w:hAnsi="宋体" w:cs="宋体" w:eastAsia="宋体" w:hint="default"/>
                <w:sz w:val="18"/>
                <w:szCs w:val="18"/>
              </w:rPr>
            </w:pPr>
            <w:r>
              <w:rPr>
                <w:rFonts w:ascii="宋体" w:hAnsi="宋体" w:cs="宋体" w:eastAsia="宋体" w:hint="default"/>
                <w:sz w:val="18"/>
                <w:szCs w:val="18"/>
              </w:rPr>
              <w:t>期初余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02" w:right="122" w:hanging="183"/>
              <w:jc w:val="left"/>
              <w:rPr>
                <w:rFonts w:ascii="宋体" w:hAnsi="宋体" w:cs="宋体" w:eastAsia="宋体" w:hint="default"/>
                <w:sz w:val="18"/>
                <w:szCs w:val="18"/>
              </w:rPr>
            </w:pPr>
            <w:r>
              <w:rPr>
                <w:rFonts w:ascii="宋体" w:hAnsi="宋体" w:cs="宋体" w:eastAsia="宋体" w:hint="default"/>
                <w:sz w:val="18"/>
                <w:szCs w:val="18"/>
              </w:rPr>
              <w:t>本期发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9" w:right="123"/>
              <w:jc w:val="center"/>
              <w:rPr>
                <w:rFonts w:ascii="宋体" w:hAnsi="宋体" w:cs="宋体" w:eastAsia="宋体" w:hint="default"/>
                <w:sz w:val="18"/>
                <w:szCs w:val="18"/>
              </w:rPr>
            </w:pPr>
            <w:r>
              <w:rPr>
                <w:rFonts w:ascii="宋体" w:hAnsi="宋体" w:cs="宋体" w:eastAsia="宋体" w:hint="default"/>
                <w:spacing w:val="-2"/>
                <w:sz w:val="18"/>
                <w:szCs w:val="18"/>
              </w:rPr>
              <w:t>按面值</w:t>
            </w:r>
            <w:r>
              <w:rPr>
                <w:rFonts w:ascii="宋体" w:hAnsi="宋体" w:cs="宋体" w:eastAsia="宋体" w:hint="default"/>
                <w:w w:val="101"/>
                <w:sz w:val="18"/>
                <w:szCs w:val="18"/>
              </w:rPr>
              <w:t> </w:t>
            </w:r>
            <w:r>
              <w:rPr>
                <w:rFonts w:ascii="宋体" w:hAnsi="宋体" w:cs="宋体" w:eastAsia="宋体" w:hint="default"/>
                <w:spacing w:val="-2"/>
                <w:sz w:val="18"/>
                <w:szCs w:val="18"/>
              </w:rPr>
              <w:t>计提利</w:t>
            </w:r>
            <w:r>
              <w:rPr>
                <w:rFonts w:ascii="宋体" w:hAnsi="宋体" w:cs="宋体" w:eastAsia="宋体" w:hint="default"/>
                <w:w w:val="101"/>
                <w:sz w:val="18"/>
                <w:szCs w:val="18"/>
              </w:rPr>
              <w:t> </w:t>
            </w:r>
            <w:r>
              <w:rPr>
                <w:rFonts w:ascii="宋体" w:hAnsi="宋体" w:cs="宋体" w:eastAsia="宋体" w:hint="default"/>
                <w:sz w:val="18"/>
                <w:szCs w:val="18"/>
              </w:rPr>
              <w:t>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15" w:right="118" w:hanging="92"/>
              <w:jc w:val="left"/>
              <w:rPr>
                <w:rFonts w:ascii="宋体" w:hAnsi="宋体" w:cs="宋体" w:eastAsia="宋体" w:hint="default"/>
                <w:sz w:val="18"/>
                <w:szCs w:val="18"/>
              </w:rPr>
            </w:pPr>
            <w:r>
              <w:rPr>
                <w:rFonts w:ascii="宋体" w:hAnsi="宋体" w:cs="宋体" w:eastAsia="宋体" w:hint="default"/>
                <w:sz w:val="18"/>
                <w:szCs w:val="18"/>
              </w:rPr>
              <w:t>溢折价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摊销</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07" w:right="122" w:hanging="183"/>
              <w:jc w:val="left"/>
              <w:rPr>
                <w:rFonts w:ascii="宋体" w:hAnsi="宋体" w:cs="宋体" w:eastAsia="宋体" w:hint="default"/>
                <w:sz w:val="18"/>
                <w:szCs w:val="18"/>
              </w:rPr>
            </w:pPr>
            <w:r>
              <w:rPr>
                <w:rFonts w:ascii="宋体" w:hAnsi="宋体" w:cs="宋体" w:eastAsia="宋体" w:hint="default"/>
                <w:sz w:val="18"/>
                <w:szCs w:val="18"/>
              </w:rPr>
              <w:t>本期偿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还</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02" w:right="122" w:hanging="183"/>
              <w:jc w:val="left"/>
              <w:rPr>
                <w:rFonts w:ascii="宋体" w:hAnsi="宋体" w:cs="宋体" w:eastAsia="宋体" w:hint="default"/>
                <w:sz w:val="18"/>
                <w:szCs w:val="18"/>
              </w:rPr>
            </w:pPr>
            <w:r>
              <w:rPr>
                <w:rFonts w:ascii="宋体" w:hAnsi="宋体" w:cs="宋体" w:eastAsia="宋体" w:hint="default"/>
                <w:sz w:val="18"/>
                <w:szCs w:val="18"/>
              </w:rPr>
              <w:t>期末余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r>
      <w:tr>
        <w:trPr>
          <w:trHeight w:val="404"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3）可转换公司债券的转股条件、转股时间说明" w:id="362"/>
      <w:bookmarkEnd w:id="362"/>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764"/>
        <w:jc w:val="left"/>
        <w:rPr>
          <w:b w:val="0"/>
          <w:bCs w:val="0"/>
        </w:rPr>
      </w:pPr>
      <w:bookmarkStart w:name="（4）划分为金融负债的其他金融工具说明" w:id="363"/>
      <w:bookmarkEnd w:id="363"/>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6" w:footer="1022" w:top="1100" w:bottom="1220" w:left="1020" w:right="0"/>
        </w:sectPr>
      </w:pPr>
    </w:p>
    <w:p>
      <w:pPr>
        <w:spacing w:line="357" w:lineRule="auto" w:before="46"/>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期末发行在外的优先股、永续债等其他金融工具基本情况</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4617" w:space="4214"/>
            <w:col w:w="2059"/>
          </w:cols>
        </w:sectPr>
      </w:pP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066"/>
        <w:gridCol w:w="1066"/>
        <w:gridCol w:w="1066"/>
        <w:gridCol w:w="1061"/>
        <w:gridCol w:w="1066"/>
        <w:gridCol w:w="1061"/>
        <w:gridCol w:w="1061"/>
        <w:gridCol w:w="1061"/>
        <w:gridCol w:w="1066"/>
      </w:tblGrid>
      <w:tr>
        <w:trPr>
          <w:trHeight w:val="401"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168" w:right="161"/>
              <w:jc w:val="center"/>
              <w:rPr>
                <w:rFonts w:ascii="宋体" w:hAnsi="宋体" w:cs="宋体" w:eastAsia="宋体" w:hint="default"/>
                <w:sz w:val="18"/>
                <w:szCs w:val="18"/>
              </w:rPr>
            </w:pPr>
            <w:r>
              <w:rPr>
                <w:rFonts w:ascii="宋体" w:hAnsi="宋体" w:cs="宋体" w:eastAsia="宋体" w:hint="default"/>
                <w:spacing w:val="-2"/>
                <w:sz w:val="18"/>
                <w:szCs w:val="18"/>
              </w:rPr>
              <w:t>发行在外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的金融工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具</w:t>
            </w:r>
          </w:p>
        </w:tc>
        <w:tc>
          <w:tcPr>
            <w:tcW w:w="21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9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624"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56"/>
        <w:ind w:left="113" w:right="6955" w:firstLine="0"/>
        <w:jc w:val="left"/>
        <w:rPr>
          <w:rFonts w:ascii="宋体" w:hAnsi="宋体" w:cs="宋体" w:eastAsia="宋体" w:hint="default"/>
          <w:sz w:val="18"/>
          <w:szCs w:val="18"/>
        </w:rPr>
      </w:pPr>
      <w:r>
        <w:rPr>
          <w:rFonts w:ascii="宋体" w:hAnsi="宋体" w:cs="宋体" w:eastAsia="宋体" w:hint="default"/>
          <w:spacing w:val="-3"/>
          <w:sz w:val="18"/>
          <w:szCs w:val="18"/>
        </w:rPr>
        <w:t>其他金融工具划分为金融负债的依据说明</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其他说明</w:t>
      </w:r>
    </w:p>
    <w:p>
      <w:pPr>
        <w:spacing w:line="240" w:lineRule="auto" w:before="12"/>
        <w:rPr>
          <w:rFonts w:ascii="宋体" w:hAnsi="宋体" w:cs="宋体" w:eastAsia="宋体" w:hint="default"/>
          <w:sz w:val="19"/>
          <w:szCs w:val="19"/>
        </w:rPr>
      </w:pPr>
    </w:p>
    <w:p>
      <w:pPr>
        <w:pStyle w:val="Heading3"/>
        <w:spacing w:line="240" w:lineRule="auto"/>
        <w:ind w:right="1764"/>
        <w:jc w:val="left"/>
        <w:rPr>
          <w:b w:val="0"/>
          <w:bCs w:val="0"/>
        </w:rPr>
      </w:pPr>
      <w:bookmarkStart w:name="47、租赁负债" w:id="364"/>
      <w:bookmarkEnd w:id="364"/>
      <w:r>
        <w:rPr>
          <w:b w:val="0"/>
          <w:bCs w:val="0"/>
        </w:rPr>
      </w:r>
      <w:r>
        <w:rPr>
          <w:rFonts w:ascii="Times New Roman" w:hAnsi="Times New Roman" w:cs="Times New Roman" w:eastAsia="Times New Roman" w:hint="default"/>
        </w:rPr>
        <w:t>47</w:t>
      </w:r>
      <w:r>
        <w:rPr/>
        <w:t>、租赁负债</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4"/>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48、长期应付款" w:id="365"/>
      <w:bookmarkEnd w:id="365"/>
      <w:r>
        <w:rPr>
          <w:b w:val="0"/>
          <w:bCs w:val="0"/>
        </w:rPr>
      </w:r>
      <w:r>
        <w:rPr>
          <w:rFonts w:ascii="Times New Roman" w:hAnsi="Times New Roman" w:cs="Times New Roman" w:eastAsia="Times New Roman" w:hint="default"/>
        </w:rPr>
        <w:t>48</w:t>
      </w:r>
      <w:r>
        <w:rPr/>
        <w:t>、长期应付款</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100" w:bottom="1220" w:left="1020" w:right="0"/>
        </w:sectPr>
      </w:pPr>
    </w:p>
    <w:p>
      <w:pPr>
        <w:spacing w:line="240" w:lineRule="auto" w:before="13"/>
        <w:rPr>
          <w:rFonts w:ascii="宋体" w:hAnsi="宋体" w:cs="宋体" w:eastAsia="宋体" w:hint="default"/>
          <w:sz w:val="21"/>
          <w:szCs w:val="21"/>
        </w:rPr>
      </w:pPr>
    </w:p>
    <w:p>
      <w:pPr>
        <w:pStyle w:val="Heading3"/>
        <w:spacing w:line="240" w:lineRule="auto" w:before="36"/>
        <w:ind w:right="1764"/>
        <w:jc w:val="left"/>
        <w:rPr>
          <w:b w:val="0"/>
          <w:bCs w:val="0"/>
        </w:rPr>
      </w:pPr>
      <w:bookmarkStart w:name="（1）按款项性质列示长期应付款" w:id="366"/>
      <w:bookmarkEnd w:id="366"/>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3"/>
        <w:spacing w:line="240" w:lineRule="auto"/>
        <w:ind w:right="1764"/>
        <w:jc w:val="left"/>
        <w:rPr>
          <w:b w:val="0"/>
          <w:bCs w:val="0"/>
        </w:rPr>
      </w:pPr>
      <w:bookmarkStart w:name="（2）专项应付款" w:id="367"/>
      <w:bookmarkEnd w:id="367"/>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49、长期应付职工薪酬" w:id="368"/>
      <w:bookmarkEnd w:id="368"/>
      <w:r>
        <w:rPr>
          <w:b w:val="0"/>
          <w:bCs w:val="0"/>
        </w:rPr>
      </w:r>
      <w:r>
        <w:rPr>
          <w:rFonts w:ascii="Times New Roman" w:hAnsi="Times New Roman" w:cs="Times New Roman" w:eastAsia="Times New Roman" w:hint="default"/>
        </w:rPr>
        <w:t>49</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1）长期应付职工薪酬表" w:id="369"/>
      <w:bookmarkEnd w:id="369"/>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2）设定受益计划变动情况" w:id="370"/>
      <w:bookmarkEnd w:id="370"/>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6"/>
        <w:rPr>
          <w:rFonts w:ascii="宋体" w:hAnsi="宋体" w:cs="宋体" w:eastAsia="宋体" w:hint="default"/>
          <w:b/>
          <w:bCs/>
          <w:sz w:val="23"/>
          <w:szCs w:val="23"/>
        </w:rPr>
      </w:pPr>
    </w:p>
    <w:p>
      <w:pPr>
        <w:spacing w:before="46"/>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设定受益计划义务现值：</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设定受益计划净负债（净资产）</w:t>
      </w:r>
    </w:p>
    <w:p>
      <w:pPr>
        <w:spacing w:before="12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57" w:lineRule="auto"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设定受益计划的内容及与之相关风险、对公司未来现金流量、时间和不确定性的影响说明：</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3"/>
          <w:sz w:val="18"/>
          <w:szCs w:val="18"/>
        </w:rPr>
        <w:t>设定受益计划重大精算假设及敏感性分析结果说明：</w:t>
      </w:r>
    </w:p>
    <w:p>
      <w:pPr>
        <w:spacing w:before="32"/>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50、预计负债" w:id="371"/>
      <w:bookmarkEnd w:id="371"/>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29"/>
          <w:pgSz w:w="11910" w:h="16840"/>
          <w:pgMar w:header="906" w:footer="1022" w:top="1100" w:bottom="1220" w:left="1020" w:right="0"/>
        </w:sect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pacing w:val="-2"/>
          <w:sz w:val="18"/>
          <w:szCs w:val="18"/>
        </w:rPr>
        <w:t>是否已执行新收入准则</w:t>
      </w:r>
    </w:p>
    <w:p>
      <w:pPr>
        <w:spacing w:before="115"/>
        <w:ind w:left="113"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1919" w:space="6912"/>
            <w:col w:w="2059"/>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after="0" w:line="240" w:lineRule="auto"/>
        <w:jc w:val="center"/>
        <w:rPr>
          <w:rFonts w:ascii="宋体" w:hAnsi="宋体" w:cs="宋体" w:eastAsia="宋体" w:hint="default"/>
          <w:sz w:val="18"/>
          <w:szCs w:val="18"/>
        </w:rPr>
        <w:sectPr>
          <w:type w:val="continuous"/>
          <w:pgSz w:w="11910" w:h="16840"/>
          <w:pgMar w:top="1100" w:bottom="1220" w:left="1020" w:right="0"/>
        </w:sectPr>
      </w:pPr>
    </w:p>
    <w:p>
      <w:pPr>
        <w:spacing w:line="240" w:lineRule="auto" w:before="2"/>
        <w:rPr>
          <w:rFonts w:ascii="宋体" w:hAnsi="宋体" w:cs="宋体" w:eastAsia="宋体" w:hint="default"/>
          <w:sz w:val="23"/>
          <w:szCs w:val="23"/>
        </w:rPr>
      </w:pPr>
    </w:p>
    <w:p>
      <w:pPr>
        <w:spacing w:before="46"/>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其他说明，包括重要预计负债的相关重要假设、估计说明：</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51、递延收益" w:id="372"/>
      <w:bookmarkEnd w:id="372"/>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214"/>
              <w:jc w:val="left"/>
              <w:rPr>
                <w:rFonts w:ascii="宋体" w:hAnsi="宋体" w:cs="宋体" w:eastAsia="宋体" w:hint="default"/>
                <w:sz w:val="18"/>
                <w:szCs w:val="18"/>
              </w:rPr>
            </w:pPr>
            <w:r>
              <w:rPr>
                <w:rFonts w:ascii="宋体" w:hAnsi="宋体" w:cs="宋体" w:eastAsia="宋体" w:hint="default"/>
                <w:spacing w:val="-3"/>
                <w:sz w:val="18"/>
                <w:szCs w:val="18"/>
              </w:rPr>
              <w:t>与资产相关政府</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补助</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6,904,548.25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460,100.00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920,463.90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6,444,184.35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105" w:right="214"/>
              <w:jc w:val="left"/>
              <w:rPr>
                <w:rFonts w:ascii="宋体" w:hAnsi="宋体" w:cs="宋体" w:eastAsia="宋体" w:hint="default"/>
                <w:sz w:val="18"/>
                <w:szCs w:val="18"/>
              </w:rPr>
            </w:pPr>
            <w:r>
              <w:rPr>
                <w:rFonts w:ascii="宋体" w:hAnsi="宋体" w:cs="宋体" w:eastAsia="宋体" w:hint="default"/>
                <w:spacing w:val="-3"/>
                <w:sz w:val="18"/>
                <w:szCs w:val="18"/>
              </w:rPr>
              <w:t>与收益相关政府</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补助</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11,560,000.00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731,500.00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3,821,500.00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8,470,000.00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18,464,548.25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1,191,600.00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4,741,963.90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14,914,184.35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013"/>
        <w:gridCol w:w="1248"/>
        <w:gridCol w:w="1008"/>
        <w:gridCol w:w="1013"/>
        <w:gridCol w:w="1008"/>
        <w:gridCol w:w="1013"/>
        <w:gridCol w:w="1009"/>
        <w:gridCol w:w="1248"/>
        <w:gridCol w:w="1013"/>
      </w:tblGrid>
      <w:tr>
        <w:trPr>
          <w:trHeight w:val="1022"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44"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39" w:right="132"/>
              <w:jc w:val="left"/>
              <w:rPr>
                <w:rFonts w:ascii="宋体" w:hAnsi="宋体" w:cs="宋体" w:eastAsia="宋体" w:hint="default"/>
                <w:sz w:val="18"/>
                <w:szCs w:val="18"/>
              </w:rPr>
            </w:pPr>
            <w:r>
              <w:rPr>
                <w:rFonts w:ascii="宋体" w:hAnsi="宋体" w:cs="宋体" w:eastAsia="宋体" w:hint="default"/>
                <w:sz w:val="18"/>
                <w:szCs w:val="18"/>
              </w:rPr>
              <w:t>本期新增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补助金额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39" w:right="137"/>
              <w:jc w:val="both"/>
              <w:rPr>
                <w:rFonts w:ascii="宋体" w:hAnsi="宋体" w:cs="宋体" w:eastAsia="宋体" w:hint="default"/>
                <w:sz w:val="18"/>
                <w:szCs w:val="18"/>
              </w:rPr>
            </w:pPr>
            <w:r>
              <w:rPr>
                <w:rFonts w:ascii="宋体" w:hAnsi="宋体" w:cs="宋体" w:eastAsia="宋体" w:hint="default"/>
                <w:sz w:val="18"/>
                <w:szCs w:val="18"/>
              </w:rPr>
              <w:t>本期计入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营业外收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39" w:right="132"/>
              <w:jc w:val="center"/>
              <w:rPr>
                <w:rFonts w:ascii="宋体" w:hAnsi="宋体" w:cs="宋体" w:eastAsia="宋体" w:hint="default"/>
                <w:sz w:val="18"/>
                <w:szCs w:val="18"/>
              </w:rPr>
            </w:pPr>
            <w:r>
              <w:rPr>
                <w:rFonts w:ascii="宋体" w:hAnsi="宋体" w:cs="宋体" w:eastAsia="宋体" w:hint="default"/>
                <w:spacing w:val="-2"/>
                <w:sz w:val="18"/>
                <w:szCs w:val="18"/>
              </w:rPr>
              <w:t>本期计入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其他收益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39" w:right="137"/>
              <w:jc w:val="center"/>
              <w:rPr>
                <w:rFonts w:ascii="宋体" w:hAnsi="宋体" w:cs="宋体" w:eastAsia="宋体" w:hint="default"/>
                <w:sz w:val="18"/>
                <w:szCs w:val="18"/>
              </w:rPr>
            </w:pPr>
            <w:r>
              <w:rPr>
                <w:rFonts w:ascii="宋体" w:hAnsi="宋体" w:cs="宋体" w:eastAsia="宋体" w:hint="default"/>
                <w:spacing w:val="-2"/>
                <w:sz w:val="18"/>
                <w:szCs w:val="18"/>
              </w:rPr>
              <w:t>本期冲减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成本费用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金额</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34"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5" w:right="113"/>
              <w:jc w:val="center"/>
              <w:rPr>
                <w:rFonts w:ascii="宋体" w:hAnsi="宋体" w:cs="宋体" w:eastAsia="宋体" w:hint="default"/>
                <w:sz w:val="18"/>
                <w:szCs w:val="18"/>
              </w:rPr>
            </w:pPr>
            <w:r>
              <w:rPr>
                <w:rFonts w:ascii="宋体" w:hAnsi="宋体" w:cs="宋体" w:eastAsia="宋体" w:hint="default"/>
                <w:sz w:val="18"/>
                <w:szCs w:val="18"/>
              </w:rPr>
              <w:t>与资产相</w:t>
            </w:r>
            <w:r>
              <w:rPr>
                <w:rFonts w:ascii="宋体" w:hAnsi="宋体" w:cs="宋体" w:eastAsia="宋体" w:hint="default"/>
                <w:w w:val="101"/>
                <w:sz w:val="18"/>
                <w:szCs w:val="18"/>
              </w:rPr>
              <w:t> </w:t>
            </w:r>
            <w:r>
              <w:rPr>
                <w:rFonts w:ascii="宋体" w:hAnsi="宋体" w:cs="宋体" w:eastAsia="宋体" w:hint="default"/>
                <w:spacing w:val="-2"/>
                <w:sz w:val="18"/>
                <w:szCs w:val="18"/>
              </w:rPr>
              <w:t>关</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与收益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相关</w:t>
            </w:r>
          </w:p>
        </w:tc>
      </w:tr>
      <w:tr>
        <w:trPr>
          <w:trHeight w:val="227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171"/>
              <w:jc w:val="left"/>
              <w:rPr>
                <w:rFonts w:ascii="宋体" w:hAnsi="宋体" w:cs="宋体" w:eastAsia="宋体" w:hint="default"/>
                <w:sz w:val="18"/>
                <w:szCs w:val="18"/>
              </w:rPr>
            </w:pPr>
            <w:r>
              <w:rPr>
                <w:rFonts w:ascii="宋体" w:hAnsi="宋体" w:cs="宋体" w:eastAsia="宋体" w:hint="default"/>
                <w:sz w:val="18"/>
                <w:szCs w:val="18"/>
              </w:rPr>
              <w:t>面向金融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服务的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pacing w:val="-3"/>
                <w:sz w:val="18"/>
                <w:szCs w:val="18"/>
              </w:rPr>
              <w:t>SAAS</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服</w:t>
            </w:r>
          </w:p>
          <w:p>
            <w:pPr>
              <w:pStyle w:val="TableParagraph"/>
              <w:spacing w:line="319" w:lineRule="auto"/>
              <w:ind w:left="105" w:right="171"/>
              <w:jc w:val="both"/>
              <w:rPr>
                <w:rFonts w:ascii="宋体" w:hAnsi="宋体" w:cs="宋体" w:eastAsia="宋体" w:hint="default"/>
                <w:sz w:val="18"/>
                <w:szCs w:val="18"/>
              </w:rPr>
            </w:pPr>
            <w:r>
              <w:rPr>
                <w:rFonts w:ascii="宋体" w:hAnsi="宋体" w:cs="宋体" w:eastAsia="宋体" w:hint="default"/>
                <w:sz w:val="18"/>
                <w:szCs w:val="18"/>
              </w:rPr>
              <w:t>务云平台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系统的关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键技术研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227,666.67</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163,333.3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64,333.35</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05" w:right="170"/>
              <w:jc w:val="left"/>
              <w:rPr>
                <w:rFonts w:ascii="宋体" w:hAnsi="宋体" w:cs="宋体" w:eastAsia="宋体" w:hint="default"/>
                <w:sz w:val="18"/>
                <w:szCs w:val="18"/>
              </w:rPr>
            </w:pPr>
            <w:r>
              <w:rPr>
                <w:rFonts w:ascii="宋体" w:hAnsi="宋体" w:cs="宋体" w:eastAsia="宋体" w:hint="default"/>
                <w:sz w:val="18"/>
                <w:szCs w:val="18"/>
              </w:rPr>
              <w:t>与资产相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71"/>
              <w:jc w:val="both"/>
              <w:rPr>
                <w:rFonts w:ascii="宋体" w:hAnsi="宋体" w:cs="宋体" w:eastAsia="宋体" w:hint="default"/>
                <w:sz w:val="18"/>
                <w:szCs w:val="18"/>
              </w:rPr>
            </w:pPr>
            <w:r>
              <w:rPr>
                <w:rFonts w:ascii="宋体" w:hAnsi="宋体" w:cs="宋体" w:eastAsia="宋体" w:hint="default"/>
                <w:sz w:val="18"/>
                <w:szCs w:val="18"/>
              </w:rPr>
              <w:t>管委会装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修补贴资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1,303,333.38</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339,999.9</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963,333.42</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5" w:right="170"/>
              <w:jc w:val="left"/>
              <w:rPr>
                <w:rFonts w:ascii="宋体" w:hAnsi="宋体" w:cs="宋体" w:eastAsia="宋体" w:hint="default"/>
                <w:sz w:val="18"/>
                <w:szCs w:val="18"/>
              </w:rPr>
            </w:pPr>
            <w:r>
              <w:rPr>
                <w:rFonts w:ascii="宋体" w:hAnsi="宋体" w:cs="宋体" w:eastAsia="宋体" w:hint="default"/>
                <w:sz w:val="18"/>
                <w:szCs w:val="18"/>
              </w:rPr>
              <w:t>与资产相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102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71"/>
              <w:jc w:val="both"/>
              <w:rPr>
                <w:rFonts w:ascii="宋体" w:hAnsi="宋体" w:cs="宋体" w:eastAsia="宋体" w:hint="default"/>
                <w:sz w:val="18"/>
                <w:szCs w:val="18"/>
              </w:rPr>
            </w:pPr>
            <w:r>
              <w:rPr>
                <w:rFonts w:ascii="宋体" w:hAnsi="宋体" w:cs="宋体" w:eastAsia="宋体" w:hint="default"/>
                <w:sz w:val="18"/>
                <w:szCs w:val="18"/>
              </w:rPr>
              <w:t>管委会财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政局座席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扶持资金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448,500.00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460,100.0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163,009.9</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745,590.02</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105" w:right="170"/>
              <w:jc w:val="left"/>
              <w:rPr>
                <w:rFonts w:ascii="宋体" w:hAnsi="宋体" w:cs="宋体" w:eastAsia="宋体" w:hint="default"/>
                <w:sz w:val="18"/>
                <w:szCs w:val="18"/>
              </w:rPr>
            </w:pPr>
            <w:r>
              <w:rPr>
                <w:rFonts w:ascii="宋体" w:hAnsi="宋体" w:cs="宋体" w:eastAsia="宋体" w:hint="default"/>
                <w:sz w:val="18"/>
                <w:szCs w:val="18"/>
              </w:rPr>
              <w:t>与资产相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71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1"/>
              <w:jc w:val="left"/>
              <w:rPr>
                <w:rFonts w:ascii="宋体" w:hAnsi="宋体" w:cs="宋体" w:eastAsia="宋体" w:hint="default"/>
                <w:sz w:val="18"/>
                <w:szCs w:val="18"/>
              </w:rPr>
            </w:pPr>
            <w:r>
              <w:rPr>
                <w:rFonts w:ascii="宋体" w:hAnsi="宋体" w:cs="宋体" w:eastAsia="宋体" w:hint="default"/>
                <w:sz w:val="18"/>
                <w:szCs w:val="18"/>
              </w:rPr>
              <w:t>管委会用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工补贴</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731,500.0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731,500.0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0"/>
              <w:jc w:val="left"/>
              <w:rPr>
                <w:rFonts w:ascii="宋体" w:hAnsi="宋体" w:cs="宋体" w:eastAsia="宋体" w:hint="default"/>
                <w:sz w:val="18"/>
                <w:szCs w:val="18"/>
              </w:rPr>
            </w:pPr>
            <w:r>
              <w:rPr>
                <w:rFonts w:ascii="宋体" w:hAnsi="宋体" w:cs="宋体" w:eastAsia="宋体" w:hint="default"/>
                <w:sz w:val="18"/>
                <w:szCs w:val="18"/>
              </w:rPr>
              <w:t>与收益相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134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105" w:right="171"/>
              <w:jc w:val="both"/>
              <w:rPr>
                <w:rFonts w:ascii="宋体" w:hAnsi="宋体" w:cs="宋体" w:eastAsia="宋体" w:hint="default"/>
                <w:sz w:val="18"/>
                <w:szCs w:val="18"/>
              </w:rPr>
            </w:pPr>
            <w:r>
              <w:rPr>
                <w:rFonts w:ascii="宋体" w:hAnsi="宋体" w:cs="宋体" w:eastAsia="宋体" w:hint="default"/>
                <w:sz w:val="18"/>
                <w:szCs w:val="18"/>
              </w:rPr>
              <w:t>高新区管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委会固定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资产投资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项目补助</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2,016,437.21</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47,260.32</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1,969,176.89</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105" w:right="170"/>
              <w:jc w:val="left"/>
              <w:rPr>
                <w:rFonts w:ascii="宋体" w:hAnsi="宋体" w:cs="宋体" w:eastAsia="宋体" w:hint="default"/>
                <w:sz w:val="18"/>
                <w:szCs w:val="18"/>
              </w:rPr>
            </w:pPr>
            <w:r>
              <w:rPr>
                <w:rFonts w:ascii="宋体" w:hAnsi="宋体" w:cs="宋体" w:eastAsia="宋体" w:hint="default"/>
                <w:sz w:val="18"/>
                <w:szCs w:val="18"/>
              </w:rPr>
              <w:t>与资产相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19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5" w:right="99"/>
              <w:jc w:val="left"/>
              <w:rPr>
                <w:rFonts w:ascii="宋体" w:hAnsi="宋体" w:cs="宋体" w:eastAsia="宋体" w:hint="default"/>
                <w:sz w:val="18"/>
                <w:szCs w:val="18"/>
              </w:rPr>
            </w:pPr>
            <w:r>
              <w:rPr>
                <w:rFonts w:ascii="宋体" w:hAnsi="宋体" w:cs="宋体" w:eastAsia="宋体" w:hint="default"/>
                <w:sz w:val="18"/>
                <w:szCs w:val="18"/>
              </w:rPr>
              <w:t>合肥高新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区关于合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肥天源迪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科研发基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借</w:t>
            </w:r>
            <w:r>
              <w:rPr>
                <w:rFonts w:ascii="宋体" w:hAnsi="宋体" w:cs="宋体" w:eastAsia="宋体" w:hint="default"/>
                <w:w w:val="101"/>
                <w:sz w:val="18"/>
                <w:szCs w:val="18"/>
              </w:rPr>
              <w:t> </w:t>
            </w:r>
            <w:r>
              <w:rPr>
                <w:rFonts w:ascii="宋体" w:hAnsi="宋体" w:cs="宋体" w:eastAsia="宋体" w:hint="default"/>
                <w:spacing w:val="-3"/>
                <w:sz w:val="18"/>
                <w:szCs w:val="18"/>
              </w:rPr>
              <w:t>转补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专项</w:t>
            </w:r>
            <w:r>
              <w:rPr>
                <w:rFonts w:ascii="宋体" w:hAnsi="宋体" w:cs="宋体" w:eastAsia="宋体" w:hint="default"/>
                <w:sz w:val="18"/>
                <w:szCs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94"/>
              <w:jc w:val="right"/>
              <w:rPr>
                <w:rFonts w:ascii="Times New Roman" w:hAnsi="Times New Roman" w:cs="Times New Roman" w:eastAsia="Times New Roman" w:hint="default"/>
                <w:sz w:val="18"/>
                <w:szCs w:val="18"/>
              </w:rPr>
            </w:pPr>
            <w:r>
              <w:rPr>
                <w:rFonts w:ascii="Times New Roman"/>
                <w:spacing w:val="-1"/>
                <w:sz w:val="18"/>
              </w:rPr>
              <w:t>2,458,610.99</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94"/>
              <w:jc w:val="right"/>
              <w:rPr>
                <w:rFonts w:ascii="Times New Roman" w:hAnsi="Times New Roman" w:cs="Times New Roman" w:eastAsia="Times New Roman" w:hint="default"/>
                <w:sz w:val="18"/>
                <w:szCs w:val="18"/>
              </w:rPr>
            </w:pPr>
            <w:r>
              <w:rPr>
                <w:rFonts w:ascii="Times New Roman"/>
                <w:spacing w:val="-1"/>
                <w:sz w:val="18"/>
              </w:rPr>
              <w:t>56,860.32</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94"/>
              <w:jc w:val="right"/>
              <w:rPr>
                <w:rFonts w:ascii="Times New Roman" w:hAnsi="Times New Roman" w:cs="Times New Roman" w:eastAsia="Times New Roman" w:hint="default"/>
                <w:sz w:val="18"/>
                <w:szCs w:val="18"/>
              </w:rPr>
            </w:pPr>
            <w:r>
              <w:rPr>
                <w:rFonts w:ascii="Times New Roman"/>
                <w:spacing w:val="-1"/>
                <w:sz w:val="18"/>
              </w:rPr>
              <w:t>2,401,750.67</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105" w:right="170"/>
              <w:jc w:val="left"/>
              <w:rPr>
                <w:rFonts w:ascii="宋体" w:hAnsi="宋体" w:cs="宋体" w:eastAsia="宋体" w:hint="default"/>
                <w:sz w:val="18"/>
                <w:szCs w:val="18"/>
              </w:rPr>
            </w:pPr>
            <w:r>
              <w:rPr>
                <w:rFonts w:ascii="宋体" w:hAnsi="宋体" w:cs="宋体" w:eastAsia="宋体" w:hint="default"/>
                <w:sz w:val="18"/>
                <w:szCs w:val="18"/>
              </w:rPr>
              <w:t>与资产相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bl>
    <w:p>
      <w:pPr>
        <w:spacing w:after="0" w:line="319"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013"/>
        <w:gridCol w:w="1248"/>
        <w:gridCol w:w="1008"/>
        <w:gridCol w:w="1013"/>
        <w:gridCol w:w="1008"/>
        <w:gridCol w:w="1013"/>
        <w:gridCol w:w="1009"/>
        <w:gridCol w:w="1248"/>
        <w:gridCol w:w="1013"/>
      </w:tblGrid>
      <w:tr>
        <w:trPr>
          <w:trHeight w:val="67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105" w:right="171"/>
              <w:jc w:val="left"/>
              <w:rPr>
                <w:rFonts w:ascii="宋体" w:hAnsi="宋体" w:cs="宋体" w:eastAsia="宋体" w:hint="default"/>
                <w:sz w:val="18"/>
                <w:szCs w:val="18"/>
              </w:rPr>
            </w:pPr>
            <w:r>
              <w:rPr>
                <w:rFonts w:ascii="宋体" w:hAnsi="宋体" w:cs="宋体" w:eastAsia="宋体" w:hint="default"/>
                <w:sz w:val="18"/>
                <w:szCs w:val="18"/>
              </w:rPr>
              <w:t>财政扶持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5" w:right="110"/>
              <w:jc w:val="left"/>
              <w:rPr>
                <w:rFonts w:ascii="宋体" w:hAnsi="宋体" w:cs="宋体" w:eastAsia="宋体" w:hint="default"/>
                <w:sz w:val="18"/>
                <w:szCs w:val="18"/>
              </w:rPr>
            </w:pPr>
            <w:r>
              <w:rPr>
                <w:rFonts w:ascii="宋体" w:hAnsi="宋体" w:cs="宋体" w:eastAsia="宋体" w:hint="default"/>
                <w:sz w:val="18"/>
                <w:szCs w:val="18"/>
              </w:rPr>
              <w:t>企业发展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专项资金</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中小企业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大数据分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析服务平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台项目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450,000.00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300,000.00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1" w:lineRule="auto"/>
              <w:ind w:left="105" w:right="170"/>
              <w:jc w:val="left"/>
              <w:rPr>
                <w:rFonts w:ascii="宋体" w:hAnsi="宋体" w:cs="宋体" w:eastAsia="宋体" w:hint="default"/>
                <w:sz w:val="18"/>
                <w:szCs w:val="18"/>
              </w:rPr>
            </w:pPr>
            <w:r>
              <w:rPr>
                <w:rFonts w:ascii="宋体" w:hAnsi="宋体" w:cs="宋体" w:eastAsia="宋体" w:hint="default"/>
                <w:sz w:val="18"/>
                <w:szCs w:val="18"/>
              </w:rPr>
              <w:t>与资产相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227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105" w:right="171"/>
              <w:jc w:val="both"/>
              <w:rPr>
                <w:rFonts w:ascii="宋体" w:hAnsi="宋体" w:cs="宋体" w:eastAsia="宋体" w:hint="default"/>
                <w:sz w:val="18"/>
                <w:szCs w:val="18"/>
              </w:rPr>
            </w:pPr>
            <w:r>
              <w:rPr>
                <w:rFonts w:ascii="宋体" w:hAnsi="宋体" w:cs="宋体" w:eastAsia="宋体" w:hint="default"/>
                <w:sz w:val="18"/>
                <w:szCs w:val="18"/>
              </w:rPr>
              <w:t>基于互联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网电子商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务大数据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的卖家智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能运营支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撑平台项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目资助</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105" w:right="170"/>
              <w:jc w:val="left"/>
              <w:rPr>
                <w:rFonts w:ascii="宋体" w:hAnsi="宋体" w:cs="宋体" w:eastAsia="宋体" w:hint="default"/>
                <w:sz w:val="18"/>
                <w:szCs w:val="18"/>
              </w:rPr>
            </w:pPr>
            <w:r>
              <w:rPr>
                <w:rFonts w:ascii="宋体" w:hAnsi="宋体" w:cs="宋体" w:eastAsia="宋体" w:hint="default"/>
                <w:sz w:val="18"/>
                <w:szCs w:val="18"/>
              </w:rPr>
              <w:t>与收益相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165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71"/>
              <w:jc w:val="both"/>
              <w:rPr>
                <w:rFonts w:ascii="宋体" w:hAnsi="宋体" w:cs="宋体" w:eastAsia="宋体" w:hint="default"/>
                <w:sz w:val="18"/>
                <w:szCs w:val="18"/>
              </w:rPr>
            </w:pPr>
            <w:r>
              <w:rPr>
                <w:rFonts w:ascii="宋体" w:hAnsi="宋体" w:cs="宋体" w:eastAsia="宋体" w:hint="default"/>
                <w:sz w:val="18"/>
                <w:szCs w:val="18"/>
              </w:rPr>
              <w:t>天河区科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工信局天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河区科技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计划项目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经费</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94"/>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5"/>
              <w:ind w:left="105" w:right="170"/>
              <w:jc w:val="left"/>
              <w:rPr>
                <w:rFonts w:ascii="宋体" w:hAnsi="宋体" w:cs="宋体" w:eastAsia="宋体" w:hint="default"/>
                <w:sz w:val="18"/>
                <w:szCs w:val="18"/>
              </w:rPr>
            </w:pPr>
            <w:r>
              <w:rPr>
                <w:rFonts w:ascii="宋体" w:hAnsi="宋体" w:cs="宋体" w:eastAsia="宋体" w:hint="default"/>
                <w:sz w:val="18"/>
                <w:szCs w:val="18"/>
              </w:rPr>
              <w:t>与收益相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133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合同项目</w:t>
            </w:r>
          </w:p>
          <w:p>
            <w:pPr>
              <w:pStyle w:val="TableParagraph"/>
              <w:spacing w:line="312" w:lineRule="auto" w:before="71"/>
              <w:ind w:left="105"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年天</w:t>
            </w:r>
            <w:r>
              <w:rPr>
                <w:rFonts w:ascii="宋体" w:hAnsi="宋体" w:cs="宋体" w:eastAsia="宋体" w:hint="default"/>
                <w:spacing w:val="-86"/>
                <w:sz w:val="18"/>
                <w:szCs w:val="18"/>
              </w:rPr>
              <w:t> </w:t>
            </w:r>
            <w:r>
              <w:rPr>
                <w:rFonts w:ascii="宋体" w:hAnsi="宋体" w:cs="宋体" w:eastAsia="宋体" w:hint="default"/>
                <w:sz w:val="18"/>
                <w:szCs w:val="18"/>
              </w:rPr>
              <w:t>河区政府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94"/>
              <w:jc w:val="right"/>
              <w:rPr>
                <w:rFonts w:ascii="Times New Roman" w:hAnsi="Times New Roman" w:cs="Times New Roman" w:eastAsia="Times New Roman" w:hint="default"/>
                <w:sz w:val="18"/>
                <w:szCs w:val="18"/>
              </w:rPr>
            </w:pPr>
            <w:r>
              <w:rPr>
                <w:rFonts w:ascii="Times New Roman"/>
                <w:spacing w:val="-1"/>
                <w:sz w:val="18"/>
              </w:rPr>
              <w:t>100,000.00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94"/>
              <w:jc w:val="right"/>
              <w:rPr>
                <w:rFonts w:ascii="Times New Roman" w:hAnsi="Times New Roman" w:cs="Times New Roman" w:eastAsia="Times New Roman" w:hint="default"/>
                <w:sz w:val="18"/>
                <w:szCs w:val="18"/>
              </w:rPr>
            </w:pPr>
            <w:r>
              <w:rPr>
                <w:rFonts w:ascii="Times New Roman"/>
                <w:spacing w:val="-1"/>
                <w:sz w:val="18"/>
              </w:rPr>
              <w:t>100,000.00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105" w:right="170"/>
              <w:jc w:val="left"/>
              <w:rPr>
                <w:rFonts w:ascii="宋体" w:hAnsi="宋体" w:cs="宋体" w:eastAsia="宋体" w:hint="default"/>
                <w:sz w:val="18"/>
                <w:szCs w:val="18"/>
              </w:rPr>
            </w:pPr>
            <w:r>
              <w:rPr>
                <w:rFonts w:ascii="宋体" w:hAnsi="宋体" w:cs="宋体" w:eastAsia="宋体" w:hint="default"/>
                <w:sz w:val="18"/>
                <w:szCs w:val="18"/>
              </w:rPr>
              <w:t>与收益相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290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1"/>
              <w:jc w:val="both"/>
              <w:rPr>
                <w:rFonts w:ascii="宋体" w:hAnsi="宋体" w:cs="宋体" w:eastAsia="宋体" w:hint="default"/>
                <w:sz w:val="18"/>
                <w:szCs w:val="18"/>
              </w:rPr>
            </w:pPr>
            <w:r>
              <w:rPr>
                <w:rFonts w:ascii="宋体" w:hAnsi="宋体" w:cs="宋体" w:eastAsia="宋体" w:hint="default"/>
                <w:sz w:val="18"/>
                <w:szCs w:val="18"/>
              </w:rPr>
              <w:t>国家电子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信息产业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发展基金</w:t>
            </w:r>
          </w:p>
          <w:p>
            <w:pPr>
              <w:pStyle w:val="TableParagraph"/>
              <w:spacing w:line="319" w:lineRule="auto" w:before="19"/>
              <w:ind w:left="105" w:right="171"/>
              <w:jc w:val="left"/>
              <w:rPr>
                <w:rFonts w:ascii="宋体" w:hAnsi="宋体" w:cs="宋体" w:eastAsia="宋体" w:hint="default"/>
                <w:sz w:val="18"/>
                <w:szCs w:val="18"/>
              </w:rPr>
            </w:pPr>
            <w:r>
              <w:rPr>
                <w:rFonts w:ascii="宋体" w:hAnsi="宋体" w:cs="宋体" w:eastAsia="宋体" w:hint="default"/>
                <w:sz w:val="18"/>
                <w:szCs w:val="18"/>
              </w:rPr>
              <w:t>（移动互</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联网应用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开发部署</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系统研发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化）</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2,600,000.00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2,600,000.00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105" w:right="170"/>
              <w:jc w:val="left"/>
              <w:rPr>
                <w:rFonts w:ascii="宋体" w:hAnsi="宋体" w:cs="宋体" w:eastAsia="宋体" w:hint="default"/>
                <w:sz w:val="18"/>
                <w:szCs w:val="18"/>
              </w:rPr>
            </w:pPr>
            <w:r>
              <w:rPr>
                <w:rFonts w:ascii="宋体" w:hAnsi="宋体" w:cs="宋体" w:eastAsia="宋体" w:hint="default"/>
                <w:sz w:val="18"/>
                <w:szCs w:val="18"/>
              </w:rPr>
              <w:t>与收益相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102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71"/>
              <w:jc w:val="both"/>
              <w:rPr>
                <w:rFonts w:ascii="宋体" w:hAnsi="宋体" w:cs="宋体" w:eastAsia="宋体" w:hint="default"/>
                <w:sz w:val="18"/>
                <w:szCs w:val="18"/>
              </w:rPr>
            </w:pPr>
            <w:r>
              <w:rPr>
                <w:rFonts w:ascii="宋体" w:hAnsi="宋体" w:cs="宋体" w:eastAsia="宋体" w:hint="default"/>
                <w:sz w:val="18"/>
                <w:szCs w:val="18"/>
              </w:rPr>
              <w:t>科技技术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部政策引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导类资助</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650,000.00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650,000.00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105" w:right="170"/>
              <w:jc w:val="left"/>
              <w:rPr>
                <w:rFonts w:ascii="宋体" w:hAnsi="宋体" w:cs="宋体" w:eastAsia="宋体" w:hint="default"/>
                <w:sz w:val="18"/>
                <w:szCs w:val="18"/>
              </w:rPr>
            </w:pPr>
            <w:r>
              <w:rPr>
                <w:rFonts w:ascii="宋体" w:hAnsi="宋体" w:cs="宋体" w:eastAsia="宋体" w:hint="default"/>
                <w:sz w:val="18"/>
                <w:szCs w:val="18"/>
              </w:rPr>
              <w:t>与收益相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192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5" w:right="132"/>
              <w:jc w:val="both"/>
              <w:rPr>
                <w:rFonts w:ascii="宋体" w:hAnsi="宋体" w:cs="宋体" w:eastAsia="宋体" w:hint="default"/>
                <w:sz w:val="18"/>
                <w:szCs w:val="18"/>
              </w:rPr>
            </w:pPr>
            <w:r>
              <w:rPr>
                <w:rFonts w:ascii="宋体" w:hAnsi="宋体" w:cs="宋体" w:eastAsia="宋体" w:hint="default"/>
                <w:sz w:val="18"/>
                <w:szCs w:val="18"/>
              </w:rPr>
              <w:t>深圳市战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略性新兴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产业发展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专项资金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2014 </w:t>
            </w:r>
            <w:r>
              <w:rPr>
                <w:rFonts w:ascii="宋体" w:hAnsi="宋体" w:cs="宋体" w:eastAsia="宋体" w:hint="default"/>
                <w:spacing w:val="-5"/>
                <w:sz w:val="18"/>
                <w:szCs w:val="18"/>
              </w:rPr>
              <w:t>年第</w:t>
            </w:r>
            <w:r>
              <w:rPr>
                <w:rFonts w:ascii="宋体" w:hAnsi="宋体" w:cs="宋体" w:eastAsia="宋体" w:hint="default"/>
                <w:spacing w:val="-83"/>
                <w:sz w:val="18"/>
                <w:szCs w:val="18"/>
              </w:rPr>
              <w:t> </w:t>
            </w:r>
            <w:r>
              <w:rPr>
                <w:rFonts w:ascii="宋体" w:hAnsi="宋体" w:cs="宋体" w:eastAsia="宋体" w:hint="default"/>
                <w:sz w:val="18"/>
                <w:szCs w:val="18"/>
              </w:rPr>
              <w:t>四批专项</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1,000,000.00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105" w:right="170"/>
              <w:jc w:val="left"/>
              <w:rPr>
                <w:rFonts w:ascii="宋体" w:hAnsi="宋体" w:cs="宋体" w:eastAsia="宋体" w:hint="default"/>
                <w:sz w:val="18"/>
                <w:szCs w:val="18"/>
              </w:rPr>
            </w:pPr>
            <w:r>
              <w:rPr>
                <w:rFonts w:ascii="宋体" w:hAnsi="宋体" w:cs="宋体" w:eastAsia="宋体" w:hint="default"/>
                <w:sz w:val="18"/>
                <w:szCs w:val="18"/>
              </w:rPr>
              <w:t>与收益相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bl>
    <w:p>
      <w:pPr>
        <w:spacing w:after="0" w:line="319"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013"/>
        <w:gridCol w:w="1248"/>
        <w:gridCol w:w="1008"/>
        <w:gridCol w:w="1013"/>
        <w:gridCol w:w="1008"/>
        <w:gridCol w:w="1013"/>
        <w:gridCol w:w="1009"/>
        <w:gridCol w:w="1248"/>
        <w:gridCol w:w="1013"/>
      </w:tblGrid>
      <w:tr>
        <w:trPr>
          <w:trHeight w:val="36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71"/>
              <w:jc w:val="both"/>
              <w:rPr>
                <w:rFonts w:ascii="宋体" w:hAnsi="宋体" w:cs="宋体" w:eastAsia="宋体" w:hint="default"/>
                <w:sz w:val="18"/>
                <w:szCs w:val="18"/>
              </w:rPr>
            </w:pPr>
            <w:r>
              <w:rPr>
                <w:rFonts w:ascii="宋体" w:hAnsi="宋体" w:cs="宋体" w:eastAsia="宋体" w:hint="default"/>
                <w:sz w:val="18"/>
                <w:szCs w:val="18"/>
              </w:rPr>
              <w:t>深圳市财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政委员会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转胡芸战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略新兴产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业专项资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2,090,000.00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2,090,000.</w:t>
            </w:r>
          </w:p>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z w:val="18"/>
              </w:rPr>
              <w:t>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21" w:lineRule="auto"/>
              <w:ind w:left="105" w:right="170"/>
              <w:jc w:val="left"/>
              <w:rPr>
                <w:rFonts w:ascii="宋体" w:hAnsi="宋体" w:cs="宋体" w:eastAsia="宋体" w:hint="default"/>
                <w:sz w:val="18"/>
                <w:szCs w:val="18"/>
              </w:rPr>
            </w:pPr>
            <w:r>
              <w:rPr>
                <w:rFonts w:ascii="宋体" w:hAnsi="宋体" w:cs="宋体" w:eastAsia="宋体" w:hint="default"/>
                <w:sz w:val="18"/>
                <w:szCs w:val="18"/>
              </w:rPr>
              <w:t>与收益相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102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05" w:right="132"/>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pacing w:val="-5"/>
                <w:sz w:val="18"/>
                <w:szCs w:val="18"/>
              </w:rPr>
              <w:t>年度</w:t>
            </w:r>
            <w:r>
              <w:rPr>
                <w:rFonts w:ascii="宋体" w:hAnsi="宋体" w:cs="宋体" w:eastAsia="宋体" w:hint="default"/>
                <w:spacing w:val="-83"/>
                <w:sz w:val="18"/>
                <w:szCs w:val="18"/>
              </w:rPr>
              <w:t> </w:t>
            </w:r>
            <w:r>
              <w:rPr>
                <w:rFonts w:ascii="宋体" w:hAnsi="宋体" w:cs="宋体" w:eastAsia="宋体" w:hint="default"/>
                <w:sz w:val="18"/>
                <w:szCs w:val="18"/>
              </w:rPr>
              <w:t>天河科技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计划项目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105" w:right="170"/>
              <w:jc w:val="left"/>
              <w:rPr>
                <w:rFonts w:ascii="宋体" w:hAnsi="宋体" w:cs="宋体" w:eastAsia="宋体" w:hint="default"/>
                <w:sz w:val="18"/>
                <w:szCs w:val="18"/>
              </w:rPr>
            </w:pPr>
            <w:r>
              <w:rPr>
                <w:rFonts w:ascii="宋体" w:hAnsi="宋体" w:cs="宋体" w:eastAsia="宋体" w:hint="default"/>
                <w:sz w:val="18"/>
                <w:szCs w:val="18"/>
              </w:rPr>
              <w:t>与收益相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1"/>
              <w:jc w:val="both"/>
              <w:rPr>
                <w:rFonts w:ascii="宋体" w:hAnsi="宋体" w:cs="宋体" w:eastAsia="宋体" w:hint="default"/>
                <w:sz w:val="18"/>
                <w:szCs w:val="18"/>
              </w:rPr>
            </w:pPr>
            <w:r>
              <w:rPr>
                <w:rFonts w:ascii="宋体" w:hAnsi="宋体" w:cs="宋体" w:eastAsia="宋体" w:hint="default"/>
                <w:sz w:val="18"/>
                <w:szCs w:val="18"/>
              </w:rPr>
              <w:t>在线理赔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车险服务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平台</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105" w:right="170"/>
              <w:jc w:val="left"/>
              <w:rPr>
                <w:rFonts w:ascii="宋体" w:hAnsi="宋体" w:cs="宋体" w:eastAsia="宋体" w:hint="default"/>
                <w:sz w:val="18"/>
                <w:szCs w:val="18"/>
              </w:rPr>
            </w:pPr>
            <w:r>
              <w:rPr>
                <w:rFonts w:ascii="宋体" w:hAnsi="宋体" w:cs="宋体" w:eastAsia="宋体" w:hint="default"/>
                <w:sz w:val="18"/>
                <w:szCs w:val="18"/>
              </w:rPr>
              <w:t>与收益相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195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171"/>
              <w:jc w:val="both"/>
              <w:rPr>
                <w:rFonts w:ascii="宋体" w:hAnsi="宋体" w:cs="宋体" w:eastAsia="宋体" w:hint="default"/>
                <w:sz w:val="18"/>
                <w:szCs w:val="18"/>
              </w:rPr>
            </w:pPr>
            <w:r>
              <w:rPr>
                <w:rFonts w:ascii="宋体" w:hAnsi="宋体" w:cs="宋体" w:eastAsia="宋体" w:hint="default"/>
                <w:sz w:val="18"/>
                <w:szCs w:val="18"/>
              </w:rPr>
              <w:t>深圳市战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略新兴产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业发展专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项资金</w:t>
            </w:r>
          </w:p>
          <w:p>
            <w:pPr>
              <w:pStyle w:val="TableParagraph"/>
              <w:spacing w:line="240" w:lineRule="auto" w:before="61"/>
              <w:ind w:left="105" w:right="0"/>
              <w:jc w:val="both"/>
              <w:rPr>
                <w:rFonts w:ascii="Times New Roman" w:hAnsi="Times New Roman" w:cs="Times New Roman" w:eastAsia="Times New Roman" w:hint="default"/>
                <w:sz w:val="18"/>
                <w:szCs w:val="18"/>
              </w:rPr>
            </w:pPr>
            <w:r>
              <w:rPr>
                <w:rFonts w:ascii="Times New Roman"/>
                <w:sz w:val="18"/>
              </w:rPr>
              <w:t>20171447</w:t>
            </w:r>
          </w:p>
          <w:p>
            <w:pPr>
              <w:pStyle w:val="TableParagraph"/>
              <w:spacing w:line="240" w:lineRule="auto" w:before="68"/>
              <w:ind w:left="105" w:right="0"/>
              <w:jc w:val="both"/>
              <w:rPr>
                <w:rFonts w:ascii="宋体" w:hAnsi="宋体" w:cs="宋体" w:eastAsia="宋体" w:hint="default"/>
                <w:sz w:val="18"/>
                <w:szCs w:val="18"/>
              </w:rPr>
            </w:pPr>
            <w:r>
              <w:rPr>
                <w:rFonts w:ascii="宋体" w:hAnsi="宋体" w:cs="宋体" w:eastAsia="宋体" w:hint="default"/>
                <w:w w:val="101"/>
                <w:sz w:val="18"/>
                <w:szCs w:val="18"/>
              </w:rPr>
              <w:t>号</w:t>
            </w:r>
            <w:r>
              <w:rPr>
                <w:rFonts w:ascii="宋体" w:hAnsi="宋体" w:cs="宋体" w:eastAsia="宋体" w:hint="default"/>
                <w:sz w:val="18"/>
                <w:szCs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4,000,000.00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4,000,000.00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105" w:right="170"/>
              <w:jc w:val="left"/>
              <w:rPr>
                <w:rFonts w:ascii="宋体" w:hAnsi="宋体" w:cs="宋体" w:eastAsia="宋体" w:hint="default"/>
                <w:sz w:val="18"/>
                <w:szCs w:val="18"/>
              </w:rPr>
            </w:pPr>
            <w:r>
              <w:rPr>
                <w:rFonts w:ascii="宋体" w:hAnsi="宋体" w:cs="宋体" w:eastAsia="宋体" w:hint="default"/>
                <w:sz w:val="18"/>
                <w:szCs w:val="18"/>
              </w:rPr>
              <w:t>与收益相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18,464,548.2</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2"/>
                <w:sz w:val="18"/>
              </w:rPr>
              <w:t>1,191,600.</w:t>
            </w:r>
          </w:p>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z w:val="18"/>
              </w:rPr>
              <w:t>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2"/>
                <w:sz w:val="18"/>
              </w:rPr>
              <w:t>4,741,963.</w:t>
            </w:r>
          </w:p>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z w:val="18"/>
              </w:rPr>
              <w:t>90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14,914,184.3</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13" w:type="dxa"/>
            <w:tcBorders>
              <w:top w:val="single" w:sz="4" w:space="0" w:color="000000"/>
              <w:left w:val="single" w:sz="4" w:space="0" w:color="000000"/>
              <w:bottom w:val="single" w:sz="4" w:space="0" w:color="000000"/>
              <w:right w:val="single" w:sz="4" w:space="0" w:color="000000"/>
            </w:tcBorders>
          </w:tcPr>
          <w:p>
            <w:pP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1" w:lineRule="auto" w:before="89"/>
        <w:ind w:right="1007" w:firstLine="422"/>
        <w:jc w:val="left"/>
      </w:pPr>
      <w:r>
        <w:rPr>
          <w:spacing w:val="-6"/>
          <w:w w:val="100"/>
        </w:rPr>
        <w:t>（</w:t>
      </w:r>
      <w:r>
        <w:rPr>
          <w:rFonts w:ascii="宋体" w:hAnsi="宋体" w:cs="宋体" w:eastAsia="宋体" w:hint="default"/>
          <w:spacing w:val="-6"/>
          <w:w w:val="100"/>
        </w:rPr>
        <w:t>1</w:t>
      </w:r>
      <w:r>
        <w:rPr>
          <w:spacing w:val="-6"/>
          <w:w w:val="100"/>
        </w:rPr>
        <w:t>）根据深圳市科技创新委员会文件《关于下达科技计划资助项目的通知》（深科技创新计字〔</w:t>
      </w:r>
      <w:r>
        <w:rPr>
          <w:rFonts w:ascii="宋体" w:hAnsi="宋体" w:cs="宋体" w:eastAsia="宋体" w:hint="default"/>
          <w:spacing w:val="-6"/>
          <w:w w:val="100"/>
        </w:rPr>
        <w:t>2016</w:t>
      </w:r>
      <w:r>
        <w:rPr>
          <w:spacing w:val="-6"/>
          <w:w w:val="100"/>
        </w:rPr>
        <w:t>〕</w:t>
      </w:r>
      <w:r>
        <w:rPr>
          <w:w w:val="100"/>
        </w:rPr>
        <w:t> </w:t>
      </w:r>
      <w:r>
        <w:rPr>
          <w:rFonts w:ascii="宋体" w:hAnsi="宋体" w:cs="宋体" w:eastAsia="宋体" w:hint="default"/>
        </w:rPr>
        <w:t>3494</w:t>
      </w:r>
      <w:r>
        <w:rPr/>
        <w:t>号）规定，子公司维恩贝特于</w:t>
      </w:r>
      <w:r>
        <w:rPr>
          <w:rFonts w:ascii="宋体" w:hAnsi="宋体" w:cs="宋体" w:eastAsia="宋体" w:hint="default"/>
        </w:rPr>
        <w:t>2016</w:t>
      </w:r>
      <w:r>
        <w:rPr/>
        <w:t>年</w:t>
      </w:r>
      <w:r>
        <w:rPr>
          <w:rFonts w:ascii="宋体" w:hAnsi="宋体" w:cs="宋体" w:eastAsia="宋体" w:hint="default"/>
        </w:rPr>
        <w:t>6</w:t>
      </w:r>
      <w:r>
        <w:rPr/>
        <w:t>月</w:t>
      </w:r>
      <w:r>
        <w:rPr>
          <w:rFonts w:ascii="宋体" w:hAnsi="宋体" w:cs="宋体" w:eastAsia="宋体" w:hint="default"/>
        </w:rPr>
        <w:t>30</w:t>
      </w:r>
      <w:r>
        <w:rPr/>
        <w:t>日获得政府资助款</w:t>
      </w:r>
      <w:r>
        <w:rPr>
          <w:rFonts w:ascii="宋体" w:hAnsi="宋体" w:cs="宋体" w:eastAsia="宋体" w:hint="default"/>
        </w:rPr>
        <w:t>200</w:t>
      </w:r>
      <w:r>
        <w:rPr/>
        <w:t>万元用于项目—面向金融服务的</w:t>
      </w:r>
      <w:r>
        <w:rPr>
          <w:rFonts w:ascii="宋体" w:hAnsi="宋体" w:cs="宋体" w:eastAsia="宋体" w:hint="default"/>
        </w:rPr>
        <w:t>SAAS</w:t>
      </w:r>
      <w:r>
        <w:rPr>
          <w:rFonts w:ascii="宋体" w:hAnsi="宋体" w:cs="宋体" w:eastAsia="宋体" w:hint="default"/>
          <w:w w:val="100"/>
        </w:rPr>
        <w:t> </w:t>
      </w:r>
      <w:r>
        <w:rPr/>
        <w:t>服务云平台系统的关键技术研发。其中</w:t>
      </w:r>
      <w:r>
        <w:rPr>
          <w:rFonts w:ascii="宋体" w:hAnsi="宋体" w:cs="宋体" w:eastAsia="宋体" w:hint="default"/>
        </w:rPr>
        <w:t>490,000.00</w:t>
      </w:r>
      <w:r>
        <w:rPr/>
        <w:t>元仅限于购买设备，</w:t>
      </w:r>
      <w:r>
        <w:rPr>
          <w:rFonts w:ascii="宋体" w:hAnsi="宋体" w:cs="宋体" w:eastAsia="宋体" w:hint="default"/>
        </w:rPr>
        <w:t>2016</w:t>
      </w:r>
      <w:r>
        <w:rPr/>
        <w:t>年</w:t>
      </w:r>
      <w:r>
        <w:rPr>
          <w:rFonts w:ascii="宋体" w:hAnsi="宋体" w:cs="宋体" w:eastAsia="宋体" w:hint="default"/>
        </w:rPr>
        <w:t>12</w:t>
      </w:r>
      <w:r>
        <w:rPr/>
        <w:t>月花费</w:t>
      </w:r>
      <w:r>
        <w:rPr>
          <w:rFonts w:ascii="宋体" w:hAnsi="宋体" w:cs="宋体" w:eastAsia="宋体" w:hint="default"/>
        </w:rPr>
        <w:t>104,000.00</w:t>
      </w:r>
      <w:r>
        <w:rPr/>
        <w:t>元购买</w:t>
      </w:r>
      <w:r>
        <w:rPr>
          <w:w w:val="100"/>
        </w:rPr>
        <w:t> </w:t>
      </w:r>
      <w:r>
        <w:rPr>
          <w:spacing w:val="-2"/>
        </w:rPr>
        <w:t>研发设备，</w:t>
      </w:r>
      <w:r>
        <w:rPr>
          <w:rFonts w:ascii="宋体" w:hAnsi="宋体" w:cs="宋体" w:eastAsia="宋体" w:hint="default"/>
          <w:spacing w:val="-2"/>
        </w:rPr>
        <w:t>2017</w:t>
      </w:r>
      <w:r>
        <w:rPr>
          <w:spacing w:val="-2"/>
        </w:rPr>
        <w:t>年</w:t>
      </w:r>
      <w:r>
        <w:rPr>
          <w:rFonts w:ascii="宋体" w:hAnsi="宋体" w:cs="宋体" w:eastAsia="宋体" w:hint="default"/>
          <w:spacing w:val="-2"/>
        </w:rPr>
        <w:t>6</w:t>
      </w:r>
      <w:r>
        <w:rPr>
          <w:spacing w:val="-2"/>
        </w:rPr>
        <w:t>月花费</w:t>
      </w:r>
      <w:r>
        <w:rPr>
          <w:rFonts w:ascii="宋体" w:hAnsi="宋体" w:cs="宋体" w:eastAsia="宋体" w:hint="default"/>
          <w:spacing w:val="-2"/>
        </w:rPr>
        <w:t>224,120.00</w:t>
      </w:r>
      <w:r>
        <w:rPr>
          <w:spacing w:val="-2"/>
        </w:rPr>
        <w:t>元用于购买研发设备，截至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日累计摊销</w:t>
      </w:r>
      <w:r>
        <w:rPr>
          <w:rFonts w:ascii="宋体" w:hAnsi="宋体" w:cs="宋体" w:eastAsia="宋体" w:hint="default"/>
          <w:spacing w:val="-2"/>
        </w:rPr>
        <w:t>425,999.7</w:t>
      </w:r>
      <w:r>
        <w:rPr>
          <w:rFonts w:ascii="Times New Roman" w:hAnsi="Times New Roman" w:cs="Times New Roman" w:eastAsia="Times New Roman" w:hint="default"/>
          <w:spacing w:val="-2"/>
        </w:rPr>
        <w:t>0</w:t>
      </w:r>
      <w:r>
        <w:rPr>
          <w:spacing w:val="-2"/>
        </w:rPr>
        <w:t>元，</w:t>
      </w:r>
      <w:r>
        <w:rPr>
          <w:spacing w:val="-9"/>
        </w:rPr>
        <w:t> </w:t>
      </w:r>
      <w:r>
        <w:rPr/>
        <w:t>账面余额</w:t>
      </w:r>
      <w:r>
        <w:rPr>
          <w:rFonts w:ascii="宋体" w:hAnsi="宋体" w:cs="宋体" w:eastAsia="宋体" w:hint="default"/>
        </w:rPr>
        <w:t>64,333.35</w:t>
      </w:r>
      <w:r>
        <w:rPr/>
        <w:t>元；其中</w:t>
      </w:r>
      <w:r>
        <w:rPr>
          <w:rFonts w:ascii="宋体" w:hAnsi="宋体" w:cs="宋体" w:eastAsia="宋体" w:hint="default"/>
        </w:rPr>
        <w:t>1,510,000.00</w:t>
      </w:r>
      <w:r>
        <w:rPr/>
        <w:t>元用于补偿企业在该项目以后期间发生的相关费用或损失，子</w:t>
      </w:r>
      <w:r>
        <w:rPr>
          <w:w w:val="100"/>
        </w:rPr>
        <w:t> </w:t>
      </w:r>
      <w:r>
        <w:rPr/>
        <w:t>公司维恩贝特</w:t>
      </w:r>
      <w:r>
        <w:rPr>
          <w:rFonts w:ascii="宋体" w:hAnsi="宋体" w:cs="宋体" w:eastAsia="宋体" w:hint="default"/>
        </w:rPr>
        <w:t>2016</w:t>
      </w:r>
      <w:r>
        <w:rPr/>
        <w:t>年</w:t>
      </w:r>
      <w:r>
        <w:rPr>
          <w:rFonts w:ascii="宋体" w:hAnsi="宋体" w:cs="宋体" w:eastAsia="宋体" w:hint="default"/>
        </w:rPr>
        <w:t>12</w:t>
      </w:r>
      <w:r>
        <w:rPr/>
        <w:t>月花费</w:t>
      </w:r>
      <w:r>
        <w:rPr>
          <w:rFonts w:ascii="宋体" w:hAnsi="宋体" w:cs="宋体" w:eastAsia="宋体" w:hint="default"/>
        </w:rPr>
        <w:t>1,271,880.00</w:t>
      </w:r>
      <w:r>
        <w:rPr/>
        <w:t>元用于研发项目费用支出，</w:t>
      </w:r>
      <w:r>
        <w:rPr>
          <w:rFonts w:ascii="宋体" w:hAnsi="宋体" w:cs="宋体" w:eastAsia="宋体" w:hint="default"/>
        </w:rPr>
        <w:t>2018</w:t>
      </w:r>
      <w:r>
        <w:rPr/>
        <w:t>年</w:t>
      </w:r>
      <w:r>
        <w:rPr>
          <w:rFonts w:ascii="宋体" w:hAnsi="宋体" w:cs="宋体" w:eastAsia="宋体" w:hint="default"/>
        </w:rPr>
        <w:t>9</w:t>
      </w:r>
      <w:r>
        <w:rPr/>
        <w:t>月用于研发项目费用支出</w:t>
      </w:r>
      <w:r>
        <w:rPr>
          <w:w w:val="100"/>
        </w:rPr>
        <w:t> </w:t>
      </w:r>
      <w:r>
        <w:rPr>
          <w:rFonts w:ascii="宋体" w:hAnsi="宋体" w:cs="宋体" w:eastAsia="宋体" w:hint="default"/>
        </w:rPr>
        <w:t>238,120.00</w:t>
      </w:r>
      <w:r>
        <w:rPr/>
        <w:t>元。</w:t>
      </w:r>
    </w:p>
    <w:p>
      <w:pPr>
        <w:pStyle w:val="BodyText"/>
        <w:spacing w:line="273" w:lineRule="auto" w:before="10"/>
        <w:ind w:right="1007" w:firstLine="422"/>
        <w:jc w:val="left"/>
      </w:pPr>
      <w:r>
        <w:rPr/>
        <w:t>（</w:t>
      </w:r>
      <w:r>
        <w:rPr>
          <w:rFonts w:ascii="宋体" w:hAnsi="宋体" w:cs="宋体" w:eastAsia="宋体" w:hint="default"/>
        </w:rPr>
        <w:t>2</w:t>
      </w:r>
      <w:r>
        <w:rPr/>
        <w:t>）根据子公司合肥天源迪科与亳州芜湖现代产业园区管理委员会签订的亳州芜湖现代产业园服务</w:t>
      </w:r>
      <w:r>
        <w:rPr>
          <w:w w:val="100"/>
        </w:rPr>
        <w:t> </w:t>
      </w:r>
      <w:r>
        <w:rPr/>
        <w:t>外包产业招商合同，亳州迪科数金于</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22</w:t>
      </w:r>
      <w:r>
        <w:rPr/>
        <w:t>号收到亳州芜湖现代产业园区管理委员会的</w:t>
      </w:r>
      <w:r>
        <w:rPr>
          <w:w w:val="100"/>
        </w:rPr>
        <w:t> </w:t>
      </w:r>
      <w:r>
        <w:rPr>
          <w:rFonts w:ascii="宋体" w:hAnsi="宋体" w:cs="宋体" w:eastAsia="宋体" w:hint="default"/>
        </w:rPr>
        <w:t>1,700,000.00</w:t>
      </w:r>
      <w:r>
        <w:rPr/>
        <w:t>元的装修补贴和</w:t>
      </w:r>
      <w:r>
        <w:rPr>
          <w:rFonts w:ascii="宋体" w:hAnsi="宋体" w:cs="宋体" w:eastAsia="宋体" w:hint="default"/>
        </w:rPr>
        <w:t>585,000.00</w:t>
      </w:r>
      <w:r>
        <w:rPr/>
        <w:t>元的坐席补贴助，</w:t>
      </w:r>
      <w:r>
        <w:rPr>
          <w:rFonts w:ascii="宋体" w:hAnsi="宋体" w:cs="宋体" w:eastAsia="宋体" w:hint="default"/>
        </w:rPr>
        <w:t>2019</w:t>
      </w:r>
      <w:r>
        <w:rPr/>
        <w:t>年</w:t>
      </w:r>
      <w:r>
        <w:rPr>
          <w:rFonts w:ascii="宋体" w:hAnsi="宋体" w:cs="宋体" w:eastAsia="宋体" w:hint="default"/>
        </w:rPr>
        <w:t>7</w:t>
      </w:r>
      <w:r>
        <w:rPr/>
        <w:t>月收到新增坐席补贴</w:t>
      </w:r>
      <w:r>
        <w:rPr>
          <w:rFonts w:ascii="宋体" w:hAnsi="宋体" w:cs="宋体" w:eastAsia="宋体" w:hint="default"/>
        </w:rPr>
        <w:t>460,100.00</w:t>
      </w:r>
      <w:r>
        <w:rPr/>
        <w:t>元和</w:t>
      </w:r>
      <w:r>
        <w:rPr>
          <w:w w:val="100"/>
        </w:rPr>
        <w:t> </w:t>
      </w:r>
      <w:r>
        <w:rPr/>
        <w:t>用工补贴</w:t>
      </w:r>
      <w:r>
        <w:rPr>
          <w:rFonts w:ascii="宋体" w:hAnsi="宋体" w:cs="宋体" w:eastAsia="宋体" w:hint="default"/>
        </w:rPr>
        <w:t>731,500.00</w:t>
      </w:r>
      <w:r>
        <w:rPr/>
        <w:t>元。上述补助中装修补贴和坐席补贴用于装修费和电脑等补贴，属于与资产相关的政</w:t>
      </w:r>
      <w:r>
        <w:rPr>
          <w:w w:val="100"/>
        </w:rPr>
        <w:t> </w:t>
      </w:r>
      <w:r>
        <w:rPr>
          <w:spacing w:val="-3"/>
        </w:rPr>
        <w:t>府补助，应在资产使用期内摊销。截至</w:t>
      </w:r>
      <w:r>
        <w:rPr>
          <w:rFonts w:ascii="宋体" w:hAnsi="宋体" w:cs="宋体" w:eastAsia="宋体" w:hint="default"/>
          <w:spacing w:val="-3"/>
        </w:rPr>
        <w:t>2019</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日，已转销</w:t>
      </w:r>
      <w:r>
        <w:rPr>
          <w:rFonts w:ascii="宋体" w:hAnsi="宋体" w:cs="宋体" w:eastAsia="宋体" w:hint="default"/>
          <w:spacing w:val="-3"/>
        </w:rPr>
        <w:t>503,009.94</w:t>
      </w:r>
      <w:r>
        <w:rPr>
          <w:spacing w:val="-3"/>
        </w:rPr>
        <w:t>元，账面余额</w:t>
      </w:r>
      <w:r>
        <w:rPr>
          <w:rFonts w:ascii="宋体" w:hAnsi="宋体" w:cs="宋体" w:eastAsia="宋体" w:hint="default"/>
          <w:spacing w:val="-3"/>
        </w:rPr>
        <w:t>1,708,923.44</w:t>
      </w:r>
      <w:r>
        <w:rPr>
          <w:spacing w:val="-3"/>
        </w:rPr>
        <w:t>元。</w:t>
      </w:r>
      <w:r>
        <w:rPr>
          <w:spacing w:val="-43"/>
        </w:rPr>
        <w:t> </w:t>
      </w:r>
      <w:r>
        <w:rPr/>
        <w:t>上述补助中用工补贴属于与收益相关的政府补助，已转入其他收益。</w:t>
      </w:r>
    </w:p>
    <w:p>
      <w:pPr>
        <w:pStyle w:val="BodyText"/>
        <w:spacing w:line="268" w:lineRule="auto"/>
        <w:ind w:right="1124" w:firstLine="422"/>
        <w:jc w:val="left"/>
      </w:pPr>
      <w:r>
        <w:rPr/>
        <w:t>（</w:t>
      </w:r>
      <w:r>
        <w:rPr>
          <w:rFonts w:ascii="宋体" w:hAnsi="宋体" w:cs="宋体" w:eastAsia="宋体" w:hint="default"/>
        </w:rPr>
        <w:t>3</w:t>
      </w:r>
      <w:r>
        <w:rPr/>
        <w:t>）根据与合肥高新技术产业开发区招商局签订的《关于在合肥高新区建设研发中心项目合作协议</w:t>
      </w:r>
      <w:r>
        <w:rPr>
          <w:w w:val="100"/>
        </w:rPr>
        <w:t> </w:t>
      </w:r>
      <w:r>
        <w:rPr>
          <w:spacing w:val="-4"/>
          <w:w w:val="100"/>
        </w:rPr>
        <w:t>书》，本公司之子公司合肥天源迪科于</w:t>
      </w:r>
      <w:r>
        <w:rPr>
          <w:rFonts w:ascii="宋体" w:hAnsi="宋体" w:cs="宋体" w:eastAsia="宋体" w:hint="default"/>
          <w:spacing w:val="-4"/>
          <w:w w:val="100"/>
        </w:rPr>
        <w:t>2013</w:t>
      </w:r>
      <w:r>
        <w:rPr>
          <w:spacing w:val="-4"/>
          <w:w w:val="100"/>
        </w:rPr>
        <w:t>年</w:t>
      </w:r>
      <w:r>
        <w:rPr>
          <w:rFonts w:ascii="宋体" w:hAnsi="宋体" w:cs="宋体" w:eastAsia="宋体" w:hint="default"/>
          <w:spacing w:val="-4"/>
          <w:w w:val="100"/>
        </w:rPr>
        <w:t>1</w:t>
      </w:r>
      <w:r>
        <w:rPr>
          <w:spacing w:val="-4"/>
          <w:w w:val="100"/>
        </w:rPr>
        <w:t>月收到合肥高新技术产业开发区财政国库支付中心支付的土</w:t>
      </w:r>
      <w:r>
        <w:rPr>
          <w:spacing w:val="-90"/>
          <w:w w:val="100"/>
        </w:rPr>
        <w:t> </w:t>
      </w:r>
      <w:r>
        <w:rPr>
          <w:spacing w:val="-90"/>
          <w:w w:val="100"/>
        </w:rPr>
      </w:r>
      <w:r>
        <w:rPr>
          <w:spacing w:val="-2"/>
        </w:rPr>
        <w:t>地补助款</w:t>
      </w:r>
      <w:r>
        <w:rPr>
          <w:rFonts w:ascii="宋体" w:hAnsi="宋体" w:cs="宋体" w:eastAsia="宋体" w:hint="default"/>
          <w:spacing w:val="-2"/>
        </w:rPr>
        <w:t>230</w:t>
      </w:r>
      <w:r>
        <w:rPr>
          <w:spacing w:val="-2"/>
        </w:rPr>
        <w:t>万元。根据《企业会计准则第</w:t>
      </w:r>
      <w:r>
        <w:rPr>
          <w:rFonts w:ascii="宋体" w:hAnsi="宋体" w:cs="宋体" w:eastAsia="宋体" w:hint="default"/>
          <w:spacing w:val="-2"/>
        </w:rPr>
        <w:t>16</w:t>
      </w:r>
      <w:r>
        <w:rPr>
          <w:spacing w:val="-2"/>
        </w:rPr>
        <w:t>号</w:t>
      </w:r>
      <w:r>
        <w:rPr>
          <w:rFonts w:ascii="Times New Roman" w:hAnsi="Times New Roman" w:cs="Times New Roman" w:eastAsia="Times New Roman" w:hint="default"/>
          <w:spacing w:val="-2"/>
        </w:rPr>
        <w:t>-</w:t>
      </w:r>
      <w:r>
        <w:rPr>
          <w:spacing w:val="-2"/>
        </w:rPr>
        <w:t>政府补助》的有关规定，该项目属于与资产相关的政府补</w:t>
      </w:r>
      <w:r>
        <w:rPr>
          <w:spacing w:val="-6"/>
        </w:rPr>
        <w:t> </w:t>
      </w:r>
      <w:r>
        <w:rPr>
          <w:spacing w:val="-6"/>
        </w:rPr>
      </w:r>
      <w:r>
        <w:rPr/>
        <w:t>助，应在该项资产（土地使用权）的受益期限内分配，截止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日，本期分配金额为</w:t>
      </w:r>
      <w:r>
        <w:rPr>
          <w:rFonts w:ascii="宋体" w:hAnsi="宋体" w:cs="宋体" w:eastAsia="宋体" w:hint="default"/>
        </w:rPr>
        <w:t>47,260.32</w:t>
      </w:r>
      <w:r>
        <w:rPr>
          <w:rFonts w:ascii="宋体" w:hAnsi="宋体" w:cs="宋体" w:eastAsia="宋体" w:hint="default"/>
          <w:spacing w:val="-103"/>
        </w:rPr>
        <w:t> </w:t>
      </w:r>
      <w:r>
        <w:rPr>
          <w:rFonts w:ascii="宋体" w:hAnsi="宋体" w:cs="宋体" w:eastAsia="宋体" w:hint="default"/>
          <w:spacing w:val="-103"/>
        </w:rPr>
      </w:r>
      <w:r>
        <w:rPr/>
        <w:t>元，累计分配金额为</w:t>
      </w:r>
      <w:r>
        <w:rPr>
          <w:rFonts w:ascii="宋体" w:hAnsi="宋体" w:cs="宋体" w:eastAsia="宋体" w:hint="default"/>
        </w:rPr>
        <w:t>330,823.11</w:t>
      </w:r>
      <w:r>
        <w:rPr/>
        <w:t>元，递延收益账面余额为</w:t>
      </w:r>
      <w:r>
        <w:rPr>
          <w:rFonts w:ascii="宋体" w:hAnsi="宋体" w:cs="宋体" w:eastAsia="宋体" w:hint="default"/>
        </w:rPr>
        <w:t>1,969,176.89</w:t>
      </w:r>
      <w:r>
        <w:rPr/>
        <w:t>元。</w:t>
      </w:r>
    </w:p>
    <w:p>
      <w:pPr>
        <w:pStyle w:val="BodyText"/>
        <w:spacing w:line="273" w:lineRule="auto" w:before="12"/>
        <w:ind w:right="1007" w:firstLine="422"/>
        <w:jc w:val="left"/>
      </w:pPr>
      <w:r>
        <w:rPr>
          <w:spacing w:val="-2"/>
        </w:rPr>
        <w:t>（</w:t>
      </w:r>
      <w:r>
        <w:rPr>
          <w:rFonts w:ascii="宋体" w:hAnsi="宋体" w:cs="宋体" w:eastAsia="宋体" w:hint="default"/>
          <w:spacing w:val="-2"/>
        </w:rPr>
        <w:t>4</w:t>
      </w:r>
      <w:r>
        <w:rPr>
          <w:spacing w:val="-2"/>
        </w:rPr>
        <w:t>）根据与合肥高新技术产业开发区经济贸易局、合肥高新技术产业开发区财政局签订的《合肥高</w:t>
      </w:r>
      <w:r>
        <w:rPr>
          <w:w w:val="100"/>
        </w:rPr>
        <w:t> </w:t>
      </w:r>
      <w:r>
        <w:rPr>
          <w:spacing w:val="-4"/>
          <w:w w:val="100"/>
        </w:rPr>
        <w:t>新区关于合肥天源迪科研发基地项目使用“借转补”专项财政扶持资金协议书》，本公司之子公司合肥天</w:t>
      </w:r>
    </w:p>
    <w:p>
      <w:pPr>
        <w:spacing w:after="0" w:line="273"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73" w:lineRule="auto" w:before="36"/>
        <w:ind w:right="1209"/>
        <w:jc w:val="both"/>
      </w:pPr>
      <w:r>
        <w:rPr>
          <w:spacing w:val="-1"/>
        </w:rPr>
        <w:t>源迪科于</w:t>
      </w: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26</w:t>
      </w:r>
      <w:r>
        <w:rPr>
          <w:spacing w:val="-1"/>
        </w:rPr>
        <w:t>日、</w:t>
      </w:r>
      <w:r>
        <w:rPr>
          <w:rFonts w:ascii="宋体" w:hAnsi="宋体" w:cs="宋体" w:eastAsia="宋体" w:hint="default"/>
          <w:spacing w:val="-1"/>
        </w:rPr>
        <w:t>2015</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7</w:t>
      </w:r>
      <w:r>
        <w:rPr>
          <w:spacing w:val="-1"/>
        </w:rPr>
        <w:t>日、</w:t>
      </w:r>
      <w:r>
        <w:rPr>
          <w:rFonts w:ascii="宋体" w:hAnsi="宋体" w:cs="宋体" w:eastAsia="宋体" w:hint="default"/>
          <w:spacing w:val="-1"/>
        </w:rPr>
        <w:t>2015</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11</w:t>
      </w:r>
      <w:r>
        <w:rPr>
          <w:spacing w:val="-1"/>
        </w:rPr>
        <w:t>日分别收到合肥高新技术产业开发区财政国库支</w:t>
      </w:r>
      <w:r>
        <w:rPr>
          <w:spacing w:val="-50"/>
        </w:rPr>
        <w:t> </w:t>
      </w:r>
      <w:r>
        <w:rPr>
          <w:spacing w:val="-50"/>
        </w:rPr>
      </w:r>
      <w:r>
        <w:rPr>
          <w:spacing w:val="-1"/>
        </w:rPr>
        <w:t>付中心支付的</w:t>
      </w:r>
      <w:r>
        <w:rPr>
          <w:rFonts w:ascii="宋体" w:hAnsi="宋体" w:cs="宋体" w:eastAsia="宋体" w:hint="default"/>
          <w:spacing w:val="-1"/>
        </w:rPr>
        <w:t>"</w:t>
      </w:r>
      <w:r>
        <w:rPr>
          <w:spacing w:val="-1"/>
        </w:rPr>
        <w:t>借转补</w:t>
      </w:r>
      <w:r>
        <w:rPr>
          <w:rFonts w:ascii="宋体" w:hAnsi="宋体" w:cs="宋体" w:eastAsia="宋体" w:hint="default"/>
          <w:spacing w:val="-1"/>
        </w:rPr>
        <w:t>"</w:t>
      </w:r>
      <w:r>
        <w:rPr>
          <w:spacing w:val="-1"/>
        </w:rPr>
        <w:t>款</w:t>
      </w:r>
      <w:r>
        <w:rPr>
          <w:rFonts w:ascii="宋体" w:hAnsi="宋体" w:cs="宋体" w:eastAsia="宋体" w:hint="default"/>
          <w:spacing w:val="-1"/>
        </w:rPr>
        <w:t>222</w:t>
      </w:r>
      <w:r>
        <w:rPr>
          <w:spacing w:val="-1"/>
        </w:rPr>
        <w:t>万元、</w:t>
      </w:r>
      <w:r>
        <w:rPr>
          <w:rFonts w:ascii="宋体" w:hAnsi="宋体" w:cs="宋体" w:eastAsia="宋体" w:hint="default"/>
          <w:spacing w:val="-1"/>
        </w:rPr>
        <w:t>22.53</w:t>
      </w:r>
      <w:r>
        <w:rPr>
          <w:spacing w:val="-1"/>
        </w:rPr>
        <w:t>万元、</w:t>
      </w:r>
      <w:r>
        <w:rPr>
          <w:rFonts w:ascii="宋体" w:hAnsi="宋体" w:cs="宋体" w:eastAsia="宋体" w:hint="default"/>
          <w:spacing w:val="-1"/>
        </w:rPr>
        <w:t>22.54</w:t>
      </w:r>
      <w:r>
        <w:rPr>
          <w:spacing w:val="-1"/>
        </w:rPr>
        <w:t>万元，合计</w:t>
      </w:r>
      <w:r>
        <w:rPr>
          <w:rFonts w:ascii="宋体" w:hAnsi="宋体" w:cs="宋体" w:eastAsia="宋体" w:hint="default"/>
          <w:spacing w:val="-1"/>
        </w:rPr>
        <w:t>267.07</w:t>
      </w:r>
      <w:r>
        <w:rPr>
          <w:spacing w:val="-1"/>
        </w:rPr>
        <w:t>万元，主要用于合肥天源迪科研</w:t>
      </w:r>
      <w:r>
        <w:rPr>
          <w:spacing w:val="-50"/>
        </w:rPr>
        <w:t> </w:t>
      </w:r>
      <w:r>
        <w:rPr>
          <w:spacing w:val="-50"/>
        </w:rPr>
      </w:r>
      <w:r>
        <w:rPr>
          <w:spacing w:val="-1"/>
        </w:rPr>
        <w:t>发基地项目建设。该项目已于</w:t>
      </w:r>
      <w:r>
        <w:rPr>
          <w:rFonts w:ascii="宋体" w:hAnsi="宋体" w:cs="宋体" w:eastAsia="宋体" w:hint="default"/>
          <w:spacing w:val="-1"/>
        </w:rPr>
        <w:t>2015</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15</w:t>
      </w:r>
      <w:r>
        <w:rPr>
          <w:spacing w:val="-1"/>
        </w:rPr>
        <w:t>日经主管单位验收并公示。截止</w:t>
      </w:r>
      <w:r>
        <w:rPr>
          <w:rFonts w:ascii="宋体" w:hAnsi="宋体" w:cs="宋体" w:eastAsia="宋体" w:hint="default"/>
          <w:spacing w:val="-1"/>
        </w:rPr>
        <w:t>2019</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日，本期转销金</w:t>
      </w:r>
      <w:r>
        <w:rPr>
          <w:spacing w:val="-51"/>
        </w:rPr>
        <w:t> </w:t>
      </w:r>
      <w:r>
        <w:rPr>
          <w:spacing w:val="-51"/>
        </w:rPr>
      </w:r>
      <w:r>
        <w:rPr/>
        <w:t>额为</w:t>
      </w:r>
      <w:r>
        <w:rPr>
          <w:rFonts w:ascii="宋体" w:hAnsi="宋体" w:cs="宋体" w:eastAsia="宋体" w:hint="default"/>
        </w:rPr>
        <w:t>56,860.32</w:t>
      </w:r>
      <w:r>
        <w:rPr/>
        <w:t>元，累计转销金额为</w:t>
      </w:r>
      <w:r>
        <w:rPr>
          <w:rFonts w:ascii="宋体" w:hAnsi="宋体" w:cs="宋体" w:eastAsia="宋体" w:hint="default"/>
        </w:rPr>
        <w:t>268,949.33</w:t>
      </w:r>
      <w:r>
        <w:rPr/>
        <w:t>元，递延收益账面余额为</w:t>
      </w:r>
      <w:r>
        <w:rPr>
          <w:rFonts w:ascii="宋体" w:hAnsi="宋体" w:cs="宋体" w:eastAsia="宋体" w:hint="default"/>
        </w:rPr>
        <w:t>2,401,750.67</w:t>
      </w:r>
      <w:r>
        <w:rPr/>
        <w:t>元。</w:t>
      </w:r>
    </w:p>
    <w:p>
      <w:pPr>
        <w:pStyle w:val="BodyText"/>
        <w:spacing w:line="273" w:lineRule="auto"/>
        <w:ind w:right="1119" w:firstLine="422"/>
        <w:jc w:val="left"/>
      </w:pPr>
      <w:r>
        <w:rPr>
          <w:spacing w:val="-8"/>
          <w:w w:val="100"/>
        </w:rPr>
        <w:t>（</w:t>
      </w:r>
      <w:r>
        <w:rPr>
          <w:rFonts w:ascii="宋体" w:hAnsi="宋体" w:cs="宋体" w:eastAsia="宋体" w:hint="default"/>
          <w:spacing w:val="-8"/>
          <w:w w:val="100"/>
        </w:rPr>
        <w:t>5</w:t>
      </w:r>
      <w:r>
        <w:rPr>
          <w:spacing w:val="-8"/>
          <w:w w:val="100"/>
        </w:rPr>
        <w:t>）根据《关于做好第二批省企业发展专项资金项目库征集工作的通知》（皖经信技改函〔</w:t>
      </w:r>
      <w:r>
        <w:rPr>
          <w:rFonts w:ascii="宋体" w:hAnsi="宋体" w:cs="宋体" w:eastAsia="宋体" w:hint="default"/>
          <w:spacing w:val="-8"/>
          <w:w w:val="100"/>
        </w:rPr>
        <w:t>2015</w:t>
      </w:r>
      <w:r>
        <w:rPr>
          <w:spacing w:val="-8"/>
          <w:w w:val="100"/>
        </w:rPr>
        <w:t>〕</w:t>
      </w:r>
      <w:r>
        <w:rPr>
          <w:rFonts w:ascii="宋体" w:hAnsi="宋体" w:cs="宋体" w:eastAsia="宋体" w:hint="default"/>
          <w:spacing w:val="-8"/>
          <w:w w:val="100"/>
        </w:rPr>
        <w:t>1450</w:t>
      </w:r>
      <w:r>
        <w:rPr>
          <w:rFonts w:ascii="宋体" w:hAnsi="宋体" w:cs="宋体" w:eastAsia="宋体" w:hint="default"/>
          <w:w w:val="100"/>
        </w:rPr>
        <w:t> </w:t>
      </w:r>
      <w:r>
        <w:rPr>
          <w:spacing w:val="-10"/>
          <w:w w:val="100"/>
        </w:rPr>
        <w:t>号）、《关于组织申报</w:t>
      </w:r>
      <w:r>
        <w:rPr>
          <w:rFonts w:ascii="宋体" w:hAnsi="宋体" w:cs="宋体" w:eastAsia="宋体" w:hint="default"/>
          <w:spacing w:val="-10"/>
          <w:w w:val="100"/>
        </w:rPr>
        <w:t>2016</w:t>
      </w:r>
      <w:r>
        <w:rPr>
          <w:spacing w:val="-10"/>
          <w:w w:val="100"/>
        </w:rPr>
        <w:t>年民营中小企业项目的通知》（皖经信中小服务函〔</w:t>
      </w:r>
      <w:r>
        <w:rPr>
          <w:rFonts w:ascii="宋体" w:hAnsi="宋体" w:cs="宋体" w:eastAsia="宋体" w:hint="default"/>
          <w:spacing w:val="-10"/>
          <w:w w:val="100"/>
        </w:rPr>
        <w:t>2016</w:t>
      </w:r>
      <w:r>
        <w:rPr>
          <w:spacing w:val="-10"/>
          <w:w w:val="100"/>
        </w:rPr>
        <w:t>〕</w:t>
      </w:r>
      <w:r>
        <w:rPr>
          <w:rFonts w:ascii="宋体" w:hAnsi="宋体" w:cs="宋体" w:eastAsia="宋体" w:hint="default"/>
          <w:spacing w:val="-10"/>
          <w:w w:val="100"/>
        </w:rPr>
        <w:t>34</w:t>
      </w:r>
      <w:r>
        <w:rPr>
          <w:spacing w:val="-10"/>
          <w:w w:val="100"/>
        </w:rPr>
        <w:t>号）（项目名称：中</w:t>
      </w:r>
      <w:r>
        <w:rPr>
          <w:spacing w:val="-79"/>
          <w:w w:val="100"/>
        </w:rPr>
        <w:t> </w:t>
      </w:r>
      <w:r>
        <w:rPr>
          <w:spacing w:val="-79"/>
          <w:w w:val="100"/>
        </w:rPr>
      </w:r>
      <w:r>
        <w:rPr/>
        <w:t>小企业大数据分析服务平台）之规定，本公司之子公司合肥天源迪科于</w:t>
      </w: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27</w:t>
      </w:r>
      <w:r>
        <w:rPr/>
        <w:t>日收到合肥经济和信</w:t>
      </w:r>
      <w:r>
        <w:rPr>
          <w:w w:val="100"/>
        </w:rPr>
        <w:t> </w:t>
      </w:r>
      <w:r>
        <w:rPr>
          <w:spacing w:val="-2"/>
        </w:rPr>
        <w:t>息化委员会发展专项资金</w:t>
      </w:r>
      <w:r>
        <w:rPr>
          <w:rFonts w:ascii="宋体" w:hAnsi="宋体" w:cs="宋体" w:eastAsia="宋体" w:hint="default"/>
          <w:spacing w:val="-2"/>
        </w:rPr>
        <w:t>75</w:t>
      </w:r>
      <w:r>
        <w:rPr>
          <w:spacing w:val="-2"/>
        </w:rPr>
        <w:t>万元，该项目需要项目主管单位的验收后予以转销，截止</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w:t>
      </w:r>
      <w:r>
        <w:rPr>
          <w:spacing w:val="-20"/>
        </w:rPr>
        <w:t> </w:t>
      </w:r>
      <w:r>
        <w:rPr>
          <w:spacing w:val="-20"/>
        </w:rPr>
      </w:r>
      <w:r>
        <w:rPr/>
        <w:t>期转销金额为</w:t>
      </w:r>
      <w:r>
        <w:rPr>
          <w:rFonts w:ascii="宋体" w:hAnsi="宋体" w:cs="宋体" w:eastAsia="宋体" w:hint="default"/>
        </w:rPr>
        <w:t>150,000</w:t>
      </w:r>
      <w:r>
        <w:rPr/>
        <w:t>元，累计转销金额为</w:t>
      </w:r>
      <w:r>
        <w:rPr>
          <w:rFonts w:ascii="宋体" w:hAnsi="宋体" w:cs="宋体" w:eastAsia="宋体" w:hint="default"/>
        </w:rPr>
        <w:t>450,000</w:t>
      </w:r>
      <w:r>
        <w:rPr/>
        <w:t>元，递延收益账面余额为</w:t>
      </w:r>
      <w:r>
        <w:rPr>
          <w:rFonts w:ascii="宋体" w:hAnsi="宋体" w:cs="宋体" w:eastAsia="宋体" w:hint="default"/>
        </w:rPr>
        <w:t>300,000</w:t>
      </w:r>
      <w:r>
        <w:rPr/>
        <w:t>元。</w:t>
      </w:r>
    </w:p>
    <w:p>
      <w:pPr>
        <w:pStyle w:val="BodyText"/>
        <w:spacing w:line="273" w:lineRule="auto" w:before="8"/>
        <w:ind w:right="1007" w:firstLine="422"/>
        <w:jc w:val="left"/>
      </w:pPr>
      <w:r>
        <w:rPr>
          <w:spacing w:val="-2"/>
        </w:rPr>
        <w:t>（</w:t>
      </w:r>
      <w:r>
        <w:rPr>
          <w:rFonts w:ascii="宋体" w:hAnsi="宋体" w:cs="宋体" w:eastAsia="宋体" w:hint="default"/>
          <w:spacing w:val="-2"/>
        </w:rPr>
        <w:t>6</w:t>
      </w:r>
      <w:r>
        <w:rPr>
          <w:spacing w:val="-2"/>
        </w:rPr>
        <w:t>）深圳宝贝团于</w:t>
      </w:r>
      <w:r>
        <w:rPr>
          <w:rFonts w:ascii="宋体" w:hAnsi="宋体" w:cs="宋体" w:eastAsia="宋体" w:hint="default"/>
          <w:spacing w:val="-2"/>
        </w:rPr>
        <w:t>2017</w:t>
      </w:r>
      <w:r>
        <w:rPr>
          <w:spacing w:val="-2"/>
        </w:rPr>
        <w:t>年</w:t>
      </w:r>
      <w:r>
        <w:rPr>
          <w:rFonts w:ascii="宋体" w:hAnsi="宋体" w:cs="宋体" w:eastAsia="宋体" w:hint="default"/>
          <w:spacing w:val="-2"/>
        </w:rPr>
        <w:t>6</w:t>
      </w:r>
      <w:r>
        <w:rPr>
          <w:spacing w:val="-2"/>
        </w:rPr>
        <w:t>月收到深圳市科创委的基于互联网电子商务大数据的卖家智能运营支撑平</w:t>
      </w:r>
      <w:r>
        <w:rPr>
          <w:w w:val="100"/>
        </w:rPr>
        <w:t> </w:t>
      </w:r>
      <w:r>
        <w:rPr/>
        <w:t>台专项经费补助</w:t>
      </w:r>
      <w:r>
        <w:rPr>
          <w:rFonts w:ascii="宋体" w:hAnsi="宋体" w:cs="宋体" w:eastAsia="宋体" w:hint="default"/>
        </w:rPr>
        <w:t>80</w:t>
      </w:r>
      <w:r>
        <w:rPr/>
        <w:t>万元，该项目于</w:t>
      </w:r>
      <w:r>
        <w:rPr>
          <w:rFonts w:ascii="宋体" w:hAnsi="宋体" w:cs="宋体" w:eastAsia="宋体" w:hint="default"/>
        </w:rPr>
        <w:t>2019</w:t>
      </w:r>
      <w:r>
        <w:rPr/>
        <w:t>年</w:t>
      </w:r>
      <w:r>
        <w:rPr>
          <w:rFonts w:ascii="宋体" w:hAnsi="宋体" w:cs="宋体" w:eastAsia="宋体" w:hint="default"/>
        </w:rPr>
        <w:t>2</w:t>
      </w:r>
      <w:r>
        <w:rPr/>
        <w:t>月</w:t>
      </w:r>
      <w:r>
        <w:rPr>
          <w:rFonts w:ascii="宋体" w:hAnsi="宋体" w:cs="宋体" w:eastAsia="宋体" w:hint="default"/>
        </w:rPr>
        <w:t>13</w:t>
      </w:r>
      <w:r>
        <w:rPr/>
        <w:t>日印发验收通知书，并确认其他收益。</w:t>
      </w:r>
    </w:p>
    <w:p>
      <w:pPr>
        <w:pStyle w:val="BodyText"/>
        <w:spacing w:line="273" w:lineRule="auto"/>
        <w:ind w:right="1007" w:firstLine="422"/>
        <w:jc w:val="left"/>
      </w:pPr>
      <w:r>
        <w:rPr/>
        <w:t>（</w:t>
      </w:r>
      <w:r>
        <w:rPr>
          <w:rFonts w:ascii="宋体" w:hAnsi="宋体" w:cs="宋体" w:eastAsia="宋体" w:hint="default"/>
        </w:rPr>
        <w:t>7</w:t>
      </w:r>
      <w:r>
        <w:rPr/>
        <w:t>）</w:t>
      </w:r>
      <w:r>
        <w:rPr>
          <w:rFonts w:ascii="宋体" w:hAnsi="宋体" w:cs="宋体" w:eastAsia="宋体" w:hint="default"/>
        </w:rPr>
        <w:t>2017</w:t>
      </w:r>
      <w:r>
        <w:rPr/>
        <w:t>年</w:t>
      </w:r>
      <w:r>
        <w:rPr>
          <w:rFonts w:ascii="宋体" w:hAnsi="宋体" w:cs="宋体" w:eastAsia="宋体" w:hint="default"/>
        </w:rPr>
        <w:t>12</w:t>
      </w:r>
      <w:r>
        <w:rPr/>
        <w:t>月，根据广州天源迪科与广州市天河区科技工业和信息化局签订的《天河区科技计划</w:t>
      </w:r>
      <w:r>
        <w:rPr>
          <w:w w:val="100"/>
        </w:rPr>
        <w:t> </w:t>
      </w:r>
      <w:r>
        <w:rPr>
          <w:spacing w:val="-4"/>
          <w:w w:val="100"/>
        </w:rPr>
        <w:t>项目任务书》（项目名称：基于大数据的用户多维度分析模型构建系统研发和应用）之规定，本公司之广</w:t>
      </w:r>
      <w:r>
        <w:rPr>
          <w:spacing w:val="-83"/>
          <w:w w:val="100"/>
        </w:rPr>
        <w:t> </w:t>
      </w:r>
      <w:r>
        <w:rPr>
          <w:spacing w:val="-83"/>
          <w:w w:val="100"/>
        </w:rPr>
      </w:r>
      <w:r>
        <w:rPr>
          <w:spacing w:val="-2"/>
        </w:rPr>
        <w:t>州天源迪科于</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月收到广州市天河区科技工业和信息化局支付的专项经费补助</w:t>
      </w:r>
      <w:r>
        <w:rPr>
          <w:rFonts w:ascii="宋体" w:hAnsi="宋体" w:cs="宋体" w:eastAsia="宋体" w:hint="default"/>
          <w:spacing w:val="-2"/>
        </w:rPr>
        <w:t>10</w:t>
      </w:r>
      <w:r>
        <w:rPr>
          <w:spacing w:val="-2"/>
        </w:rPr>
        <w:t>万元，该项目需要</w:t>
      </w:r>
      <w:r>
        <w:rPr>
          <w:spacing w:val="-23"/>
        </w:rPr>
        <w:t> </w:t>
      </w:r>
      <w:r>
        <w:rPr>
          <w:spacing w:val="-23"/>
        </w:rPr>
      </w:r>
      <w:r>
        <w:rPr/>
        <w:t>科技部验收收合格后予以转销，该项目于</w:t>
      </w:r>
      <w:r>
        <w:rPr>
          <w:rFonts w:ascii="宋体" w:hAnsi="宋体" w:cs="宋体" w:eastAsia="宋体" w:hint="default"/>
        </w:rPr>
        <w:t>2019</w:t>
      </w:r>
      <w:r>
        <w:rPr/>
        <w:t>年</w:t>
      </w:r>
      <w:r>
        <w:rPr>
          <w:rFonts w:ascii="宋体" w:hAnsi="宋体" w:cs="宋体" w:eastAsia="宋体" w:hint="default"/>
        </w:rPr>
        <w:t>10</w:t>
      </w:r>
      <w:r>
        <w:rPr/>
        <w:t>月验收并确认其他收益。</w:t>
      </w:r>
    </w:p>
    <w:p>
      <w:pPr>
        <w:pStyle w:val="BodyText"/>
        <w:spacing w:line="240" w:lineRule="auto"/>
        <w:ind w:left="535" w:right="1007"/>
        <w:jc w:val="left"/>
      </w:pPr>
      <w:r>
        <w:rPr/>
        <w:t>（</w:t>
      </w:r>
      <w:r>
        <w:rPr>
          <w:rFonts w:ascii="宋体" w:hAnsi="宋体" w:cs="宋体" w:eastAsia="宋体" w:hint="default"/>
        </w:rPr>
        <w:t>8</w:t>
      </w:r>
      <w:r>
        <w:rPr/>
        <w:t>）</w:t>
      </w:r>
      <w:r>
        <w:rPr>
          <w:rFonts w:ascii="宋体" w:hAnsi="宋体" w:cs="宋体" w:eastAsia="宋体" w:hint="default"/>
        </w:rPr>
        <w:t>2017</w:t>
      </w:r>
      <w:r>
        <w:rPr/>
        <w:t>年天河区政府项目</w:t>
      </w:r>
      <w:r>
        <w:rPr>
          <w:rFonts w:ascii="宋体" w:hAnsi="宋体" w:cs="宋体" w:eastAsia="宋体" w:hint="default"/>
        </w:rPr>
        <w:t>2017</w:t>
      </w:r>
      <w:r>
        <w:rPr/>
        <w:t>年</w:t>
      </w:r>
      <w:r>
        <w:rPr>
          <w:rFonts w:ascii="宋体" w:hAnsi="宋体" w:cs="宋体" w:eastAsia="宋体" w:hint="default"/>
        </w:rPr>
        <w:t>12</w:t>
      </w:r>
      <w:r>
        <w:rPr/>
        <w:t>月，根据广州易杰与广州市天河区科技工业和信息化局签订的</w:t>
      </w:r>
    </w:p>
    <w:p>
      <w:pPr>
        <w:pStyle w:val="BodyText"/>
        <w:spacing w:line="273" w:lineRule="auto" w:before="37"/>
        <w:ind w:right="1103"/>
        <w:jc w:val="both"/>
      </w:pPr>
      <w:r>
        <w:rPr>
          <w:spacing w:val="-4"/>
          <w:w w:val="100"/>
        </w:rPr>
        <w:t>《天河区科技计划项目任务书》（项目名称：面向数字家庭的多屏互动多维度深度融合</w:t>
      </w:r>
      <w:r>
        <w:rPr>
          <w:rFonts w:ascii="宋体" w:hAnsi="宋体" w:cs="宋体" w:eastAsia="宋体" w:hint="default"/>
          <w:spacing w:val="-4"/>
          <w:w w:val="100"/>
        </w:rPr>
        <w:t>iTV</w:t>
      </w:r>
      <w:r>
        <w:rPr>
          <w:spacing w:val="-4"/>
          <w:w w:val="100"/>
        </w:rPr>
        <w:t>平台）之规定，</w:t>
      </w:r>
      <w:r>
        <w:rPr>
          <w:spacing w:val="-72"/>
          <w:w w:val="100"/>
        </w:rPr>
        <w:t> </w:t>
      </w:r>
      <w:r>
        <w:rPr>
          <w:spacing w:val="-72"/>
          <w:w w:val="100"/>
        </w:rPr>
      </w:r>
      <w:r>
        <w:rPr>
          <w:spacing w:val="-2"/>
        </w:rPr>
        <w:t>本公司之子公司广州易杰收到广州市天河区科技工业和信息化局支付的专项经费补助</w:t>
      </w:r>
      <w:r>
        <w:rPr>
          <w:rFonts w:ascii="宋体" w:hAnsi="宋体" w:cs="宋体" w:eastAsia="宋体" w:hint="default"/>
          <w:spacing w:val="-2"/>
        </w:rPr>
        <w:t>10</w:t>
      </w:r>
      <w:r>
        <w:rPr>
          <w:spacing w:val="-2"/>
        </w:rPr>
        <w:t>万元，该项目需要</w:t>
      </w:r>
      <w:r>
        <w:rPr>
          <w:spacing w:val="-28"/>
        </w:rPr>
        <w:t> </w:t>
      </w:r>
      <w:r>
        <w:rPr>
          <w:spacing w:val="-28"/>
        </w:rPr>
      </w:r>
      <w:r>
        <w:rPr/>
        <w:t>科技部验收收合格后予以转销，截止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日，该项目尚在进行中，且未验收。</w:t>
      </w:r>
    </w:p>
    <w:p>
      <w:pPr>
        <w:pStyle w:val="BodyText"/>
        <w:spacing w:line="273" w:lineRule="auto" w:before="8"/>
        <w:ind w:right="1007" w:firstLine="422"/>
        <w:jc w:val="left"/>
      </w:pPr>
      <w:r>
        <w:rPr/>
        <w:t>（</w:t>
      </w:r>
      <w:r>
        <w:rPr>
          <w:rFonts w:ascii="宋体" w:hAnsi="宋体" w:cs="宋体" w:eastAsia="宋体" w:hint="default"/>
        </w:rPr>
        <w:t>9</w:t>
      </w:r>
      <w:r>
        <w:rPr/>
        <w:t>）</w:t>
      </w:r>
      <w:r>
        <w:rPr>
          <w:rFonts w:ascii="宋体" w:hAnsi="宋体" w:cs="宋体" w:eastAsia="宋体" w:hint="default"/>
        </w:rPr>
        <w:t>2013</w:t>
      </w:r>
      <w:r>
        <w:rPr/>
        <w:t>年</w:t>
      </w:r>
      <w:r>
        <w:rPr>
          <w:rFonts w:ascii="宋体" w:hAnsi="宋体" w:cs="宋体" w:eastAsia="宋体" w:hint="default"/>
        </w:rPr>
        <w:t>10</w:t>
      </w:r>
      <w:r>
        <w:rPr/>
        <w:t>月，本公司与工业和信息化部电子发展基金管理办公室签订的《电子信息产业发展基</w:t>
      </w:r>
      <w:r>
        <w:rPr>
          <w:w w:val="100"/>
        </w:rPr>
        <w:t> </w:t>
      </w:r>
      <w:r>
        <w:rPr>
          <w:spacing w:val="-4"/>
          <w:w w:val="100"/>
        </w:rPr>
        <w:t>金资助项目合同书》（项目名称：移动互联网应用开发部署系统研发及产业化基于</w:t>
      </w:r>
      <w:r>
        <w:rPr>
          <w:rFonts w:ascii="宋体" w:hAnsi="宋体" w:cs="宋体" w:eastAsia="宋体" w:hint="default"/>
          <w:spacing w:val="-4"/>
          <w:w w:val="100"/>
        </w:rPr>
        <w:t>HTML5</w:t>
      </w:r>
      <w:r>
        <w:rPr>
          <w:spacing w:val="-4"/>
          <w:w w:val="100"/>
        </w:rPr>
        <w:t>移动应用引擎研发</w:t>
      </w:r>
      <w:r>
        <w:rPr>
          <w:spacing w:val="-92"/>
          <w:w w:val="100"/>
        </w:rPr>
        <w:t> </w:t>
      </w:r>
      <w:r>
        <w:rPr>
          <w:spacing w:val="-92"/>
          <w:w w:val="100"/>
        </w:rPr>
      </w:r>
      <w:r>
        <w:rPr>
          <w:spacing w:val="-4"/>
          <w:w w:val="100"/>
        </w:rPr>
        <w:t>与产业化），本公司于</w:t>
      </w:r>
      <w:r>
        <w:rPr>
          <w:rFonts w:ascii="宋体" w:hAnsi="宋体" w:cs="宋体" w:eastAsia="宋体" w:hint="default"/>
          <w:spacing w:val="-4"/>
          <w:w w:val="100"/>
        </w:rPr>
        <w:t>2013</w:t>
      </w:r>
      <w:r>
        <w:rPr>
          <w:spacing w:val="-4"/>
          <w:w w:val="100"/>
        </w:rPr>
        <w:t>年</w:t>
      </w:r>
      <w:r>
        <w:rPr>
          <w:rFonts w:ascii="宋体" w:hAnsi="宋体" w:cs="宋体" w:eastAsia="宋体" w:hint="default"/>
          <w:spacing w:val="-4"/>
          <w:w w:val="100"/>
        </w:rPr>
        <w:t>10</w:t>
      </w:r>
      <w:r>
        <w:rPr>
          <w:spacing w:val="-4"/>
          <w:w w:val="100"/>
        </w:rPr>
        <w:t>月收到中华人民共和国财政部统一支付的项目资助款</w:t>
      </w:r>
      <w:r>
        <w:rPr>
          <w:rFonts w:ascii="宋体" w:hAnsi="宋体" w:cs="宋体" w:eastAsia="宋体" w:hint="default"/>
          <w:spacing w:val="-4"/>
          <w:w w:val="100"/>
        </w:rPr>
        <w:t>500</w:t>
      </w:r>
      <w:r>
        <w:rPr>
          <w:spacing w:val="-4"/>
          <w:w w:val="100"/>
        </w:rPr>
        <w:t>万元，该项目需要</w:t>
      </w:r>
      <w:r>
        <w:rPr>
          <w:spacing w:val="-86"/>
          <w:w w:val="100"/>
        </w:rPr>
        <w:t> </w:t>
      </w:r>
      <w:r>
        <w:rPr>
          <w:spacing w:val="-86"/>
          <w:w w:val="100"/>
        </w:rPr>
      </w:r>
      <w:r>
        <w:rPr>
          <w:spacing w:val="-2"/>
        </w:rPr>
        <w:t>信息化部电子发展基金管理办公室验收收合格后予以转销，截止</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日，该项目尚在进行中，且</w:t>
      </w:r>
      <w:r>
        <w:rPr>
          <w:spacing w:val="-23"/>
        </w:rPr>
        <w:t> </w:t>
      </w:r>
      <w:r>
        <w:rPr>
          <w:spacing w:val="-23"/>
        </w:rPr>
      </w:r>
      <w:r>
        <w:rPr/>
        <w:t>未验收。</w:t>
      </w:r>
    </w:p>
    <w:p>
      <w:pPr>
        <w:pStyle w:val="BodyText"/>
        <w:spacing w:line="268" w:lineRule="auto"/>
        <w:ind w:right="1007" w:firstLine="422"/>
        <w:jc w:val="left"/>
      </w:pPr>
      <w:r>
        <w:rPr>
          <w:spacing w:val="-2"/>
        </w:rPr>
        <w:t>（</w:t>
      </w:r>
      <w:r>
        <w:rPr>
          <w:rFonts w:ascii="宋体" w:hAnsi="宋体" w:cs="宋体" w:eastAsia="宋体" w:hint="default"/>
          <w:spacing w:val="-2"/>
        </w:rPr>
        <w:t>1</w:t>
      </w:r>
      <w:r>
        <w:rPr>
          <w:rFonts w:ascii="Times New Roman" w:hAnsi="Times New Roman" w:cs="Times New Roman" w:eastAsia="Times New Roman" w:hint="default"/>
          <w:spacing w:val="-2"/>
        </w:rPr>
        <w:t>0</w:t>
      </w:r>
      <w:r>
        <w:rPr>
          <w:spacing w:val="-2"/>
        </w:rPr>
        <w:t>）根据本公司与电子科技大学、深圳创新谷投资管理有限公司签订的合作协议书，该三方共同承</w:t>
      </w:r>
      <w:r>
        <w:rPr>
          <w:w w:val="100"/>
        </w:rPr>
        <w:t> </w:t>
      </w:r>
      <w:r>
        <w:rPr/>
        <w:t>担</w:t>
      </w:r>
      <w:r>
        <w:rPr>
          <w:rFonts w:ascii="宋体" w:hAnsi="宋体" w:cs="宋体" w:eastAsia="宋体" w:hint="default"/>
        </w:rPr>
        <w:t>2013</w:t>
      </w:r>
      <w:r>
        <w:rPr/>
        <w:t>年度电子信息产业发展基金项目“移动互联网应用开发部署系统研发及产业化项目之课题</w:t>
      </w:r>
      <w:r>
        <w:rPr>
          <w:rFonts w:ascii="宋体" w:hAnsi="宋体" w:cs="宋体" w:eastAsia="宋体" w:hint="default"/>
        </w:rPr>
        <w:t>2</w:t>
      </w:r>
      <w:r>
        <w:rPr/>
        <w:t>：基于</w:t>
      </w:r>
      <w:r>
        <w:rPr>
          <w:spacing w:val="-103"/>
        </w:rPr>
        <w:t> </w:t>
      </w:r>
      <w:r>
        <w:rPr>
          <w:spacing w:val="-103"/>
        </w:rPr>
      </w:r>
      <w:r>
        <w:rPr>
          <w:rFonts w:ascii="宋体" w:hAnsi="宋体" w:cs="宋体" w:eastAsia="宋体" w:hint="default"/>
          <w:spacing w:val="-2"/>
        </w:rPr>
        <w:t>HTML5</w:t>
      </w:r>
      <w:r>
        <w:rPr>
          <w:spacing w:val="-2"/>
        </w:rPr>
        <w:t>移动应用引擎研发与产业化”事宜，本公司于</w:t>
      </w:r>
      <w:r>
        <w:rPr>
          <w:rFonts w:ascii="宋体" w:hAnsi="宋体" w:cs="宋体" w:eastAsia="宋体" w:hint="default"/>
          <w:spacing w:val="-2"/>
        </w:rPr>
        <w:t>2014</w:t>
      </w:r>
      <w:r>
        <w:rPr>
          <w:spacing w:val="-2"/>
        </w:rPr>
        <w:t>年分别支付电子科技大学</w:t>
      </w:r>
      <w:r>
        <w:rPr>
          <w:rFonts w:ascii="宋体" w:hAnsi="宋体" w:cs="宋体" w:eastAsia="宋体" w:hint="default"/>
          <w:spacing w:val="-2"/>
        </w:rPr>
        <w:t>120</w:t>
      </w:r>
      <w:r>
        <w:rPr>
          <w:spacing w:val="-2"/>
        </w:rPr>
        <w:t>万元，支付深圳创新</w:t>
      </w:r>
      <w:r>
        <w:rPr>
          <w:spacing w:val="-19"/>
        </w:rPr>
        <w:t> </w:t>
      </w:r>
      <w:r>
        <w:rPr>
          <w:spacing w:val="-19"/>
        </w:rPr>
      </w:r>
      <w:r>
        <w:rPr/>
        <w:t>谷投资管理有限公司</w:t>
      </w:r>
      <w:r>
        <w:rPr>
          <w:rFonts w:ascii="宋体" w:hAnsi="宋体" w:cs="宋体" w:eastAsia="宋体" w:hint="default"/>
        </w:rPr>
        <w:t>120</w:t>
      </w:r>
      <w:r>
        <w:rPr/>
        <w:t>万元。</w:t>
      </w:r>
    </w:p>
    <w:p>
      <w:pPr>
        <w:pStyle w:val="BodyText"/>
        <w:spacing w:line="240" w:lineRule="auto" w:before="12"/>
        <w:ind w:left="535" w:right="1007"/>
        <w:jc w:val="left"/>
      </w:pPr>
      <w:r>
        <w:rPr/>
        <w:t>（</w:t>
      </w:r>
      <w:r>
        <w:rPr>
          <w:rFonts w:ascii="宋体" w:hAnsi="宋体" w:cs="宋体" w:eastAsia="宋体" w:hint="default"/>
        </w:rPr>
        <w:t>11</w:t>
      </w:r>
      <w:r>
        <w:rPr/>
        <w:t>）</w:t>
      </w:r>
      <w:r>
        <w:rPr>
          <w:rFonts w:ascii="宋体" w:hAnsi="宋体" w:cs="宋体" w:eastAsia="宋体" w:hint="default"/>
        </w:rPr>
        <w:t>2013</w:t>
      </w:r>
      <w:r>
        <w:rPr/>
        <w:t>年</w:t>
      </w:r>
      <w:r>
        <w:rPr>
          <w:rFonts w:ascii="宋体" w:hAnsi="宋体" w:cs="宋体" w:eastAsia="宋体" w:hint="default"/>
        </w:rPr>
        <w:t>12</w:t>
      </w:r>
      <w:r>
        <w:rPr/>
        <w:t>月，根据本公司与深圳市高新技术产业园管理委员会签订的《科技开发项目任务书》</w:t>
      </w:r>
    </w:p>
    <w:p>
      <w:pPr>
        <w:pStyle w:val="BodyText"/>
        <w:spacing w:line="273" w:lineRule="auto" w:before="37"/>
        <w:ind w:right="1122"/>
        <w:jc w:val="both"/>
      </w:pPr>
      <w:r>
        <w:rPr>
          <w:spacing w:val="-2"/>
        </w:rPr>
        <w:t>（项目名称：基于下一代移动互联网的开放性信息服务平台）之规定，本公司于</w:t>
      </w:r>
      <w:r>
        <w:rPr>
          <w:rFonts w:ascii="宋体" w:hAnsi="宋体" w:cs="宋体" w:eastAsia="宋体" w:hint="default"/>
          <w:spacing w:val="-2"/>
        </w:rPr>
        <w:t>2013</w:t>
      </w:r>
      <w:r>
        <w:rPr>
          <w:spacing w:val="-2"/>
        </w:rPr>
        <w:t>年</w:t>
      </w:r>
      <w:r>
        <w:rPr>
          <w:rFonts w:ascii="宋体" w:hAnsi="宋体" w:cs="宋体" w:eastAsia="宋体" w:hint="default"/>
          <w:spacing w:val="-2"/>
        </w:rPr>
        <w:t>11</w:t>
      </w:r>
      <w:r>
        <w:rPr>
          <w:spacing w:val="-2"/>
        </w:rPr>
        <w:t>月收到科学技术</w:t>
      </w:r>
      <w:r>
        <w:rPr>
          <w:spacing w:val="-25"/>
        </w:rPr>
        <w:t> </w:t>
      </w:r>
      <w:r>
        <w:rPr>
          <w:spacing w:val="-25"/>
        </w:rPr>
      </w:r>
      <w:r>
        <w:rPr>
          <w:spacing w:val="-2"/>
        </w:rPr>
        <w:t>部支付的专项经费补助</w:t>
      </w:r>
      <w:r>
        <w:rPr>
          <w:rFonts w:ascii="宋体" w:hAnsi="宋体" w:cs="宋体" w:eastAsia="宋体" w:hint="default"/>
          <w:spacing w:val="-2"/>
        </w:rPr>
        <w:t>65</w:t>
      </w:r>
      <w:r>
        <w:rPr>
          <w:spacing w:val="-2"/>
        </w:rPr>
        <w:t>万元，该项目需要科技部验收收合格后予以转销，截止</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日，该项目</w:t>
      </w:r>
      <w:r>
        <w:rPr>
          <w:spacing w:val="-20"/>
        </w:rPr>
        <w:t> </w:t>
      </w:r>
      <w:r>
        <w:rPr>
          <w:spacing w:val="-20"/>
        </w:rPr>
      </w:r>
      <w:r>
        <w:rPr/>
        <w:t>尚在进行中，且未验收。</w:t>
      </w:r>
    </w:p>
    <w:p>
      <w:pPr>
        <w:pStyle w:val="BodyText"/>
        <w:spacing w:line="273" w:lineRule="auto"/>
        <w:ind w:right="1007" w:firstLine="422"/>
        <w:jc w:val="left"/>
      </w:pPr>
      <w:r>
        <w:rPr>
          <w:spacing w:val="-2"/>
        </w:rPr>
        <w:t>（</w:t>
      </w:r>
      <w:r>
        <w:rPr>
          <w:rFonts w:ascii="宋体" w:hAnsi="宋体" w:cs="宋体" w:eastAsia="宋体" w:hint="default"/>
          <w:spacing w:val="-2"/>
        </w:rPr>
        <w:t>12</w:t>
      </w:r>
      <w:r>
        <w:rPr>
          <w:spacing w:val="-2"/>
        </w:rPr>
        <w:t>）</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月，根据本公司与深圳市经济贸易和信息化委员会签订的深圳市战略性新兴产业发展</w:t>
      </w:r>
      <w:r>
        <w:rPr>
          <w:w w:val="100"/>
        </w:rPr>
        <w:t> </w:t>
      </w:r>
      <w:r>
        <w:rPr/>
        <w:t>专项资金项目合同书（项目名称：移动互联网应用开发部署系统研发及产业化基于</w:t>
      </w:r>
      <w:r>
        <w:rPr>
          <w:rFonts w:ascii="宋体" w:hAnsi="宋体" w:cs="宋体" w:eastAsia="宋体" w:hint="default"/>
        </w:rPr>
        <w:t>HTML5</w:t>
      </w:r>
      <w:r>
        <w:rPr/>
        <w:t>移动应用引擎研</w:t>
      </w:r>
      <w:r>
        <w:rPr>
          <w:spacing w:val="-103"/>
        </w:rPr>
        <w:t> </w:t>
      </w:r>
      <w:r>
        <w:rPr>
          <w:spacing w:val="-103"/>
        </w:rPr>
      </w:r>
      <w:r>
        <w:rPr>
          <w:spacing w:val="-2"/>
        </w:rPr>
        <w:t>发与产业化）之规定，本公司于</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月收到项目资助资金</w:t>
      </w:r>
      <w:r>
        <w:rPr>
          <w:rFonts w:ascii="宋体" w:hAnsi="宋体" w:cs="宋体" w:eastAsia="宋体" w:hint="default"/>
          <w:spacing w:val="-2"/>
        </w:rPr>
        <w:t>100</w:t>
      </w:r>
      <w:r>
        <w:rPr>
          <w:spacing w:val="-2"/>
        </w:rPr>
        <w:t>万元，该项目需验收合格后予以转销，截</w:t>
      </w:r>
      <w:r>
        <w:rPr>
          <w:spacing w:val="-29"/>
        </w:rPr>
        <w:t> </w:t>
      </w:r>
      <w:r>
        <w:rPr>
          <w:spacing w:val="-29"/>
        </w:rPr>
      </w:r>
      <w:r>
        <w:rPr/>
        <w:t>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日，该项目尚在进行中，且未验收。</w:t>
      </w:r>
    </w:p>
    <w:p>
      <w:pPr>
        <w:pStyle w:val="BodyText"/>
        <w:spacing w:line="273" w:lineRule="auto" w:before="8"/>
        <w:ind w:right="1124" w:firstLine="422"/>
        <w:jc w:val="both"/>
      </w:pPr>
      <w:r>
        <w:rPr>
          <w:spacing w:val="-2"/>
        </w:rPr>
        <w:t>（</w:t>
      </w:r>
      <w:r>
        <w:rPr>
          <w:rFonts w:ascii="宋体" w:hAnsi="宋体" w:cs="宋体" w:eastAsia="宋体" w:hint="default"/>
          <w:spacing w:val="-2"/>
        </w:rPr>
        <w:t>13</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30</w:t>
      </w:r>
      <w:r>
        <w:rPr>
          <w:spacing w:val="-2"/>
        </w:rPr>
        <w:t>日，根据深圳市经贸信息委关于深圳天源迪科信息技术股份有限公司《电信运营</w:t>
      </w:r>
      <w:r>
        <w:rPr>
          <w:w w:val="100"/>
        </w:rPr>
        <w:t> </w:t>
      </w:r>
      <w:r>
        <w:rPr>
          <w:spacing w:val="-2"/>
        </w:rPr>
        <w:t>商智慧</w:t>
      </w:r>
      <w:r>
        <w:rPr>
          <w:rFonts w:ascii="宋体" w:hAnsi="宋体" w:cs="宋体" w:eastAsia="宋体" w:hint="default"/>
          <w:spacing w:val="-2"/>
        </w:rPr>
        <w:t>BOSS</w:t>
      </w:r>
      <w:r>
        <w:rPr>
          <w:spacing w:val="-2"/>
        </w:rPr>
        <w:t>云平台项目项目资金》批复：经市政府批准，该项目列入深圳市战略性新兴产业和未来产业发</w:t>
      </w:r>
      <w:r>
        <w:rPr>
          <w:spacing w:val="-29"/>
        </w:rPr>
        <w:t> </w:t>
      </w:r>
      <w:r>
        <w:rPr>
          <w:spacing w:val="-29"/>
        </w:rPr>
      </w:r>
      <w:r>
        <w:rPr>
          <w:spacing w:val="-4"/>
          <w:w w:val="100"/>
        </w:rPr>
        <w:t>展专项资金</w:t>
      </w:r>
      <w:r>
        <w:rPr>
          <w:rFonts w:ascii="宋体" w:hAnsi="宋体" w:cs="宋体" w:eastAsia="宋体" w:hint="default"/>
          <w:spacing w:val="-4"/>
          <w:w w:val="100"/>
        </w:rPr>
        <w:t>2017</w:t>
      </w:r>
      <w:r>
        <w:rPr>
          <w:spacing w:val="-4"/>
          <w:w w:val="100"/>
        </w:rPr>
        <w:t>年第三批扶持计划（深发改【</w:t>
      </w:r>
      <w:r>
        <w:rPr>
          <w:rFonts w:ascii="宋体" w:hAnsi="宋体" w:cs="宋体" w:eastAsia="宋体" w:hint="default"/>
          <w:spacing w:val="-4"/>
          <w:w w:val="100"/>
        </w:rPr>
        <w:t>2017</w:t>
      </w:r>
      <w:r>
        <w:rPr>
          <w:spacing w:val="-4"/>
          <w:w w:val="100"/>
        </w:rPr>
        <w:t>】</w:t>
      </w:r>
      <w:r>
        <w:rPr>
          <w:rFonts w:ascii="宋体" w:hAnsi="宋体" w:cs="宋体" w:eastAsia="宋体" w:hint="default"/>
          <w:spacing w:val="-4"/>
          <w:w w:val="100"/>
        </w:rPr>
        <w:t>1246</w:t>
      </w:r>
      <w:r>
        <w:rPr>
          <w:spacing w:val="-4"/>
          <w:w w:val="100"/>
        </w:rPr>
        <w:t>号），安排资助资金</w:t>
      </w:r>
      <w:r>
        <w:rPr>
          <w:rFonts w:ascii="宋体" w:hAnsi="宋体" w:cs="宋体" w:eastAsia="宋体" w:hint="default"/>
          <w:spacing w:val="-4"/>
          <w:w w:val="100"/>
        </w:rPr>
        <w:t>209.00</w:t>
      </w:r>
      <w:r>
        <w:rPr>
          <w:spacing w:val="-4"/>
          <w:w w:val="100"/>
        </w:rPr>
        <w:t>万元。</w:t>
      </w:r>
      <w:r>
        <w:rPr>
          <w:rFonts w:ascii="宋体" w:hAnsi="宋体" w:cs="宋体" w:eastAsia="宋体" w:hint="default"/>
          <w:spacing w:val="-4"/>
          <w:w w:val="100"/>
        </w:rPr>
        <w:t>2019</w:t>
      </w:r>
      <w:r>
        <w:rPr>
          <w:spacing w:val="-4"/>
          <w:w w:val="100"/>
        </w:rPr>
        <w:t>年</w:t>
      </w:r>
      <w:r>
        <w:rPr>
          <w:rFonts w:ascii="宋体" w:hAnsi="宋体" w:cs="宋体" w:eastAsia="宋体" w:hint="default"/>
          <w:spacing w:val="-4"/>
          <w:w w:val="100"/>
        </w:rPr>
        <w:t>7</w:t>
      </w:r>
      <w:r>
        <w:rPr>
          <w:spacing w:val="-4"/>
          <w:w w:val="100"/>
        </w:rPr>
        <w:t>月该项</w:t>
      </w:r>
      <w:r>
        <w:rPr>
          <w:spacing w:val="-59"/>
          <w:w w:val="100"/>
        </w:rPr>
        <w:t> </w:t>
      </w:r>
      <w:r>
        <w:rPr>
          <w:spacing w:val="-59"/>
          <w:w w:val="100"/>
        </w:rPr>
      </w:r>
      <w:r>
        <w:rPr/>
        <w:t>目已完成验收并确认其他收益。</w:t>
      </w:r>
    </w:p>
    <w:p>
      <w:pPr>
        <w:pStyle w:val="BodyText"/>
        <w:spacing w:line="273" w:lineRule="auto"/>
        <w:ind w:right="1119" w:firstLine="422"/>
        <w:jc w:val="both"/>
      </w:pPr>
      <w:r>
        <w:rPr>
          <w:spacing w:val="-2"/>
        </w:rPr>
        <w:t>（</w:t>
      </w:r>
      <w:r>
        <w:rPr>
          <w:rFonts w:ascii="宋体" w:hAnsi="宋体" w:cs="宋体" w:eastAsia="宋体" w:hint="default"/>
          <w:spacing w:val="-2"/>
        </w:rPr>
        <w:t>14</w:t>
      </w:r>
      <w:r>
        <w:rPr>
          <w:spacing w:val="-2"/>
        </w:rPr>
        <w:t>）根据广州市天河区科技工业和信息化局项目——生产全流程赋智及大数据营销的服务型制造研</w:t>
      </w:r>
      <w:r>
        <w:rPr>
          <w:w w:val="100"/>
        </w:rPr>
        <w:t> </w:t>
      </w:r>
      <w:r>
        <w:rPr>
          <w:spacing w:val="-2"/>
        </w:rPr>
        <w:t>究及应用，该合同起止时间为</w:t>
      </w:r>
      <w:r>
        <w:rPr>
          <w:rFonts w:ascii="宋体" w:hAnsi="宋体" w:cs="宋体" w:eastAsia="宋体" w:hint="default"/>
          <w:spacing w:val="-2"/>
        </w:rPr>
        <w:t>2018</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10</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30</w:t>
      </w:r>
      <w:r>
        <w:rPr>
          <w:spacing w:val="-2"/>
        </w:rPr>
        <w:t>日，本公司之子公司广州易杰已收到科技经费</w:t>
      </w:r>
      <w:r>
        <w:rPr>
          <w:spacing w:val="-23"/>
        </w:rPr>
        <w:t> </w:t>
      </w:r>
      <w:r>
        <w:rPr>
          <w:spacing w:val="-23"/>
        </w:rPr>
      </w:r>
      <w:r>
        <w:rPr>
          <w:rFonts w:ascii="宋体" w:hAnsi="宋体" w:cs="宋体" w:eastAsia="宋体" w:hint="default"/>
        </w:rPr>
        <w:t>12</w:t>
      </w:r>
      <w:r>
        <w:rPr/>
        <w:t>万元，截止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日，该项目尚在进行中，且未验收。</w:t>
      </w:r>
    </w:p>
    <w:p>
      <w:pPr>
        <w:pStyle w:val="BodyText"/>
        <w:spacing w:line="240" w:lineRule="auto"/>
        <w:ind w:left="535" w:right="1007"/>
        <w:jc w:val="left"/>
        <w:rPr>
          <w:rFonts w:ascii="宋体" w:hAnsi="宋体" w:cs="宋体" w:eastAsia="宋体" w:hint="default"/>
        </w:rPr>
      </w:pPr>
      <w:r>
        <w:rPr>
          <w:w w:val="100"/>
        </w:rPr>
        <w:t>（</w:t>
      </w:r>
      <w:r>
        <w:rPr>
          <w:rFonts w:ascii="宋体" w:hAnsi="宋体" w:cs="宋体" w:eastAsia="宋体" w:hint="default"/>
          <w:w w:val="100"/>
        </w:rPr>
        <w:t>15</w:t>
      </w:r>
      <w:r>
        <w:rPr>
          <w:spacing w:val="-44"/>
          <w:w w:val="100"/>
        </w:rPr>
        <w:t>）</w:t>
      </w:r>
      <w:r>
        <w:rPr>
          <w:w w:val="100"/>
        </w:rPr>
        <w:t>根</w:t>
      </w:r>
      <w:r>
        <w:rPr>
          <w:spacing w:val="-44"/>
          <w:w w:val="100"/>
        </w:rPr>
        <w:t>据</w:t>
      </w:r>
      <w:r>
        <w:rPr>
          <w:w w:val="100"/>
        </w:rPr>
        <w:t>《</w:t>
      </w:r>
      <w:r>
        <w:rPr>
          <w:spacing w:val="-5"/>
          <w:w w:val="100"/>
        </w:rPr>
        <w:t>广</w:t>
      </w:r>
      <w:r>
        <w:rPr>
          <w:w w:val="100"/>
        </w:rPr>
        <w:t>州市天</w:t>
      </w:r>
      <w:r>
        <w:rPr>
          <w:spacing w:val="-5"/>
          <w:w w:val="100"/>
        </w:rPr>
        <w:t>河</w:t>
      </w:r>
      <w:r>
        <w:rPr>
          <w:w w:val="100"/>
        </w:rPr>
        <w:t>区产业</w:t>
      </w:r>
      <w:r>
        <w:rPr>
          <w:spacing w:val="-5"/>
          <w:w w:val="100"/>
        </w:rPr>
        <w:t>发</w:t>
      </w:r>
      <w:r>
        <w:rPr>
          <w:w w:val="100"/>
        </w:rPr>
        <w:t>展专</w:t>
      </w:r>
      <w:r>
        <w:rPr>
          <w:spacing w:val="-5"/>
          <w:w w:val="100"/>
        </w:rPr>
        <w:t>项</w:t>
      </w:r>
      <w:r>
        <w:rPr>
          <w:w w:val="100"/>
        </w:rPr>
        <w:t>资金支</w:t>
      </w:r>
      <w:r>
        <w:rPr>
          <w:spacing w:val="-5"/>
          <w:w w:val="100"/>
        </w:rPr>
        <w:t>持科</w:t>
      </w:r>
      <w:r>
        <w:rPr>
          <w:w w:val="100"/>
        </w:rPr>
        <w:t>技创新产</w:t>
      </w:r>
      <w:r>
        <w:rPr>
          <w:spacing w:val="-5"/>
          <w:w w:val="100"/>
        </w:rPr>
        <w:t>业</w:t>
      </w:r>
      <w:r>
        <w:rPr>
          <w:w w:val="100"/>
        </w:rPr>
        <w:t>发展实</w:t>
      </w:r>
      <w:r>
        <w:rPr>
          <w:spacing w:val="-5"/>
          <w:w w:val="100"/>
        </w:rPr>
        <w:t>施</w:t>
      </w:r>
      <w:r>
        <w:rPr>
          <w:w w:val="100"/>
        </w:rPr>
        <w:t>办法</w:t>
      </w:r>
      <w:r>
        <w:rPr>
          <w:spacing w:val="-149"/>
          <w:w w:val="100"/>
        </w:rPr>
        <w:t>》</w:t>
      </w:r>
      <w:r>
        <w:rPr>
          <w:w w:val="100"/>
        </w:rPr>
        <w:t>（</w:t>
      </w:r>
      <w:r>
        <w:rPr>
          <w:spacing w:val="-5"/>
          <w:w w:val="100"/>
        </w:rPr>
        <w:t>穗</w:t>
      </w:r>
      <w:r>
        <w:rPr>
          <w:w w:val="100"/>
        </w:rPr>
        <w:t>天科信</w:t>
      </w:r>
      <w:r>
        <w:rPr>
          <w:spacing w:val="3"/>
          <w:w w:val="100"/>
        </w:rPr>
        <w:t>字</w:t>
      </w:r>
      <w:r>
        <w:rPr>
          <w:rFonts w:ascii="宋体" w:hAnsi="宋体" w:cs="宋体" w:eastAsia="宋体" w:hint="default"/>
          <w:spacing w:val="-5"/>
          <w:w w:val="100"/>
        </w:rPr>
        <w:t>[</w:t>
      </w:r>
      <w:r>
        <w:rPr>
          <w:rFonts w:ascii="宋体" w:hAnsi="宋体" w:cs="宋体" w:eastAsia="宋体" w:hint="default"/>
          <w:w w:val="100"/>
        </w:rPr>
        <w:t>2015]21</w:t>
      </w:r>
    </w:p>
    <w:p>
      <w:pPr>
        <w:spacing w:after="0" w:line="240" w:lineRule="auto"/>
        <w:jc w:val="left"/>
        <w:rPr>
          <w:rFonts w:ascii="宋体" w:hAnsi="宋体" w:cs="宋体" w:eastAsia="宋体" w:hint="default"/>
        </w:rPr>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73" w:lineRule="auto" w:before="36"/>
        <w:ind w:right="1122"/>
        <w:jc w:val="both"/>
      </w:pPr>
      <w:r>
        <w:rPr>
          <w:spacing w:val="-4"/>
          <w:w w:val="100"/>
        </w:rPr>
        <w:t>号）以及《广州市天河区科技计划项目管理办法》（穗天科信字</w:t>
      </w:r>
      <w:r>
        <w:rPr>
          <w:rFonts w:ascii="宋体" w:hAnsi="宋体" w:cs="宋体" w:eastAsia="宋体" w:hint="default"/>
          <w:spacing w:val="-4"/>
          <w:w w:val="100"/>
        </w:rPr>
        <w:t>[2013]6</w:t>
      </w:r>
      <w:r>
        <w:rPr>
          <w:spacing w:val="-4"/>
          <w:w w:val="100"/>
        </w:rPr>
        <w:t>号）的有关规定，本公司之子公司</w:t>
      </w:r>
      <w:r>
        <w:rPr>
          <w:spacing w:val="-95"/>
          <w:w w:val="100"/>
        </w:rPr>
        <w:t> </w:t>
      </w:r>
      <w:r>
        <w:rPr>
          <w:spacing w:val="-95"/>
          <w:w w:val="100"/>
        </w:rPr>
      </w:r>
      <w:r>
        <w:rPr>
          <w:spacing w:val="-2"/>
        </w:rPr>
        <w:t>广州易星收到补助资金</w:t>
      </w:r>
      <w:r>
        <w:rPr>
          <w:rFonts w:ascii="宋体" w:hAnsi="宋体" w:cs="宋体" w:eastAsia="宋体" w:hint="default"/>
          <w:spacing w:val="-2"/>
        </w:rPr>
        <w:t>10</w:t>
      </w:r>
      <w:r>
        <w:rPr>
          <w:spacing w:val="-2"/>
        </w:rPr>
        <w:t>万元，用于项目无线视频勘测在线理赔车险服务平台。截止</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日，该</w:t>
      </w:r>
      <w:r>
        <w:rPr>
          <w:spacing w:val="-20"/>
        </w:rPr>
        <w:t> </w:t>
      </w:r>
      <w:r>
        <w:rPr>
          <w:spacing w:val="-20"/>
        </w:rPr>
      </w:r>
      <w:r>
        <w:rPr/>
        <w:t>项目已完成验收并确认为其他收益。</w:t>
      </w:r>
    </w:p>
    <w:p>
      <w:pPr>
        <w:pStyle w:val="BodyText"/>
        <w:spacing w:line="273" w:lineRule="auto" w:before="8"/>
        <w:ind w:right="1007" w:firstLine="422"/>
        <w:jc w:val="left"/>
      </w:pPr>
      <w:r>
        <w:rPr>
          <w:spacing w:val="-6"/>
        </w:rPr>
        <w:t>（</w:t>
      </w:r>
      <w:r>
        <w:rPr>
          <w:rFonts w:ascii="宋体" w:hAnsi="宋体" w:cs="宋体" w:eastAsia="宋体" w:hint="default"/>
          <w:spacing w:val="-6"/>
        </w:rPr>
        <w:t>16</w:t>
      </w:r>
      <w:r>
        <w:rPr>
          <w:spacing w:val="-6"/>
        </w:rPr>
        <w:t>）根据本公司与深圳市科技创新委员会签订的深圳市科技计划项目合同书（项目名称：重</w:t>
      </w:r>
      <w:r>
        <w:rPr>
          <w:rFonts w:ascii="宋体" w:hAnsi="宋体" w:cs="宋体" w:eastAsia="宋体" w:hint="default"/>
          <w:spacing w:val="-6"/>
        </w:rPr>
        <w:t>20170337</w:t>
      </w:r>
      <w:r>
        <w:rPr>
          <w:rFonts w:ascii="宋体" w:hAnsi="宋体" w:cs="宋体" w:eastAsia="宋体" w:hint="default"/>
          <w:w w:val="100"/>
        </w:rPr>
        <w:t> </w:t>
      </w:r>
      <w:r>
        <w:rPr>
          <w:spacing w:val="-2"/>
        </w:rPr>
        <w:t>互联网</w:t>
      </w:r>
      <w:r>
        <w:rPr>
          <w:rFonts w:ascii="宋体" w:hAnsi="宋体" w:cs="宋体" w:eastAsia="宋体" w:hint="default"/>
          <w:spacing w:val="-2"/>
        </w:rPr>
        <w:t>+</w:t>
      </w:r>
      <w:r>
        <w:rPr>
          <w:spacing w:val="-2"/>
        </w:rPr>
        <w:t>电动汽车充电站智能管理平台关键技术研发）之规定，本公司于</w:t>
      </w:r>
      <w:r>
        <w:rPr>
          <w:rFonts w:ascii="宋体" w:hAnsi="宋体" w:cs="宋体" w:eastAsia="宋体" w:hint="default"/>
          <w:spacing w:val="-2"/>
        </w:rPr>
        <w:t>2018</w:t>
      </w:r>
      <w:r>
        <w:rPr>
          <w:spacing w:val="-2"/>
        </w:rPr>
        <w:t>年</w:t>
      </w:r>
      <w:r>
        <w:rPr>
          <w:rFonts w:ascii="宋体" w:hAnsi="宋体" w:cs="宋体" w:eastAsia="宋体" w:hint="default"/>
          <w:spacing w:val="-2"/>
        </w:rPr>
        <w:t>2</w:t>
      </w:r>
      <w:r>
        <w:rPr>
          <w:spacing w:val="-2"/>
        </w:rPr>
        <w:t>月收到科技经费</w:t>
      </w:r>
      <w:r>
        <w:rPr>
          <w:rFonts w:ascii="宋体" w:hAnsi="宋体" w:cs="宋体" w:eastAsia="宋体" w:hint="default"/>
          <w:spacing w:val="-2"/>
        </w:rPr>
        <w:t>400</w:t>
      </w:r>
      <w:r>
        <w:rPr>
          <w:spacing w:val="-2"/>
        </w:rPr>
        <w:t>万元，</w:t>
      </w:r>
      <w:r>
        <w:rPr>
          <w:spacing w:val="-26"/>
        </w:rPr>
        <w:t> </w:t>
      </w:r>
      <w:r>
        <w:rPr>
          <w:spacing w:val="-26"/>
        </w:rPr>
      </w:r>
      <w:r>
        <w:rPr/>
        <w:t>该项目需验收合格后予以转销，截止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日，该项目尚在进行中，且未验收。</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3"/>
        <w:spacing w:line="240" w:lineRule="auto"/>
        <w:ind w:right="0"/>
        <w:jc w:val="both"/>
        <w:rPr>
          <w:b w:val="0"/>
          <w:bCs w:val="0"/>
        </w:rPr>
      </w:pPr>
      <w:bookmarkStart w:name="52、其他非流动负债" w:id="373"/>
      <w:bookmarkEnd w:id="373"/>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6" w:footer="1022" w:top="1100" w:bottom="1220" w:left="1020" w:right="0"/>
        </w:sect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pacing w:val="-2"/>
          <w:sz w:val="18"/>
          <w:szCs w:val="18"/>
        </w:rPr>
        <w:t>是否已执行新收入准则</w:t>
      </w:r>
    </w:p>
    <w:p>
      <w:pPr>
        <w:spacing w:before="119"/>
        <w:ind w:left="113"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1919" w:space="6912"/>
            <w:col w:w="2059"/>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3"/>
        <w:spacing w:line="240" w:lineRule="auto"/>
        <w:ind w:right="1764"/>
        <w:jc w:val="left"/>
        <w:rPr>
          <w:b w:val="0"/>
          <w:bCs w:val="0"/>
        </w:rPr>
      </w:pPr>
      <w:bookmarkStart w:name="53、股本" w:id="374"/>
      <w:bookmarkEnd w:id="374"/>
      <w:r>
        <w:rPr>
          <w:b w:val="0"/>
          <w:bCs w:val="0"/>
        </w:rPr>
      </w:r>
      <w:r>
        <w:rPr>
          <w:rFonts w:ascii="Times New Roman" w:hAnsi="Times New Roman" w:cs="Times New Roman" w:eastAsia="Times New Roman" w:hint="default"/>
        </w:rPr>
        <w:t>53</w:t>
      </w:r>
      <w:r>
        <w:rPr/>
        <w:t>、股本</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196"/>
        <w:gridCol w:w="1196"/>
        <w:gridCol w:w="1201"/>
        <w:gridCol w:w="1196"/>
        <w:gridCol w:w="1196"/>
        <w:gridCol w:w="1196"/>
        <w:gridCol w:w="1196"/>
        <w:gridCol w:w="1195"/>
      </w:tblGrid>
      <w:tr>
        <w:trPr>
          <w:trHeight w:val="403"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710"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399,083,860.</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00</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239,450,284.</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-789,472.00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238,660,812.</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z w:val="18"/>
              </w:rPr>
              <w:t>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637,744,672.</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00</w:t>
            </w:r>
          </w:p>
        </w:tc>
      </w:tr>
    </w:tbl>
    <w:p>
      <w:pPr>
        <w:spacing w:before="54"/>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73" w:lineRule="auto" w:before="0"/>
        <w:ind w:left="535" w:right="1007"/>
        <w:jc w:val="left"/>
      </w:pPr>
      <w:r>
        <w:rPr/>
        <w:t>股本变动情况说明：</w:t>
      </w:r>
      <w:r>
        <w:rPr>
          <w:spacing w:val="-100"/>
        </w:rPr>
        <w:t> </w:t>
      </w:r>
      <w:r>
        <w:rPr>
          <w:spacing w:val="-100"/>
        </w:rPr>
      </w:r>
      <w:r>
        <w:rPr>
          <w:spacing w:val="-2"/>
        </w:rPr>
        <w:t>根据公司</w:t>
      </w:r>
      <w:r>
        <w:rPr>
          <w:rFonts w:ascii="宋体" w:hAnsi="宋体" w:cs="宋体" w:eastAsia="宋体" w:hint="default"/>
          <w:spacing w:val="-2"/>
        </w:rPr>
        <w:t>2019</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27</w:t>
      </w:r>
      <w:r>
        <w:rPr>
          <w:spacing w:val="-2"/>
        </w:rPr>
        <w:t>日召开的第四届董事会第二十六次会议、</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26</w:t>
      </w:r>
      <w:r>
        <w:rPr>
          <w:spacing w:val="-2"/>
        </w:rPr>
        <w:t>日召开的</w:t>
      </w:r>
      <w:r>
        <w:rPr>
          <w:rFonts w:ascii="宋体" w:hAnsi="宋体" w:cs="宋体" w:eastAsia="宋体" w:hint="default"/>
          <w:spacing w:val="-2"/>
        </w:rPr>
        <w:t>2018</w:t>
      </w:r>
      <w:r>
        <w:rPr>
          <w:spacing w:val="-2"/>
        </w:rPr>
        <w:t>年度股东大</w:t>
      </w:r>
    </w:p>
    <w:p>
      <w:pPr>
        <w:pStyle w:val="BodyText"/>
        <w:spacing w:line="273" w:lineRule="auto"/>
        <w:ind w:right="1115"/>
        <w:jc w:val="left"/>
      </w:pPr>
      <w:r>
        <w:rPr>
          <w:spacing w:val="-2"/>
          <w:w w:val="100"/>
        </w:rPr>
        <w:t>会通过的《</w:t>
      </w:r>
      <w:r>
        <w:rPr>
          <w:rFonts w:ascii="宋体" w:hAnsi="宋体" w:cs="宋体" w:eastAsia="宋体" w:hint="default"/>
          <w:spacing w:val="-2"/>
          <w:w w:val="100"/>
        </w:rPr>
        <w:t>2018</w:t>
      </w:r>
      <w:r>
        <w:rPr>
          <w:rFonts w:ascii="宋体" w:hAnsi="宋体" w:cs="宋体" w:eastAsia="宋体" w:hint="default"/>
          <w:spacing w:val="17"/>
          <w:w w:val="100"/>
        </w:rPr>
        <w:t> </w:t>
      </w:r>
      <w:r>
        <w:rPr>
          <w:spacing w:val="-4"/>
          <w:w w:val="100"/>
        </w:rPr>
        <w:t>年度利润分配方案》，以公司本次转增前总股本</w:t>
      </w:r>
      <w:r>
        <w:rPr>
          <w:rFonts w:ascii="宋体" w:hAnsi="宋体" w:cs="宋体" w:eastAsia="宋体" w:hint="default"/>
          <w:spacing w:val="-4"/>
          <w:w w:val="100"/>
        </w:rPr>
        <w:t>399,083,860.00</w:t>
      </w:r>
      <w:r>
        <w:rPr>
          <w:spacing w:val="-4"/>
          <w:w w:val="100"/>
        </w:rPr>
        <w:t>股为基数，以资本公积金</w:t>
      </w:r>
      <w:r>
        <w:rPr>
          <w:spacing w:val="-103"/>
          <w:w w:val="100"/>
        </w:rPr>
        <w:t> </w:t>
      </w:r>
      <w:r>
        <w:rPr>
          <w:spacing w:val="-103"/>
          <w:w w:val="100"/>
        </w:rPr>
      </w:r>
      <w:r>
        <w:rPr/>
        <w:t>转增股本，向全体股东每 </w:t>
      </w:r>
      <w:r>
        <w:rPr>
          <w:rFonts w:ascii="宋体" w:hAnsi="宋体" w:cs="宋体" w:eastAsia="宋体" w:hint="default"/>
        </w:rPr>
        <w:t>10 </w:t>
      </w:r>
      <w:r>
        <w:rPr/>
        <w:t>股转增 </w:t>
      </w:r>
      <w:r>
        <w:rPr>
          <w:rFonts w:ascii="宋体" w:hAnsi="宋体" w:cs="宋体" w:eastAsia="宋体" w:hint="default"/>
        </w:rPr>
        <w:t>6</w:t>
      </w:r>
      <w:r>
        <w:rPr>
          <w:rFonts w:ascii="宋体" w:hAnsi="宋体" w:cs="宋体" w:eastAsia="宋体" w:hint="default"/>
          <w:spacing w:val="-3"/>
        </w:rPr>
        <w:t> </w:t>
      </w:r>
      <w:r>
        <w:rPr/>
        <w:t>股，共计转增</w:t>
      </w:r>
      <w:r>
        <w:rPr>
          <w:rFonts w:ascii="宋体" w:hAnsi="宋体" w:cs="宋体" w:eastAsia="宋体" w:hint="default"/>
        </w:rPr>
        <w:t>239,450,284.00</w:t>
      </w:r>
      <w:r>
        <w:rPr/>
        <w:t>股，转增后公司注册资本为人民币</w:t>
      </w:r>
      <w:r>
        <w:rPr>
          <w:w w:val="100"/>
        </w:rPr>
        <w:t> </w:t>
      </w:r>
      <w:r>
        <w:rPr>
          <w:rFonts w:ascii="宋体" w:hAnsi="宋体" w:cs="宋体" w:eastAsia="宋体" w:hint="default"/>
        </w:rPr>
        <w:t>638,534,144.00</w:t>
      </w:r>
      <w:r>
        <w:rPr/>
        <w:t>元。</w:t>
      </w:r>
    </w:p>
    <w:p>
      <w:pPr>
        <w:pStyle w:val="BodyText"/>
        <w:spacing w:line="240" w:lineRule="auto"/>
        <w:ind w:left="535" w:right="1007"/>
        <w:jc w:val="left"/>
      </w:pPr>
      <w:r>
        <w:rPr/>
        <w:t>根据公司</w:t>
      </w:r>
      <w:r>
        <w:rPr>
          <w:rFonts w:ascii="宋体" w:hAnsi="宋体" w:cs="宋体" w:eastAsia="宋体" w:hint="default"/>
        </w:rPr>
        <w:t>2018 </w:t>
      </w:r>
      <w:r>
        <w:rPr/>
        <w:t>年 </w:t>
      </w:r>
      <w:r>
        <w:rPr>
          <w:rFonts w:ascii="宋体" w:hAnsi="宋体" w:cs="宋体" w:eastAsia="宋体" w:hint="default"/>
        </w:rPr>
        <w:t>6 </w:t>
      </w:r>
      <w:r>
        <w:rPr/>
        <w:t>月 </w:t>
      </w:r>
      <w:r>
        <w:rPr>
          <w:rFonts w:ascii="宋体" w:hAnsi="宋体" w:cs="宋体" w:eastAsia="宋体" w:hint="default"/>
        </w:rPr>
        <w:t>15</w:t>
      </w:r>
      <w:r>
        <w:rPr>
          <w:rFonts w:ascii="宋体" w:hAnsi="宋体" w:cs="宋体" w:eastAsia="宋体" w:hint="default"/>
          <w:spacing w:val="-23"/>
        </w:rPr>
        <w:t> </w:t>
      </w:r>
      <w:r>
        <w:rPr/>
        <w:t>日召开的第四届董事会第二十一次会议、</w:t>
      </w:r>
      <w:r>
        <w:rPr>
          <w:rFonts w:ascii="宋体" w:hAnsi="宋体" w:cs="宋体" w:eastAsia="宋体" w:hint="default"/>
        </w:rPr>
        <w:t>2018</w:t>
      </w:r>
      <w:r>
        <w:rPr/>
        <w:t>年</w:t>
      </w:r>
      <w:r>
        <w:rPr>
          <w:rFonts w:ascii="宋体" w:hAnsi="宋体" w:cs="宋体" w:eastAsia="宋体" w:hint="default"/>
        </w:rPr>
        <w:t>10</w:t>
      </w:r>
      <w:r>
        <w:rPr/>
        <w:t>月</w:t>
      </w:r>
      <w:r>
        <w:rPr>
          <w:rFonts w:ascii="宋体" w:hAnsi="宋体" w:cs="宋体" w:eastAsia="宋体" w:hint="default"/>
        </w:rPr>
        <w:t>23</w:t>
      </w:r>
      <w:r>
        <w:rPr/>
        <w:t>日召开的第四届董</w:t>
      </w:r>
    </w:p>
    <w:p>
      <w:pPr>
        <w:pStyle w:val="BodyText"/>
        <w:spacing w:line="240" w:lineRule="auto" w:before="37"/>
        <w:ind w:right="1007"/>
        <w:jc w:val="left"/>
      </w:pPr>
      <w:r>
        <w:rPr/>
        <w:t>事会第二十四次会议、第四届董事会第二十一次会议、</w:t>
      </w:r>
      <w:r>
        <w:rPr>
          <w:rFonts w:ascii="宋体" w:hAnsi="宋体" w:cs="宋体" w:eastAsia="宋体" w:hint="default"/>
        </w:rPr>
        <w:t>2019 </w:t>
      </w:r>
      <w:r>
        <w:rPr/>
        <w:t>年 </w:t>
      </w:r>
      <w:r>
        <w:rPr>
          <w:rFonts w:ascii="宋体" w:hAnsi="宋体" w:cs="宋体" w:eastAsia="宋体" w:hint="default"/>
        </w:rPr>
        <w:t>3 </w:t>
      </w:r>
      <w:r>
        <w:rPr/>
        <w:t>月 </w:t>
      </w:r>
      <w:r>
        <w:rPr>
          <w:rFonts w:ascii="宋体" w:hAnsi="宋体" w:cs="宋体" w:eastAsia="宋体" w:hint="default"/>
        </w:rPr>
        <w:t>27</w:t>
      </w:r>
      <w:r>
        <w:rPr>
          <w:rFonts w:ascii="宋体" w:hAnsi="宋体" w:cs="宋体" w:eastAsia="宋体" w:hint="default"/>
          <w:spacing w:val="-20"/>
        </w:rPr>
        <w:t> </w:t>
      </w:r>
      <w:r>
        <w:rPr/>
        <w:t>日召开的第四届董事会第二十六</w:t>
      </w:r>
    </w:p>
    <w:p>
      <w:pPr>
        <w:pStyle w:val="BodyText"/>
        <w:spacing w:line="264" w:lineRule="auto" w:before="37"/>
        <w:ind w:right="1116"/>
        <w:jc w:val="left"/>
      </w:pPr>
      <w:r>
        <w:rPr/>
        <w:t>次会议及第四届监事会第二十三会议决议、</w:t>
      </w:r>
      <w:r>
        <w:rPr>
          <w:rFonts w:ascii="宋体" w:hAnsi="宋体" w:cs="宋体" w:eastAsia="宋体" w:hint="default"/>
        </w:rPr>
        <w:t>2019 </w:t>
      </w:r>
      <w:r>
        <w:rPr/>
        <w:t>年 </w:t>
      </w:r>
      <w:r>
        <w:rPr>
          <w:rFonts w:ascii="宋体" w:hAnsi="宋体" w:cs="宋体" w:eastAsia="宋体" w:hint="default"/>
        </w:rPr>
        <w:t>4 </w:t>
      </w:r>
      <w:r>
        <w:rPr/>
        <w:t>月 </w:t>
      </w:r>
      <w:r>
        <w:rPr>
          <w:rFonts w:ascii="宋体" w:hAnsi="宋体" w:cs="宋体" w:eastAsia="宋体" w:hint="default"/>
        </w:rPr>
        <w:t>26</w:t>
      </w:r>
      <w:r>
        <w:rPr>
          <w:rFonts w:ascii="宋体" w:hAnsi="宋体" w:cs="宋体" w:eastAsia="宋体" w:hint="default"/>
          <w:spacing w:val="-25"/>
        </w:rPr>
        <w:t> </w:t>
      </w:r>
      <w:r>
        <w:rPr/>
        <w:t>日召开的第五届董事会第一次会议及第五届</w:t>
      </w:r>
      <w:r>
        <w:rPr>
          <w:w w:val="100"/>
        </w:rPr>
        <w:t> </w:t>
      </w:r>
      <w:r>
        <w:rPr>
          <w:spacing w:val="-2"/>
        </w:rPr>
        <w:t>监事会第一次会议决议通过的《关于回购注销已不符合激励条件的激励对象已获授权但尚未解锁的限制性</w:t>
      </w:r>
      <w:r>
        <w:rPr>
          <w:spacing w:val="-33"/>
        </w:rPr>
        <w:t> </w:t>
      </w:r>
      <w:r>
        <w:rPr>
          <w:spacing w:val="-33"/>
        </w:rPr>
      </w:r>
      <w:r>
        <w:rPr>
          <w:spacing w:val="-5"/>
          <w:w w:val="100"/>
        </w:rPr>
        <w:t>股票的议案》，公司回购已不符合激励条件的激励对象已获授权但尚未解锁的限制性股票</w:t>
      </w:r>
      <w:r>
        <w:rPr>
          <w:rFonts w:ascii="宋体" w:hAnsi="宋体" w:cs="宋体" w:eastAsia="宋体" w:hint="default"/>
          <w:spacing w:val="-5"/>
          <w:w w:val="100"/>
        </w:rPr>
        <w:t>789,472</w:t>
      </w:r>
      <w:r>
        <w:rPr>
          <w:rFonts w:ascii="Times New Roman" w:hAnsi="Times New Roman" w:cs="Times New Roman" w:eastAsia="Times New Roman" w:hint="default"/>
          <w:spacing w:val="-5"/>
          <w:w w:val="100"/>
        </w:rPr>
        <w:t>.00</w:t>
      </w:r>
      <w:r>
        <w:rPr>
          <w:spacing w:val="-5"/>
          <w:w w:val="100"/>
        </w:rPr>
        <w:t>股，并</w:t>
      </w:r>
      <w:r>
        <w:rPr>
          <w:spacing w:val="-82"/>
          <w:w w:val="100"/>
        </w:rPr>
        <w:t> </w:t>
      </w:r>
      <w:r>
        <w:rPr>
          <w:spacing w:val="-82"/>
          <w:w w:val="100"/>
        </w:rPr>
      </w:r>
      <w:r>
        <w:rPr/>
        <w:t>申请减少注册资本</w:t>
      </w:r>
      <w:r>
        <w:rPr>
          <w:rFonts w:ascii="宋体" w:hAnsi="宋体" w:cs="宋体" w:eastAsia="宋体" w:hint="default"/>
        </w:rPr>
        <w:t>789,472</w:t>
      </w:r>
      <w:r>
        <w:rPr>
          <w:rFonts w:ascii="Times New Roman" w:hAnsi="Times New Roman" w:cs="Times New Roman" w:eastAsia="Times New Roman" w:hint="default"/>
        </w:rPr>
        <w:t>.00</w:t>
      </w:r>
      <w:r>
        <w:rPr/>
        <w:t>元，由此减少注册资本</w:t>
      </w:r>
      <w:r>
        <w:rPr>
          <w:rFonts w:ascii="宋体" w:hAnsi="宋体" w:cs="宋体" w:eastAsia="宋体" w:hint="default"/>
        </w:rPr>
        <w:t>789,472</w:t>
      </w:r>
      <w:r>
        <w:rPr>
          <w:rFonts w:ascii="Times New Roman" w:hAnsi="Times New Roman" w:cs="Times New Roman" w:eastAsia="Times New Roman" w:hint="default"/>
        </w:rPr>
        <w:t>.00</w:t>
      </w:r>
      <w:r>
        <w:rPr/>
        <w:t>元。上述变更后公司注册资本变更为</w:t>
      </w:r>
      <w:r>
        <w:rPr>
          <w:spacing w:val="-101"/>
        </w:rPr>
        <w:t> </w:t>
      </w:r>
      <w:r>
        <w:rPr>
          <w:spacing w:val="-101"/>
        </w:rPr>
      </w:r>
      <w:r>
        <w:rPr>
          <w:rFonts w:ascii="宋体" w:hAnsi="宋体" w:cs="宋体" w:eastAsia="宋体" w:hint="default"/>
        </w:rPr>
        <w:t>637,744,672.00</w:t>
      </w:r>
      <w:r>
        <w:rPr/>
        <w:t>元。</w:t>
      </w:r>
    </w:p>
    <w:p>
      <w:pPr>
        <w:spacing w:after="0" w:line="264" w:lineRule="auto"/>
        <w:jc w:val="left"/>
        <w:sectPr>
          <w:type w:val="continuous"/>
          <w:pgSz w:w="11910" w:h="16840"/>
          <w:pgMar w:top="1100" w:bottom="1220" w:left="1020" w:right="0"/>
        </w:sectPr>
      </w:pPr>
    </w:p>
    <w:p>
      <w:pPr>
        <w:spacing w:line="240" w:lineRule="auto" w:before="13"/>
        <w:rPr>
          <w:rFonts w:ascii="宋体" w:hAnsi="宋体" w:cs="宋体" w:eastAsia="宋体" w:hint="default"/>
          <w:sz w:val="21"/>
          <w:szCs w:val="21"/>
        </w:rPr>
      </w:pPr>
    </w:p>
    <w:p>
      <w:pPr>
        <w:pStyle w:val="Heading3"/>
        <w:spacing w:line="240" w:lineRule="auto" w:before="36"/>
        <w:ind w:right="1764"/>
        <w:jc w:val="left"/>
        <w:rPr>
          <w:b w:val="0"/>
          <w:bCs w:val="0"/>
        </w:rPr>
      </w:pPr>
      <w:bookmarkStart w:name="54、其他权益工具" w:id="375"/>
      <w:bookmarkEnd w:id="375"/>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764"/>
        <w:jc w:val="left"/>
        <w:rPr>
          <w:b w:val="0"/>
          <w:bCs w:val="0"/>
        </w:rPr>
      </w:pPr>
      <w:bookmarkStart w:name="（1）期末发行在外的优先股、永续债等其他金融工具基本情况" w:id="376"/>
      <w:bookmarkEnd w:id="376"/>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2）期末发行在外的优先股、永续债等金融工具变动情况表" w:id="377"/>
      <w:bookmarkEnd w:id="377"/>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066"/>
        <w:gridCol w:w="1066"/>
        <w:gridCol w:w="1066"/>
        <w:gridCol w:w="1061"/>
        <w:gridCol w:w="1066"/>
        <w:gridCol w:w="1061"/>
        <w:gridCol w:w="1061"/>
        <w:gridCol w:w="1061"/>
        <w:gridCol w:w="1066"/>
      </w:tblGrid>
      <w:tr>
        <w:trPr>
          <w:trHeight w:val="398"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68" w:right="161"/>
              <w:jc w:val="center"/>
              <w:rPr>
                <w:rFonts w:ascii="宋体" w:hAnsi="宋体" w:cs="宋体" w:eastAsia="宋体" w:hint="default"/>
                <w:sz w:val="18"/>
                <w:szCs w:val="18"/>
              </w:rPr>
            </w:pPr>
            <w:r>
              <w:rPr>
                <w:rFonts w:ascii="宋体" w:hAnsi="宋体" w:cs="宋体" w:eastAsia="宋体" w:hint="default"/>
                <w:spacing w:val="-2"/>
                <w:sz w:val="18"/>
                <w:szCs w:val="18"/>
              </w:rPr>
              <w:t>发行在外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的金融工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具</w:t>
            </w:r>
          </w:p>
        </w:tc>
        <w:tc>
          <w:tcPr>
            <w:tcW w:w="21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624"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2" w:lineRule="auto" w:before="53"/>
        <w:ind w:left="113" w:right="4333" w:firstLine="0"/>
        <w:jc w:val="left"/>
        <w:rPr>
          <w:rFonts w:ascii="宋体" w:hAnsi="宋体" w:cs="宋体" w:eastAsia="宋体" w:hint="default"/>
          <w:sz w:val="18"/>
          <w:szCs w:val="18"/>
        </w:rPr>
      </w:pPr>
      <w:r>
        <w:rPr>
          <w:rFonts w:ascii="宋体" w:hAnsi="宋体" w:cs="宋体" w:eastAsia="宋体" w:hint="default"/>
          <w:spacing w:val="-3"/>
          <w:sz w:val="18"/>
          <w:szCs w:val="18"/>
        </w:rPr>
        <w:t>其他权益工具本期增减变动情况、变动原因说明，以及相关会计处理的依据：</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z w:val="18"/>
          <w:szCs w:val="18"/>
        </w:rPr>
        <w:t>其他说明：</w:t>
      </w:r>
    </w:p>
    <w:p>
      <w:pPr>
        <w:spacing w:line="240" w:lineRule="auto" w:before="4"/>
        <w:rPr>
          <w:rFonts w:ascii="宋体" w:hAnsi="宋体" w:cs="宋体" w:eastAsia="宋体" w:hint="default"/>
          <w:sz w:val="19"/>
          <w:szCs w:val="19"/>
        </w:rPr>
      </w:pPr>
    </w:p>
    <w:p>
      <w:pPr>
        <w:pStyle w:val="Heading3"/>
        <w:spacing w:line="240" w:lineRule="auto"/>
        <w:ind w:right="1764"/>
        <w:jc w:val="left"/>
        <w:rPr>
          <w:b w:val="0"/>
          <w:bCs w:val="0"/>
        </w:rPr>
      </w:pPr>
      <w:bookmarkStart w:name="55、资本公积" w:id="378"/>
      <w:bookmarkEnd w:id="378"/>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4"/>
                <w:sz w:val="18"/>
                <w:szCs w:val="18"/>
              </w:rPr>
              <w:t>资本溢价（股本溢价）</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1,713,330,611.65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5,649,502.08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245,438,360.33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47" w:right="0"/>
              <w:jc w:val="left"/>
              <w:rPr>
                <w:rFonts w:ascii="Times New Roman" w:hAnsi="Times New Roman" w:cs="Times New Roman" w:eastAsia="Times New Roman" w:hint="default"/>
                <w:sz w:val="18"/>
                <w:szCs w:val="18"/>
              </w:rPr>
            </w:pPr>
            <w:r>
              <w:rPr>
                <w:rFonts w:ascii="Times New Roman"/>
                <w:sz w:val="18"/>
              </w:rPr>
              <w:t>1,473,541,753.40</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5,638,128.46</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5,638,128.46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1,718,968,740.11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5,649,502.08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251,076,488.79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47" w:right="0"/>
              <w:jc w:val="left"/>
              <w:rPr>
                <w:rFonts w:ascii="Times New Roman" w:hAnsi="Times New Roman" w:cs="Times New Roman" w:eastAsia="Times New Roman" w:hint="default"/>
                <w:sz w:val="18"/>
                <w:szCs w:val="18"/>
              </w:rPr>
            </w:pPr>
            <w:r>
              <w:rPr>
                <w:rFonts w:ascii="Times New Roman"/>
                <w:sz w:val="18"/>
              </w:rPr>
              <w:t>1,473,541,753.40</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其他说明，包括本期增减变动情况、变动原因说明：</w:t>
      </w:r>
    </w:p>
    <w:p>
      <w:pPr>
        <w:spacing w:line="240" w:lineRule="auto" w:before="9"/>
        <w:rPr>
          <w:rFonts w:ascii="宋体" w:hAnsi="宋体" w:cs="宋体" w:eastAsia="宋体" w:hint="default"/>
          <w:sz w:val="12"/>
          <w:szCs w:val="12"/>
        </w:rPr>
      </w:pPr>
    </w:p>
    <w:p>
      <w:pPr>
        <w:pStyle w:val="BodyText"/>
        <w:spacing w:line="273" w:lineRule="auto" w:before="0"/>
        <w:ind w:left="535" w:right="1007"/>
        <w:jc w:val="left"/>
      </w:pPr>
      <w:r>
        <w:rPr/>
        <w:t>资本公积的说明：</w:t>
      </w:r>
      <w:r>
        <w:rPr>
          <w:spacing w:val="-101"/>
        </w:rPr>
        <w:t> </w:t>
      </w:r>
      <w:r>
        <w:rPr>
          <w:spacing w:val="-101"/>
        </w:rPr>
      </w:r>
      <w:r>
        <w:rPr>
          <w:spacing w:val="-1"/>
        </w:rPr>
        <w:t>资本溢价本期增加合计</w:t>
      </w:r>
      <w:r>
        <w:rPr>
          <w:rFonts w:ascii="宋体" w:hAnsi="宋体" w:cs="宋体" w:eastAsia="宋体" w:hint="default"/>
          <w:spacing w:val="-1"/>
        </w:rPr>
        <w:t>5,649,502.08</w:t>
      </w:r>
      <w:r>
        <w:rPr>
          <w:spacing w:val="-1"/>
        </w:rPr>
        <w:t>元，其中</w:t>
      </w:r>
      <w:r>
        <w:rPr>
          <w:rFonts w:ascii="宋体" w:hAnsi="宋体" w:cs="宋体" w:eastAsia="宋体" w:hint="default"/>
          <w:spacing w:val="-1"/>
        </w:rPr>
        <w:t>5</w:t>
      </w:r>
      <w:r>
        <w:rPr>
          <w:rFonts w:ascii="Times New Roman" w:hAnsi="Times New Roman" w:cs="Times New Roman" w:eastAsia="Times New Roman" w:hint="default"/>
          <w:spacing w:val="-1"/>
        </w:rPr>
        <w:t>,</w:t>
      </w:r>
      <w:r>
        <w:rPr>
          <w:rFonts w:ascii="宋体" w:hAnsi="宋体" w:cs="宋体" w:eastAsia="宋体" w:hint="default"/>
          <w:spacing w:val="-1"/>
        </w:rPr>
        <w:t>443</w:t>
      </w:r>
      <w:r>
        <w:rPr>
          <w:rFonts w:ascii="Times New Roman" w:hAnsi="Times New Roman" w:cs="Times New Roman" w:eastAsia="Times New Roman" w:hint="default"/>
          <w:spacing w:val="-1"/>
        </w:rPr>
        <w:t>,</w:t>
      </w:r>
      <w:r>
        <w:rPr>
          <w:rFonts w:ascii="宋体" w:hAnsi="宋体" w:cs="宋体" w:eastAsia="宋体" w:hint="default"/>
          <w:spacing w:val="-1"/>
        </w:rPr>
        <w:t>941.74</w:t>
      </w:r>
      <w:r>
        <w:rPr>
          <w:spacing w:val="-1"/>
        </w:rPr>
        <w:t>元系第三期限制性股票解禁原计入股份支</w:t>
      </w:r>
    </w:p>
    <w:p>
      <w:pPr>
        <w:pStyle w:val="BodyText"/>
        <w:spacing w:line="261" w:lineRule="auto" w:before="0"/>
        <w:ind w:right="1016"/>
        <w:jc w:val="left"/>
      </w:pPr>
      <w:r>
        <w:rPr/>
        <w:t>付资本公积</w:t>
      </w:r>
      <w:r>
        <w:rPr>
          <w:rFonts w:ascii="Times New Roman" w:hAnsi="Times New Roman" w:cs="Times New Roman" w:eastAsia="Times New Roman" w:hint="default"/>
        </w:rPr>
        <w:t>-</w:t>
      </w:r>
      <w:r>
        <w:rPr/>
        <w:t>其他资本公积的成本转入资本公积</w:t>
      </w:r>
      <w:r>
        <w:rPr>
          <w:rFonts w:ascii="Times New Roman" w:hAnsi="Times New Roman" w:cs="Times New Roman" w:eastAsia="Times New Roman" w:hint="default"/>
        </w:rPr>
        <w:t>-</w:t>
      </w:r>
      <w:r>
        <w:rPr/>
        <w:t>资本溢价所致；其中</w:t>
      </w:r>
      <w:r>
        <w:rPr>
          <w:rFonts w:ascii="宋体" w:hAnsi="宋体" w:cs="宋体" w:eastAsia="宋体" w:hint="default"/>
        </w:rPr>
        <w:t>205</w:t>
      </w:r>
      <w:r>
        <w:rPr>
          <w:rFonts w:ascii="Times New Roman" w:hAnsi="Times New Roman" w:cs="Times New Roman" w:eastAsia="Times New Roman" w:hint="default"/>
        </w:rPr>
        <w:t>,</w:t>
      </w:r>
      <w:r>
        <w:rPr>
          <w:rFonts w:ascii="宋体" w:hAnsi="宋体" w:cs="宋体" w:eastAsia="宋体" w:hint="default"/>
        </w:rPr>
        <w:t>560.34</w:t>
      </w:r>
      <w:r>
        <w:rPr/>
        <w:t>元系本期收购广州易星</w:t>
      </w:r>
      <w:r>
        <w:rPr>
          <w:rFonts w:ascii="宋体" w:hAnsi="宋体" w:cs="宋体" w:eastAsia="宋体" w:hint="default"/>
        </w:rPr>
        <w:t>4%</w:t>
      </w:r>
      <w:r>
        <w:rPr>
          <w:rFonts w:ascii="宋体" w:hAnsi="宋体" w:cs="宋体" w:eastAsia="宋体" w:hint="default"/>
          <w:w w:val="100"/>
        </w:rPr>
        <w:t> </w:t>
      </w:r>
      <w:r>
        <w:rPr/>
        <w:t>的少数股东权益，出售深圳宝贝团</w:t>
      </w:r>
      <w:r>
        <w:rPr>
          <w:rFonts w:ascii="宋体" w:hAnsi="宋体" w:cs="宋体" w:eastAsia="宋体" w:hint="default"/>
        </w:rPr>
        <w:t>6%</w:t>
      </w:r>
      <w:r>
        <w:rPr/>
        <w:t>股权调增资本公积</w:t>
      </w:r>
      <w:r>
        <w:rPr>
          <w:rFonts w:ascii="Times New Roman" w:hAnsi="Times New Roman" w:cs="Times New Roman" w:eastAsia="Times New Roman" w:hint="default"/>
        </w:rPr>
        <w:t>-</w:t>
      </w:r>
      <w:r>
        <w:rPr/>
        <w:t>资本溢价</w:t>
      </w:r>
      <w:r>
        <w:rPr>
          <w:rFonts w:ascii="宋体" w:hAnsi="宋体" w:cs="宋体" w:eastAsia="宋体" w:hint="default"/>
        </w:rPr>
        <w:t>205</w:t>
      </w:r>
      <w:r>
        <w:rPr>
          <w:rFonts w:ascii="Times New Roman" w:hAnsi="Times New Roman" w:cs="Times New Roman" w:eastAsia="Times New Roman" w:hint="default"/>
        </w:rPr>
        <w:t>,</w:t>
      </w:r>
      <w:r>
        <w:rPr>
          <w:rFonts w:ascii="宋体" w:hAnsi="宋体" w:cs="宋体" w:eastAsia="宋体" w:hint="default"/>
        </w:rPr>
        <w:t>560.34</w:t>
      </w:r>
      <w:r>
        <w:rPr/>
        <w:t>元。资本溢价本期减少合计</w:t>
      </w:r>
      <w:r>
        <w:rPr>
          <w:w w:val="100"/>
        </w:rPr>
        <w:t> </w:t>
      </w:r>
      <w:r>
        <w:rPr>
          <w:rFonts w:ascii="宋体" w:hAnsi="宋体" w:cs="宋体" w:eastAsia="宋体" w:hint="default"/>
        </w:rPr>
        <w:t>245,438,360.33</w:t>
      </w:r>
      <w:r>
        <w:rPr/>
        <w:t>元，其中</w:t>
      </w:r>
      <w:r>
        <w:rPr>
          <w:rFonts w:ascii="宋体" w:hAnsi="宋体" w:cs="宋体" w:eastAsia="宋体" w:hint="default"/>
        </w:rPr>
        <w:t>239,450,284.00</w:t>
      </w:r>
      <w:r>
        <w:rPr/>
        <w:t>元系本期以资本公积转增股本，向全体股东每 </w:t>
      </w:r>
      <w:r>
        <w:rPr>
          <w:rFonts w:ascii="宋体" w:hAnsi="宋体" w:cs="宋体" w:eastAsia="宋体" w:hint="default"/>
          <w:spacing w:val="-3"/>
        </w:rPr>
        <w:t>10 </w:t>
      </w:r>
      <w:r>
        <w:rPr/>
        <w:t>股转增 </w:t>
      </w:r>
      <w:r>
        <w:rPr>
          <w:rFonts w:ascii="宋体" w:hAnsi="宋体" w:cs="宋体" w:eastAsia="宋体" w:hint="default"/>
        </w:rPr>
        <w:t>6</w:t>
      </w:r>
      <w:r>
        <w:rPr>
          <w:rFonts w:ascii="宋体" w:hAnsi="宋体" w:cs="宋体" w:eastAsia="宋体" w:hint="default"/>
          <w:spacing w:val="-10"/>
        </w:rPr>
        <w:t> </w:t>
      </w:r>
      <w:r>
        <w:rPr/>
        <w:t>股，</w:t>
      </w:r>
      <w:r>
        <w:rPr>
          <w:w w:val="100"/>
        </w:rPr>
        <w:t> </w:t>
      </w:r>
      <w:r>
        <w:rPr/>
        <w:t>共计转增</w:t>
      </w:r>
      <w:r>
        <w:rPr>
          <w:rFonts w:ascii="宋体" w:hAnsi="宋体" w:cs="宋体" w:eastAsia="宋体" w:hint="default"/>
        </w:rPr>
        <w:t>239,450,284.00</w:t>
      </w:r>
      <w:r>
        <w:rPr/>
        <w:t>股；其中</w:t>
      </w:r>
      <w:r>
        <w:rPr>
          <w:rFonts w:ascii="宋体" w:hAnsi="宋体" w:cs="宋体" w:eastAsia="宋体" w:hint="default"/>
        </w:rPr>
        <w:t>5,988,076.33</w:t>
      </w:r>
      <w:r>
        <w:rPr/>
        <w:t>元系本期注销回购限制性股票</w:t>
      </w:r>
      <w:r>
        <w:rPr>
          <w:rFonts w:ascii="宋体" w:hAnsi="宋体" w:cs="宋体" w:eastAsia="宋体" w:hint="default"/>
        </w:rPr>
        <w:t>789,472</w:t>
      </w:r>
      <w:r>
        <w:rPr/>
        <w:t>股所致。</w:t>
      </w:r>
    </w:p>
    <w:p>
      <w:pPr>
        <w:pStyle w:val="BodyText"/>
        <w:spacing w:line="256" w:lineRule="auto" w:before="18"/>
        <w:ind w:right="1175" w:firstLine="422"/>
        <w:jc w:val="both"/>
      </w:pPr>
      <w:r>
        <w:rPr>
          <w:spacing w:val="-1"/>
        </w:rPr>
        <w:t>其他资本公积本期减少合计</w:t>
      </w:r>
      <w:r>
        <w:rPr>
          <w:rFonts w:ascii="宋体" w:hAnsi="宋体" w:cs="宋体" w:eastAsia="宋体" w:hint="default"/>
          <w:spacing w:val="-1"/>
        </w:rPr>
        <w:t>5,638,128.46</w:t>
      </w:r>
      <w:r>
        <w:rPr>
          <w:spacing w:val="-1"/>
        </w:rPr>
        <w:t>元，其中</w:t>
      </w:r>
      <w:r>
        <w:rPr>
          <w:rFonts w:ascii="宋体" w:hAnsi="宋体" w:cs="宋体" w:eastAsia="宋体" w:hint="default"/>
          <w:spacing w:val="-1"/>
        </w:rPr>
        <w:t>5</w:t>
      </w:r>
      <w:r>
        <w:rPr>
          <w:rFonts w:ascii="Times New Roman" w:hAnsi="Times New Roman" w:cs="Times New Roman" w:eastAsia="Times New Roman" w:hint="default"/>
          <w:spacing w:val="-1"/>
        </w:rPr>
        <w:t>,</w:t>
      </w:r>
      <w:r>
        <w:rPr>
          <w:rFonts w:ascii="宋体" w:hAnsi="宋体" w:cs="宋体" w:eastAsia="宋体" w:hint="default"/>
          <w:spacing w:val="-1"/>
        </w:rPr>
        <w:t>443</w:t>
      </w:r>
      <w:r>
        <w:rPr>
          <w:rFonts w:ascii="Times New Roman" w:hAnsi="Times New Roman" w:cs="Times New Roman" w:eastAsia="Times New Roman" w:hint="default"/>
          <w:spacing w:val="-1"/>
        </w:rPr>
        <w:t>,</w:t>
      </w:r>
      <w:r>
        <w:rPr>
          <w:rFonts w:ascii="宋体" w:hAnsi="宋体" w:cs="宋体" w:eastAsia="宋体" w:hint="default"/>
          <w:spacing w:val="-1"/>
        </w:rPr>
        <w:t>941.74</w:t>
      </w:r>
      <w:r>
        <w:rPr>
          <w:spacing w:val="-1"/>
        </w:rPr>
        <w:t>元系第三期限制性股票解禁原计入股</w:t>
      </w:r>
      <w:r>
        <w:rPr>
          <w:w w:val="100"/>
        </w:rPr>
        <w:t> </w:t>
      </w:r>
      <w:r>
        <w:rPr>
          <w:spacing w:val="-2"/>
        </w:rPr>
        <w:t>份支付资本公积</w:t>
      </w:r>
      <w:r>
        <w:rPr>
          <w:rFonts w:ascii="Times New Roman" w:hAnsi="Times New Roman" w:cs="Times New Roman" w:eastAsia="Times New Roman" w:hint="default"/>
          <w:spacing w:val="-2"/>
        </w:rPr>
        <w:t>-</w:t>
      </w:r>
      <w:r>
        <w:rPr>
          <w:spacing w:val="-2"/>
        </w:rPr>
        <w:t>其他资本公积的成本转入资本公积</w:t>
      </w:r>
      <w:r>
        <w:rPr>
          <w:rFonts w:ascii="Times New Roman" w:hAnsi="Times New Roman" w:cs="Times New Roman" w:eastAsia="Times New Roman" w:hint="default"/>
          <w:spacing w:val="-2"/>
        </w:rPr>
        <w:t>-</w:t>
      </w:r>
      <w:r>
        <w:rPr>
          <w:spacing w:val="-2"/>
        </w:rPr>
        <w:t>资本溢价所致；其中</w:t>
      </w:r>
      <w:r>
        <w:rPr>
          <w:rFonts w:ascii="宋体" w:hAnsi="宋体" w:cs="宋体" w:eastAsia="宋体" w:hint="default"/>
          <w:spacing w:val="-2"/>
        </w:rPr>
        <w:t>194,186.72</w:t>
      </w:r>
      <w:r>
        <w:rPr>
          <w:spacing w:val="-2"/>
        </w:rPr>
        <w:t>元系本报告期调整限</w:t>
      </w:r>
      <w:r>
        <w:rPr>
          <w:spacing w:val="-4"/>
        </w:rPr>
        <w:t> </w:t>
      </w:r>
      <w:r>
        <w:rPr>
          <w:spacing w:val="-4"/>
        </w:rPr>
      </w:r>
      <w:r>
        <w:rPr/>
        <w:t>制性股票股份支付成本所致。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Heading3"/>
        <w:spacing w:line="240" w:lineRule="auto"/>
        <w:ind w:right="1764"/>
        <w:jc w:val="left"/>
        <w:rPr>
          <w:b w:val="0"/>
          <w:bCs w:val="0"/>
        </w:rPr>
      </w:pPr>
      <w:bookmarkStart w:name="56、库存股" w:id="379"/>
      <w:bookmarkEnd w:id="379"/>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9"/>
        <w:rPr>
          <w:rFonts w:ascii="宋体" w:hAnsi="宋体" w:cs="宋体" w:eastAsia="宋体" w:hint="default"/>
          <w:b/>
          <w:bCs/>
          <w:sz w:val="26"/>
          <w:szCs w:val="26"/>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减少注册资本回购</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实行股权激励回购</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1,295,635.05</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1,295,635.05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1,295,635.05</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1,295,635.05</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2"/>
        <w:rPr>
          <w:rFonts w:ascii="宋体" w:hAnsi="宋体" w:cs="宋体" w:eastAsia="宋体" w:hint="default"/>
          <w:sz w:val="23"/>
          <w:szCs w:val="23"/>
        </w:rPr>
      </w:pPr>
    </w:p>
    <w:p>
      <w:pPr>
        <w:spacing w:before="46"/>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其他说明，包括本期增减变动情况、变动原因说明：</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57、其他综合收益" w:id="380"/>
      <w:bookmarkEnd w:id="380"/>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559"/>
        <w:gridCol w:w="975"/>
        <w:gridCol w:w="850"/>
        <w:gridCol w:w="1052"/>
        <w:gridCol w:w="850"/>
        <w:gridCol w:w="855"/>
        <w:gridCol w:w="854"/>
        <w:gridCol w:w="850"/>
        <w:gridCol w:w="725"/>
      </w:tblGrid>
      <w:tr>
        <w:trPr>
          <w:trHeight w:val="398" w:hRule="exact"/>
        </w:trPr>
        <w:tc>
          <w:tcPr>
            <w:tcW w:w="2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1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6" w:lineRule="auto"/>
              <w:ind w:left="177" w:right="170"/>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pacing w:val="-86"/>
                <w:sz w:val="18"/>
                <w:szCs w:val="18"/>
              </w:rPr>
              <w:t> </w:t>
            </w:r>
            <w:r>
              <w:rPr>
                <w:rFonts w:ascii="宋体" w:hAnsi="宋体" w:cs="宋体" w:eastAsia="宋体" w:hint="default"/>
                <w:sz w:val="18"/>
                <w:szCs w:val="18"/>
              </w:rPr>
              <w:t>余额</w:t>
            </w:r>
          </w:p>
        </w:tc>
      </w:tr>
      <w:tr>
        <w:trPr>
          <w:trHeight w:val="2276" w:hRule="exact"/>
        </w:trPr>
        <w:tc>
          <w:tcPr>
            <w:tcW w:w="2559"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48" w:right="146"/>
              <w:jc w:val="both"/>
              <w:rPr>
                <w:rFonts w:ascii="宋体" w:hAnsi="宋体" w:cs="宋体" w:eastAsia="宋体" w:hint="default"/>
                <w:sz w:val="18"/>
                <w:szCs w:val="18"/>
              </w:rPr>
            </w:pPr>
            <w:r>
              <w:rPr>
                <w:rFonts w:ascii="宋体" w:hAnsi="宋体" w:cs="宋体" w:eastAsia="宋体" w:hint="default"/>
                <w:sz w:val="18"/>
                <w:szCs w:val="18"/>
              </w:rPr>
              <w:t>本期所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得税前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发生额</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05" w:right="94"/>
              <w:jc w:val="center"/>
              <w:rPr>
                <w:rFonts w:ascii="宋体" w:hAnsi="宋体" w:cs="宋体" w:eastAsia="宋体" w:hint="default"/>
                <w:sz w:val="18"/>
                <w:szCs w:val="18"/>
              </w:rPr>
            </w:pPr>
            <w:r>
              <w:rPr>
                <w:rFonts w:ascii="宋体" w:hAnsi="宋体" w:cs="宋体" w:eastAsia="宋体" w:hint="default"/>
                <w:spacing w:val="-15"/>
                <w:sz w:val="18"/>
                <w:szCs w:val="18"/>
              </w:rPr>
              <w:t>减：前期计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入其他综</w:t>
            </w:r>
            <w:r>
              <w:rPr>
                <w:rFonts w:ascii="宋体" w:hAnsi="宋体" w:cs="宋体" w:eastAsia="宋体" w:hint="default"/>
                <w:w w:val="101"/>
                <w:sz w:val="18"/>
                <w:szCs w:val="18"/>
              </w:rPr>
              <w:t> </w:t>
            </w:r>
            <w:r>
              <w:rPr>
                <w:rFonts w:ascii="宋体" w:hAnsi="宋体" w:cs="宋体" w:eastAsia="宋体" w:hint="default"/>
                <w:sz w:val="18"/>
                <w:szCs w:val="18"/>
              </w:rPr>
              <w:t>合收益当</w:t>
            </w:r>
            <w:r>
              <w:rPr>
                <w:rFonts w:ascii="宋体" w:hAnsi="宋体" w:cs="宋体" w:eastAsia="宋体" w:hint="default"/>
                <w:w w:val="101"/>
                <w:sz w:val="18"/>
                <w:szCs w:val="18"/>
              </w:rPr>
              <w:t> </w:t>
            </w:r>
            <w:r>
              <w:rPr>
                <w:rFonts w:ascii="宋体" w:hAnsi="宋体" w:cs="宋体" w:eastAsia="宋体" w:hint="default"/>
                <w:sz w:val="18"/>
                <w:szCs w:val="18"/>
              </w:rPr>
              <w:t>期转入损</w:t>
            </w:r>
            <w:r>
              <w:rPr>
                <w:rFonts w:ascii="宋体" w:hAnsi="宋体" w:cs="宋体" w:eastAsia="宋体" w:hint="default"/>
                <w:w w:val="101"/>
                <w:sz w:val="18"/>
                <w:szCs w:val="18"/>
              </w:rPr>
              <w:t> </w:t>
            </w:r>
            <w:r>
              <w:rPr>
                <w:rFonts w:ascii="宋体" w:hAnsi="宋体" w:cs="宋体" w:eastAsia="宋体" w:hint="default"/>
                <w:sz w:val="18"/>
                <w:szCs w:val="18"/>
              </w:rPr>
              <w:t>益</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94"/>
              <w:jc w:val="center"/>
              <w:rPr>
                <w:rFonts w:ascii="宋体" w:hAnsi="宋体" w:cs="宋体" w:eastAsia="宋体" w:hint="default"/>
                <w:sz w:val="18"/>
                <w:szCs w:val="18"/>
              </w:rPr>
            </w:pPr>
            <w:r>
              <w:rPr>
                <w:rFonts w:ascii="宋体" w:hAnsi="宋体" w:cs="宋体" w:eastAsia="宋体" w:hint="default"/>
                <w:spacing w:val="-23"/>
                <w:w w:val="101"/>
                <w:sz w:val="18"/>
                <w:szCs w:val="18"/>
              </w:rPr>
              <w:t>减：前期</w:t>
            </w:r>
            <w:r>
              <w:rPr>
                <w:rFonts w:ascii="宋体" w:hAnsi="宋体" w:cs="宋体" w:eastAsia="宋体" w:hint="default"/>
                <w:w w:val="101"/>
                <w:sz w:val="18"/>
                <w:szCs w:val="18"/>
              </w:rPr>
              <w:t> </w:t>
            </w:r>
            <w:r>
              <w:rPr>
                <w:rFonts w:ascii="宋体" w:hAnsi="宋体" w:cs="宋体" w:eastAsia="宋体" w:hint="default"/>
                <w:sz w:val="18"/>
                <w:szCs w:val="18"/>
              </w:rPr>
              <w:t>计入其</w:t>
            </w:r>
            <w:r>
              <w:rPr>
                <w:rFonts w:ascii="宋体" w:hAnsi="宋体" w:cs="宋体" w:eastAsia="宋体" w:hint="default"/>
                <w:w w:val="101"/>
                <w:sz w:val="18"/>
                <w:szCs w:val="18"/>
              </w:rPr>
              <w:t> </w:t>
            </w:r>
            <w:r>
              <w:rPr>
                <w:rFonts w:ascii="宋体" w:hAnsi="宋体" w:cs="宋体" w:eastAsia="宋体" w:hint="default"/>
                <w:sz w:val="18"/>
                <w:szCs w:val="18"/>
              </w:rPr>
              <w:t>他综合</w:t>
            </w:r>
            <w:r>
              <w:rPr>
                <w:rFonts w:ascii="宋体" w:hAnsi="宋体" w:cs="宋体" w:eastAsia="宋体" w:hint="default"/>
                <w:w w:val="101"/>
                <w:sz w:val="18"/>
                <w:szCs w:val="18"/>
              </w:rPr>
              <w:t> </w:t>
            </w:r>
            <w:r>
              <w:rPr>
                <w:rFonts w:ascii="宋体" w:hAnsi="宋体" w:cs="宋体" w:eastAsia="宋体" w:hint="default"/>
                <w:sz w:val="18"/>
                <w:szCs w:val="18"/>
              </w:rPr>
              <w:t>收益当</w:t>
            </w:r>
            <w:r>
              <w:rPr>
                <w:rFonts w:ascii="宋体" w:hAnsi="宋体" w:cs="宋体" w:eastAsia="宋体" w:hint="default"/>
                <w:w w:val="101"/>
                <w:sz w:val="18"/>
                <w:szCs w:val="18"/>
              </w:rPr>
              <w:t> </w:t>
            </w:r>
            <w:r>
              <w:rPr>
                <w:rFonts w:ascii="宋体" w:hAnsi="宋体" w:cs="宋体" w:eastAsia="宋体" w:hint="default"/>
                <w:sz w:val="18"/>
                <w:szCs w:val="18"/>
              </w:rPr>
              <w:t>期转入</w:t>
            </w:r>
            <w:r>
              <w:rPr>
                <w:rFonts w:ascii="宋体" w:hAnsi="宋体" w:cs="宋体" w:eastAsia="宋体" w:hint="default"/>
                <w:w w:val="101"/>
                <w:sz w:val="18"/>
                <w:szCs w:val="18"/>
              </w:rPr>
              <w:t> </w:t>
            </w:r>
            <w:r>
              <w:rPr>
                <w:rFonts w:ascii="宋体" w:hAnsi="宋体" w:cs="宋体" w:eastAsia="宋体" w:hint="default"/>
                <w:sz w:val="18"/>
                <w:szCs w:val="18"/>
              </w:rPr>
              <w:t>留存收</w:t>
            </w:r>
            <w:r>
              <w:rPr>
                <w:rFonts w:ascii="宋体" w:hAnsi="宋体" w:cs="宋体" w:eastAsia="宋体" w:hint="default"/>
                <w:w w:val="101"/>
                <w:sz w:val="18"/>
                <w:szCs w:val="18"/>
              </w:rPr>
              <w:t> </w:t>
            </w:r>
            <w:r>
              <w:rPr>
                <w:rFonts w:ascii="宋体" w:hAnsi="宋体" w:cs="宋体" w:eastAsia="宋体" w:hint="default"/>
                <w:sz w:val="18"/>
                <w:szCs w:val="18"/>
              </w:rPr>
              <w:t>益</w:t>
            </w:r>
          </w:p>
        </w:tc>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53" w:right="99" w:hanging="48"/>
              <w:jc w:val="left"/>
              <w:rPr>
                <w:rFonts w:ascii="宋体" w:hAnsi="宋体" w:cs="宋体" w:eastAsia="宋体" w:hint="default"/>
                <w:sz w:val="18"/>
                <w:szCs w:val="18"/>
              </w:rPr>
            </w:pPr>
            <w:r>
              <w:rPr>
                <w:rFonts w:ascii="宋体" w:hAnsi="宋体" w:cs="宋体" w:eastAsia="宋体" w:hint="default"/>
                <w:spacing w:val="-23"/>
                <w:w w:val="101"/>
                <w:sz w:val="18"/>
                <w:szCs w:val="18"/>
              </w:rPr>
              <w:t>减：所得</w:t>
            </w:r>
            <w:r>
              <w:rPr>
                <w:rFonts w:ascii="宋体" w:hAnsi="宋体" w:cs="宋体" w:eastAsia="宋体" w:hint="default"/>
                <w:w w:val="101"/>
                <w:sz w:val="18"/>
                <w:szCs w:val="18"/>
              </w:rPr>
              <w:t> </w:t>
            </w:r>
            <w:r>
              <w:rPr>
                <w:rFonts w:ascii="宋体" w:hAnsi="宋体" w:cs="宋体" w:eastAsia="宋体" w:hint="default"/>
                <w:sz w:val="18"/>
                <w:szCs w:val="18"/>
              </w:rPr>
              <w:t>税费用</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3" w:right="146"/>
              <w:jc w:val="both"/>
              <w:rPr>
                <w:rFonts w:ascii="宋体" w:hAnsi="宋体" w:cs="宋体" w:eastAsia="宋体" w:hint="default"/>
                <w:sz w:val="18"/>
                <w:szCs w:val="18"/>
              </w:rPr>
            </w:pPr>
            <w:r>
              <w:rPr>
                <w:rFonts w:ascii="宋体" w:hAnsi="宋体" w:cs="宋体" w:eastAsia="宋体" w:hint="default"/>
                <w:sz w:val="18"/>
                <w:szCs w:val="18"/>
              </w:rPr>
              <w:t>税后归</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属于母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48" w:right="147"/>
              <w:jc w:val="both"/>
              <w:rPr>
                <w:rFonts w:ascii="宋体" w:hAnsi="宋体" w:cs="宋体" w:eastAsia="宋体" w:hint="default"/>
                <w:sz w:val="18"/>
                <w:szCs w:val="18"/>
              </w:rPr>
            </w:pPr>
            <w:r>
              <w:rPr>
                <w:rFonts w:ascii="宋体" w:hAnsi="宋体" w:cs="宋体" w:eastAsia="宋体" w:hint="default"/>
                <w:sz w:val="18"/>
                <w:szCs w:val="18"/>
              </w:rPr>
              <w:t>税后归</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属于少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数股东</w:t>
            </w:r>
          </w:p>
        </w:tc>
        <w:tc>
          <w:tcPr>
            <w:tcW w:w="725"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5" w:right="99"/>
              <w:jc w:val="left"/>
              <w:rPr>
                <w:rFonts w:ascii="宋体" w:hAnsi="宋体" w:cs="宋体" w:eastAsia="宋体" w:hint="default"/>
                <w:sz w:val="18"/>
                <w:szCs w:val="18"/>
              </w:rPr>
            </w:pPr>
            <w:r>
              <w:rPr>
                <w:rFonts w:ascii="宋体" w:hAnsi="宋体" w:cs="宋体" w:eastAsia="宋体" w:hint="default"/>
                <w:spacing w:val="-3"/>
                <w:sz w:val="18"/>
                <w:szCs w:val="18"/>
              </w:rPr>
              <w:t>一、不能重分类进损益的其他</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综合收益</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26,614,41</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1.65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13,713,4</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51.87</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1,371,34</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5.19</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12,342,1</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06.68</w:t>
            </w: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38,956</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,518.3</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1028" w:hRule="exact"/>
        </w:trPr>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05" w:right="99" w:firstLine="542"/>
              <w:jc w:val="left"/>
              <w:rPr>
                <w:rFonts w:ascii="宋体" w:hAnsi="宋体" w:cs="宋体" w:eastAsia="宋体" w:hint="default"/>
                <w:sz w:val="18"/>
                <w:szCs w:val="18"/>
              </w:rPr>
            </w:pPr>
            <w:r>
              <w:rPr>
                <w:rFonts w:ascii="宋体" w:hAnsi="宋体" w:cs="宋体" w:eastAsia="宋体" w:hint="default"/>
                <w:spacing w:val="-3"/>
                <w:sz w:val="18"/>
                <w:szCs w:val="18"/>
              </w:rPr>
              <w:t>其他权益工具投资公允</w:t>
            </w:r>
            <w:r>
              <w:rPr>
                <w:rFonts w:ascii="宋体" w:hAnsi="宋体" w:cs="宋体" w:eastAsia="宋体" w:hint="default"/>
                <w:w w:val="101"/>
                <w:sz w:val="18"/>
                <w:szCs w:val="18"/>
              </w:rPr>
              <w:t> </w:t>
            </w:r>
            <w:r>
              <w:rPr>
                <w:rFonts w:ascii="宋体" w:hAnsi="宋体" w:cs="宋体" w:eastAsia="宋体" w:hint="default"/>
                <w:sz w:val="18"/>
                <w:szCs w:val="18"/>
              </w:rPr>
              <w:t>价值变动</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26,614,41</w:t>
            </w:r>
          </w:p>
          <w:p>
            <w:pPr>
              <w:pStyle w:val="TableParagraph"/>
              <w:spacing w:line="240" w:lineRule="auto" w:before="110"/>
              <w:ind w:left="542" w:right="0"/>
              <w:jc w:val="left"/>
              <w:rPr>
                <w:rFonts w:ascii="Times New Roman" w:hAnsi="Times New Roman" w:cs="Times New Roman" w:eastAsia="Times New Roman" w:hint="default"/>
                <w:sz w:val="18"/>
                <w:szCs w:val="18"/>
              </w:rPr>
            </w:pPr>
            <w:r>
              <w:rPr>
                <w:rFonts w:ascii="Times New Roman"/>
                <w:sz w:val="18"/>
              </w:rPr>
              <w:t>1.65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13,713,4</w:t>
            </w:r>
          </w:p>
          <w:p>
            <w:pPr>
              <w:pStyle w:val="TableParagraph"/>
              <w:spacing w:line="240" w:lineRule="auto" w:before="110"/>
              <w:ind w:left="335" w:right="0"/>
              <w:jc w:val="left"/>
              <w:rPr>
                <w:rFonts w:ascii="Times New Roman" w:hAnsi="Times New Roman" w:cs="Times New Roman" w:eastAsia="Times New Roman" w:hint="default"/>
                <w:sz w:val="18"/>
                <w:szCs w:val="18"/>
              </w:rPr>
            </w:pPr>
            <w:r>
              <w:rPr>
                <w:rFonts w:ascii="Times New Roman"/>
                <w:sz w:val="18"/>
              </w:rPr>
              <w:t>51.87</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1,371,34</w:t>
            </w:r>
          </w:p>
          <w:p>
            <w:pPr>
              <w:pStyle w:val="TableParagraph"/>
              <w:spacing w:line="240" w:lineRule="auto" w:before="110"/>
              <w:ind w:left="427" w:right="0"/>
              <w:jc w:val="left"/>
              <w:rPr>
                <w:rFonts w:ascii="Times New Roman" w:hAnsi="Times New Roman" w:cs="Times New Roman" w:eastAsia="Times New Roman" w:hint="default"/>
                <w:sz w:val="18"/>
                <w:szCs w:val="18"/>
              </w:rPr>
            </w:pPr>
            <w:r>
              <w:rPr>
                <w:rFonts w:ascii="Times New Roman"/>
                <w:sz w:val="18"/>
              </w:rPr>
              <w:t>5.19</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12,342,1</w:t>
            </w:r>
          </w:p>
          <w:p>
            <w:pPr>
              <w:pStyle w:val="TableParagraph"/>
              <w:spacing w:line="240" w:lineRule="auto" w:before="110"/>
              <w:ind w:left="340" w:right="0"/>
              <w:jc w:val="left"/>
              <w:rPr>
                <w:rFonts w:ascii="Times New Roman" w:hAnsi="Times New Roman" w:cs="Times New Roman" w:eastAsia="Times New Roman" w:hint="default"/>
                <w:sz w:val="18"/>
                <w:szCs w:val="18"/>
              </w:rPr>
            </w:pPr>
            <w:r>
              <w:rPr>
                <w:rFonts w:ascii="Times New Roman"/>
                <w:sz w:val="18"/>
              </w:rPr>
              <w:t>06.68</w:t>
            </w: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38,956</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,518.3</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1022" w:hRule="exact"/>
        </w:trPr>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26,614,41</w:t>
            </w:r>
          </w:p>
          <w:p>
            <w:pPr>
              <w:pStyle w:val="TableParagraph"/>
              <w:spacing w:line="240" w:lineRule="auto" w:before="110"/>
              <w:ind w:left="542" w:right="0"/>
              <w:jc w:val="left"/>
              <w:rPr>
                <w:rFonts w:ascii="Times New Roman" w:hAnsi="Times New Roman" w:cs="Times New Roman" w:eastAsia="Times New Roman" w:hint="default"/>
                <w:sz w:val="18"/>
                <w:szCs w:val="18"/>
              </w:rPr>
            </w:pPr>
            <w:r>
              <w:rPr>
                <w:rFonts w:ascii="Times New Roman"/>
                <w:sz w:val="18"/>
              </w:rPr>
              <w:t>1.65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13,713,4</w:t>
            </w:r>
          </w:p>
          <w:p>
            <w:pPr>
              <w:pStyle w:val="TableParagraph"/>
              <w:spacing w:line="240" w:lineRule="auto" w:before="110"/>
              <w:ind w:left="335" w:right="0"/>
              <w:jc w:val="left"/>
              <w:rPr>
                <w:rFonts w:ascii="Times New Roman" w:hAnsi="Times New Roman" w:cs="Times New Roman" w:eastAsia="Times New Roman" w:hint="default"/>
                <w:sz w:val="18"/>
                <w:szCs w:val="18"/>
              </w:rPr>
            </w:pPr>
            <w:r>
              <w:rPr>
                <w:rFonts w:ascii="Times New Roman"/>
                <w:sz w:val="18"/>
              </w:rPr>
              <w:t>51.87</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1,371,34</w:t>
            </w:r>
          </w:p>
          <w:p>
            <w:pPr>
              <w:pStyle w:val="TableParagraph"/>
              <w:spacing w:line="240" w:lineRule="auto" w:before="110"/>
              <w:ind w:left="427" w:right="0"/>
              <w:jc w:val="left"/>
              <w:rPr>
                <w:rFonts w:ascii="Times New Roman" w:hAnsi="Times New Roman" w:cs="Times New Roman" w:eastAsia="Times New Roman" w:hint="default"/>
                <w:sz w:val="18"/>
                <w:szCs w:val="18"/>
              </w:rPr>
            </w:pPr>
            <w:r>
              <w:rPr>
                <w:rFonts w:ascii="Times New Roman"/>
                <w:sz w:val="18"/>
              </w:rPr>
              <w:t>5.19</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12,342,1</w:t>
            </w:r>
          </w:p>
          <w:p>
            <w:pPr>
              <w:pStyle w:val="TableParagraph"/>
              <w:spacing w:line="240" w:lineRule="auto" w:before="110"/>
              <w:ind w:left="340" w:right="0"/>
              <w:jc w:val="left"/>
              <w:rPr>
                <w:rFonts w:ascii="Times New Roman" w:hAnsi="Times New Roman" w:cs="Times New Roman" w:eastAsia="Times New Roman" w:hint="default"/>
                <w:sz w:val="18"/>
                <w:szCs w:val="18"/>
              </w:rPr>
            </w:pPr>
            <w:r>
              <w:rPr>
                <w:rFonts w:ascii="Times New Roman"/>
                <w:sz w:val="18"/>
              </w:rPr>
              <w:t>06.68</w:t>
            </w: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38,956</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,518.3</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其他说明，包括对现金流量套期损益的有效部分转为被套期项目初始确认金额调整：</w:t>
      </w:r>
    </w:p>
    <w:p>
      <w:pPr>
        <w:spacing w:line="240" w:lineRule="auto" w:before="9"/>
        <w:rPr>
          <w:rFonts w:ascii="宋体" w:hAnsi="宋体" w:cs="宋体" w:eastAsia="宋体" w:hint="default"/>
          <w:sz w:val="26"/>
          <w:szCs w:val="26"/>
        </w:rPr>
      </w:pPr>
    </w:p>
    <w:p>
      <w:pPr>
        <w:pStyle w:val="Heading3"/>
        <w:spacing w:line="240" w:lineRule="auto"/>
        <w:ind w:right="1764"/>
        <w:jc w:val="left"/>
        <w:rPr>
          <w:b w:val="0"/>
          <w:bCs w:val="0"/>
        </w:rPr>
      </w:pPr>
      <w:bookmarkStart w:name="58、专项储备" w:id="381"/>
      <w:bookmarkEnd w:id="381"/>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4"/>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其他说明，包括本期增减变动情况、变动原因说明：</w:t>
      </w:r>
    </w:p>
    <w:p>
      <w:pPr>
        <w:spacing w:line="240" w:lineRule="auto" w:before="8"/>
        <w:rPr>
          <w:rFonts w:ascii="宋体" w:hAnsi="宋体" w:cs="宋体" w:eastAsia="宋体" w:hint="default"/>
          <w:sz w:val="26"/>
          <w:szCs w:val="26"/>
        </w:rPr>
      </w:pPr>
    </w:p>
    <w:p>
      <w:pPr>
        <w:pStyle w:val="Heading3"/>
        <w:spacing w:line="240" w:lineRule="auto"/>
        <w:ind w:right="1764"/>
        <w:jc w:val="left"/>
        <w:rPr>
          <w:b w:val="0"/>
          <w:bCs w:val="0"/>
        </w:rPr>
      </w:pPr>
      <w:bookmarkStart w:name="59、盈余公积" w:id="382"/>
      <w:bookmarkEnd w:id="382"/>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79,005,526.29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1,241,580.87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80,247,107.16</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79,005,526.29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1,241,580.87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80,247,107.16</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盈余公积说明，包括本期增减变动情况、变动原因说明：</w:t>
      </w:r>
    </w:p>
    <w:p>
      <w:pPr>
        <w:spacing w:line="240" w:lineRule="auto" w:before="9"/>
        <w:rPr>
          <w:rFonts w:ascii="宋体" w:hAnsi="宋体" w:cs="宋体" w:eastAsia="宋体" w:hint="default"/>
          <w:sz w:val="26"/>
          <w:szCs w:val="26"/>
        </w:rPr>
      </w:pPr>
    </w:p>
    <w:p>
      <w:pPr>
        <w:pStyle w:val="Heading3"/>
        <w:spacing w:line="240" w:lineRule="auto"/>
        <w:ind w:right="1764"/>
        <w:jc w:val="left"/>
        <w:rPr>
          <w:b w:val="0"/>
          <w:bCs w:val="0"/>
        </w:rPr>
      </w:pPr>
      <w:bookmarkStart w:name="60、未分配利润" w:id="383"/>
      <w:bookmarkEnd w:id="383"/>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726"/>
        <w:gridCol w:w="2924"/>
        <w:gridCol w:w="2919"/>
      </w:tblGrid>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827,938,103.09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637,749,133.72</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4"/>
              <w:jc w:val="right"/>
              <w:rPr>
                <w:rFonts w:ascii="Times New Roman" w:hAnsi="Times New Roman" w:cs="Times New Roman" w:eastAsia="Times New Roman" w:hint="default"/>
                <w:sz w:val="18"/>
                <w:szCs w:val="18"/>
              </w:rPr>
            </w:pPr>
            <w:r>
              <w:rPr>
                <w:rFonts w:ascii="Times New Roman"/>
                <w:spacing w:val="-1"/>
                <w:sz w:val="18"/>
              </w:rPr>
              <w:t>827,938,103.09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4"/>
              <w:jc w:val="right"/>
              <w:rPr>
                <w:rFonts w:ascii="Times New Roman" w:hAnsi="Times New Roman" w:cs="Times New Roman" w:eastAsia="Times New Roman" w:hint="default"/>
                <w:sz w:val="18"/>
                <w:szCs w:val="18"/>
              </w:rPr>
            </w:pPr>
            <w:r>
              <w:rPr>
                <w:rFonts w:ascii="Times New Roman"/>
                <w:spacing w:val="-1"/>
                <w:sz w:val="18"/>
              </w:rPr>
              <w:t>637,749,133.72</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116,717,268.15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215,542,694.97</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1,241,580.87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9,364,381.30</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23,944,885.02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15,989,344.30</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pacing w:val="-3"/>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4"/>
              <w:jc w:val="right"/>
              <w:rPr>
                <w:rFonts w:ascii="Times New Roman" w:hAnsi="Times New Roman" w:cs="Times New Roman" w:eastAsia="Times New Roman" w:hint="default"/>
                <w:sz w:val="18"/>
                <w:szCs w:val="18"/>
              </w:rPr>
            </w:pPr>
            <w:r>
              <w:rPr>
                <w:rFonts w:ascii="Times New Roman"/>
                <w:spacing w:val="-1"/>
                <w:sz w:val="18"/>
              </w:rPr>
              <w:t>919,468,905.35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4"/>
              <w:jc w:val="right"/>
              <w:rPr>
                <w:rFonts w:ascii="Times New Roman" w:hAnsi="Times New Roman" w:cs="Times New Roman" w:eastAsia="Times New Roman" w:hint="default"/>
                <w:sz w:val="18"/>
                <w:szCs w:val="18"/>
              </w:rPr>
            </w:pPr>
            <w:r>
              <w:rPr>
                <w:rFonts w:ascii="Times New Roman"/>
                <w:spacing w:val="-1"/>
                <w:sz w:val="18"/>
              </w:rPr>
              <w:t>827,938,103.09</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调整期初未分配利润明细：</w:t>
      </w:r>
    </w:p>
    <w:p>
      <w:pPr>
        <w:spacing w:before="119"/>
        <w:ind w:left="113" w:right="1764"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、由于《企业会计准则》及其相关新规定进行追溯调整，影响期初未分配利润元。</w:t>
      </w:r>
    </w:p>
    <w:p>
      <w:pPr>
        <w:spacing w:before="101"/>
        <w:ind w:left="113" w:right="1764"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、由于会计政策变更，影响期初未分配利润元。</w:t>
      </w:r>
    </w:p>
    <w:p>
      <w:pPr>
        <w:spacing w:before="106"/>
        <w:ind w:left="113" w:right="1764"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、由于重大会计差错更正，影响期初未分配利润元。</w:t>
      </w:r>
    </w:p>
    <w:p>
      <w:pPr>
        <w:spacing w:before="102"/>
        <w:ind w:left="113" w:right="1764"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、由于同一控制导致的合并范围变更，影响期初未分配利润元。</w:t>
      </w:r>
    </w:p>
    <w:p>
      <w:pPr>
        <w:spacing w:before="101"/>
        <w:ind w:left="113" w:right="1764"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、其他调整合计影响期初未分配利润元。</w:t>
      </w:r>
    </w:p>
    <w:p>
      <w:pPr>
        <w:spacing w:line="240" w:lineRule="auto" w:before="8"/>
        <w:rPr>
          <w:rFonts w:ascii="宋体" w:hAnsi="宋体" w:cs="宋体" w:eastAsia="宋体" w:hint="default"/>
          <w:sz w:val="25"/>
          <w:szCs w:val="25"/>
        </w:rPr>
      </w:pPr>
    </w:p>
    <w:p>
      <w:pPr>
        <w:pStyle w:val="Heading3"/>
        <w:spacing w:line="240" w:lineRule="auto"/>
        <w:ind w:right="1764"/>
        <w:jc w:val="left"/>
        <w:rPr>
          <w:b w:val="0"/>
          <w:bCs w:val="0"/>
        </w:rPr>
      </w:pPr>
      <w:bookmarkStart w:name="61、营业收入和营业成本" w:id="384"/>
      <w:bookmarkEnd w:id="384"/>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4,470,792,753.32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3,743,591,172.20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3,766,064,718.10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2,992,512,782.47</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761,724.75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258,718.56</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4,470,792,753.32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3,743,591,172.20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3,766,826,442.85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2,992,771,501.03</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62" w:lineRule="auto" w:before="115"/>
        <w:ind w:left="113" w:right="9217" w:firstLine="0"/>
        <w:jc w:val="left"/>
        <w:rPr>
          <w:rFonts w:ascii="宋体" w:hAnsi="宋体" w:cs="宋体" w:eastAsia="宋体" w:hint="default"/>
          <w:sz w:val="18"/>
          <w:szCs w:val="18"/>
        </w:rPr>
      </w:pPr>
      <w:r>
        <w:rPr>
          <w:rFonts w:ascii="宋体" w:hAnsi="宋体" w:cs="宋体" w:eastAsia="宋体" w:hint="default"/>
          <w:sz w:val="18"/>
          <w:szCs w:val="18"/>
        </w:rPr>
        <w:t>□ 是 √ 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其他说明</w:t>
      </w:r>
    </w:p>
    <w:p>
      <w:pPr>
        <w:spacing w:line="240" w:lineRule="auto" w:before="4"/>
        <w:rPr>
          <w:rFonts w:ascii="宋体" w:hAnsi="宋体" w:cs="宋体" w:eastAsia="宋体" w:hint="default"/>
          <w:sz w:val="19"/>
          <w:szCs w:val="19"/>
        </w:rPr>
      </w:pPr>
    </w:p>
    <w:p>
      <w:pPr>
        <w:pStyle w:val="Heading3"/>
        <w:spacing w:line="240" w:lineRule="auto"/>
        <w:ind w:right="1764"/>
        <w:jc w:val="left"/>
        <w:rPr>
          <w:b w:val="0"/>
          <w:bCs w:val="0"/>
        </w:rPr>
      </w:pPr>
      <w:bookmarkStart w:name="62、税金及附加" w:id="385"/>
      <w:bookmarkEnd w:id="385"/>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5,136,231.80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4,302,178.48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3,571,388.99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3,075,776.13</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3,613,375.86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1,787,756.63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1,776,477.96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1,408,167.54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1,103,501.23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726,839.22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15,200,975.84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2"/>
                <w:sz w:val="18"/>
              </w:rPr>
              <w:t>11,300,718.00</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3"/>
        <w:spacing w:line="240" w:lineRule="auto" w:before="36"/>
        <w:ind w:right="1764"/>
        <w:jc w:val="left"/>
        <w:rPr>
          <w:b w:val="0"/>
          <w:bCs w:val="0"/>
        </w:rPr>
      </w:pPr>
      <w:bookmarkStart w:name="63、销售费用" w:id="386"/>
      <w:bookmarkEnd w:id="386"/>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工资、社保及福利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62,524,318.80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64,188,011.13</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15,681,139.87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15,004,228.13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10,762,986.45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11,887,878.70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10,177,055.90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17,489,238.43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9,103,496.71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8,363,123.84</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中介咨询费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7,810,431.17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6,707,763.46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仓储费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3,870,167.77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4,453,271.62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3,589,064.02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5,203,882.34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2,450,916.27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2,991,453.94</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1,423,513.07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2,482,468.31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1,022,260.48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877,837.74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房租费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437,686.75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1,168,692.98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1,595,825.24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1,078,914.91</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130,448,862.50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141,896,765.53</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3"/>
        <w:spacing w:line="240" w:lineRule="auto"/>
        <w:ind w:right="1764"/>
        <w:jc w:val="left"/>
        <w:rPr>
          <w:b w:val="0"/>
          <w:bCs w:val="0"/>
        </w:rPr>
      </w:pPr>
      <w:bookmarkStart w:name="64、管理费用" w:id="387"/>
      <w:bookmarkEnd w:id="387"/>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工资、社保及福利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72,222,729.14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74,127,950.42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房租物管费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23,696,093.34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20,304,532.99</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中介咨询费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16,807,408.52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19,647,548.10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15,705,785.09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8,270,307.51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6,688,225.50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10,414,830.47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6,034,782.30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4,058,716.09</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5,312,580.38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4,592,663.83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3,272,003.08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6,616,726.63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-194,186.72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2,289,101.94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7,151,302.53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10,215,487.91</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156,696,723.16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160,537,865.89</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3"/>
        <w:spacing w:line="240" w:lineRule="auto" w:before="36"/>
        <w:ind w:right="1764"/>
        <w:jc w:val="left"/>
        <w:rPr>
          <w:b w:val="0"/>
          <w:bCs w:val="0"/>
        </w:rPr>
      </w:pPr>
      <w:bookmarkStart w:name="65、研发费用" w:id="388"/>
      <w:bookmarkEnd w:id="388"/>
      <w:r>
        <w:rPr>
          <w:b w:val="0"/>
          <w:bCs w:val="0"/>
        </w:rPr>
      </w:r>
      <w:r>
        <w:rPr>
          <w:rFonts w:ascii="Times New Roman" w:hAnsi="Times New Roman" w:cs="Times New Roman" w:eastAsia="Times New Roman" w:hint="default"/>
        </w:rPr>
        <w:t>65</w:t>
      </w:r>
      <w:r>
        <w:rPr/>
        <w:t>、研发费用</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196,344,575.87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168,878,709.62</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3,981,762.70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4,927,996.43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6,181,082.62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4,740,833.94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342,718.45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4,005,806.55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6,385,681.28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2,971,878.70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213,235,820.92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185,525,225.24</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3"/>
        <w:spacing w:line="240" w:lineRule="auto"/>
        <w:ind w:right="1764"/>
        <w:jc w:val="left"/>
        <w:rPr>
          <w:b w:val="0"/>
          <w:bCs w:val="0"/>
        </w:rPr>
      </w:pPr>
      <w:bookmarkStart w:name="66、财务费用" w:id="389"/>
      <w:bookmarkEnd w:id="389"/>
      <w:r>
        <w:rPr>
          <w:b w:val="0"/>
          <w:bCs w:val="0"/>
        </w:rPr>
      </w:r>
      <w:r>
        <w:rPr>
          <w:rFonts w:ascii="Times New Roman" w:hAnsi="Times New Roman" w:cs="Times New Roman" w:eastAsia="Times New Roman" w:hint="default"/>
        </w:rPr>
        <w:t>66</w:t>
      </w:r>
      <w:r>
        <w:rPr/>
        <w:t>、财务费用</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68,739,813.00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46,325,139.19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1,736,404.91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1,328,181.54</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-173,631.75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-1,846,313.70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320,001.71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561,603.06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67,149,778.05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43,712,247.01</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3"/>
        <w:spacing w:line="240" w:lineRule="auto"/>
        <w:ind w:right="1764"/>
        <w:jc w:val="left"/>
        <w:rPr>
          <w:b w:val="0"/>
          <w:bCs w:val="0"/>
        </w:rPr>
      </w:pPr>
      <w:bookmarkStart w:name="67、其他收益" w:id="390"/>
      <w:bookmarkEnd w:id="390"/>
      <w:r>
        <w:rPr>
          <w:b w:val="0"/>
          <w:bCs w:val="0"/>
        </w:rPr>
      </w:r>
      <w:r>
        <w:rPr>
          <w:rFonts w:ascii="Times New Roman" w:hAnsi="Times New Roman" w:cs="Times New Roman" w:eastAsia="Times New Roman" w:hint="default"/>
        </w:rPr>
        <w:t>67</w:t>
      </w:r>
      <w:r>
        <w:rPr/>
        <w:t>、其他收益</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82" w:right="0"/>
              <w:jc w:val="left"/>
              <w:rPr>
                <w:rFonts w:ascii="宋体" w:hAnsi="宋体" w:cs="宋体" w:eastAsia="宋体" w:hint="default"/>
                <w:sz w:val="18"/>
                <w:szCs w:val="18"/>
              </w:rPr>
            </w:pPr>
            <w:r>
              <w:rPr>
                <w:rFonts w:ascii="宋体" w:hAnsi="宋体" w:cs="宋体" w:eastAsia="宋体" w:hint="default"/>
                <w:spacing w:val="-3"/>
                <w:sz w:val="18"/>
                <w:szCs w:val="18"/>
              </w:rPr>
              <w:t>产生其他收益的来源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递延收益摊销或转入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4,741,963.90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14,630,073.92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增值税即征即退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25,150,438.20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25,638,749.17</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105" w:right="93"/>
              <w:jc w:val="left"/>
              <w:rPr>
                <w:rFonts w:ascii="宋体" w:hAnsi="宋体" w:cs="宋体" w:eastAsia="宋体" w:hint="default"/>
                <w:sz w:val="18"/>
                <w:szCs w:val="18"/>
              </w:rPr>
            </w:pPr>
            <w:r>
              <w:rPr>
                <w:rFonts w:ascii="宋体" w:hAnsi="宋体" w:cs="宋体" w:eastAsia="宋体" w:hint="default"/>
                <w:sz w:val="18"/>
                <w:szCs w:val="18"/>
              </w:rPr>
              <w:t>收到深圳市财政委员会</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企业研发资助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6,281,000.00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3"/>
                <w:sz w:val="18"/>
                <w:szCs w:val="18"/>
              </w:rPr>
              <w:t> </w:t>
            </w:r>
            <w:r>
              <w:rPr>
                <w:rFonts w:ascii="宋体" w:hAnsi="宋体" w:cs="宋体" w:eastAsia="宋体" w:hint="default"/>
                <w:spacing w:val="-3"/>
                <w:sz w:val="18"/>
                <w:szCs w:val="18"/>
              </w:rPr>
              <w:t>年深圳市企业研究开发资助款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1,598,000.00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高新区经贸局款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05" w:right="143"/>
              <w:jc w:val="both"/>
              <w:rPr>
                <w:rFonts w:ascii="宋体" w:hAnsi="宋体" w:cs="宋体" w:eastAsia="宋体" w:hint="default"/>
                <w:sz w:val="18"/>
                <w:szCs w:val="18"/>
              </w:rPr>
            </w:pPr>
            <w:r>
              <w:rPr>
                <w:rFonts w:ascii="宋体" w:hAnsi="宋体" w:cs="宋体" w:eastAsia="宋体" w:hint="default"/>
                <w:spacing w:val="-3"/>
                <w:sz w:val="18"/>
                <w:szCs w:val="18"/>
              </w:rPr>
              <w:t>收到深圳市工业和信息化局转来新一</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代信息技术产业专项资金（</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宋体" w:hAnsi="宋体" w:cs="宋体" w:eastAsia="宋体" w:hint="default"/>
                <w:w w:val="101"/>
                <w:sz w:val="18"/>
                <w:szCs w:val="18"/>
              </w:rPr>
              <w:t> </w:t>
            </w:r>
            <w:r>
              <w:rPr>
                <w:rFonts w:ascii="宋体" w:hAnsi="宋体" w:cs="宋体" w:eastAsia="宋体" w:hint="default"/>
                <w:sz w:val="18"/>
                <w:szCs w:val="18"/>
              </w:rPr>
              <w:t>到账）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651,000.00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个税返还</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597,881.45</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0"/>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527,930.41</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合肥就业见习补贴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526,428.00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441,900.00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进项税加计抵减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517,701.03</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85"/>
              <w:jc w:val="left"/>
              <w:rPr>
                <w:rFonts w:ascii="宋体" w:hAnsi="宋体" w:cs="宋体" w:eastAsia="宋体" w:hint="default"/>
                <w:sz w:val="18"/>
                <w:szCs w:val="18"/>
              </w:rPr>
            </w:pPr>
            <w:r>
              <w:rPr>
                <w:rFonts w:ascii="宋体" w:hAnsi="宋体" w:cs="宋体" w:eastAsia="宋体" w:hint="default"/>
                <w:spacing w:val="-3"/>
                <w:sz w:val="18"/>
                <w:szCs w:val="18"/>
              </w:rPr>
              <w:t>制造强省政策资金通过国家两化融合</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管理体系标准评定项目奖补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管委会增值税及企业所得税扶持资金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386,200.00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租金补贴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369,504.00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184,700.00</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105" w:right="185"/>
              <w:jc w:val="left"/>
              <w:rPr>
                <w:rFonts w:ascii="宋体" w:hAnsi="宋体" w:cs="宋体" w:eastAsia="宋体" w:hint="default"/>
                <w:sz w:val="18"/>
                <w:szCs w:val="18"/>
              </w:rPr>
            </w:pPr>
            <w:r>
              <w:rPr>
                <w:rFonts w:ascii="宋体" w:hAnsi="宋体" w:cs="宋体" w:eastAsia="宋体" w:hint="default"/>
                <w:spacing w:val="-3"/>
                <w:sz w:val="18"/>
                <w:szCs w:val="18"/>
              </w:rPr>
              <w:t>深圳市南山区经济促进局稳增长资助</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360,600.00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生育津贴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222,328.00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高新区经贸局第一次政策资金兑现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4"/>
              <w:ind w:left="105" w:right="93"/>
              <w:jc w:val="left"/>
              <w:rPr>
                <w:rFonts w:ascii="宋体" w:hAnsi="宋体" w:cs="宋体" w:eastAsia="宋体" w:hint="default"/>
                <w:sz w:val="18"/>
                <w:szCs w:val="18"/>
              </w:rPr>
            </w:pPr>
            <w:r>
              <w:rPr>
                <w:rFonts w:ascii="宋体" w:hAnsi="宋体" w:cs="宋体" w:eastAsia="宋体" w:hint="default"/>
                <w:sz w:val="18"/>
                <w:szCs w:val="18"/>
              </w:rPr>
              <w:t>经济和信息化委员会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年信息消费</w:t>
            </w:r>
            <w:r>
              <w:rPr>
                <w:rFonts w:ascii="宋体" w:hAnsi="宋体" w:cs="宋体" w:eastAsia="宋体" w:hint="default"/>
                <w:w w:val="101"/>
                <w:sz w:val="18"/>
                <w:szCs w:val="18"/>
              </w:rPr>
              <w:t> </w:t>
            </w:r>
            <w:r>
              <w:rPr>
                <w:rFonts w:ascii="宋体" w:hAnsi="宋体" w:cs="宋体" w:eastAsia="宋体" w:hint="default"/>
                <w:sz w:val="18"/>
                <w:szCs w:val="18"/>
              </w:rPr>
              <w:t>试点示范奖补资金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国高企业认定支持经费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94"/>
              <w:jc w:val="left"/>
              <w:rPr>
                <w:rFonts w:ascii="宋体" w:hAnsi="宋体" w:cs="宋体" w:eastAsia="宋体" w:hint="default"/>
                <w:sz w:val="18"/>
                <w:szCs w:val="18"/>
              </w:rPr>
            </w:pPr>
            <w:r>
              <w:rPr>
                <w:rFonts w:ascii="宋体" w:hAnsi="宋体" w:cs="宋体" w:eastAsia="宋体" w:hint="default"/>
                <w:spacing w:val="-8"/>
                <w:w w:val="101"/>
                <w:sz w:val="18"/>
                <w:szCs w:val="18"/>
              </w:rPr>
              <w:t>合肥市财政局企业岗位补贴款（华中大</w:t>
            </w:r>
            <w:r>
              <w:rPr>
                <w:rFonts w:ascii="宋体" w:hAnsi="宋体" w:cs="宋体" w:eastAsia="宋体" w:hint="default"/>
                <w:spacing w:val="-83"/>
                <w:w w:val="101"/>
                <w:sz w:val="18"/>
                <w:szCs w:val="18"/>
              </w:rPr>
              <w:t> </w:t>
            </w:r>
            <w:r>
              <w:rPr>
                <w:rFonts w:ascii="宋体" w:hAnsi="宋体" w:cs="宋体" w:eastAsia="宋体" w:hint="default"/>
                <w:spacing w:val="-83"/>
                <w:w w:val="101"/>
                <w:sz w:val="18"/>
                <w:szCs w:val="18"/>
              </w:rPr>
            </w:r>
            <w:r>
              <w:rPr>
                <w:rFonts w:ascii="宋体" w:hAnsi="宋体" w:cs="宋体" w:eastAsia="宋体" w:hint="default"/>
                <w:sz w:val="18"/>
                <w:szCs w:val="18"/>
              </w:rPr>
              <w:t>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193,446.00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4"/>
              <w:ind w:left="105" w:right="95"/>
              <w:jc w:val="left"/>
              <w:rPr>
                <w:rFonts w:ascii="宋体" w:hAnsi="宋体" w:cs="宋体" w:eastAsia="宋体" w:hint="default"/>
                <w:sz w:val="18"/>
                <w:szCs w:val="18"/>
              </w:rPr>
            </w:pPr>
            <w:r>
              <w:rPr>
                <w:rFonts w:ascii="宋体" w:hAnsi="宋体" w:cs="宋体" w:eastAsia="宋体" w:hint="default"/>
                <w:sz w:val="18"/>
                <w:szCs w:val="18"/>
              </w:rPr>
              <w:t>深圳市科技创新委员会第三批</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w w:val="101"/>
                <w:sz w:val="18"/>
                <w:szCs w:val="18"/>
              </w:rPr>
              <w:t> </w:t>
            </w:r>
            <w:r>
              <w:rPr>
                <w:rFonts w:ascii="宋体" w:hAnsi="宋体" w:cs="宋体" w:eastAsia="宋体" w:hint="default"/>
                <w:sz w:val="18"/>
                <w:szCs w:val="18"/>
              </w:rPr>
              <w:t>企业研发资助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190,000.00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研发费用补助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179,700.00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105" w:right="93"/>
              <w:jc w:val="left"/>
              <w:rPr>
                <w:rFonts w:ascii="宋体" w:hAnsi="宋体" w:cs="宋体" w:eastAsia="宋体" w:hint="default"/>
                <w:sz w:val="18"/>
                <w:szCs w:val="18"/>
              </w:rPr>
            </w:pPr>
            <w:r>
              <w:rPr>
                <w:rFonts w:ascii="宋体" w:hAnsi="宋体" w:cs="宋体" w:eastAsia="宋体" w:hint="default"/>
                <w:sz w:val="18"/>
                <w:szCs w:val="18"/>
              </w:rPr>
              <w:t>广州市天河区财政局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年市研发后</w:t>
            </w:r>
            <w:r>
              <w:rPr>
                <w:rFonts w:ascii="宋体" w:hAnsi="宋体" w:cs="宋体" w:eastAsia="宋体" w:hint="default"/>
                <w:w w:val="101"/>
                <w:sz w:val="18"/>
                <w:szCs w:val="18"/>
              </w:rPr>
              <w:t> </w:t>
            </w:r>
            <w:r>
              <w:rPr>
                <w:rFonts w:ascii="宋体" w:hAnsi="宋体" w:cs="宋体" w:eastAsia="宋体" w:hint="default"/>
                <w:sz w:val="18"/>
                <w:szCs w:val="18"/>
              </w:rPr>
              <w:t>补助款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163,300.00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三代手续费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133,201.56</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3"/>
                <w:sz w:val="18"/>
                <w:szCs w:val="18"/>
              </w:rPr>
              <w:t> </w:t>
            </w:r>
            <w:r>
              <w:rPr>
                <w:rFonts w:ascii="宋体" w:hAnsi="宋体" w:cs="宋体" w:eastAsia="宋体" w:hint="default"/>
                <w:spacing w:val="-3"/>
                <w:sz w:val="18"/>
                <w:szCs w:val="18"/>
              </w:rPr>
              <w:t>年度中央服贸创新发展专项资金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131,500.00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5" w:right="94"/>
              <w:jc w:val="left"/>
              <w:rPr>
                <w:rFonts w:ascii="宋体" w:hAnsi="宋体" w:cs="宋体" w:eastAsia="宋体" w:hint="default"/>
                <w:sz w:val="18"/>
                <w:szCs w:val="18"/>
              </w:rPr>
            </w:pPr>
            <w:r>
              <w:rPr>
                <w:rFonts w:ascii="宋体" w:hAnsi="宋体" w:cs="宋体" w:eastAsia="宋体" w:hint="default"/>
                <w:sz w:val="18"/>
                <w:szCs w:val="18"/>
              </w:rPr>
              <w:t>广州市科技局</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年度高新技术企业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认定通过奖励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9"/>
              <w:ind w:left="105" w:right="14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1"/>
                <w:sz w:val="18"/>
                <w:szCs w:val="18"/>
              </w:rPr>
              <w:t> </w:t>
            </w:r>
            <w:r>
              <w:rPr>
                <w:rFonts w:ascii="宋体" w:hAnsi="宋体" w:cs="宋体" w:eastAsia="宋体" w:hint="default"/>
                <w:spacing w:val="-3"/>
                <w:sz w:val="18"/>
                <w:szCs w:val="18"/>
              </w:rPr>
              <w:t>年度高校技术企业认定通过奖励</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管委会通讯补贴扶持资金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117,900.00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5" w:right="94"/>
              <w:jc w:val="left"/>
              <w:rPr>
                <w:rFonts w:ascii="宋体" w:hAnsi="宋体" w:cs="宋体" w:eastAsia="宋体" w:hint="default"/>
                <w:sz w:val="18"/>
                <w:szCs w:val="18"/>
              </w:rPr>
            </w:pPr>
            <w:r>
              <w:rPr>
                <w:rFonts w:ascii="宋体" w:hAnsi="宋体" w:cs="宋体" w:eastAsia="宋体" w:hint="default"/>
                <w:sz w:val="18"/>
                <w:szCs w:val="18"/>
              </w:rPr>
              <w:t>管委会给</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年新增规模以上企业市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级奖励资金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5" w:right="95"/>
              <w:jc w:val="left"/>
              <w:rPr>
                <w:rFonts w:ascii="宋体" w:hAnsi="宋体" w:cs="宋体" w:eastAsia="宋体" w:hint="default"/>
                <w:sz w:val="18"/>
                <w:szCs w:val="18"/>
              </w:rPr>
            </w:pPr>
            <w:r>
              <w:rPr>
                <w:rFonts w:ascii="宋体" w:hAnsi="宋体" w:cs="宋体" w:eastAsia="宋体" w:hint="default"/>
                <w:spacing w:val="-3"/>
                <w:sz w:val="18"/>
                <w:szCs w:val="18"/>
              </w:rPr>
              <w:t>合肥市科学技术局市政策兑现第 </w:t>
            </w:r>
            <w:r>
              <w:rPr>
                <w:rFonts w:ascii="Times New Roman" w:hAnsi="Times New Roman" w:cs="Times New Roman" w:eastAsia="Times New Roman" w:hint="default"/>
                <w:sz w:val="18"/>
                <w:szCs w:val="18"/>
              </w:rPr>
              <w:t>42 </w:t>
            </w:r>
            <w:r>
              <w:rPr>
                <w:rFonts w:ascii="宋体" w:hAnsi="宋体" w:cs="宋体" w:eastAsia="宋体" w:hint="default"/>
                <w:sz w:val="18"/>
                <w:szCs w:val="18"/>
              </w:rPr>
              <w:t>条</w:t>
            </w:r>
            <w:r>
              <w:rPr>
                <w:rFonts w:ascii="宋体" w:hAnsi="宋体" w:cs="宋体" w:eastAsia="宋体" w:hint="default"/>
                <w:spacing w:val="-86"/>
                <w:sz w:val="18"/>
                <w:szCs w:val="18"/>
              </w:rPr>
              <w:t> </w:t>
            </w:r>
            <w:r>
              <w:rPr>
                <w:rFonts w:ascii="宋体" w:hAnsi="宋体" w:cs="宋体" w:eastAsia="宋体" w:hint="default"/>
                <w:sz w:val="18"/>
                <w:szCs w:val="18"/>
              </w:rPr>
              <w:t>市级知识产权示范企业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收到合肥市知识产权示范企业奖励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105" w:right="185"/>
              <w:jc w:val="left"/>
              <w:rPr>
                <w:rFonts w:ascii="宋体" w:hAnsi="宋体" w:cs="宋体" w:eastAsia="宋体" w:hint="default"/>
                <w:sz w:val="18"/>
                <w:szCs w:val="18"/>
              </w:rPr>
            </w:pPr>
            <w:r>
              <w:rPr>
                <w:rFonts w:ascii="宋体" w:hAnsi="宋体" w:cs="宋体" w:eastAsia="宋体" w:hint="default"/>
                <w:spacing w:val="-3"/>
                <w:sz w:val="18"/>
                <w:szCs w:val="18"/>
              </w:rPr>
              <w:t>收到合肥科学技术局技术合同交易补</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5" w:right="113"/>
              <w:jc w:val="left"/>
              <w:rPr>
                <w:rFonts w:ascii="宋体" w:hAnsi="宋体" w:cs="宋体" w:eastAsia="宋体" w:hint="default"/>
                <w:sz w:val="18"/>
                <w:szCs w:val="18"/>
              </w:rPr>
            </w:pPr>
            <w:r>
              <w:rPr>
                <w:rFonts w:ascii="宋体" w:hAnsi="宋体" w:cs="宋体" w:eastAsia="宋体" w:hint="default"/>
                <w:spacing w:val="-3"/>
                <w:sz w:val="18"/>
                <w:szCs w:val="18"/>
              </w:rPr>
              <w:t>深圳市南山区科技创新局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国家高新技</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术企业倍增支持计划</w:t>
            </w:r>
            <w:r>
              <w:rPr>
                <w:rFonts w:ascii="Times New Roman" w:hAnsi="Times New Roman" w:cs="Times New Roman" w:eastAsia="Times New Roman" w:hint="default"/>
                <w:sz w:val="18"/>
                <w:szCs w:val="18"/>
              </w:rPr>
              <w:t>"</w:t>
            </w:r>
            <w:r>
              <w:rPr>
                <w:rFonts w:ascii="宋体" w:hAnsi="宋体" w:cs="宋体" w:eastAsia="宋体" w:hint="default"/>
                <w:sz w:val="18"/>
                <w:szCs w:val="18"/>
              </w:rPr>
              <w:t>资助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100,000.00</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1"/>
                <w:sz w:val="18"/>
                <w:szCs w:val="18"/>
              </w:rPr>
              <w:t> </w:t>
            </w:r>
            <w:r>
              <w:rPr>
                <w:rFonts w:ascii="宋体" w:hAnsi="宋体" w:cs="宋体" w:eastAsia="宋体" w:hint="default"/>
                <w:spacing w:val="-3"/>
                <w:sz w:val="18"/>
                <w:szCs w:val="18"/>
              </w:rPr>
              <w:t>年研究开发项目资助款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1,602,000.00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研发后补助款项</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1,592,300.00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1"/>
                <w:sz w:val="18"/>
                <w:szCs w:val="18"/>
              </w:rPr>
              <w:t> </w:t>
            </w:r>
            <w:r>
              <w:rPr>
                <w:rFonts w:ascii="宋体" w:hAnsi="宋体" w:cs="宋体" w:eastAsia="宋体" w:hint="default"/>
                <w:spacing w:val="-3"/>
                <w:sz w:val="18"/>
                <w:szCs w:val="18"/>
              </w:rPr>
              <w:t>年度自贸区专项资金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产业扶持</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科技金融信贷贴息支持</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7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5" w:right="95"/>
              <w:jc w:val="left"/>
              <w:rPr>
                <w:rFonts w:ascii="宋体" w:hAnsi="宋体" w:cs="宋体" w:eastAsia="宋体" w:hint="default"/>
                <w:sz w:val="18"/>
                <w:szCs w:val="18"/>
              </w:rPr>
            </w:pPr>
            <w:r>
              <w:rPr>
                <w:rFonts w:ascii="宋体" w:hAnsi="宋体" w:cs="宋体" w:eastAsia="宋体" w:hint="default"/>
                <w:spacing w:val="-3"/>
                <w:sz w:val="18"/>
                <w:szCs w:val="18"/>
              </w:rPr>
              <w:t>天河区支撑软件业发展和企业</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R&amp;D</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投</w:t>
            </w:r>
            <w:r>
              <w:rPr>
                <w:rFonts w:ascii="宋体" w:hAnsi="宋体" w:cs="宋体" w:eastAsia="宋体" w:hint="default"/>
                <w:spacing w:val="-82"/>
                <w:sz w:val="18"/>
                <w:szCs w:val="18"/>
              </w:rPr>
              <w:t> </w:t>
            </w:r>
            <w:r>
              <w:rPr>
                <w:rFonts w:ascii="宋体" w:hAnsi="宋体" w:cs="宋体" w:eastAsia="宋体" w:hint="default"/>
                <w:sz w:val="18"/>
                <w:szCs w:val="18"/>
              </w:rPr>
              <w:t>入专项补助</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878,900.00</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105" w:right="185"/>
              <w:jc w:val="left"/>
              <w:rPr>
                <w:rFonts w:ascii="宋体" w:hAnsi="宋体" w:cs="宋体" w:eastAsia="宋体" w:hint="default"/>
                <w:sz w:val="18"/>
                <w:szCs w:val="18"/>
              </w:rPr>
            </w:pPr>
            <w:r>
              <w:rPr>
                <w:rFonts w:ascii="宋体" w:hAnsi="宋体" w:cs="宋体" w:eastAsia="宋体" w:hint="default"/>
                <w:spacing w:val="-3"/>
                <w:sz w:val="18"/>
                <w:szCs w:val="18"/>
              </w:rPr>
              <w:t>中华人民共和国国家金库合肥市中心</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支库</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具体项目补助</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830,000.00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人才培训项目资助款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693,000.00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用工补贴</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560,500.00</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高新区人事局技能培训补贴</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545,600.00</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185"/>
              <w:jc w:val="left"/>
              <w:rPr>
                <w:rFonts w:ascii="宋体" w:hAnsi="宋体" w:cs="宋体" w:eastAsia="宋体" w:hint="default"/>
                <w:sz w:val="18"/>
                <w:szCs w:val="18"/>
              </w:rPr>
            </w:pPr>
            <w:r>
              <w:rPr>
                <w:rFonts w:ascii="宋体" w:hAnsi="宋体" w:cs="宋体" w:eastAsia="宋体" w:hint="default"/>
                <w:spacing w:val="-3"/>
                <w:sz w:val="18"/>
                <w:szCs w:val="18"/>
              </w:rPr>
              <w:t>高新区科技局科技小巨人首次过亿奖</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高层次创新型人才实训基地项目资助</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495,500.00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政府贴息项目补助</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348,000.00</w:t>
            </w:r>
          </w:p>
        </w:tc>
      </w:tr>
      <w:tr>
        <w:trPr>
          <w:trHeight w:val="7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5" w:right="247"/>
              <w:jc w:val="left"/>
              <w:rPr>
                <w:rFonts w:ascii="宋体" w:hAnsi="宋体" w:cs="宋体" w:eastAsia="宋体" w:hint="default"/>
                <w:sz w:val="18"/>
                <w:szCs w:val="18"/>
              </w:rPr>
            </w:pPr>
            <w:r>
              <w:rPr>
                <w:rFonts w:ascii="宋体" w:hAnsi="宋体" w:cs="宋体" w:eastAsia="宋体" w:hint="default"/>
                <w:spacing w:val="-3"/>
                <w:sz w:val="18"/>
                <w:szCs w:val="18"/>
              </w:rPr>
              <w:t>天河软件园产业政策专项</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创新载体</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奖励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天河软件园产业政策专项奖励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884,769.20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1,001,605.00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46,764,791.75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53,542,828.09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764"/>
        <w:jc w:val="left"/>
        <w:rPr>
          <w:b w:val="0"/>
          <w:bCs w:val="0"/>
        </w:rPr>
      </w:pPr>
      <w:bookmarkStart w:name="68、投资收益" w:id="391"/>
      <w:bookmarkEnd w:id="391"/>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462"/>
        <w:gridCol w:w="3188"/>
        <w:gridCol w:w="2919"/>
      </w:tblGrid>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89"/>
              <w:jc w:val="right"/>
              <w:rPr>
                <w:rFonts w:ascii="Times New Roman" w:hAnsi="Times New Roman" w:cs="Times New Roman" w:eastAsia="Times New Roman" w:hint="default"/>
                <w:sz w:val="18"/>
                <w:szCs w:val="18"/>
              </w:rPr>
            </w:pPr>
            <w:r>
              <w:rPr>
                <w:rFonts w:ascii="Times New Roman"/>
                <w:spacing w:val="-1"/>
                <w:sz w:val="18"/>
              </w:rPr>
              <w:t>5,810,298.74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1,479,266.20</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89"/>
              <w:jc w:val="right"/>
              <w:rPr>
                <w:rFonts w:ascii="Times New Roman" w:hAnsi="Times New Roman" w:cs="Times New Roman" w:eastAsia="Times New Roman" w:hint="default"/>
                <w:sz w:val="18"/>
                <w:szCs w:val="18"/>
              </w:rPr>
            </w:pPr>
            <w:r>
              <w:rPr>
                <w:rFonts w:ascii="Times New Roman"/>
                <w:spacing w:val="-1"/>
                <w:sz w:val="18"/>
              </w:rPr>
              <w:t>955,676.14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11,500.00</w:t>
            </w:r>
          </w:p>
        </w:tc>
      </w:tr>
      <w:tr>
        <w:trPr>
          <w:trHeight w:val="71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99"/>
              <w:jc w:val="left"/>
              <w:rPr>
                <w:rFonts w:ascii="宋体" w:hAnsi="宋体" w:cs="宋体" w:eastAsia="宋体" w:hint="default"/>
                <w:sz w:val="18"/>
                <w:szCs w:val="18"/>
              </w:rPr>
            </w:pPr>
            <w:r>
              <w:rPr>
                <w:rFonts w:ascii="宋体" w:hAnsi="宋体" w:cs="宋体" w:eastAsia="宋体" w:hint="default"/>
                <w:spacing w:val="-3"/>
                <w:sz w:val="18"/>
                <w:szCs w:val="18"/>
              </w:rPr>
              <w:t>丧失控制权后，剩余股权按公允价值重新</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计量产生的利得</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2"/>
                <w:sz w:val="18"/>
              </w:rPr>
              <w:t>637,117.42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取得的现金股利</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89"/>
              <w:jc w:val="right"/>
              <w:rPr>
                <w:rFonts w:ascii="Times New Roman" w:hAnsi="Times New Roman" w:cs="Times New Roman" w:eastAsia="Times New Roman" w:hint="default"/>
                <w:sz w:val="18"/>
                <w:szCs w:val="18"/>
              </w:rPr>
            </w:pPr>
            <w:r>
              <w:rPr>
                <w:rFonts w:ascii="Times New Roman"/>
                <w:spacing w:val="-1"/>
                <w:sz w:val="18"/>
              </w:rPr>
              <w:t>7,974.00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13,290.00</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89"/>
              <w:jc w:val="right"/>
              <w:rPr>
                <w:rFonts w:ascii="Times New Roman" w:hAnsi="Times New Roman" w:cs="Times New Roman" w:eastAsia="Times New Roman" w:hint="default"/>
                <w:sz w:val="18"/>
                <w:szCs w:val="18"/>
              </w:rPr>
            </w:pPr>
            <w:r>
              <w:rPr>
                <w:rFonts w:ascii="Times New Roman"/>
                <w:spacing w:val="-2"/>
                <w:sz w:val="18"/>
              </w:rPr>
              <w:t>7,411,066.30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1,504,056.20</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3"/>
        <w:spacing w:line="240" w:lineRule="auto"/>
        <w:ind w:right="1764"/>
        <w:jc w:val="left"/>
        <w:rPr>
          <w:b w:val="0"/>
          <w:bCs w:val="0"/>
        </w:rPr>
      </w:pPr>
      <w:bookmarkStart w:name="69、净敞口套期收益" w:id="392"/>
      <w:bookmarkEnd w:id="392"/>
      <w:r>
        <w:rPr>
          <w:b w:val="0"/>
          <w:bCs w:val="0"/>
        </w:rPr>
      </w:r>
      <w:r>
        <w:rPr>
          <w:rFonts w:ascii="Times New Roman" w:hAnsi="Times New Roman" w:cs="Times New Roman" w:eastAsia="Times New Roman" w:hint="default"/>
        </w:rPr>
        <w:t>69</w:t>
      </w:r>
      <w:r>
        <w:rPr/>
        <w:t>、净敞口套期收益</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70、公允价值变动收益" w:id="393"/>
      <w:bookmarkEnd w:id="393"/>
      <w:r>
        <w:rPr>
          <w:b w:val="0"/>
          <w:bCs w:val="0"/>
        </w:rPr>
      </w:r>
      <w:r>
        <w:rPr>
          <w:rFonts w:ascii="Times New Roman" w:hAnsi="Times New Roman" w:cs="Times New Roman" w:eastAsia="Times New Roman" w:hint="default"/>
        </w:rPr>
        <w:t>70</w:t>
      </w:r>
      <w:r>
        <w:rPr/>
        <w:t>、公允价值变动收益</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pacing w:val="-3"/>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510,336.00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85"/>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益的金融资产</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-1,387,476.00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510,336.00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-1,387,476.00</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3"/>
        <w:spacing w:line="240" w:lineRule="auto"/>
        <w:ind w:right="1764"/>
        <w:jc w:val="left"/>
        <w:rPr>
          <w:b w:val="0"/>
          <w:bCs w:val="0"/>
        </w:rPr>
      </w:pPr>
      <w:bookmarkStart w:name="71、信用减值损失" w:id="394"/>
      <w:bookmarkEnd w:id="394"/>
      <w:r>
        <w:rPr>
          <w:b w:val="0"/>
          <w:bCs w:val="0"/>
        </w:rPr>
      </w:r>
      <w:r>
        <w:rPr>
          <w:rFonts w:ascii="Times New Roman" w:hAnsi="Times New Roman" w:cs="Times New Roman" w:eastAsia="Times New Roman" w:hint="default"/>
        </w:rPr>
        <w:t>71</w:t>
      </w:r>
      <w:r>
        <w:rPr/>
        <w:t>、信用减值损失</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-26,805,087.22</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-26,805,087.22</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3"/>
        <w:spacing w:line="240" w:lineRule="auto"/>
        <w:ind w:right="1764"/>
        <w:jc w:val="left"/>
        <w:rPr>
          <w:b w:val="0"/>
          <w:bCs w:val="0"/>
        </w:rPr>
      </w:pPr>
      <w:bookmarkStart w:name="72、资产减值损失" w:id="395"/>
      <w:bookmarkEnd w:id="395"/>
      <w:r>
        <w:rPr>
          <w:b w:val="0"/>
          <w:bCs w:val="0"/>
        </w:rPr>
      </w:r>
      <w:r>
        <w:rPr>
          <w:rFonts w:ascii="Times New Roman" w:hAnsi="Times New Roman" w:cs="Times New Roman" w:eastAsia="Times New Roman" w:hint="default"/>
        </w:rPr>
        <w:t>72</w:t>
      </w:r>
      <w:r>
        <w:rPr/>
        <w:t>、资产减值损失</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6" w:footer="1022" w:top="1100" w:bottom="1220" w:left="1020" w:right="0"/>
        </w:sect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pacing w:val="-2"/>
          <w:sz w:val="18"/>
          <w:szCs w:val="18"/>
        </w:rPr>
        <w:t>是否已执行新收入准则</w:t>
      </w:r>
    </w:p>
    <w:p>
      <w:pPr>
        <w:spacing w:before="115"/>
        <w:ind w:left="113"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1919" w:space="6912"/>
            <w:col w:w="2059"/>
          </w:cols>
        </w:sectPr>
      </w:pP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-22,302,621.59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-22,302,621.59</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3"/>
        <w:spacing w:line="240" w:lineRule="auto"/>
        <w:ind w:right="1764"/>
        <w:jc w:val="left"/>
        <w:rPr>
          <w:b w:val="0"/>
          <w:bCs w:val="0"/>
        </w:rPr>
      </w:pPr>
      <w:bookmarkStart w:name="73、资产处置收益" w:id="396"/>
      <w:bookmarkEnd w:id="396"/>
      <w:r>
        <w:rPr>
          <w:b w:val="0"/>
          <w:bCs w:val="0"/>
        </w:rPr>
      </w:r>
      <w:r>
        <w:rPr>
          <w:rFonts w:ascii="Times New Roman" w:hAnsi="Times New Roman" w:cs="Times New Roman" w:eastAsia="Times New Roman" w:hint="default"/>
        </w:rPr>
        <w:t>73</w:t>
      </w:r>
      <w:r>
        <w:rPr/>
        <w:t>、资产处置收益</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资产处置收益的来源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持有待售处置利得或损失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pacing w:val="-3"/>
                <w:sz w:val="18"/>
                <w:szCs w:val="18"/>
              </w:rPr>
              <w:t>固定资产处置利得或损失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-2,478.47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-8,992.48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在建工程处置利得或损失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生物资产处置利得或损失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无形资产处置利得或损失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-2,478.47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-8,992.48</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74、营业外收入" w:id="397"/>
      <w:bookmarkEnd w:id="397"/>
      <w:r>
        <w:rPr>
          <w:b w:val="0"/>
          <w:bCs w:val="0"/>
        </w:rPr>
      </w:r>
      <w:r>
        <w:rPr>
          <w:rFonts w:ascii="Times New Roman" w:hAnsi="Times New Roman" w:cs="Times New Roman" w:eastAsia="Times New Roman" w:hint="default"/>
        </w:rPr>
        <w:t>74</w:t>
      </w:r>
      <w:r>
        <w:rPr/>
        <w:t>、营业外收入</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04"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77,757.90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3,146,127.62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77,757.90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75,917.87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409,856.66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75,917.87</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153,675.77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3,555,984.28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153,675.77</w:t>
            </w:r>
          </w:p>
        </w:tc>
      </w:tr>
    </w:tbl>
    <w:p>
      <w:pPr>
        <w:spacing w:before="54"/>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066"/>
        <w:gridCol w:w="1061"/>
        <w:gridCol w:w="1066"/>
        <w:gridCol w:w="1061"/>
        <w:gridCol w:w="1066"/>
        <w:gridCol w:w="1061"/>
        <w:gridCol w:w="1066"/>
        <w:gridCol w:w="1061"/>
        <w:gridCol w:w="1066"/>
      </w:tblGrid>
      <w:tr>
        <w:trPr>
          <w:trHeight w:val="1028"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68"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68"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68" w:right="161"/>
              <w:jc w:val="center"/>
              <w:rPr>
                <w:rFonts w:ascii="宋体" w:hAnsi="宋体" w:cs="宋体" w:eastAsia="宋体" w:hint="default"/>
                <w:sz w:val="18"/>
                <w:szCs w:val="18"/>
              </w:rPr>
            </w:pPr>
            <w:r>
              <w:rPr>
                <w:rFonts w:ascii="宋体" w:hAnsi="宋体" w:cs="宋体" w:eastAsia="宋体" w:hint="default"/>
                <w:spacing w:val="-2"/>
                <w:sz w:val="18"/>
                <w:szCs w:val="18"/>
              </w:rPr>
              <w:t>补贴是否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影响当年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盈亏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40" w:right="161" w:hanging="178"/>
              <w:jc w:val="left"/>
              <w:rPr>
                <w:rFonts w:ascii="宋体" w:hAnsi="宋体" w:cs="宋体" w:eastAsia="宋体" w:hint="default"/>
                <w:sz w:val="18"/>
                <w:szCs w:val="18"/>
              </w:rPr>
            </w:pPr>
            <w:r>
              <w:rPr>
                <w:rFonts w:ascii="宋体" w:hAnsi="宋体" w:cs="宋体" w:eastAsia="宋体" w:hint="default"/>
                <w:sz w:val="18"/>
                <w:szCs w:val="18"/>
              </w:rPr>
              <w:t>是否特殊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补贴</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45" w:right="161" w:hanging="178"/>
              <w:jc w:val="left"/>
              <w:rPr>
                <w:rFonts w:ascii="宋体" w:hAnsi="宋体" w:cs="宋体" w:eastAsia="宋体" w:hint="default"/>
                <w:sz w:val="18"/>
                <w:szCs w:val="18"/>
              </w:rPr>
            </w:pPr>
            <w:r>
              <w:rPr>
                <w:rFonts w:ascii="宋体" w:hAnsi="宋体" w:cs="宋体" w:eastAsia="宋体" w:hint="default"/>
                <w:sz w:val="18"/>
                <w:szCs w:val="18"/>
              </w:rPr>
              <w:t>本期发生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40" w:right="161" w:hanging="178"/>
              <w:jc w:val="left"/>
              <w:rPr>
                <w:rFonts w:ascii="宋体" w:hAnsi="宋体" w:cs="宋体" w:eastAsia="宋体" w:hint="default"/>
                <w:sz w:val="18"/>
                <w:szCs w:val="18"/>
              </w:rPr>
            </w:pPr>
            <w:r>
              <w:rPr>
                <w:rFonts w:ascii="宋体" w:hAnsi="宋体" w:cs="宋体" w:eastAsia="宋体" w:hint="default"/>
                <w:sz w:val="18"/>
                <w:szCs w:val="18"/>
              </w:rPr>
              <w:t>上期发生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44" w:right="137"/>
              <w:jc w:val="center"/>
              <w:rPr>
                <w:rFonts w:ascii="宋体" w:hAnsi="宋体" w:cs="宋体" w:eastAsia="宋体" w:hint="default"/>
                <w:sz w:val="18"/>
                <w:szCs w:val="18"/>
              </w:rPr>
            </w:pPr>
            <w:r>
              <w:rPr>
                <w:rFonts w:ascii="宋体" w:hAnsi="宋体" w:cs="宋体" w:eastAsia="宋体" w:hint="default"/>
                <w:sz w:val="18"/>
                <w:szCs w:val="18"/>
              </w:rPr>
              <w:t>与资产相</w:t>
            </w:r>
            <w:r>
              <w:rPr>
                <w:rFonts w:ascii="宋体" w:hAnsi="宋体" w:cs="宋体" w:eastAsia="宋体" w:hint="default"/>
                <w:w w:val="101"/>
                <w:sz w:val="18"/>
                <w:szCs w:val="18"/>
              </w:rPr>
              <w:t> </w:t>
            </w:r>
            <w:r>
              <w:rPr>
                <w:rFonts w:ascii="宋体" w:hAnsi="宋体" w:cs="宋体" w:eastAsia="宋体" w:hint="default"/>
                <w:spacing w:val="-2"/>
                <w:sz w:val="18"/>
                <w:szCs w:val="18"/>
              </w:rPr>
              <w:t>关</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与收益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24"/>
              <w:jc w:val="both"/>
              <w:rPr>
                <w:rFonts w:ascii="宋体" w:hAnsi="宋体" w:cs="宋体" w:eastAsia="宋体" w:hint="default"/>
                <w:sz w:val="18"/>
                <w:szCs w:val="18"/>
              </w:rPr>
            </w:pPr>
            <w:r>
              <w:rPr>
                <w:rFonts w:ascii="宋体" w:hAnsi="宋体" w:cs="宋体" w:eastAsia="宋体" w:hint="default"/>
                <w:sz w:val="18"/>
                <w:szCs w:val="18"/>
              </w:rPr>
              <w:t>产业转型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升级专项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政府补助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920,000.00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05" w:right="223"/>
              <w:jc w:val="left"/>
              <w:rPr>
                <w:rFonts w:ascii="宋体" w:hAnsi="宋体" w:cs="宋体" w:eastAsia="宋体" w:hint="default"/>
                <w:sz w:val="18"/>
                <w:szCs w:val="18"/>
              </w:rPr>
            </w:pPr>
            <w:r>
              <w:rPr>
                <w:rFonts w:ascii="宋体" w:hAnsi="宋体" w:cs="宋体" w:eastAsia="宋体" w:hint="default"/>
                <w:sz w:val="18"/>
                <w:szCs w:val="18"/>
              </w:rPr>
              <w:t>与收益相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71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24"/>
              <w:jc w:val="left"/>
              <w:rPr>
                <w:rFonts w:ascii="宋体" w:hAnsi="宋体" w:cs="宋体" w:eastAsia="宋体" w:hint="default"/>
                <w:sz w:val="18"/>
                <w:szCs w:val="18"/>
              </w:rPr>
            </w:pPr>
            <w:r>
              <w:rPr>
                <w:rFonts w:ascii="宋体" w:hAnsi="宋体" w:cs="宋体" w:eastAsia="宋体" w:hint="default"/>
                <w:sz w:val="18"/>
                <w:szCs w:val="18"/>
              </w:rPr>
              <w:t>高新技术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企业补助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830,000.00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23"/>
              <w:jc w:val="left"/>
              <w:rPr>
                <w:rFonts w:ascii="宋体" w:hAnsi="宋体" w:cs="宋体" w:eastAsia="宋体" w:hint="default"/>
                <w:sz w:val="18"/>
                <w:szCs w:val="18"/>
              </w:rPr>
            </w:pPr>
            <w:r>
              <w:rPr>
                <w:rFonts w:ascii="宋体" w:hAnsi="宋体" w:cs="宋体" w:eastAsia="宋体" w:hint="default"/>
                <w:sz w:val="18"/>
                <w:szCs w:val="18"/>
              </w:rPr>
              <w:t>与收益相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18"/>
              <w:jc w:val="center"/>
              <w:rPr>
                <w:rFonts w:ascii="宋体" w:hAnsi="宋体" w:cs="宋体" w:eastAsia="宋体" w:hint="default"/>
                <w:sz w:val="18"/>
                <w:szCs w:val="18"/>
              </w:rPr>
            </w:pPr>
            <w:r>
              <w:rPr>
                <w:rFonts w:ascii="宋体" w:hAnsi="宋体" w:cs="宋体" w:eastAsia="宋体" w:hint="default"/>
                <w:sz w:val="18"/>
                <w:szCs w:val="18"/>
              </w:rPr>
              <w:t>稳岗补贴</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549,824.29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223"/>
              <w:jc w:val="left"/>
              <w:rPr>
                <w:rFonts w:ascii="宋体" w:hAnsi="宋体" w:cs="宋体" w:eastAsia="宋体" w:hint="default"/>
                <w:sz w:val="18"/>
                <w:szCs w:val="18"/>
              </w:rPr>
            </w:pPr>
            <w:r>
              <w:rPr>
                <w:rFonts w:ascii="宋体" w:hAnsi="宋体" w:cs="宋体" w:eastAsia="宋体" w:hint="default"/>
                <w:sz w:val="18"/>
                <w:szCs w:val="18"/>
              </w:rPr>
              <w:t>与收益相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18"/>
              <w:jc w:val="center"/>
              <w:rPr>
                <w:rFonts w:ascii="宋体" w:hAnsi="宋体" w:cs="宋体" w:eastAsia="宋体" w:hint="default"/>
                <w:sz w:val="18"/>
                <w:szCs w:val="18"/>
              </w:rPr>
            </w:pPr>
            <w:r>
              <w:rPr>
                <w:rFonts w:ascii="宋体" w:hAnsi="宋体" w:cs="宋体" w:eastAsia="宋体" w:hint="default"/>
                <w:sz w:val="18"/>
                <w:szCs w:val="18"/>
              </w:rPr>
              <w:t>生育津贴</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158,207.89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23"/>
              <w:jc w:val="left"/>
              <w:rPr>
                <w:rFonts w:ascii="宋体" w:hAnsi="宋体" w:cs="宋体" w:eastAsia="宋体" w:hint="default"/>
                <w:sz w:val="18"/>
                <w:szCs w:val="18"/>
              </w:rPr>
            </w:pPr>
            <w:r>
              <w:rPr>
                <w:rFonts w:ascii="宋体" w:hAnsi="宋体" w:cs="宋体" w:eastAsia="宋体" w:hint="default"/>
                <w:sz w:val="18"/>
                <w:szCs w:val="18"/>
              </w:rPr>
              <w:t>与收益相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224"/>
              <w:jc w:val="both"/>
              <w:rPr>
                <w:rFonts w:ascii="宋体" w:hAnsi="宋体" w:cs="宋体" w:eastAsia="宋体" w:hint="default"/>
                <w:sz w:val="18"/>
                <w:szCs w:val="18"/>
              </w:rPr>
            </w:pPr>
            <w:r>
              <w:rPr>
                <w:rFonts w:ascii="宋体" w:hAnsi="宋体" w:cs="宋体" w:eastAsia="宋体" w:hint="default"/>
                <w:sz w:val="18"/>
                <w:szCs w:val="18"/>
              </w:rPr>
              <w:t>浦东张江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十二五计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划扶持资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50,000.00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120,000.00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105" w:right="223"/>
              <w:jc w:val="left"/>
              <w:rPr>
                <w:rFonts w:ascii="宋体" w:hAnsi="宋体" w:cs="宋体" w:eastAsia="宋体" w:hint="default"/>
                <w:sz w:val="18"/>
                <w:szCs w:val="18"/>
              </w:rPr>
            </w:pPr>
            <w:r>
              <w:rPr>
                <w:rFonts w:ascii="宋体" w:hAnsi="宋体" w:cs="宋体" w:eastAsia="宋体" w:hint="default"/>
                <w:sz w:val="18"/>
                <w:szCs w:val="18"/>
              </w:rPr>
              <w:t>与收益相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164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5" w:right="132"/>
              <w:jc w:val="left"/>
              <w:rPr>
                <w:rFonts w:ascii="宋体" w:hAnsi="宋体" w:cs="宋体" w:eastAsia="宋体" w:hint="default"/>
                <w:sz w:val="18"/>
                <w:szCs w:val="18"/>
              </w:rPr>
            </w:pPr>
            <w:r>
              <w:rPr>
                <w:rFonts w:ascii="宋体" w:hAnsi="宋体" w:cs="宋体" w:eastAsia="宋体" w:hint="default"/>
                <w:sz w:val="18"/>
                <w:szCs w:val="18"/>
              </w:rPr>
              <w:t>合肥市科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学技术局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政策兑现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条技</w:t>
            </w:r>
            <w:r>
              <w:rPr>
                <w:rFonts w:ascii="宋体" w:hAnsi="宋体" w:cs="宋体" w:eastAsia="宋体" w:hint="default"/>
                <w:w w:val="101"/>
                <w:sz w:val="18"/>
                <w:szCs w:val="18"/>
              </w:rPr>
              <w:t> </w:t>
            </w:r>
            <w:r>
              <w:rPr>
                <w:rFonts w:ascii="宋体" w:hAnsi="宋体" w:cs="宋体" w:eastAsia="宋体" w:hint="default"/>
                <w:sz w:val="18"/>
                <w:szCs w:val="18"/>
              </w:rPr>
              <w:t>术合同</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5" w:right="223"/>
              <w:jc w:val="left"/>
              <w:rPr>
                <w:rFonts w:ascii="宋体" w:hAnsi="宋体" w:cs="宋体" w:eastAsia="宋体" w:hint="default"/>
                <w:sz w:val="18"/>
                <w:szCs w:val="18"/>
              </w:rPr>
            </w:pPr>
            <w:r>
              <w:rPr>
                <w:rFonts w:ascii="宋体" w:hAnsi="宋体" w:cs="宋体" w:eastAsia="宋体" w:hint="default"/>
                <w:sz w:val="18"/>
                <w:szCs w:val="18"/>
              </w:rPr>
              <w:t>与收益相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102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224"/>
              <w:jc w:val="both"/>
              <w:rPr>
                <w:rFonts w:ascii="宋体" w:hAnsi="宋体" w:cs="宋体" w:eastAsia="宋体" w:hint="default"/>
                <w:sz w:val="18"/>
                <w:szCs w:val="18"/>
              </w:rPr>
            </w:pPr>
            <w:r>
              <w:rPr>
                <w:rFonts w:ascii="宋体" w:hAnsi="宋体" w:cs="宋体" w:eastAsia="宋体" w:hint="default"/>
                <w:sz w:val="18"/>
                <w:szCs w:val="18"/>
              </w:rPr>
              <w:t>科技发展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创新基金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奖励</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200,000.00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105" w:right="223"/>
              <w:jc w:val="left"/>
              <w:rPr>
                <w:rFonts w:ascii="宋体" w:hAnsi="宋体" w:cs="宋体" w:eastAsia="宋体" w:hint="default"/>
                <w:sz w:val="18"/>
                <w:szCs w:val="18"/>
              </w:rPr>
            </w:pPr>
            <w:r>
              <w:rPr>
                <w:rFonts w:ascii="宋体" w:hAnsi="宋体" w:cs="宋体" w:eastAsia="宋体" w:hint="default"/>
                <w:sz w:val="18"/>
                <w:szCs w:val="18"/>
              </w:rPr>
              <w:t>与收益相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18"/>
              <w:jc w:val="center"/>
              <w:rPr>
                <w:rFonts w:ascii="宋体" w:hAnsi="宋体" w:cs="宋体" w:eastAsia="宋体" w:hint="default"/>
                <w:sz w:val="18"/>
                <w:szCs w:val="18"/>
              </w:rPr>
            </w:pPr>
            <w:r>
              <w:rPr>
                <w:rFonts w:ascii="宋体" w:hAnsi="宋体" w:cs="宋体" w:eastAsia="宋体" w:hint="default"/>
                <w:sz w:val="18"/>
                <w:szCs w:val="18"/>
              </w:rPr>
              <w:t>高新技术</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center"/>
              <w:rPr>
                <w:rFonts w:ascii="Times New Roman" w:hAnsi="Times New Roman" w:cs="Times New Roman" w:eastAsia="Times New Roman" w:hint="default"/>
                <w:sz w:val="18"/>
                <w:szCs w:val="18"/>
              </w:rPr>
            </w:pPr>
            <w:r>
              <w:rPr>
                <w:rFonts w:ascii="Times New Roman"/>
                <w:sz w:val="18"/>
              </w:rPr>
              <w:t>100,000.00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与收益相</w:t>
            </w:r>
          </w:p>
        </w:tc>
      </w:tr>
    </w:tbl>
    <w:p>
      <w:pPr>
        <w:spacing w:after="0" w:line="240" w:lineRule="auto"/>
        <w:jc w:val="left"/>
        <w:rPr>
          <w:rFonts w:ascii="宋体" w:hAnsi="宋体" w:cs="宋体" w:eastAsia="宋体" w:hint="default"/>
          <w:sz w:val="18"/>
          <w:szCs w:val="18"/>
        </w:rPr>
        <w:sectPr>
          <w:footerReference w:type="default" r:id="rId31"/>
          <w:pgSz w:w="11910" w:h="16840"/>
          <w:pgMar w:footer="1022" w:header="906"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066"/>
        <w:gridCol w:w="1061"/>
        <w:gridCol w:w="1066"/>
        <w:gridCol w:w="1061"/>
        <w:gridCol w:w="1066"/>
        <w:gridCol w:w="1061"/>
        <w:gridCol w:w="1066"/>
        <w:gridCol w:w="1061"/>
        <w:gridCol w:w="1066"/>
      </w:tblGrid>
      <w:tr>
        <w:trPr>
          <w:trHeight w:val="98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5" w:right="224"/>
              <w:jc w:val="both"/>
              <w:rPr>
                <w:rFonts w:ascii="宋体" w:hAnsi="宋体" w:cs="宋体" w:eastAsia="宋体" w:hint="default"/>
                <w:sz w:val="18"/>
                <w:szCs w:val="18"/>
              </w:rPr>
            </w:pPr>
            <w:r>
              <w:rPr>
                <w:rFonts w:ascii="宋体" w:hAnsi="宋体" w:cs="宋体" w:eastAsia="宋体" w:hint="default"/>
                <w:sz w:val="18"/>
                <w:szCs w:val="18"/>
              </w:rPr>
              <w:t>企业倍增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支持计划</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项目资助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w w:val="101"/>
                <w:sz w:val="18"/>
                <w:szCs w:val="18"/>
              </w:rPr>
              <w:t>关</w:t>
            </w:r>
            <w:r>
              <w:rPr>
                <w:rFonts w:ascii="宋体" w:hAnsi="宋体" w:cs="宋体" w:eastAsia="宋体" w:hint="default"/>
                <w:sz w:val="18"/>
                <w:szCs w:val="18"/>
              </w:rPr>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105" w:right="94"/>
              <w:jc w:val="left"/>
              <w:rPr>
                <w:rFonts w:ascii="宋体" w:hAnsi="宋体" w:cs="宋体" w:eastAsia="宋体" w:hint="default"/>
                <w:sz w:val="18"/>
                <w:szCs w:val="18"/>
              </w:rPr>
            </w:pPr>
            <w:r>
              <w:rPr>
                <w:rFonts w:ascii="宋体" w:hAnsi="宋体" w:cs="宋体" w:eastAsia="宋体" w:hint="default"/>
                <w:sz w:val="18"/>
                <w:szCs w:val="18"/>
              </w:rPr>
              <w:t>高新区经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贸局张粉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玉报第二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期普惠兑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现（企业技</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术中心补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贴）</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105" w:right="223"/>
              <w:jc w:val="left"/>
              <w:rPr>
                <w:rFonts w:ascii="宋体" w:hAnsi="宋体" w:cs="宋体" w:eastAsia="宋体" w:hint="default"/>
                <w:sz w:val="18"/>
                <w:szCs w:val="18"/>
              </w:rPr>
            </w:pPr>
            <w:r>
              <w:rPr>
                <w:rFonts w:ascii="宋体" w:hAnsi="宋体" w:cs="宋体" w:eastAsia="宋体" w:hint="default"/>
                <w:sz w:val="18"/>
                <w:szCs w:val="18"/>
              </w:rPr>
              <w:t>与收益相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年福</w:t>
            </w:r>
            <w:r>
              <w:rPr>
                <w:rFonts w:ascii="宋体" w:hAnsi="宋体" w:cs="宋体" w:eastAsia="宋体" w:hint="default"/>
                <w:sz w:val="18"/>
                <w:szCs w:val="18"/>
              </w:rPr>
            </w:r>
          </w:p>
          <w:p>
            <w:pPr>
              <w:pStyle w:val="TableParagraph"/>
              <w:spacing w:line="312" w:lineRule="auto" w:before="63"/>
              <w:ind w:left="105" w:right="185"/>
              <w:jc w:val="both"/>
              <w:rPr>
                <w:rFonts w:ascii="宋体" w:hAnsi="宋体" w:cs="宋体" w:eastAsia="宋体" w:hint="default"/>
                <w:sz w:val="18"/>
                <w:szCs w:val="18"/>
              </w:rPr>
            </w:pPr>
            <w:r>
              <w:rPr>
                <w:rFonts w:ascii="宋体" w:hAnsi="宋体" w:cs="宋体" w:eastAsia="宋体" w:hint="default"/>
                <w:sz w:val="18"/>
                <w:szCs w:val="18"/>
              </w:rPr>
              <w:t>田区第</w:t>
            </w:r>
            <w:r>
              <w:rPr>
                <w:rFonts w:ascii="宋体" w:hAnsi="宋体" w:cs="宋体" w:eastAsia="宋体" w:hint="default"/>
                <w:spacing w:val="-40"/>
                <w:sz w:val="18"/>
                <w:szCs w:val="18"/>
              </w:rPr>
              <w:t> </w:t>
            </w:r>
            <w:r>
              <w:rPr>
                <w:rFonts w:ascii="Times New Roman" w:hAnsi="Times New Roman" w:cs="Times New Roman" w:eastAsia="Times New Roman" w:hint="default"/>
                <w:spacing w:val="-5"/>
                <w:sz w:val="18"/>
                <w:szCs w:val="18"/>
              </w:rPr>
              <w:t>24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批岗前补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贴</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pacing w:val="-1"/>
                <w:sz w:val="18"/>
              </w:rPr>
              <w:t>30,600.00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105" w:right="223"/>
              <w:jc w:val="left"/>
              <w:rPr>
                <w:rFonts w:ascii="宋体" w:hAnsi="宋体" w:cs="宋体" w:eastAsia="宋体" w:hint="default"/>
                <w:sz w:val="18"/>
                <w:szCs w:val="18"/>
              </w:rPr>
            </w:pPr>
            <w:r>
              <w:rPr>
                <w:rFonts w:ascii="宋体" w:hAnsi="宋体" w:cs="宋体" w:eastAsia="宋体" w:hint="default"/>
                <w:sz w:val="18"/>
                <w:szCs w:val="18"/>
              </w:rPr>
              <w:t>与收益相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196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24"/>
              <w:jc w:val="both"/>
              <w:rPr>
                <w:rFonts w:ascii="宋体" w:hAnsi="宋体" w:cs="宋体" w:eastAsia="宋体" w:hint="default"/>
                <w:sz w:val="18"/>
                <w:szCs w:val="18"/>
              </w:rPr>
            </w:pPr>
            <w:r>
              <w:rPr>
                <w:rFonts w:ascii="宋体" w:hAnsi="宋体" w:cs="宋体" w:eastAsia="宋体" w:hint="default"/>
                <w:sz w:val="18"/>
                <w:szCs w:val="18"/>
              </w:rPr>
              <w:t>高新区经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贸局陆忠</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报第二次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政策兑现</w:t>
            </w:r>
          </w:p>
          <w:p>
            <w:pPr>
              <w:pStyle w:val="TableParagraph"/>
              <w:spacing w:line="324" w:lineRule="auto" w:before="19"/>
              <w:ind w:left="105" w:right="224"/>
              <w:jc w:val="both"/>
              <w:rPr>
                <w:rFonts w:ascii="宋体" w:hAnsi="宋体" w:cs="宋体" w:eastAsia="宋体" w:hint="default"/>
                <w:sz w:val="18"/>
                <w:szCs w:val="18"/>
              </w:rPr>
            </w:pPr>
            <w:r>
              <w:rPr>
                <w:rFonts w:ascii="宋体" w:hAnsi="宋体" w:cs="宋体" w:eastAsia="宋体" w:hint="default"/>
                <w:sz w:val="18"/>
                <w:szCs w:val="18"/>
              </w:rPr>
              <w:t>（产值过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亿补贴）</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105" w:right="223"/>
              <w:jc w:val="left"/>
              <w:rPr>
                <w:rFonts w:ascii="宋体" w:hAnsi="宋体" w:cs="宋体" w:eastAsia="宋体" w:hint="default"/>
                <w:sz w:val="18"/>
                <w:szCs w:val="18"/>
              </w:rPr>
            </w:pPr>
            <w:r>
              <w:rPr>
                <w:rFonts w:ascii="宋体" w:hAnsi="宋体" w:cs="宋体" w:eastAsia="宋体" w:hint="default"/>
                <w:sz w:val="18"/>
                <w:szCs w:val="18"/>
              </w:rPr>
              <w:t>与收益相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164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5" w:right="162"/>
              <w:jc w:val="left"/>
              <w:rPr>
                <w:rFonts w:ascii="宋体" w:hAnsi="宋体" w:cs="宋体" w:eastAsia="宋体" w:hint="default"/>
                <w:sz w:val="18"/>
                <w:szCs w:val="18"/>
              </w:rPr>
            </w:pPr>
            <w:r>
              <w:rPr>
                <w:rFonts w:ascii="宋体" w:hAnsi="宋体" w:cs="宋体" w:eastAsia="宋体" w:hint="default"/>
                <w:sz w:val="18"/>
                <w:szCs w:val="18"/>
              </w:rPr>
              <w:t>高新区人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事局政策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兑现资金</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人才引进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补贴</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5"/>
              <w:ind w:left="105" w:right="223"/>
              <w:jc w:val="left"/>
              <w:rPr>
                <w:rFonts w:ascii="宋体" w:hAnsi="宋体" w:cs="宋体" w:eastAsia="宋体" w:hint="default"/>
                <w:sz w:val="18"/>
                <w:szCs w:val="18"/>
              </w:rPr>
            </w:pPr>
            <w:r>
              <w:rPr>
                <w:rFonts w:ascii="宋体" w:hAnsi="宋体" w:cs="宋体" w:eastAsia="宋体" w:hint="default"/>
                <w:sz w:val="18"/>
                <w:szCs w:val="18"/>
              </w:rPr>
              <w:t>与收益相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24"/>
              <w:jc w:val="both"/>
              <w:rPr>
                <w:rFonts w:ascii="宋体" w:hAnsi="宋体" w:cs="宋体" w:eastAsia="宋体" w:hint="default"/>
                <w:sz w:val="18"/>
                <w:szCs w:val="18"/>
              </w:rPr>
            </w:pPr>
            <w:r>
              <w:rPr>
                <w:rFonts w:ascii="宋体" w:hAnsi="宋体" w:cs="宋体" w:eastAsia="宋体" w:hint="default"/>
                <w:sz w:val="18"/>
                <w:szCs w:val="18"/>
              </w:rPr>
              <w:t>广州科技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创新券补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助款</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17,820.00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5" w:right="223"/>
              <w:jc w:val="left"/>
              <w:rPr>
                <w:rFonts w:ascii="宋体" w:hAnsi="宋体" w:cs="宋体" w:eastAsia="宋体" w:hint="default"/>
                <w:sz w:val="18"/>
                <w:szCs w:val="18"/>
              </w:rPr>
            </w:pPr>
            <w:r>
              <w:rPr>
                <w:rFonts w:ascii="宋体" w:hAnsi="宋体" w:cs="宋体" w:eastAsia="宋体" w:hint="default"/>
                <w:sz w:val="18"/>
                <w:szCs w:val="18"/>
              </w:rPr>
              <w:t>与收益相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71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105" w:right="224"/>
              <w:jc w:val="left"/>
              <w:rPr>
                <w:rFonts w:ascii="宋体" w:hAnsi="宋体" w:cs="宋体" w:eastAsia="宋体" w:hint="default"/>
                <w:sz w:val="18"/>
                <w:szCs w:val="18"/>
              </w:rPr>
            </w:pPr>
            <w:r>
              <w:rPr>
                <w:rFonts w:ascii="宋体" w:hAnsi="宋体" w:cs="宋体" w:eastAsia="宋体" w:hint="default"/>
                <w:sz w:val="18"/>
                <w:szCs w:val="18"/>
              </w:rPr>
              <w:t>收到展位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补贴</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105" w:right="223"/>
              <w:jc w:val="left"/>
              <w:rPr>
                <w:rFonts w:ascii="宋体" w:hAnsi="宋体" w:cs="宋体" w:eastAsia="宋体" w:hint="default"/>
                <w:sz w:val="18"/>
                <w:szCs w:val="18"/>
              </w:rPr>
            </w:pPr>
            <w:r>
              <w:rPr>
                <w:rFonts w:ascii="宋体" w:hAnsi="宋体" w:cs="宋体" w:eastAsia="宋体" w:hint="default"/>
                <w:sz w:val="18"/>
                <w:szCs w:val="18"/>
              </w:rPr>
              <w:t>与收益相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105" w:right="224"/>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四上</w:t>
            </w:r>
            <w:r>
              <w:rPr>
                <w:rFonts w:ascii="Times New Roman" w:hAnsi="Times New Roman" w:cs="Times New Roman" w:eastAsia="Times New Roman" w:hint="default"/>
                <w:sz w:val="18"/>
                <w:szCs w:val="18"/>
              </w:rPr>
              <w:t>"</w:t>
            </w:r>
            <w:r>
              <w:rPr>
                <w:rFonts w:ascii="宋体" w:hAnsi="宋体" w:cs="宋体" w:eastAsia="宋体" w:hint="default"/>
                <w:sz w:val="18"/>
                <w:szCs w:val="18"/>
              </w:rPr>
              <w:t>企</w:t>
            </w:r>
            <w:r>
              <w:rPr>
                <w:rFonts w:ascii="宋体" w:hAnsi="宋体" w:cs="宋体" w:eastAsia="宋体" w:hint="default"/>
                <w:spacing w:val="-87"/>
                <w:sz w:val="18"/>
                <w:szCs w:val="18"/>
              </w:rPr>
              <w:t> </w:t>
            </w:r>
            <w:r>
              <w:rPr>
                <w:rFonts w:ascii="宋体" w:hAnsi="宋体" w:cs="宋体" w:eastAsia="宋体" w:hint="default"/>
                <w:sz w:val="18"/>
                <w:szCs w:val="18"/>
              </w:rPr>
              <w:t>业经费补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贴</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105" w:right="223"/>
              <w:jc w:val="left"/>
              <w:rPr>
                <w:rFonts w:ascii="宋体" w:hAnsi="宋体" w:cs="宋体" w:eastAsia="宋体" w:hint="default"/>
                <w:sz w:val="18"/>
                <w:szCs w:val="18"/>
              </w:rPr>
            </w:pPr>
            <w:r>
              <w:rPr>
                <w:rFonts w:ascii="宋体" w:hAnsi="宋体" w:cs="宋体" w:eastAsia="宋体" w:hint="default"/>
                <w:sz w:val="18"/>
                <w:szCs w:val="18"/>
              </w:rPr>
              <w:t>与收益相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102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224"/>
              <w:jc w:val="both"/>
              <w:rPr>
                <w:rFonts w:ascii="宋体" w:hAnsi="宋体" w:cs="宋体" w:eastAsia="宋体" w:hint="default"/>
                <w:sz w:val="18"/>
                <w:szCs w:val="18"/>
              </w:rPr>
            </w:pPr>
            <w:r>
              <w:rPr>
                <w:rFonts w:ascii="宋体" w:hAnsi="宋体" w:cs="宋体" w:eastAsia="宋体" w:hint="default"/>
                <w:sz w:val="18"/>
                <w:szCs w:val="18"/>
              </w:rPr>
              <w:t>信用报告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专项补贴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专项奖金</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4,800.00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4,800.00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105" w:right="223"/>
              <w:jc w:val="left"/>
              <w:rPr>
                <w:rFonts w:ascii="宋体" w:hAnsi="宋体" w:cs="宋体" w:eastAsia="宋体" w:hint="default"/>
                <w:sz w:val="18"/>
                <w:szCs w:val="18"/>
              </w:rPr>
            </w:pPr>
            <w:r>
              <w:rPr>
                <w:rFonts w:ascii="宋体" w:hAnsi="宋体" w:cs="宋体" w:eastAsia="宋体" w:hint="default"/>
                <w:sz w:val="18"/>
                <w:szCs w:val="18"/>
              </w:rPr>
              <w:t>与收益相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个税返还</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4,214.38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223"/>
              <w:jc w:val="left"/>
              <w:rPr>
                <w:rFonts w:ascii="宋体" w:hAnsi="宋体" w:cs="宋体" w:eastAsia="宋体" w:hint="default"/>
                <w:sz w:val="18"/>
                <w:szCs w:val="18"/>
              </w:rPr>
            </w:pPr>
            <w:r>
              <w:rPr>
                <w:rFonts w:ascii="宋体" w:hAnsi="宋体" w:cs="宋体" w:eastAsia="宋体" w:hint="default"/>
                <w:sz w:val="18"/>
                <w:szCs w:val="18"/>
              </w:rPr>
              <w:t>与收益相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102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105" w:right="224"/>
              <w:jc w:val="both"/>
              <w:rPr>
                <w:rFonts w:ascii="宋体" w:hAnsi="宋体" w:cs="宋体" w:eastAsia="宋体" w:hint="default"/>
                <w:sz w:val="18"/>
                <w:szCs w:val="18"/>
              </w:rPr>
            </w:pPr>
            <w:r>
              <w:rPr>
                <w:rFonts w:ascii="宋体" w:hAnsi="宋体" w:cs="宋体" w:eastAsia="宋体" w:hint="default"/>
                <w:sz w:val="18"/>
                <w:szCs w:val="18"/>
              </w:rPr>
              <w:t>招用高校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毕业生补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7,957.90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2,661.06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105" w:right="223"/>
              <w:jc w:val="left"/>
              <w:rPr>
                <w:rFonts w:ascii="宋体" w:hAnsi="宋体" w:cs="宋体" w:eastAsia="宋体" w:hint="default"/>
                <w:sz w:val="18"/>
                <w:szCs w:val="18"/>
              </w:rPr>
            </w:pPr>
            <w:r>
              <w:rPr>
                <w:rFonts w:ascii="宋体" w:hAnsi="宋体" w:cs="宋体" w:eastAsia="宋体" w:hint="default"/>
                <w:sz w:val="18"/>
                <w:szCs w:val="18"/>
              </w:rPr>
              <w:t>与收益相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bl>
    <w:p>
      <w:pPr>
        <w:spacing w:after="0" w:line="316" w:lineRule="auto"/>
        <w:jc w:val="left"/>
        <w:rPr>
          <w:rFonts w:ascii="宋体" w:hAnsi="宋体" w:cs="宋体" w:eastAsia="宋体" w:hint="default"/>
          <w:sz w:val="18"/>
          <w:szCs w:val="18"/>
        </w:rPr>
        <w:sectPr>
          <w:footerReference w:type="default" r:id="rId32"/>
          <w:pgSz w:w="11910" w:h="16840"/>
          <w:pgMar w:footer="1022" w:header="906" w:top="1100" w:bottom="1220" w:left="1020" w:right="0"/>
          <w:pgNumType w:start="201"/>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066"/>
        <w:gridCol w:w="1061"/>
        <w:gridCol w:w="1066"/>
        <w:gridCol w:w="1061"/>
        <w:gridCol w:w="1066"/>
        <w:gridCol w:w="1061"/>
        <w:gridCol w:w="1066"/>
        <w:gridCol w:w="1061"/>
        <w:gridCol w:w="1066"/>
      </w:tblGrid>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77,757.90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2"/>
                <w:sz w:val="18"/>
              </w:rPr>
              <w:t>3,146,127.</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62</w:t>
            </w: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75、营业外支出" w:id="398"/>
      <w:bookmarkEnd w:id="398"/>
      <w:r>
        <w:rPr>
          <w:b w:val="0"/>
          <w:bCs w:val="0"/>
        </w:rPr>
      </w:r>
      <w:r>
        <w:rPr>
          <w:rFonts w:ascii="Times New Roman" w:hAnsi="Times New Roman" w:cs="Times New Roman" w:eastAsia="Times New Roman" w:hint="default"/>
        </w:rPr>
        <w:t>75</w:t>
      </w:r>
      <w:r>
        <w:rPr/>
        <w:t>、营业外支出</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04"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312,000.00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383,962.12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68,441.54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383,962.12</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罚款支出及滞纳金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3,764.58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4,018.10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3,764.58</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347,555.94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10,240.73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347,555.94</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785,282.64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394,700.37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785,282.64</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3"/>
        <w:spacing w:line="240" w:lineRule="auto"/>
        <w:ind w:right="1764"/>
        <w:jc w:val="left"/>
        <w:rPr>
          <w:b w:val="0"/>
          <w:bCs w:val="0"/>
        </w:rPr>
      </w:pPr>
      <w:bookmarkStart w:name="76、所得税费用" w:id="399"/>
      <w:bookmarkEnd w:id="399"/>
      <w:r>
        <w:rPr>
          <w:b w:val="0"/>
          <w:bCs w:val="0"/>
        </w:rPr>
      </w:r>
      <w:r>
        <w:rPr>
          <w:rFonts w:ascii="Times New Roman" w:hAnsi="Times New Roman" w:cs="Times New Roman" w:eastAsia="Times New Roman" w:hint="default"/>
        </w:rPr>
        <w:t>76</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1）所得税费用表" w:id="400"/>
      <w:bookmarkEnd w:id="400"/>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23,816,660.51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2"/>
                <w:sz w:val="18"/>
              </w:rPr>
              <w:t>23,211,792.07</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-4,822,662.76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-2,058,781.55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18,993,997.75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21,153,010.52</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2）会计利润与所得税费用调整过程" w:id="401"/>
      <w:bookmarkEnd w:id="401"/>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4"/>
              <w:jc w:val="right"/>
              <w:rPr>
                <w:rFonts w:ascii="Times New Roman" w:hAnsi="Times New Roman" w:cs="Times New Roman" w:eastAsia="Times New Roman" w:hint="default"/>
                <w:sz w:val="18"/>
                <w:szCs w:val="18"/>
              </w:rPr>
            </w:pPr>
            <w:r>
              <w:rPr>
                <w:rFonts w:ascii="Times New Roman"/>
                <w:spacing w:val="-1"/>
                <w:sz w:val="18"/>
              </w:rPr>
              <w:t>171,716,442.14</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按法定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适用税率计算的所得税费用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25,757,466.32</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子公司适用不同税率的影响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5,668,002.86</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调整以前期间所得税的影响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-418,971.54</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4"/>
              <w:jc w:val="right"/>
              <w:rPr>
                <w:rFonts w:ascii="Times New Roman" w:hAnsi="Times New Roman" w:cs="Times New Roman" w:eastAsia="Times New Roman" w:hint="default"/>
                <w:sz w:val="18"/>
                <w:szCs w:val="18"/>
              </w:rPr>
            </w:pPr>
            <w:r>
              <w:rPr>
                <w:rFonts w:ascii="Times New Roman"/>
                <w:spacing w:val="-1"/>
                <w:sz w:val="18"/>
              </w:rPr>
              <w:t>631,409.77</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不可抵扣的成本、费用和损失的影响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2,691,312.34</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使用前期未确认递延所得税资产的可抵扣亏损的影响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-130,184.77</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pacing w:val="-3"/>
                <w:sz w:val="18"/>
                <w:szCs w:val="18"/>
              </w:rPr>
              <w:t>本期未确认递延所得税资产的可抵扣暂时性差异或可抵扣</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11,616,113.56</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360"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亏损的影响</w:t>
            </w:r>
          </w:p>
        </w:tc>
        <w:tc>
          <w:tcPr>
            <w:tcW w:w="47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本期纳税调减影响（研发加计扣除、残疾人工资等）</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-26,821,150.79</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18,993,997.75</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3"/>
        <w:spacing w:line="240" w:lineRule="auto"/>
        <w:ind w:right="1764"/>
        <w:jc w:val="left"/>
        <w:rPr>
          <w:b w:val="0"/>
          <w:bCs w:val="0"/>
        </w:rPr>
      </w:pPr>
      <w:bookmarkStart w:name="77、其他综合收益" w:id="402"/>
      <w:bookmarkEnd w:id="402"/>
      <w:r>
        <w:rPr>
          <w:b w:val="0"/>
          <w:bCs w:val="0"/>
        </w:rPr>
      </w:r>
      <w:r>
        <w:rPr>
          <w:rFonts w:ascii="Times New Roman" w:hAnsi="Times New Roman" w:cs="Times New Roman" w:eastAsia="Times New Roman" w:hint="default"/>
        </w:rPr>
        <w:t>77</w:t>
      </w:r>
      <w:r>
        <w:rPr/>
        <w:t>、其他综合收益</w:t>
      </w:r>
      <w:r>
        <w:rPr>
          <w:b w:val="0"/>
          <w:bCs w:val="0"/>
        </w:rPr>
      </w:r>
    </w:p>
    <w:p>
      <w:pPr>
        <w:spacing w:line="240" w:lineRule="auto" w:before="1"/>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详见附注。</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78、现金流量表项目" w:id="403"/>
      <w:bookmarkEnd w:id="403"/>
      <w:r>
        <w:rPr>
          <w:b w:val="0"/>
          <w:bCs w:val="0"/>
        </w:rPr>
      </w:r>
      <w:r>
        <w:rPr>
          <w:rFonts w:ascii="Times New Roman" w:hAnsi="Times New Roman" w:cs="Times New Roman" w:eastAsia="Times New Roman" w:hint="default"/>
        </w:rPr>
        <w:t>78</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1）收到的其他与经营活动有关的现金" w:id="404"/>
      <w:bookmarkEnd w:id="404"/>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17,288,952.47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20,640,132.62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1,653,350.80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1,328,181.54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41,731,821.90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28,994,424.21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备用金及其他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85,433,732.49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17,330,736.57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146,107,857.66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68,293,474.94</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收到的其他与经营活动有关的现金说明：</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2）支付的其他与经营活动有关的现金" w:id="405"/>
      <w:bookmarkEnd w:id="405"/>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47,351,897.21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2"/>
                <w:sz w:val="18"/>
              </w:rPr>
              <w:t>50,111,836.16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72,023,442.71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87,680,708.92</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62,579,040.19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47,160,135.87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备用金及其他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173,487,590.18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6,633,678.50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355,441,970.29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191,586,359.45</w:t>
            </w:r>
          </w:p>
        </w:tc>
      </w:tr>
    </w:tbl>
    <w:p>
      <w:pPr>
        <w:spacing w:before="54"/>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支付的其他与经营活动有关的现金说明：</w:t>
      </w:r>
    </w:p>
    <w:p>
      <w:pPr>
        <w:spacing w:line="240" w:lineRule="auto" w:before="8"/>
        <w:rPr>
          <w:rFonts w:ascii="宋体" w:hAnsi="宋体" w:cs="宋体" w:eastAsia="宋体" w:hint="default"/>
          <w:sz w:val="26"/>
          <w:szCs w:val="26"/>
        </w:rPr>
      </w:pPr>
    </w:p>
    <w:p>
      <w:pPr>
        <w:pStyle w:val="Heading3"/>
        <w:spacing w:line="240" w:lineRule="auto"/>
        <w:ind w:right="1764"/>
        <w:jc w:val="left"/>
        <w:rPr>
          <w:b w:val="0"/>
          <w:bCs w:val="0"/>
        </w:rPr>
      </w:pPr>
      <w:bookmarkStart w:name="（3）收到的其他与投资活动有关的现金" w:id="406"/>
      <w:bookmarkEnd w:id="406"/>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收到的其他与投资活动有关的现金说明：</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3"/>
        <w:spacing w:line="240" w:lineRule="auto" w:before="36"/>
        <w:ind w:right="1764"/>
        <w:jc w:val="left"/>
        <w:rPr>
          <w:b w:val="0"/>
          <w:bCs w:val="0"/>
        </w:rPr>
      </w:pPr>
      <w:bookmarkStart w:name="（4）支付的其他与投资活动有关的现金" w:id="407"/>
      <w:bookmarkEnd w:id="407"/>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支付的其他与投资活动有关的现金说明：</w:t>
      </w:r>
    </w:p>
    <w:p>
      <w:pPr>
        <w:spacing w:line="240" w:lineRule="auto" w:before="8"/>
        <w:rPr>
          <w:rFonts w:ascii="宋体" w:hAnsi="宋体" w:cs="宋体" w:eastAsia="宋体" w:hint="default"/>
          <w:sz w:val="26"/>
          <w:szCs w:val="26"/>
        </w:rPr>
      </w:pPr>
    </w:p>
    <w:p>
      <w:pPr>
        <w:pStyle w:val="Heading3"/>
        <w:spacing w:line="240" w:lineRule="auto"/>
        <w:ind w:right="1764"/>
        <w:jc w:val="left"/>
        <w:rPr>
          <w:b w:val="0"/>
          <w:bCs w:val="0"/>
        </w:rPr>
      </w:pPr>
      <w:bookmarkStart w:name="（5）收到的其他与筹资活动有关的现金" w:id="408"/>
      <w:bookmarkEnd w:id="408"/>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收回保证金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2,000,000.00</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before="54"/>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收到的其他与筹资活动有关的现金说明：</w:t>
      </w:r>
    </w:p>
    <w:p>
      <w:pPr>
        <w:spacing w:line="240" w:lineRule="auto" w:before="8"/>
        <w:rPr>
          <w:rFonts w:ascii="宋体" w:hAnsi="宋体" w:cs="宋体" w:eastAsia="宋体" w:hint="default"/>
          <w:sz w:val="26"/>
          <w:szCs w:val="26"/>
        </w:rPr>
      </w:pPr>
    </w:p>
    <w:p>
      <w:pPr>
        <w:pStyle w:val="Heading3"/>
        <w:spacing w:line="240" w:lineRule="auto"/>
        <w:ind w:right="1764"/>
        <w:jc w:val="left"/>
        <w:rPr>
          <w:b w:val="0"/>
          <w:bCs w:val="0"/>
        </w:rPr>
      </w:pPr>
      <w:bookmarkStart w:name="（6）支付的其他与筹资活动有关的现金" w:id="409"/>
      <w:bookmarkEnd w:id="409"/>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151,611,000.00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54,600,000.00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限制性股票回购</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5,481,913.28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4,308,239.37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157,092,913.28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58,908,239.37</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支付的其他与筹资活动有关的现金说明：</w:t>
      </w:r>
    </w:p>
    <w:p>
      <w:pPr>
        <w:spacing w:line="240" w:lineRule="auto" w:before="9"/>
        <w:rPr>
          <w:rFonts w:ascii="宋体" w:hAnsi="宋体" w:cs="宋体" w:eastAsia="宋体" w:hint="default"/>
          <w:sz w:val="26"/>
          <w:szCs w:val="26"/>
        </w:rPr>
      </w:pPr>
    </w:p>
    <w:p>
      <w:pPr>
        <w:pStyle w:val="Heading3"/>
        <w:spacing w:line="240" w:lineRule="auto"/>
        <w:ind w:right="1764"/>
        <w:jc w:val="left"/>
        <w:rPr>
          <w:b w:val="0"/>
          <w:bCs w:val="0"/>
        </w:rPr>
      </w:pPr>
      <w:bookmarkStart w:name="79、现金流量表补充资料" w:id="410"/>
      <w:bookmarkEnd w:id="410"/>
      <w:r>
        <w:rPr>
          <w:b w:val="0"/>
          <w:bCs w:val="0"/>
        </w:rPr>
      </w:r>
      <w:r>
        <w:rPr>
          <w:rFonts w:ascii="Times New Roman" w:hAnsi="Times New Roman" w:cs="Times New Roman" w:eastAsia="Times New Roman" w:hint="default"/>
        </w:rPr>
        <w:t>79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1）现金流量表补充资料" w:id="411"/>
      <w:bookmarkEnd w:id="411"/>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328"/>
        <w:gridCol w:w="3058"/>
        <w:gridCol w:w="3183"/>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152,722,444.39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244,438,187.76</w:t>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26,805,087.22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22,302,621.59</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加：信用减值损失</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26,805,087.22</w:t>
            </w:r>
          </w:p>
        </w:tc>
        <w:tc>
          <w:tcPr>
            <w:tcW w:w="318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3" w:firstLine="720"/>
              <w:jc w:val="left"/>
              <w:rPr>
                <w:rFonts w:ascii="宋体" w:hAnsi="宋体" w:cs="宋体" w:eastAsia="宋体" w:hint="default"/>
                <w:sz w:val="18"/>
                <w:szCs w:val="18"/>
              </w:rPr>
            </w:pPr>
            <w:r>
              <w:rPr>
                <w:rFonts w:ascii="宋体" w:hAnsi="宋体" w:cs="宋体" w:eastAsia="宋体" w:hint="default"/>
                <w:spacing w:val="-5"/>
                <w:sz w:val="18"/>
                <w:szCs w:val="18"/>
              </w:rPr>
              <w:t>固定资产折旧、油气资产折耗、</w:t>
            </w:r>
            <w:r>
              <w:rPr>
                <w:rFonts w:ascii="宋体" w:hAnsi="宋体" w:cs="宋体" w:eastAsia="宋体" w:hint="default"/>
                <w:w w:val="101"/>
                <w:sz w:val="18"/>
                <w:szCs w:val="18"/>
              </w:rPr>
              <w:t> </w:t>
            </w:r>
            <w:r>
              <w:rPr>
                <w:rFonts w:ascii="宋体" w:hAnsi="宋体" w:cs="宋体" w:eastAsia="宋体" w:hint="default"/>
                <w:spacing w:val="-3"/>
                <w:sz w:val="18"/>
                <w:szCs w:val="18"/>
              </w:rPr>
              <w:t>生产性生物资产折旧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28,487,020.06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22,168,335.17</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826"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104,513,844.19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96,742,913.03</w:t>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26"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5,780,929.08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3,036,701.77</w:t>
            </w:r>
          </w:p>
        </w:tc>
      </w:tr>
      <w:tr>
        <w:trPr>
          <w:trHeight w:val="67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05" w:right="147" w:firstLine="72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w:t>
            </w:r>
            <w:r>
              <w:rPr>
                <w:rFonts w:ascii="宋体" w:hAnsi="宋体" w:cs="宋体" w:eastAsia="宋体" w:hint="default"/>
                <w:w w:val="101"/>
                <w:sz w:val="18"/>
                <w:szCs w:val="18"/>
              </w:rPr>
              <w:t> </w:t>
            </w:r>
            <w:r>
              <w:rPr>
                <w:rFonts w:ascii="宋体" w:hAnsi="宋体" w:cs="宋体" w:eastAsia="宋体" w:hint="default"/>
                <w:spacing w:val="-3"/>
                <w:sz w:val="18"/>
                <w:szCs w:val="18"/>
              </w:rPr>
              <w:t>他长期资产的损失（收益以“－”号填</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2,478.47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8,992.48</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328"/>
        <w:gridCol w:w="3058"/>
        <w:gridCol w:w="3183"/>
      </w:tblGrid>
      <w:tr>
        <w:trPr>
          <w:trHeight w:val="360"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325" w:firstLine="720"/>
              <w:jc w:val="left"/>
              <w:rPr>
                <w:rFonts w:ascii="宋体" w:hAnsi="宋体" w:cs="宋体" w:eastAsia="宋体" w:hint="default"/>
                <w:sz w:val="18"/>
                <w:szCs w:val="18"/>
              </w:rPr>
            </w:pPr>
            <w:r>
              <w:rPr>
                <w:rFonts w:ascii="宋体" w:hAnsi="宋体" w:cs="宋体" w:eastAsia="宋体" w:hint="default"/>
                <w:spacing w:val="-3"/>
                <w:sz w:val="18"/>
                <w:szCs w:val="18"/>
              </w:rPr>
              <w:t>固定资产报废损失（收益以</w:t>
            </w:r>
            <w:r>
              <w:rPr>
                <w:rFonts w:ascii="宋体" w:hAnsi="宋体" w:cs="宋体" w:eastAsia="宋体" w:hint="default"/>
                <w:w w:val="101"/>
                <w:sz w:val="18"/>
                <w:szCs w:val="18"/>
              </w:rPr>
              <w:t> </w:t>
            </w:r>
            <w:r>
              <w:rPr>
                <w:rFonts w:ascii="宋体" w:hAnsi="宋体" w:cs="宋体" w:eastAsia="宋体" w:hint="default"/>
                <w:spacing w:val="-3"/>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383,962.12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68,441.54</w:t>
            </w:r>
          </w:p>
        </w:tc>
      </w:tr>
      <w:tr>
        <w:trPr>
          <w:trHeight w:val="715"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325" w:firstLine="720"/>
              <w:jc w:val="left"/>
              <w:rPr>
                <w:rFonts w:ascii="宋体" w:hAnsi="宋体" w:cs="宋体" w:eastAsia="宋体" w:hint="default"/>
                <w:sz w:val="18"/>
                <w:szCs w:val="18"/>
              </w:rPr>
            </w:pPr>
            <w:r>
              <w:rPr>
                <w:rFonts w:ascii="宋体" w:hAnsi="宋体" w:cs="宋体" w:eastAsia="宋体" w:hint="default"/>
                <w:spacing w:val="-3"/>
                <w:sz w:val="18"/>
                <w:szCs w:val="18"/>
              </w:rPr>
              <w:t>公允价值变动损失（收益以</w:t>
            </w:r>
            <w:r>
              <w:rPr>
                <w:rFonts w:ascii="宋体" w:hAnsi="宋体" w:cs="宋体" w:eastAsia="宋体" w:hint="default"/>
                <w:w w:val="101"/>
                <w:sz w:val="18"/>
                <w:szCs w:val="18"/>
              </w:rPr>
              <w:t> </w:t>
            </w:r>
            <w:r>
              <w:rPr>
                <w:rFonts w:ascii="宋体" w:hAnsi="宋体" w:cs="宋体" w:eastAsia="宋体" w:hint="default"/>
                <w:spacing w:val="-3"/>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-510,336.00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1,387,476.00</w:t>
            </w:r>
          </w:p>
        </w:tc>
      </w:tr>
      <w:tr>
        <w:trPr>
          <w:trHeight w:val="715"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pacing w:val="-3"/>
                <w:sz w:val="18"/>
                <w:szCs w:val="18"/>
              </w:rPr>
              <w:t>财务费用（收益以“－”号填</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68,739,813.00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46,325,139.19</w:t>
            </w:r>
          </w:p>
        </w:tc>
      </w:tr>
      <w:tr>
        <w:trPr>
          <w:trHeight w:val="71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26" w:right="0"/>
              <w:jc w:val="left"/>
              <w:rPr>
                <w:rFonts w:ascii="宋体" w:hAnsi="宋体" w:cs="宋体" w:eastAsia="宋体" w:hint="default"/>
                <w:sz w:val="18"/>
                <w:szCs w:val="18"/>
              </w:rPr>
            </w:pPr>
            <w:r>
              <w:rPr>
                <w:rFonts w:ascii="宋体" w:hAnsi="宋体" w:cs="宋体" w:eastAsia="宋体" w:hint="default"/>
                <w:spacing w:val="-3"/>
                <w:sz w:val="18"/>
                <w:szCs w:val="18"/>
              </w:rPr>
              <w:t>投资损失（收益以“－”号填</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-7,411,066.30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-1,504,056.20</w:t>
            </w:r>
          </w:p>
        </w:tc>
      </w:tr>
      <w:tr>
        <w:trPr>
          <w:trHeight w:val="715"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47" w:firstLine="72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宋体" w:hAnsi="宋体" w:cs="宋体" w:eastAsia="宋体" w:hint="default"/>
                <w:w w:val="101"/>
                <w:sz w:val="18"/>
                <w:szCs w:val="18"/>
              </w:rPr>
              <w:t> </w:t>
            </w:r>
            <w:r>
              <w:rPr>
                <w:rFonts w:ascii="宋体" w:hAnsi="宋体" w:cs="宋体" w:eastAsia="宋体" w:hint="default"/>
                <w:spacing w:val="-3"/>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-4,822,662.76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-2,058,781.55</w:t>
            </w:r>
          </w:p>
        </w:tc>
      </w:tr>
      <w:tr>
        <w:trPr>
          <w:trHeight w:val="716"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05" w:right="147" w:firstLine="72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宋体" w:hAnsi="宋体" w:cs="宋体" w:eastAsia="宋体" w:hint="default"/>
                <w:w w:val="101"/>
                <w:sz w:val="18"/>
                <w:szCs w:val="18"/>
              </w:rPr>
              <w:t> </w:t>
            </w:r>
            <w:r>
              <w:rPr>
                <w:rFonts w:ascii="宋体" w:hAnsi="宋体" w:cs="宋体" w:eastAsia="宋体" w:hint="default"/>
                <w:spacing w:val="-3"/>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4,928,938.31</w:t>
            </w:r>
          </w:p>
        </w:tc>
        <w:tc>
          <w:tcPr>
            <w:tcW w:w="31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pacing w:val="-3"/>
                <w:sz w:val="18"/>
                <w:szCs w:val="18"/>
              </w:rPr>
              <w:t>存货的减少（增加以“－”号</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-351,272,199.39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-326,432,120.22</w:t>
            </w:r>
          </w:p>
        </w:tc>
      </w:tr>
      <w:tr>
        <w:trPr>
          <w:trHeight w:val="710"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7" w:firstLine="720"/>
              <w:jc w:val="left"/>
              <w:rPr>
                <w:rFonts w:ascii="宋体" w:hAnsi="宋体" w:cs="宋体" w:eastAsia="宋体" w:hint="default"/>
                <w:sz w:val="18"/>
                <w:szCs w:val="18"/>
              </w:rPr>
            </w:pPr>
            <w:r>
              <w:rPr>
                <w:rFonts w:ascii="宋体" w:hAnsi="宋体" w:cs="宋体" w:eastAsia="宋体" w:hint="default"/>
                <w:spacing w:val="-3"/>
                <w:sz w:val="18"/>
                <w:szCs w:val="18"/>
              </w:rPr>
              <w:t>经营性应收项目的减少（增加</w:t>
            </w:r>
            <w:r>
              <w:rPr>
                <w:rFonts w:ascii="宋体" w:hAnsi="宋体" w:cs="宋体" w:eastAsia="宋体" w:hint="default"/>
                <w:w w:val="101"/>
                <w:sz w:val="18"/>
                <w:szCs w:val="18"/>
              </w:rPr>
              <w:t> </w:t>
            </w:r>
            <w:r>
              <w:rPr>
                <w:rFonts w:ascii="宋体" w:hAnsi="宋体" w:cs="宋体" w:eastAsia="宋体" w:hint="default"/>
                <w:sz w:val="18"/>
                <w:szCs w:val="18"/>
              </w:rPr>
              <w:t>以“－”号填列）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-78,857,602.69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-252,135,195.78</w:t>
            </w:r>
          </w:p>
        </w:tc>
      </w:tr>
      <w:tr>
        <w:trPr>
          <w:trHeight w:val="716"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05" w:right="147" w:firstLine="720"/>
              <w:jc w:val="left"/>
              <w:rPr>
                <w:rFonts w:ascii="宋体" w:hAnsi="宋体" w:cs="宋体" w:eastAsia="宋体" w:hint="default"/>
                <w:sz w:val="18"/>
                <w:szCs w:val="18"/>
              </w:rPr>
            </w:pPr>
            <w:r>
              <w:rPr>
                <w:rFonts w:ascii="宋体" w:hAnsi="宋体" w:cs="宋体" w:eastAsia="宋体" w:hint="default"/>
                <w:spacing w:val="-3"/>
                <w:sz w:val="18"/>
                <w:szCs w:val="18"/>
              </w:rPr>
              <w:t>经营性应付项目的增加（减少</w:t>
            </w:r>
            <w:r>
              <w:rPr>
                <w:rFonts w:ascii="宋体" w:hAnsi="宋体" w:cs="宋体" w:eastAsia="宋体" w:hint="default"/>
                <w:w w:val="101"/>
                <w:sz w:val="18"/>
                <w:szCs w:val="18"/>
              </w:rPr>
              <w:t> </w:t>
            </w:r>
            <w:r>
              <w:rPr>
                <w:rFonts w:ascii="宋体" w:hAnsi="宋体" w:cs="宋体" w:eastAsia="宋体" w:hint="default"/>
                <w:sz w:val="18"/>
                <w:szCs w:val="18"/>
              </w:rPr>
              <w:t>以“－”号填列）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-308,423,351.40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51,649,066.01</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-3,550,363.90</w:t>
            </w:r>
          </w:p>
        </w:tc>
        <w:tc>
          <w:tcPr>
            <w:tcW w:w="31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-362,483,065.60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-94,002,279.21</w:t>
            </w:r>
          </w:p>
        </w:tc>
      </w:tr>
      <w:tr>
        <w:trPr>
          <w:trHeight w:val="71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105" w:right="95"/>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．不涉及现金收支的重大投资和筹资活</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动：</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64"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．现金及现金等价物净变动情况：</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464"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5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现金的期末余额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321,007,484.98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241,324,422.44</w:t>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241,324,422.44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327,188,130.11</w:t>
            </w: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79,683,062.54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-85,863,707.67</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2）本期支付的取得子公司的现金净额" w:id="412"/>
      <w:bookmarkEnd w:id="412"/>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989"/>
        <w:gridCol w:w="4581"/>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4"/>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3"/>
        <w:spacing w:line="240" w:lineRule="auto" w:before="36"/>
        <w:ind w:right="1764"/>
        <w:jc w:val="left"/>
        <w:rPr>
          <w:b w:val="0"/>
          <w:bCs w:val="0"/>
        </w:rPr>
      </w:pPr>
      <w:bookmarkStart w:name="（3）本期收到的处置子公司的现金净额" w:id="413"/>
      <w:bookmarkEnd w:id="413"/>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989"/>
        <w:gridCol w:w="4581"/>
      </w:tblGrid>
      <w:tr>
        <w:trPr>
          <w:trHeight w:val="399"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1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本期处置子公司于本期收到的现金或现金等价物</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394"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其中：深圳前海维恩贝特科技有限公司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8"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减：丧失控制权日子公司持有的现金及现金等价物</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42,818.22</w:t>
            </w:r>
          </w:p>
        </w:tc>
      </w:tr>
      <w:tr>
        <w:trPr>
          <w:trHeight w:val="398"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其中：深圳前海维恩贝特科技有限公司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42,818.22</w:t>
            </w:r>
          </w:p>
        </w:tc>
      </w:tr>
      <w:tr>
        <w:trPr>
          <w:trHeight w:val="398"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9"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pacing w:val="-3"/>
                <w:sz w:val="18"/>
                <w:szCs w:val="18"/>
              </w:rPr>
              <w:t>处置子公司收到的现金净额</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2,957,181.78</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3"/>
        <w:spacing w:line="240" w:lineRule="auto"/>
        <w:ind w:right="1764"/>
        <w:jc w:val="left"/>
        <w:rPr>
          <w:b w:val="0"/>
          <w:bCs w:val="0"/>
        </w:rPr>
      </w:pPr>
      <w:bookmarkStart w:name="（4）现金和现金等价物的构成" w:id="414"/>
      <w:bookmarkEnd w:id="414"/>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328"/>
        <w:gridCol w:w="3058"/>
        <w:gridCol w:w="3183"/>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321,007,484.98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241,324,422.44</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136,335.76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223,676.69</w:t>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318,933,749.22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240,012,543.87</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1,937,400.00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1,088,201.88</w:t>
            </w: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321,007,484.98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241,324,422.44</w:t>
            </w:r>
          </w:p>
        </w:tc>
      </w:tr>
      <w:tr>
        <w:trPr>
          <w:trHeight w:val="715"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47"/>
              <w:jc w:val="left"/>
              <w:rPr>
                <w:rFonts w:ascii="宋体" w:hAnsi="宋体" w:cs="宋体" w:eastAsia="宋体" w:hint="default"/>
                <w:sz w:val="18"/>
                <w:szCs w:val="18"/>
              </w:rPr>
            </w:pPr>
            <w:r>
              <w:rPr>
                <w:rFonts w:ascii="宋体" w:hAnsi="宋体" w:cs="宋体" w:eastAsia="宋体" w:hint="default"/>
                <w:spacing w:val="-3"/>
                <w:sz w:val="18"/>
                <w:szCs w:val="18"/>
              </w:rPr>
              <w:t>其中：母公司或集团内子公司使用受限</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制的现金和现金等价物</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155,342,822.29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62,260,495.57</w:t>
            </w:r>
          </w:p>
        </w:tc>
      </w:tr>
    </w:tbl>
    <w:p>
      <w:pPr>
        <w:spacing w:before="54"/>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3"/>
        <w:spacing w:line="240" w:lineRule="auto"/>
        <w:ind w:right="1764"/>
        <w:jc w:val="left"/>
        <w:rPr>
          <w:b w:val="0"/>
          <w:bCs w:val="0"/>
        </w:rPr>
      </w:pPr>
      <w:bookmarkStart w:name="80、所有者权益变动表项目注释" w:id="415"/>
      <w:bookmarkEnd w:id="415"/>
      <w:r>
        <w:rPr>
          <w:b w:val="0"/>
          <w:bCs w:val="0"/>
        </w:rPr>
      </w:r>
      <w:r>
        <w:rPr>
          <w:rFonts w:ascii="Times New Roman" w:hAnsi="Times New Roman" w:cs="Times New Roman" w:eastAsia="Times New Roman" w:hint="default"/>
        </w:rPr>
        <w:t>80</w:t>
      </w:r>
      <w:r>
        <w:rPr/>
        <w:t>、所有者权益变动表项目注释</w:t>
      </w:r>
      <w:r>
        <w:rPr>
          <w:b w:val="0"/>
          <w:bCs w:val="0"/>
        </w:rPr>
      </w:r>
    </w:p>
    <w:p>
      <w:pPr>
        <w:spacing w:line="240" w:lineRule="auto" w:before="1"/>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说明对上年期末余额进行调整的“其他”项目名称及调整金额等事项：</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81、所有权或使用权受到限制的资产" w:id="416"/>
      <w:bookmarkEnd w:id="416"/>
      <w:r>
        <w:rPr>
          <w:b w:val="0"/>
          <w:bCs w:val="0"/>
        </w:rPr>
      </w:r>
      <w:r>
        <w:rPr>
          <w:rFonts w:ascii="Times New Roman" w:hAnsi="Times New Roman" w:cs="Times New Roman" w:eastAsia="Times New Roman" w:hint="default"/>
        </w:rPr>
        <w:t>81</w:t>
      </w:r>
      <w:r>
        <w:rPr/>
        <w:t>、所有权或使用权受到限制的资产</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328"/>
        <w:gridCol w:w="3058"/>
        <w:gridCol w:w="3183"/>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17"/>
              <w:jc w:val="right"/>
              <w:rPr>
                <w:rFonts w:ascii="宋体" w:hAnsi="宋体" w:cs="宋体" w:eastAsia="宋体" w:hint="default"/>
                <w:sz w:val="18"/>
                <w:szCs w:val="18"/>
              </w:rPr>
            </w:pPr>
            <w:r>
              <w:rPr>
                <w:rFonts w:ascii="宋体" w:hAnsi="宋体" w:cs="宋体" w:eastAsia="宋体" w:hint="default"/>
                <w:spacing w:val="-2"/>
                <w:sz w:val="18"/>
                <w:szCs w:val="18"/>
              </w:rPr>
              <w:t>受限原因</w:t>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155,342,822.29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61"/>
              <w:jc w:val="right"/>
              <w:rPr>
                <w:rFonts w:ascii="宋体" w:hAnsi="宋体" w:cs="宋体" w:eastAsia="宋体" w:hint="default"/>
                <w:sz w:val="18"/>
                <w:szCs w:val="18"/>
              </w:rPr>
            </w:pPr>
            <w:r>
              <w:rPr>
                <w:rFonts w:ascii="宋体" w:hAnsi="宋体" w:cs="宋体" w:eastAsia="宋体" w:hint="default"/>
                <w:spacing w:val="-2"/>
                <w:sz w:val="18"/>
                <w:szCs w:val="18"/>
              </w:rPr>
              <w:t>保证金、财政监管账户</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155,342,822.29</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3"/>
        <w:spacing w:line="240" w:lineRule="auto" w:before="36"/>
        <w:ind w:right="1764"/>
        <w:jc w:val="left"/>
        <w:rPr>
          <w:b w:val="0"/>
          <w:bCs w:val="0"/>
        </w:rPr>
      </w:pPr>
      <w:bookmarkStart w:name="82、外币货币性项目" w:id="417"/>
      <w:bookmarkEnd w:id="417"/>
      <w:r>
        <w:rPr>
          <w:b w:val="0"/>
          <w:bCs w:val="0"/>
        </w:rPr>
      </w:r>
      <w:r>
        <w:rPr>
          <w:rFonts w:ascii="Times New Roman" w:hAnsi="Times New Roman" w:cs="Times New Roman" w:eastAsia="Times New Roman" w:hint="default"/>
        </w:rPr>
        <w:t>82</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1）外币货币性项目" w:id="418"/>
      <w:bookmarkEnd w:id="418"/>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497"/>
        <w:gridCol w:w="2295"/>
        <w:gridCol w:w="2387"/>
        <w:gridCol w:w="2391"/>
      </w:tblGrid>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4"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期末折算人民币余额</w:t>
            </w: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8,376,094.39</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0.8958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7,503,305.35</w:t>
            </w: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澳门币</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752,706.05</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0.8703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655,080.08</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22,336,125.73</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0.8958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20,008,701.43</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澳门币</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3,394,041.98</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0.8703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2,953,834.74</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578,110.29</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0.8958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517,871.20</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澳门币</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517,796.00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0.8703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450,637.86</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54" w:lineRule="auto" w:before="118"/>
        <w:ind w:right="1007"/>
        <w:jc w:val="left"/>
        <w:rPr>
          <w:b w:val="0"/>
          <w:bCs w:val="0"/>
        </w:rPr>
      </w:pPr>
      <w:bookmarkStart w:name="（2）境外经营实体说明，包括对于重要的境外经营实体，应披露其境外主要经营地、记账" w:id="419"/>
      <w:bookmarkEnd w:id="419"/>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6"/>
        </w:rPr>
        <w:t> </w:t>
      </w:r>
      <w:r>
        <w:rPr>
          <w:spacing w:val="-66"/>
        </w:rPr>
      </w:r>
      <w:r>
        <w:rPr/>
        <w:t>依据，记账本位币发生变化的还应披露原因。</w:t>
      </w:r>
      <w:r>
        <w:rPr>
          <w:b w:val="0"/>
          <w:bCs w:val="0"/>
        </w:rPr>
      </w:r>
    </w:p>
    <w:p>
      <w:pPr>
        <w:spacing w:line="240" w:lineRule="auto" w:before="5"/>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83、套期" w:id="420"/>
      <w:bookmarkEnd w:id="420"/>
      <w:r>
        <w:rPr>
          <w:b w:val="0"/>
          <w:bCs w:val="0"/>
        </w:rPr>
      </w:r>
      <w:r>
        <w:rPr>
          <w:rFonts w:ascii="Times New Roman" w:hAnsi="Times New Roman" w:cs="Times New Roman" w:eastAsia="Times New Roman" w:hint="default"/>
        </w:rPr>
        <w:t>83</w:t>
      </w:r>
      <w:r>
        <w:rPr/>
        <w:t>、套期</w:t>
      </w:r>
      <w:r>
        <w:rPr>
          <w:b w:val="0"/>
          <w:bCs w:val="0"/>
        </w:rPr>
      </w:r>
    </w:p>
    <w:p>
      <w:pPr>
        <w:spacing w:line="240" w:lineRule="auto" w:before="1"/>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按照套期类别披露套期项目及相关套期工具、被套期风险的定性和定量信息：</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84、政府补助" w:id="421"/>
      <w:bookmarkEnd w:id="421"/>
      <w:r>
        <w:rPr>
          <w:b w:val="0"/>
          <w:bCs w:val="0"/>
        </w:rPr>
      </w:r>
      <w:r>
        <w:rPr>
          <w:rFonts w:ascii="Times New Roman" w:hAnsi="Times New Roman" w:cs="Times New Roman" w:eastAsia="Times New Roman" w:hint="default"/>
        </w:rPr>
        <w:t>84</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1）政府补助基本情况" w:id="422"/>
      <w:bookmarkEnd w:id="422"/>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计入当期损益的金额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计入递延收益的政府补助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34" w:right="0"/>
              <w:jc w:val="left"/>
              <w:rPr>
                <w:rFonts w:ascii="Times New Roman" w:hAnsi="Times New Roman" w:cs="Times New Roman" w:eastAsia="Times New Roman" w:hint="default"/>
                <w:sz w:val="18"/>
                <w:szCs w:val="18"/>
              </w:rPr>
            </w:pPr>
            <w:r>
              <w:rPr>
                <w:rFonts w:ascii="Times New Roman"/>
                <w:sz w:val="18"/>
              </w:rPr>
              <w:t>1,191,600.00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34" w:right="0"/>
              <w:jc w:val="left"/>
              <w:rPr>
                <w:rFonts w:ascii="Times New Roman" w:hAnsi="Times New Roman" w:cs="Times New Roman" w:eastAsia="Times New Roman" w:hint="default"/>
                <w:sz w:val="18"/>
                <w:szCs w:val="18"/>
              </w:rPr>
            </w:pPr>
            <w:r>
              <w:rPr>
                <w:rFonts w:ascii="Times New Roman"/>
                <w:sz w:val="18"/>
              </w:rPr>
              <w:t>4,741,963.90</w:t>
            </w:r>
          </w:p>
        </w:tc>
      </w:tr>
    </w:tbl>
    <w:p>
      <w:pPr>
        <w:spacing w:after="0" w:line="240" w:lineRule="auto"/>
        <w:jc w:val="left"/>
        <w:rPr>
          <w:rFonts w:ascii="Times New Roman" w:hAnsi="Times New Roman" w:cs="Times New Roman" w:eastAsia="Times New Roman" w:hint="default"/>
          <w:sz w:val="18"/>
          <w:szCs w:val="18"/>
        </w:rPr>
        <w:sectPr>
          <w:headerReference w:type="default" r:id="rId33"/>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计入其他收益的政府补助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42,022,827.85</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42,022,827.85</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计入营业外收入的政府补助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77,757.90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77,757.90</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105" w:right="109"/>
              <w:jc w:val="left"/>
              <w:rPr>
                <w:rFonts w:ascii="宋体" w:hAnsi="宋体" w:cs="宋体" w:eastAsia="宋体" w:hint="default"/>
                <w:sz w:val="18"/>
                <w:szCs w:val="18"/>
              </w:rPr>
            </w:pPr>
            <w:r>
              <w:rPr>
                <w:rFonts w:ascii="宋体" w:hAnsi="宋体" w:cs="宋体" w:eastAsia="宋体" w:hint="default"/>
                <w:spacing w:val="-3"/>
                <w:sz w:val="18"/>
                <w:szCs w:val="18"/>
              </w:rPr>
              <w:t>冲减相关资产账面价值的政</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府补助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冲减成本费用的政府补助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减：退回的政府补助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43,292,185.75</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46,842,549.65</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2）政府补助退回情况" w:id="423"/>
      <w:bookmarkEnd w:id="423"/>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13" w:right="9217"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其他说明：</w:t>
      </w:r>
    </w:p>
    <w:p>
      <w:pPr>
        <w:spacing w:line="240" w:lineRule="auto" w:before="12"/>
        <w:rPr>
          <w:rFonts w:ascii="宋体" w:hAnsi="宋体" w:cs="宋体" w:eastAsia="宋体" w:hint="default"/>
          <w:sz w:val="19"/>
          <w:szCs w:val="19"/>
        </w:rPr>
      </w:pPr>
    </w:p>
    <w:p>
      <w:pPr>
        <w:spacing w:line="484" w:lineRule="auto" w:before="0"/>
        <w:ind w:left="113" w:right="8326" w:firstLine="0"/>
        <w:jc w:val="left"/>
        <w:rPr>
          <w:rFonts w:ascii="宋体" w:hAnsi="宋体" w:cs="宋体" w:eastAsia="宋体" w:hint="default"/>
          <w:sz w:val="21"/>
          <w:szCs w:val="21"/>
        </w:rPr>
      </w:pPr>
      <w:bookmarkStart w:name="85、其他" w:id="424"/>
      <w:bookmarkEnd w:id="424"/>
      <w:r>
        <w:rPr/>
      </w:r>
      <w:r>
        <w:rPr>
          <w:rFonts w:ascii="Times New Roman" w:hAnsi="Times New Roman" w:cs="Times New Roman" w:eastAsia="Times New Roman" w:hint="default"/>
          <w:b/>
          <w:bCs/>
          <w:sz w:val="21"/>
          <w:szCs w:val="21"/>
        </w:rPr>
        <w:t>85</w:t>
      </w:r>
      <w:r>
        <w:rPr>
          <w:rFonts w:ascii="宋体" w:hAnsi="宋体" w:cs="宋体" w:eastAsia="宋体" w:hint="default"/>
          <w:b/>
          <w:bCs/>
          <w:sz w:val="21"/>
          <w:szCs w:val="21"/>
        </w:rPr>
        <w:t>、其他</w:t>
      </w:r>
      <w:r>
        <w:rPr>
          <w:rFonts w:ascii="宋体" w:hAnsi="宋体" w:cs="宋体" w:eastAsia="宋体" w:hint="default"/>
          <w:b/>
          <w:bCs/>
          <w:spacing w:val="-104"/>
          <w:sz w:val="21"/>
          <w:szCs w:val="21"/>
        </w:rPr>
        <w:t> </w:t>
      </w:r>
      <w:bookmarkStart w:name="八、合并范围的变更" w:id="425"/>
      <w:bookmarkEnd w:id="425"/>
      <w:r>
        <w:rPr>
          <w:rFonts w:ascii="宋体" w:hAnsi="宋体" w:cs="宋体" w:eastAsia="宋体" w:hint="default"/>
          <w:b/>
          <w:bCs/>
          <w:spacing w:val="-104"/>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26"/>
      <w:bookmarkEnd w:id="42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7"/>
        <w:ind w:right="1764"/>
        <w:jc w:val="left"/>
        <w:rPr>
          <w:b w:val="0"/>
          <w:bCs w:val="0"/>
        </w:rPr>
      </w:pPr>
      <w:bookmarkStart w:name="（1）本期发生的非同一控制下企业合并" w:id="427"/>
      <w:bookmarkEnd w:id="427"/>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061"/>
        <w:gridCol w:w="1066"/>
        <w:gridCol w:w="1066"/>
        <w:gridCol w:w="1061"/>
        <w:gridCol w:w="1066"/>
        <w:gridCol w:w="1066"/>
        <w:gridCol w:w="1061"/>
        <w:gridCol w:w="1061"/>
        <w:gridCol w:w="1066"/>
      </w:tblGrid>
      <w:tr>
        <w:trPr>
          <w:trHeight w:val="1340"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345" w:right="156" w:hanging="178"/>
              <w:jc w:val="left"/>
              <w:rPr>
                <w:rFonts w:ascii="宋体" w:hAnsi="宋体" w:cs="宋体" w:eastAsia="宋体" w:hint="default"/>
                <w:sz w:val="18"/>
                <w:szCs w:val="18"/>
              </w:rPr>
            </w:pPr>
            <w:r>
              <w:rPr>
                <w:rFonts w:ascii="宋体" w:hAnsi="宋体" w:cs="宋体" w:eastAsia="宋体" w:hint="default"/>
                <w:sz w:val="18"/>
                <w:szCs w:val="18"/>
              </w:rPr>
              <w:t>被购买方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350" w:right="161" w:hanging="183"/>
              <w:jc w:val="left"/>
              <w:rPr>
                <w:rFonts w:ascii="宋体" w:hAnsi="宋体" w:cs="宋体" w:eastAsia="宋体" w:hint="default"/>
                <w:sz w:val="18"/>
                <w:szCs w:val="18"/>
              </w:rPr>
            </w:pPr>
            <w:r>
              <w:rPr>
                <w:rFonts w:ascii="宋体" w:hAnsi="宋体" w:cs="宋体" w:eastAsia="宋体" w:hint="default"/>
                <w:sz w:val="18"/>
                <w:szCs w:val="18"/>
              </w:rPr>
              <w:t>股权取得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时点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350" w:right="161" w:hanging="183"/>
              <w:jc w:val="left"/>
              <w:rPr>
                <w:rFonts w:ascii="宋体" w:hAnsi="宋体" w:cs="宋体" w:eastAsia="宋体" w:hint="default"/>
                <w:sz w:val="18"/>
                <w:szCs w:val="18"/>
              </w:rPr>
            </w:pPr>
            <w:r>
              <w:rPr>
                <w:rFonts w:ascii="宋体" w:hAnsi="宋体" w:cs="宋体" w:eastAsia="宋体" w:hint="default"/>
                <w:sz w:val="18"/>
                <w:szCs w:val="18"/>
              </w:rPr>
              <w:t>股权取得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成本</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350" w:right="156" w:hanging="183"/>
              <w:jc w:val="left"/>
              <w:rPr>
                <w:rFonts w:ascii="宋体" w:hAnsi="宋体" w:cs="宋体" w:eastAsia="宋体" w:hint="default"/>
                <w:sz w:val="18"/>
                <w:szCs w:val="18"/>
              </w:rPr>
            </w:pPr>
            <w:r>
              <w:rPr>
                <w:rFonts w:ascii="宋体" w:hAnsi="宋体" w:cs="宋体" w:eastAsia="宋体" w:hint="default"/>
                <w:sz w:val="18"/>
                <w:szCs w:val="18"/>
              </w:rPr>
              <w:t>股权取得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比例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350" w:right="161" w:hanging="183"/>
              <w:jc w:val="left"/>
              <w:rPr>
                <w:rFonts w:ascii="宋体" w:hAnsi="宋体" w:cs="宋体" w:eastAsia="宋体" w:hint="default"/>
                <w:sz w:val="18"/>
                <w:szCs w:val="18"/>
              </w:rPr>
            </w:pPr>
            <w:r>
              <w:rPr>
                <w:rFonts w:ascii="宋体" w:hAnsi="宋体" w:cs="宋体" w:eastAsia="宋体" w:hint="default"/>
                <w:sz w:val="18"/>
                <w:szCs w:val="18"/>
              </w:rPr>
              <w:t>股权取得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方式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167" w:right="156"/>
              <w:jc w:val="left"/>
              <w:rPr>
                <w:rFonts w:ascii="宋体" w:hAnsi="宋体" w:cs="宋体" w:eastAsia="宋体" w:hint="default"/>
                <w:sz w:val="18"/>
                <w:szCs w:val="18"/>
              </w:rPr>
            </w:pPr>
            <w:r>
              <w:rPr>
                <w:rFonts w:ascii="宋体" w:hAnsi="宋体" w:cs="宋体" w:eastAsia="宋体" w:hint="default"/>
                <w:sz w:val="18"/>
                <w:szCs w:val="18"/>
              </w:rPr>
              <w:t>购买日的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确定依据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68" w:right="156"/>
              <w:jc w:val="center"/>
              <w:rPr>
                <w:rFonts w:ascii="宋体" w:hAnsi="宋体" w:cs="宋体" w:eastAsia="宋体" w:hint="default"/>
                <w:sz w:val="18"/>
                <w:szCs w:val="18"/>
              </w:rPr>
            </w:pPr>
            <w:r>
              <w:rPr>
                <w:rFonts w:ascii="宋体" w:hAnsi="宋体" w:cs="宋体" w:eastAsia="宋体" w:hint="default"/>
                <w:spacing w:val="-2"/>
                <w:sz w:val="18"/>
                <w:szCs w:val="18"/>
              </w:rPr>
              <w:t>购买日至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期末被购</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买方的收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68" w:right="161"/>
              <w:jc w:val="center"/>
              <w:rPr>
                <w:rFonts w:ascii="宋体" w:hAnsi="宋体" w:cs="宋体" w:eastAsia="宋体" w:hint="default"/>
                <w:sz w:val="18"/>
                <w:szCs w:val="18"/>
              </w:rPr>
            </w:pPr>
            <w:r>
              <w:rPr>
                <w:rFonts w:ascii="宋体" w:hAnsi="宋体" w:cs="宋体" w:eastAsia="宋体" w:hint="default"/>
                <w:spacing w:val="-2"/>
                <w:sz w:val="18"/>
                <w:szCs w:val="18"/>
              </w:rPr>
              <w:t>购买日至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期末被购</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买方的净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利润</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3"/>
        <w:spacing w:line="240" w:lineRule="auto"/>
        <w:ind w:right="1764"/>
        <w:jc w:val="left"/>
        <w:rPr>
          <w:b w:val="0"/>
          <w:bCs w:val="0"/>
        </w:rPr>
      </w:pPr>
      <w:bookmarkStart w:name="（2）合并成本及商誉" w:id="428"/>
      <w:bookmarkEnd w:id="428"/>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7"/>
          <w:szCs w:val="7"/>
        </w:rPr>
      </w:pPr>
    </w:p>
    <w:p>
      <w:pPr>
        <w:spacing w:line="422" w:lineRule="exact"/>
        <w:ind w:left="10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pt;height:21.15pt;mso-position-horizontal-relative:char;mso-position-vertical-relative:line" coordorigin="0,0" coordsize="9580,423">
            <v:group style="position:absolute;left:10;top:14;width:106;height:394" coordorigin="10,14" coordsize="106,394">
              <v:shape style="position:absolute;left:10;top:14;width:106;height:394" coordorigin="10,14" coordsize="106,394" path="m10,408l115,408,115,14,10,14,10,408xe" filled="true" fillcolor="#d2d2d2" stroked="false">
                <v:path arrowok="t"/>
                <v:fill type="solid"/>
              </v:shape>
            </v:group>
            <v:group style="position:absolute;left:4682;top:14;width:106;height:394" coordorigin="4682,14" coordsize="106,394">
              <v:shape style="position:absolute;left:4682;top:14;width:106;height:394" coordorigin="4682,14" coordsize="106,394" path="m4682,408l4788,408,4788,14,4682,14,4682,408xe" filled="true" fillcolor="#d2d2d2" stroked="false">
                <v:path arrowok="t"/>
                <v:fill type="solid"/>
              </v:shape>
            </v:group>
            <v:group style="position:absolute;left:115;top:14;width:4567;height:394" coordorigin="115,14" coordsize="4567,394">
              <v:shape style="position:absolute;left:115;top:14;width:4567;height:394" coordorigin="115,14" coordsize="4567,394" path="m115,408l4682,408,4682,14,115,14,115,408xe" filled="true" fillcolor="#d2d2d2" stroked="false">
                <v:path arrowok="t"/>
                <v:fill type="solid"/>
              </v:shape>
            </v:group>
            <v:group style="position:absolute;left:4797;top:14;width:101;height:394" coordorigin="4797,14" coordsize="101,394">
              <v:shape style="position:absolute;left:4797;top:14;width:101;height:394" coordorigin="4797,14" coordsize="101,394" path="m4797,408l4898,408,4898,14,4797,14,4797,408xe" filled="true" fillcolor="#d2d2d2" stroked="false">
                <v:path arrowok="t"/>
                <v:fill type="solid"/>
              </v:shape>
            </v:group>
            <v:group style="position:absolute;left:9469;top:14;width:106;height:394" coordorigin="9469,14" coordsize="106,394">
              <v:shape style="position:absolute;left:9469;top:14;width:106;height:394" coordorigin="9469,14" coordsize="106,394" path="m9469,408l9575,408,9575,14,9469,14,9469,408xe" filled="true" fillcolor="#d2d2d2" stroked="false">
                <v:path arrowok="t"/>
                <v:fill type="solid"/>
              </v:shape>
            </v:group>
            <v:group style="position:absolute;left:4898;top:14;width:4571;height:394" coordorigin="4898,14" coordsize="4571,394">
              <v:shape style="position:absolute;left:4898;top:14;width:4571;height:394" coordorigin="4898,14" coordsize="4571,394" path="m4898,408l9469,408,9469,14,4898,14,4898,408xe" filled="true" fillcolor="#d2d2d2" stroked="false">
                <v:path arrowok="t"/>
                <v:fill type="solid"/>
              </v:shape>
            </v:group>
            <v:group style="position:absolute;left:10;top:10;width:4778;height:2" coordorigin="10,10" coordsize="4778,2">
              <v:shape style="position:absolute;left:10;top:10;width:4778;height:2" coordorigin="10,10" coordsize="4778,0" path="m10,10l4788,10e" filled="false" stroked="true" strokeweight=".47998pt" strokecolor="#000000">
                <v:path arrowok="t"/>
              </v:shape>
            </v:group>
            <v:group style="position:absolute;left:4797;top:10;width:4773;height:2" coordorigin="4797,10" coordsize="4773,2">
              <v:shape style="position:absolute;left:4797;top:10;width:4773;height:2" coordorigin="4797,10" coordsize="4773,0" path="m4797,10l9570,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8;height:2" coordorigin="10,413" coordsize="4778,2">
              <v:shape style="position:absolute;left:10;top:413;width:4778;height:2" coordorigin="10,413" coordsize="4778,0" path="m10,413l4788,413e" filled="false" stroked="true" strokeweight=".47998pt" strokecolor="#000000">
                <v:path arrowok="t"/>
              </v:shape>
            </v:group>
            <v:group style="position:absolute;left:4792;top:5;width:2;height:413" coordorigin="4792,5" coordsize="2,413">
              <v:shape style="position:absolute;left:4792;top:5;width:2;height:413" coordorigin="4792,5" coordsize="0,413" path="m4792,5l4792,418e" filled="false" stroked="true" strokeweight=".48001pt" strokecolor="#000000">
                <v:path arrowok="t"/>
              </v:shape>
            </v:group>
            <v:group style="position:absolute;left:4797;top:413;width:4773;height:2" coordorigin="4797,413" coordsize="4773,2">
              <v:shape style="position:absolute;left:4797;top:413;width:4773;height:2" coordorigin="4797,413" coordsize="4773,0" path="m4797,413l9570,413e" filled="false" stroked="true" strokeweight=".47998pt" strokecolor="#000000">
                <v:path arrowok="t"/>
              </v:shape>
            </v:group>
            <v:group style="position:absolute;left:9575;top:5;width:2;height:413" coordorigin="9575,5" coordsize="2,413">
              <v:shape style="position:absolute;left:9575;top:5;width:2;height:413" coordorigin="9575,5" coordsize="0,413" path="m9575,5l9575,418e" filled="false" stroked="true" strokeweight=".48004pt" strokecolor="#000000">
                <v:path arrowok="t"/>
              </v:shape>
              <v:shape style="position:absolute;left:5;top:10;width:4788;height:404" type="#_x0000_t202" filled="false" stroked="false">
                <v:textbox inset="0,0,0,0">
                  <w:txbxContent>
                    <w:p>
                      <w:pPr>
                        <w:spacing w:before="58"/>
                        <w:ind w:left="9"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49"/>
        <w:ind w:left="113" w:right="5762" w:firstLine="0"/>
        <w:jc w:val="left"/>
        <w:rPr>
          <w:rFonts w:ascii="宋体" w:hAnsi="宋体" w:cs="宋体" w:eastAsia="宋体" w:hint="default"/>
          <w:sz w:val="18"/>
          <w:szCs w:val="18"/>
        </w:rPr>
      </w:pPr>
      <w:r>
        <w:rPr>
          <w:rFonts w:ascii="宋体" w:hAnsi="宋体" w:cs="宋体" w:eastAsia="宋体" w:hint="default"/>
          <w:spacing w:val="-3"/>
          <w:sz w:val="18"/>
          <w:szCs w:val="18"/>
        </w:rPr>
        <w:t>合并成本公允价值的确定方法、或有对价及其变动的说明：</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大额商誉形成的主要原因：</w:t>
      </w:r>
    </w:p>
    <w:p>
      <w:pPr>
        <w:spacing w:before="31"/>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3）被购买方于购买日可辨认资产、负债" w:id="429"/>
      <w:bookmarkEnd w:id="429"/>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5" w:right="0"/>
              <w:jc w:val="left"/>
              <w:rPr>
                <w:rFonts w:ascii="宋体" w:hAnsi="宋体" w:cs="宋体" w:eastAsia="宋体" w:hint="default"/>
                <w:sz w:val="18"/>
                <w:szCs w:val="18"/>
              </w:rPr>
            </w:pPr>
            <w:r>
              <w:rPr>
                <w:rFonts w:ascii="宋体" w:hAnsi="宋体" w:cs="宋体" w:eastAsia="宋体" w:hint="default"/>
                <w:spacing w:val="-3"/>
                <w:sz w:val="18"/>
                <w:szCs w:val="18"/>
              </w:rPr>
              <w:t>购买日账面价值</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2"/>
        <w:rPr>
          <w:rFonts w:ascii="宋体" w:hAnsi="宋体" w:cs="宋体" w:eastAsia="宋体" w:hint="default"/>
          <w:sz w:val="23"/>
          <w:szCs w:val="23"/>
        </w:rPr>
      </w:pPr>
    </w:p>
    <w:p>
      <w:pPr>
        <w:spacing w:line="360" w:lineRule="auto" w:before="46"/>
        <w:ind w:left="113" w:right="7523" w:firstLine="0"/>
        <w:jc w:val="both"/>
        <w:rPr>
          <w:rFonts w:ascii="宋体" w:hAnsi="宋体" w:cs="宋体" w:eastAsia="宋体" w:hint="default"/>
          <w:sz w:val="18"/>
          <w:szCs w:val="18"/>
        </w:rPr>
      </w:pPr>
      <w:r>
        <w:rPr>
          <w:rFonts w:ascii="宋体" w:hAnsi="宋体" w:cs="宋体" w:eastAsia="宋体" w:hint="default"/>
          <w:spacing w:val="-3"/>
          <w:sz w:val="18"/>
          <w:szCs w:val="18"/>
        </w:rPr>
        <w:t>可辨认资产、负债公允价值的确定方法：</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企业合并中承担的被购买方的或有负债：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其他说明：</w:t>
      </w:r>
    </w:p>
    <w:p>
      <w:pPr>
        <w:spacing w:line="240" w:lineRule="auto" w:before="6"/>
        <w:rPr>
          <w:rFonts w:ascii="宋体" w:hAnsi="宋体" w:cs="宋体" w:eastAsia="宋体" w:hint="default"/>
          <w:sz w:val="19"/>
          <w:szCs w:val="19"/>
        </w:rPr>
      </w:pPr>
    </w:p>
    <w:p>
      <w:pPr>
        <w:pStyle w:val="Heading3"/>
        <w:spacing w:line="240" w:lineRule="auto"/>
        <w:ind w:right="0"/>
        <w:jc w:val="both"/>
        <w:rPr>
          <w:b w:val="0"/>
          <w:bCs w:val="0"/>
        </w:rPr>
      </w:pPr>
      <w:bookmarkStart w:name="（4）购买日之前持有的股权按照公允价值重新计量产生的利得或损失" w:id="430"/>
      <w:bookmarkEnd w:id="430"/>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both"/>
        <w:rPr>
          <w:rFonts w:ascii="宋体" w:hAnsi="宋体" w:cs="宋体" w:eastAsia="宋体" w:hint="default"/>
          <w:sz w:val="18"/>
          <w:szCs w:val="18"/>
        </w:rPr>
      </w:pPr>
      <w:r>
        <w:rPr>
          <w:rFonts w:ascii="宋体" w:hAnsi="宋体" w:cs="宋体" w:eastAsia="宋体" w:hint="default"/>
          <w:spacing w:val="-3"/>
          <w:sz w:val="18"/>
          <w:szCs w:val="18"/>
        </w:rPr>
        <w:t>是否存在通过多次交易分步实现企业合并且在报告期内取得控制权的交易</w:t>
      </w:r>
    </w:p>
    <w:p>
      <w:pPr>
        <w:spacing w:before="115"/>
        <w:ind w:left="113" w:right="0" w:firstLine="0"/>
        <w:jc w:val="both"/>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6"/>
          <w:szCs w:val="26"/>
        </w:rPr>
      </w:pPr>
    </w:p>
    <w:p>
      <w:pPr>
        <w:pStyle w:val="Heading3"/>
        <w:spacing w:line="240" w:lineRule="auto"/>
        <w:ind w:right="0"/>
        <w:jc w:val="both"/>
        <w:rPr>
          <w:b w:val="0"/>
          <w:bCs w:val="0"/>
        </w:rPr>
      </w:pPr>
      <w:bookmarkStart w:name="（5）购买日或合并当期期末无法合理确定合并对价或被购买方可辨认资产、负债公允价值" w:id="431"/>
      <w:bookmarkEnd w:id="431"/>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6）其他说明" w:id="432"/>
      <w:bookmarkEnd w:id="432"/>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both"/>
        <w:rPr>
          <w:b w:val="0"/>
          <w:bCs w:val="0"/>
        </w:rPr>
      </w:pPr>
      <w:bookmarkStart w:name="2、同一控制下企业合并" w:id="433"/>
      <w:bookmarkEnd w:id="433"/>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本期发生的同一控制下企业合并" w:id="434"/>
      <w:bookmarkEnd w:id="434"/>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061"/>
        <w:gridCol w:w="1061"/>
        <w:gridCol w:w="1066"/>
        <w:gridCol w:w="1061"/>
        <w:gridCol w:w="1066"/>
        <w:gridCol w:w="1066"/>
        <w:gridCol w:w="1061"/>
        <w:gridCol w:w="1066"/>
        <w:gridCol w:w="1066"/>
      </w:tblGrid>
      <w:tr>
        <w:trPr>
          <w:trHeight w:val="1652"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345" w:right="156" w:hanging="178"/>
              <w:jc w:val="left"/>
              <w:rPr>
                <w:rFonts w:ascii="宋体" w:hAnsi="宋体" w:cs="宋体" w:eastAsia="宋体" w:hint="default"/>
                <w:sz w:val="18"/>
                <w:szCs w:val="18"/>
              </w:rPr>
            </w:pPr>
            <w:r>
              <w:rPr>
                <w:rFonts w:ascii="宋体" w:hAnsi="宋体" w:cs="宋体" w:eastAsia="宋体" w:hint="default"/>
                <w:sz w:val="18"/>
                <w:szCs w:val="18"/>
              </w:rPr>
              <w:t>被合并方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68" w:right="156"/>
              <w:jc w:val="both"/>
              <w:rPr>
                <w:rFonts w:ascii="宋体" w:hAnsi="宋体" w:cs="宋体" w:eastAsia="宋体" w:hint="default"/>
                <w:sz w:val="18"/>
                <w:szCs w:val="18"/>
              </w:rPr>
            </w:pPr>
            <w:r>
              <w:rPr>
                <w:rFonts w:ascii="宋体" w:hAnsi="宋体" w:cs="宋体" w:eastAsia="宋体" w:hint="default"/>
                <w:sz w:val="18"/>
                <w:szCs w:val="18"/>
              </w:rPr>
              <w:t>企业合并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中取得的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权益比例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167" w:right="161"/>
              <w:jc w:val="center"/>
              <w:rPr>
                <w:rFonts w:ascii="宋体" w:hAnsi="宋体" w:cs="宋体" w:eastAsia="宋体" w:hint="default"/>
                <w:sz w:val="18"/>
                <w:szCs w:val="18"/>
              </w:rPr>
            </w:pPr>
            <w:r>
              <w:rPr>
                <w:rFonts w:ascii="宋体" w:hAnsi="宋体" w:cs="宋体" w:eastAsia="宋体" w:hint="default"/>
                <w:spacing w:val="-2"/>
                <w:sz w:val="18"/>
                <w:szCs w:val="18"/>
              </w:rPr>
              <w:t>构成同一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控制下企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业合并的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依据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167" w:right="161"/>
              <w:jc w:val="left"/>
              <w:rPr>
                <w:rFonts w:ascii="宋体" w:hAnsi="宋体" w:cs="宋体" w:eastAsia="宋体" w:hint="default"/>
                <w:sz w:val="18"/>
                <w:szCs w:val="18"/>
              </w:rPr>
            </w:pPr>
            <w:r>
              <w:rPr>
                <w:rFonts w:ascii="宋体" w:hAnsi="宋体" w:cs="宋体" w:eastAsia="宋体" w:hint="default"/>
                <w:sz w:val="18"/>
                <w:szCs w:val="18"/>
              </w:rPr>
              <w:t>合并日的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确定依据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68" w:right="161"/>
              <w:jc w:val="center"/>
              <w:rPr>
                <w:rFonts w:ascii="宋体" w:hAnsi="宋体" w:cs="宋体" w:eastAsia="宋体" w:hint="default"/>
                <w:sz w:val="18"/>
                <w:szCs w:val="18"/>
              </w:rPr>
            </w:pPr>
            <w:r>
              <w:rPr>
                <w:rFonts w:ascii="宋体" w:hAnsi="宋体" w:cs="宋体" w:eastAsia="宋体" w:hint="default"/>
                <w:spacing w:val="-2"/>
                <w:sz w:val="18"/>
                <w:szCs w:val="18"/>
              </w:rPr>
              <w:t>合并当期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期初至合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并日被合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并方的收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63" w:right="161"/>
              <w:jc w:val="center"/>
              <w:rPr>
                <w:rFonts w:ascii="宋体" w:hAnsi="宋体" w:cs="宋体" w:eastAsia="宋体" w:hint="default"/>
                <w:sz w:val="18"/>
                <w:szCs w:val="18"/>
              </w:rPr>
            </w:pPr>
            <w:r>
              <w:rPr>
                <w:rFonts w:ascii="宋体" w:hAnsi="宋体" w:cs="宋体" w:eastAsia="宋体" w:hint="default"/>
                <w:spacing w:val="-2"/>
                <w:sz w:val="18"/>
                <w:szCs w:val="18"/>
              </w:rPr>
              <w:t>合并当期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期初至合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并日被合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并方的净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67" w:right="161"/>
              <w:jc w:val="both"/>
              <w:rPr>
                <w:rFonts w:ascii="宋体" w:hAnsi="宋体" w:cs="宋体" w:eastAsia="宋体" w:hint="default"/>
                <w:sz w:val="18"/>
                <w:szCs w:val="18"/>
              </w:rPr>
            </w:pPr>
            <w:r>
              <w:rPr>
                <w:rFonts w:ascii="宋体" w:hAnsi="宋体" w:cs="宋体" w:eastAsia="宋体" w:hint="default"/>
                <w:sz w:val="18"/>
                <w:szCs w:val="18"/>
              </w:rPr>
              <w:t>比较期间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被合并方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的收入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68" w:right="161"/>
              <w:jc w:val="both"/>
              <w:rPr>
                <w:rFonts w:ascii="宋体" w:hAnsi="宋体" w:cs="宋体" w:eastAsia="宋体" w:hint="default"/>
                <w:sz w:val="18"/>
                <w:szCs w:val="18"/>
              </w:rPr>
            </w:pPr>
            <w:r>
              <w:rPr>
                <w:rFonts w:ascii="宋体" w:hAnsi="宋体" w:cs="宋体" w:eastAsia="宋体" w:hint="default"/>
                <w:sz w:val="18"/>
                <w:szCs w:val="18"/>
              </w:rPr>
              <w:t>比较期间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被合并方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的净利润</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3"/>
        <w:spacing w:line="240" w:lineRule="auto"/>
        <w:ind w:right="1764"/>
        <w:jc w:val="left"/>
        <w:rPr>
          <w:b w:val="0"/>
          <w:bCs w:val="0"/>
        </w:rPr>
      </w:pPr>
      <w:bookmarkStart w:name="（2）合并成本" w:id="435"/>
      <w:bookmarkEnd w:id="435"/>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7"/>
          <w:szCs w:val="7"/>
        </w:rPr>
      </w:pPr>
    </w:p>
    <w:p>
      <w:pPr>
        <w:spacing w:line="422" w:lineRule="exact"/>
        <w:ind w:left="10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pt;height:21.15pt;mso-position-horizontal-relative:char;mso-position-vertical-relative:line" coordorigin="0,0" coordsize="9580,423">
            <v:group style="position:absolute;left:10;top:14;width:106;height:394" coordorigin="10,14" coordsize="106,394">
              <v:shape style="position:absolute;left:10;top:14;width:106;height:394" coordorigin="10,14" coordsize="106,394" path="m10,408l115,408,115,14,10,14,10,408xe" filled="true" fillcolor="#d2d2d2" stroked="false">
                <v:path arrowok="t"/>
                <v:fill type="solid"/>
              </v:shape>
            </v:group>
            <v:group style="position:absolute;left:4682;top:14;width:106;height:394" coordorigin="4682,14" coordsize="106,394">
              <v:shape style="position:absolute;left:4682;top:14;width:106;height:394" coordorigin="4682,14" coordsize="106,394" path="m4682,408l4788,408,4788,14,4682,14,4682,408xe" filled="true" fillcolor="#d2d2d2" stroked="false">
                <v:path arrowok="t"/>
                <v:fill type="solid"/>
              </v:shape>
            </v:group>
            <v:group style="position:absolute;left:115;top:14;width:4567;height:394" coordorigin="115,14" coordsize="4567,394">
              <v:shape style="position:absolute;left:115;top:14;width:4567;height:394" coordorigin="115,14" coordsize="4567,394" path="m115,408l4682,408,4682,14,115,14,115,408xe" filled="true" fillcolor="#d2d2d2" stroked="false">
                <v:path arrowok="t"/>
                <v:fill type="solid"/>
              </v:shape>
            </v:group>
            <v:group style="position:absolute;left:4797;top:14;width:101;height:394" coordorigin="4797,14" coordsize="101,394">
              <v:shape style="position:absolute;left:4797;top:14;width:101;height:394" coordorigin="4797,14" coordsize="101,394" path="m4797,408l4898,408,4898,14,4797,14,4797,408xe" filled="true" fillcolor="#d2d2d2" stroked="false">
                <v:path arrowok="t"/>
                <v:fill type="solid"/>
              </v:shape>
            </v:group>
            <v:group style="position:absolute;left:9469;top:14;width:106;height:394" coordorigin="9469,14" coordsize="106,394">
              <v:shape style="position:absolute;left:9469;top:14;width:106;height:394" coordorigin="9469,14" coordsize="106,394" path="m9469,408l9575,408,9575,14,9469,14,9469,408xe" filled="true" fillcolor="#d2d2d2" stroked="false">
                <v:path arrowok="t"/>
                <v:fill type="solid"/>
              </v:shape>
            </v:group>
            <v:group style="position:absolute;left:4898;top:14;width:4571;height:394" coordorigin="4898,14" coordsize="4571,394">
              <v:shape style="position:absolute;left:4898;top:14;width:4571;height:394" coordorigin="4898,14" coordsize="4571,394" path="m4898,408l9469,408,9469,14,4898,14,4898,408xe" filled="true" fillcolor="#d2d2d2" stroked="false">
                <v:path arrowok="t"/>
                <v:fill type="solid"/>
              </v:shape>
            </v:group>
            <v:group style="position:absolute;left:10;top:10;width:4778;height:2" coordorigin="10,10" coordsize="4778,2">
              <v:shape style="position:absolute;left:10;top:10;width:4778;height:2" coordorigin="10,10" coordsize="4778,0" path="m10,10l4788,10e" filled="false" stroked="true" strokeweight=".47998pt" strokecolor="#000000">
                <v:path arrowok="t"/>
              </v:shape>
            </v:group>
            <v:group style="position:absolute;left:4797;top:10;width:4773;height:2" coordorigin="4797,10" coordsize="4773,2">
              <v:shape style="position:absolute;left:4797;top:10;width:4773;height:2" coordorigin="4797,10" coordsize="4773,0" path="m4797,10l9570,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8;height:2" coordorigin="10,413" coordsize="4778,2">
              <v:shape style="position:absolute;left:10;top:413;width:4778;height:2" coordorigin="10,413" coordsize="4778,0" path="m10,413l4788,413e" filled="false" stroked="true" strokeweight=".47998pt" strokecolor="#000000">
                <v:path arrowok="t"/>
              </v:shape>
            </v:group>
            <v:group style="position:absolute;left:4792;top:5;width:2;height:413" coordorigin="4792,5" coordsize="2,413">
              <v:shape style="position:absolute;left:4792;top:5;width:2;height:413" coordorigin="4792,5" coordsize="0,413" path="m4792,5l4792,418e" filled="false" stroked="true" strokeweight=".48001pt" strokecolor="#000000">
                <v:path arrowok="t"/>
              </v:shape>
            </v:group>
            <v:group style="position:absolute;left:4797;top:413;width:4773;height:2" coordorigin="4797,413" coordsize="4773,2">
              <v:shape style="position:absolute;left:4797;top:413;width:4773;height:2" coordorigin="4797,413" coordsize="4773,0" path="m4797,413l9570,413e" filled="false" stroked="true" strokeweight=".47998pt" strokecolor="#000000">
                <v:path arrowok="t"/>
              </v:shape>
            </v:group>
            <v:group style="position:absolute;left:9575;top:5;width:2;height:413" coordorigin="9575,5" coordsize="2,413">
              <v:shape style="position:absolute;left:9575;top:5;width:2;height:413" coordorigin="9575,5" coordsize="0,413" path="m9575,5l9575,418e" filled="false" stroked="true" strokeweight=".48004pt" strokecolor="#000000">
                <v:path arrowok="t"/>
              </v:shape>
              <v:shape style="position:absolute;left:5;top:10;width:4788;height:404" type="#_x0000_t202" filled="false" stroked="false">
                <v:textbox inset="0,0,0,0">
                  <w:txbxContent>
                    <w:p>
                      <w:pPr>
                        <w:spacing w:before="58"/>
                        <w:ind w:left="9"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50"/>
        <w:ind w:left="113" w:right="8128" w:firstLine="0"/>
        <w:jc w:val="left"/>
        <w:rPr>
          <w:rFonts w:ascii="宋体" w:hAnsi="宋体" w:cs="宋体" w:eastAsia="宋体" w:hint="default"/>
          <w:sz w:val="18"/>
          <w:szCs w:val="18"/>
        </w:rPr>
      </w:pPr>
      <w:r>
        <w:rPr>
          <w:rFonts w:ascii="宋体" w:hAnsi="宋体" w:cs="宋体" w:eastAsia="宋体" w:hint="default"/>
          <w:spacing w:val="-3"/>
          <w:sz w:val="18"/>
          <w:szCs w:val="18"/>
        </w:rPr>
        <w:t>或有对价及其变动的说明：</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其他说明：</w:t>
      </w:r>
    </w:p>
    <w:p>
      <w:pPr>
        <w:spacing w:line="240" w:lineRule="auto" w:before="12"/>
        <w:rPr>
          <w:rFonts w:ascii="宋体" w:hAnsi="宋体" w:cs="宋体" w:eastAsia="宋体" w:hint="default"/>
          <w:sz w:val="19"/>
          <w:szCs w:val="19"/>
        </w:rPr>
      </w:pPr>
    </w:p>
    <w:p>
      <w:pPr>
        <w:pStyle w:val="Heading3"/>
        <w:spacing w:line="240" w:lineRule="auto"/>
        <w:ind w:right="1764"/>
        <w:jc w:val="left"/>
        <w:rPr>
          <w:b w:val="0"/>
          <w:bCs w:val="0"/>
        </w:rPr>
      </w:pPr>
      <w:bookmarkStart w:name="（3）合并日被合并方资产、负债的账面价值" w:id="436"/>
      <w:bookmarkEnd w:id="436"/>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7"/>
          <w:szCs w:val="7"/>
        </w:rPr>
      </w:pPr>
    </w:p>
    <w:p>
      <w:pPr>
        <w:spacing w:line="826" w:lineRule="exact"/>
        <w:ind w:left="108"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479.25pt;height:41.35pt;mso-position-horizontal-relative:char;mso-position-vertical-relative:line" coordorigin="0,0" coordsize="9585,827">
            <v:group style="position:absolute;left:10;top:15;width:106;height:394" coordorigin="10,15" coordsize="106,394">
              <v:shape style="position:absolute;left:10;top:15;width:106;height:394" coordorigin="10,15" coordsize="106,394" path="m10,408l115,408,115,15,10,15,10,408xe" filled="true" fillcolor="#d2d2d2" stroked="false">
                <v:path arrowok="t"/>
                <v:fill type="solid"/>
              </v:shape>
            </v:group>
            <v:group style="position:absolute;left:3087;top:15;width:106;height:394" coordorigin="3087,15" coordsize="106,394">
              <v:shape style="position:absolute;left:3087;top:15;width:106;height:394" coordorigin="3087,15" coordsize="106,394" path="m3087,408l3193,408,3193,15,3087,15,3087,408xe" filled="true" fillcolor="#d2d2d2" stroked="false">
                <v:path arrowok="t"/>
                <v:fill type="solid"/>
              </v:shape>
            </v:group>
            <v:group style="position:absolute;left:115;top:15;width:2973;height:394" coordorigin="115,15" coordsize="2973,394">
              <v:shape style="position:absolute;left:115;top:15;width:2973;height:394" coordorigin="115,15" coordsize="2973,394" path="m115,408l3087,408,3087,15,115,15,115,408xe" filled="true" fillcolor="#d2d2d2" stroked="false">
                <v:path arrowok="t"/>
                <v:fill type="solid"/>
              </v:shape>
            </v:group>
            <v:group style="position:absolute;left:3203;top:15;width:102;height:394" coordorigin="3203,15" coordsize="102,394">
              <v:shape style="position:absolute;left:3203;top:15;width:102;height:394" coordorigin="3203,15" coordsize="102,394" path="m3203,408l3304,408,3304,15,3203,15,3203,408xe" filled="true" fillcolor="#d2d2d2" stroked="false">
                <v:path arrowok="t"/>
                <v:fill type="solid"/>
              </v:shape>
            </v:group>
            <v:group style="position:absolute;left:9469;top:15;width:106;height:394" coordorigin="9469,15" coordsize="106,394">
              <v:shape style="position:absolute;left:9469;top:15;width:106;height:394" coordorigin="9469,15" coordsize="106,394" path="m9469,408l9575,408,9575,15,9469,15,9469,408xe" filled="true" fillcolor="#d2d2d2" stroked="false">
                <v:path arrowok="t"/>
                <v:fill type="solid"/>
              </v:shape>
            </v:group>
            <v:group style="position:absolute;left:3304;top:15;width:6166;height:394" coordorigin="3304,15" coordsize="6166,394">
              <v:shape style="position:absolute;left:3304;top:15;width:6166;height:394" coordorigin="3304,15" coordsize="6166,394" path="m3304,408l9469,408,9469,15,3304,15,3304,408xe" filled="true" fillcolor="#d2d2d2" stroked="false">
                <v:path arrowok="t"/>
                <v:fill type="solid"/>
              </v:shape>
            </v:group>
            <v:group style="position:absolute;left:10;top:10;width:3184;height:2" coordorigin="10,10" coordsize="3184,2">
              <v:shape style="position:absolute;left:10;top:10;width:3184;height:2" coordorigin="10,10" coordsize="3184,0" path="m10,10l3193,10e" filled="false" stroked="true" strokeweight=".48004pt" strokecolor="#000000">
                <v:path arrowok="t"/>
              </v:shape>
            </v:group>
            <v:group style="position:absolute;left:3203;top:10;width:6372;height:2" coordorigin="3203,10" coordsize="6372,2">
              <v:shape style="position:absolute;left:3203;top:10;width:6372;height:2" coordorigin="3203,10" coordsize="6372,0" path="m3203,10l9575,10e" filled="false" stroked="true" strokeweight=".48004pt" strokecolor="#000000">
                <v:path arrowok="t"/>
              </v:shape>
            </v:group>
            <v:group style="position:absolute;left:10;top:418;width:106;height:394" coordorigin="10,418" coordsize="106,394">
              <v:shape style="position:absolute;left:10;top:418;width:106;height:394" coordorigin="10,418" coordsize="106,394" path="m10,811l115,811,115,418,10,418,10,811xe" filled="true" fillcolor="#d2d2d2" stroked="false">
                <v:path arrowok="t"/>
                <v:fill type="solid"/>
              </v:shape>
            </v:group>
            <v:group style="position:absolute;left:3087;top:418;width:106;height:394" coordorigin="3087,418" coordsize="106,394">
              <v:shape style="position:absolute;left:3087;top:418;width:106;height:394" coordorigin="3087,418" coordsize="106,394" path="m3087,811l3193,811,3193,418,3087,418,3087,811xe" filled="true" fillcolor="#d2d2d2" stroked="false">
                <v:path arrowok="t"/>
                <v:fill type="solid"/>
              </v:shape>
            </v:group>
            <v:group style="position:absolute;left:115;top:418;width:2973;height:394" coordorigin="115,418" coordsize="2973,394">
              <v:shape style="position:absolute;left:115;top:418;width:2973;height:394" coordorigin="115,418" coordsize="2973,394" path="m115,811l3087,811,3087,418,115,418,115,811xe" filled="true" fillcolor="#d2d2d2" stroked="false">
                <v:path arrowok="t"/>
                <v:fill type="solid"/>
              </v:shape>
            </v:group>
            <v:group style="position:absolute;left:3203;top:418;width:102;height:394" coordorigin="3203,418" coordsize="102,394">
              <v:shape style="position:absolute;left:3203;top:418;width:102;height:394" coordorigin="3203,418" coordsize="102,394" path="m3203,811l3304,811,3304,418,3203,418,3203,811xe" filled="true" fillcolor="#d2d2d2" stroked="false">
                <v:path arrowok="t"/>
                <v:fill type="solid"/>
              </v:shape>
            </v:group>
            <v:group style="position:absolute;left:6281;top:418;width:101;height:394" coordorigin="6281,418" coordsize="101,394">
              <v:shape style="position:absolute;left:6281;top:418;width:101;height:394" coordorigin="6281,418" coordsize="101,394" path="m6281,811l6382,811,6382,418,6281,418,6281,811xe" filled="true" fillcolor="#d2d2d2" stroked="false">
                <v:path arrowok="t"/>
                <v:fill type="solid"/>
              </v:shape>
            </v:group>
            <v:group style="position:absolute;left:3304;top:418;width:2977;height:394" coordorigin="3304,418" coordsize="2977,394">
              <v:shape style="position:absolute;left:3304;top:418;width:2977;height:394" coordorigin="3304,418" coordsize="2977,394" path="m3304,811l6281,811,6281,418,3304,418,3304,811xe" filled="true" fillcolor="#d2d2d2" stroked="false">
                <v:path arrowok="t"/>
                <v:fill type="solid"/>
              </v:shape>
            </v:group>
            <v:group style="position:absolute;left:6391;top:418;width:106;height:394" coordorigin="6391,418" coordsize="106,394">
              <v:shape style="position:absolute;left:6391;top:418;width:106;height:394" coordorigin="6391,418" coordsize="106,394" path="m6391,811l6497,811,6497,418,6391,418,6391,811xe" filled="true" fillcolor="#d2d2d2" stroked="false">
                <v:path arrowok="t"/>
                <v:fill type="solid"/>
              </v:shape>
            </v:group>
            <v:group style="position:absolute;left:9469;top:418;width:106;height:394" coordorigin="9469,418" coordsize="106,394">
              <v:shape style="position:absolute;left:9469;top:418;width:106;height:394" coordorigin="9469,418" coordsize="106,394" path="m9469,811l9575,811,9575,418,9469,418,9469,811xe" filled="true" fillcolor="#d2d2d2" stroked="false">
                <v:path arrowok="t"/>
                <v:fill type="solid"/>
              </v:shape>
            </v:group>
            <v:group style="position:absolute;left:6497;top:418;width:2973;height:394" coordorigin="6497,418" coordsize="2973,394">
              <v:shape style="position:absolute;left:6497;top:418;width:2973;height:394" coordorigin="6497,418" coordsize="2973,394" path="m6497,811l9469,811,9469,418,6497,418,6497,811xe" filled="true" fillcolor="#d2d2d2" stroked="false">
                <v:path arrowok="t"/>
                <v:fill type="solid"/>
              </v:shape>
            </v:group>
            <v:group style="position:absolute;left:10;top:413;width:3184;height:2" coordorigin="10,413" coordsize="3184,2">
              <v:shape style="position:absolute;left:10;top:413;width:3184;height:2" coordorigin="10,413" coordsize="3184,0" path="m10,413l3193,413e" filled="false" stroked="true" strokeweight=".47998pt" strokecolor="#000000">
                <v:path arrowok="t"/>
              </v:shape>
            </v:group>
            <v:group style="position:absolute;left:3203;top:413;width:3179;height:2" coordorigin="3203,413" coordsize="3179,2">
              <v:shape style="position:absolute;left:3203;top:413;width:3179;height:2" coordorigin="3203,413" coordsize="3179,0" path="m3203,413l6382,413e" filled="false" stroked="true" strokeweight=".47998pt" strokecolor="#000000">
                <v:path arrowok="t"/>
              </v:shape>
            </v:group>
            <v:group style="position:absolute;left:6391;top:413;width:3184;height:2" coordorigin="6391,413" coordsize="3184,2">
              <v:shape style="position:absolute;left:6391;top:413;width:3184;height:2" coordorigin="6391,413" coordsize="3184,0" path="m6391,413l9575,413e" filled="false" stroked="true" strokeweight=".47998pt" strokecolor="#000000">
                <v:path arrowok="t"/>
              </v:shape>
            </v:group>
            <v:group style="position:absolute;left:5;top:5;width:2;height:816" coordorigin="5,5" coordsize="2,816">
              <v:shape style="position:absolute;left:5;top:5;width:2;height:816" coordorigin="5,5" coordsize="0,816" path="m5,5l5,821e" filled="false" stroked="true" strokeweight=".48pt" strokecolor="#000000">
                <v:path arrowok="t"/>
              </v:shape>
            </v:group>
            <v:group style="position:absolute;left:10;top:816;width:3184;height:2" coordorigin="10,816" coordsize="3184,2">
              <v:shape style="position:absolute;left:10;top:816;width:3184;height:2" coordorigin="10,816" coordsize="3184,0" path="m10,816l3193,816e" filled="false" stroked="true" strokeweight=".48004pt" strokecolor="#000000">
                <v:path arrowok="t"/>
              </v:shape>
            </v:group>
            <v:group style="position:absolute;left:3198;top:5;width:2;height:816" coordorigin="3198,5" coordsize="2,816">
              <v:shape style="position:absolute;left:3198;top:5;width:2;height:816" coordorigin="3198,5" coordsize="0,816" path="m3198,5l3198,821e" filled="false" stroked="true" strokeweight=".48pt" strokecolor="#000000">
                <v:path arrowok="t"/>
              </v:shape>
            </v:group>
            <v:group style="position:absolute;left:3203;top:816;width:3179;height:2" coordorigin="3203,816" coordsize="3179,2">
              <v:shape style="position:absolute;left:3203;top:816;width:3179;height:2" coordorigin="3203,816" coordsize="3179,0" path="m3203,816l6382,816e" filled="false" stroked="true" strokeweight=".48004pt" strokecolor="#000000">
                <v:path arrowok="t"/>
              </v:shape>
            </v:group>
            <v:group style="position:absolute;left:6386;top:408;width:2;height:413" coordorigin="6386,408" coordsize="2,413">
              <v:shape style="position:absolute;left:6386;top:408;width:2;height:413" coordorigin="6386,408" coordsize="0,413" path="m6386,408l6386,821e" filled="false" stroked="true" strokeweight=".48001pt" strokecolor="#000000">
                <v:path arrowok="t"/>
              </v:shape>
            </v:group>
            <v:group style="position:absolute;left:6391;top:816;width:3184;height:2" coordorigin="6391,816" coordsize="3184,2">
              <v:shape style="position:absolute;left:6391;top:816;width:3184;height:2" coordorigin="6391,816" coordsize="3184,0" path="m6391,816l9575,816e" filled="false" stroked="true" strokeweight=".48004pt" strokecolor="#000000">
                <v:path arrowok="t"/>
              </v:shape>
            </v:group>
            <v:group style="position:absolute;left:9580;top:5;width:2;height:816" coordorigin="9580,5" coordsize="2,816">
              <v:shape style="position:absolute;left:9580;top:5;width:2;height:816" coordorigin="9580,5" coordsize="0,816" path="m9580,5l9580,821e" filled="false" stroked="true" strokeweight=".50403pt" strokecolor="#000000">
                <v:path arrowok="t"/>
              </v:shape>
              <v:shape style="position:absolute;left:3198;top:413;width:3189;height:404" type="#_x0000_t202" filled="false" stroked="false">
                <v:textbox inset="0,0,0,0">
                  <w:txbxContent>
                    <w:p>
                      <w:pPr>
                        <w:spacing w:before="58"/>
                        <w:ind w:left="4"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6;top:413;width:3194;height:404" type="#_x0000_t202" filled="false" stroked="false">
                <v:textbox inset="0,0,0,0">
                  <w:txbxContent>
                    <w:p>
                      <w:pPr>
                        <w:spacing w:before="58"/>
                        <w:ind w:left="9"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6"/>
          <w:sz w:val="20"/>
          <w:szCs w:val="20"/>
        </w:rPr>
      </w:r>
    </w:p>
    <w:p>
      <w:pPr>
        <w:spacing w:line="357" w:lineRule="auto" w:before="49"/>
        <w:ind w:left="113" w:right="6955" w:firstLine="0"/>
        <w:jc w:val="left"/>
        <w:rPr>
          <w:rFonts w:ascii="宋体" w:hAnsi="宋体" w:cs="宋体" w:eastAsia="宋体" w:hint="default"/>
          <w:sz w:val="18"/>
          <w:szCs w:val="18"/>
        </w:rPr>
      </w:pPr>
      <w:r>
        <w:rPr>
          <w:rFonts w:ascii="宋体" w:hAnsi="宋体" w:cs="宋体" w:eastAsia="宋体" w:hint="default"/>
          <w:spacing w:val="-3"/>
          <w:sz w:val="18"/>
          <w:szCs w:val="18"/>
        </w:rPr>
        <w:t>企业合并中承担的被合并方的或有负债：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其他说明：</w:t>
      </w:r>
    </w:p>
    <w:p>
      <w:pPr>
        <w:spacing w:after="0" w:line="357"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3"/>
        <w:spacing w:line="240" w:lineRule="auto" w:before="36"/>
        <w:ind w:right="1764"/>
        <w:jc w:val="left"/>
        <w:rPr>
          <w:b w:val="0"/>
          <w:bCs w:val="0"/>
        </w:rPr>
      </w:pPr>
      <w:bookmarkStart w:name="3、反向购买" w:id="437"/>
      <w:bookmarkEnd w:id="437"/>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9"/>
        <w:rPr>
          <w:rFonts w:ascii="宋体" w:hAnsi="宋体" w:cs="宋体" w:eastAsia="宋体" w:hint="default"/>
          <w:b/>
          <w:bCs/>
          <w:sz w:val="26"/>
          <w:szCs w:val="26"/>
        </w:rPr>
      </w:pPr>
    </w:p>
    <w:p>
      <w:pPr>
        <w:spacing w:line="324" w:lineRule="auto" w:before="0"/>
        <w:ind w:left="113" w:right="1007" w:firstLine="0"/>
        <w:jc w:val="left"/>
        <w:rPr>
          <w:rFonts w:ascii="宋体" w:hAnsi="宋体" w:cs="宋体" w:eastAsia="宋体" w:hint="default"/>
          <w:sz w:val="18"/>
          <w:szCs w:val="18"/>
        </w:rPr>
      </w:pPr>
      <w:r>
        <w:rPr>
          <w:rFonts w:ascii="宋体" w:hAnsi="宋体" w:cs="宋体" w:eastAsia="宋体" w:hint="default"/>
          <w:spacing w:val="-4"/>
          <w:sz w:val="18"/>
          <w:szCs w:val="18"/>
        </w:rPr>
        <w:t>交易基本信息、交易构成反向购买的依据、上市公司保留的资产、负债是否构成业务及其依据、合并成本的确定、按照权益</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性交易处理时调整权益的金额及其计算：</w:t>
      </w:r>
    </w:p>
    <w:p>
      <w:pPr>
        <w:spacing w:line="240" w:lineRule="auto" w:before="6"/>
        <w:rPr>
          <w:rFonts w:ascii="宋体" w:hAnsi="宋体" w:cs="宋体" w:eastAsia="宋体" w:hint="default"/>
          <w:sz w:val="21"/>
          <w:szCs w:val="21"/>
        </w:rPr>
      </w:pPr>
    </w:p>
    <w:p>
      <w:pPr>
        <w:pStyle w:val="Heading3"/>
        <w:spacing w:line="240" w:lineRule="auto"/>
        <w:ind w:right="1764"/>
        <w:jc w:val="left"/>
        <w:rPr>
          <w:b w:val="0"/>
          <w:bCs w:val="0"/>
        </w:rPr>
      </w:pPr>
      <w:bookmarkStart w:name="4、处置子公司" w:id="438"/>
      <w:bookmarkEnd w:id="438"/>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34"/>
          <w:pgSz w:w="11910" w:h="16840"/>
          <w:pgMar w:header="906" w:footer="1022" w:top="1100" w:bottom="1220" w:left="1020" w:right="0"/>
        </w:sectPr>
      </w:pPr>
    </w:p>
    <w:p>
      <w:pPr>
        <w:spacing w:before="46"/>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是否存在单次处置对子公司投资即丧失控制权的情形</w:t>
      </w:r>
    </w:p>
    <w:p>
      <w:pPr>
        <w:spacing w:before="115"/>
        <w:ind w:left="113"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4257" w:space="4574"/>
            <w:col w:w="2059"/>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734"/>
        <w:gridCol w:w="740"/>
        <w:gridCol w:w="735"/>
        <w:gridCol w:w="734"/>
        <w:gridCol w:w="735"/>
        <w:gridCol w:w="734"/>
        <w:gridCol w:w="740"/>
        <w:gridCol w:w="735"/>
        <w:gridCol w:w="734"/>
        <w:gridCol w:w="740"/>
        <w:gridCol w:w="734"/>
        <w:gridCol w:w="735"/>
        <w:gridCol w:w="739"/>
      </w:tblGrid>
      <w:tr>
        <w:trPr>
          <w:trHeight w:val="5397"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8"/>
              <w:ind w:left="182" w:right="175"/>
              <w:jc w:val="both"/>
              <w:rPr>
                <w:rFonts w:ascii="宋体" w:hAnsi="宋体" w:cs="宋体" w:eastAsia="宋体" w:hint="default"/>
                <w:sz w:val="18"/>
                <w:szCs w:val="18"/>
              </w:rPr>
            </w:pPr>
            <w:r>
              <w:rPr>
                <w:rFonts w:ascii="宋体" w:hAnsi="宋体" w:cs="宋体" w:eastAsia="宋体" w:hint="default"/>
                <w:sz w:val="18"/>
                <w:szCs w:val="18"/>
              </w:rPr>
              <w:t>子公</w:t>
            </w:r>
            <w:r>
              <w:rPr>
                <w:rFonts w:ascii="宋体" w:hAnsi="宋体" w:cs="宋体" w:eastAsia="宋体" w:hint="default"/>
                <w:spacing w:val="-86"/>
                <w:sz w:val="18"/>
                <w:szCs w:val="18"/>
              </w:rPr>
              <w:t> </w:t>
            </w:r>
            <w:r>
              <w:rPr>
                <w:rFonts w:ascii="宋体" w:hAnsi="宋体" w:cs="宋体" w:eastAsia="宋体" w:hint="default"/>
                <w:sz w:val="18"/>
                <w:szCs w:val="18"/>
              </w:rPr>
              <w:t>司名</w:t>
            </w:r>
            <w:r>
              <w:rPr>
                <w:rFonts w:ascii="宋体" w:hAnsi="宋体" w:cs="宋体" w:eastAsia="宋体" w:hint="default"/>
                <w:spacing w:val="-86"/>
                <w:sz w:val="18"/>
                <w:szCs w:val="18"/>
              </w:rPr>
              <w:t> </w:t>
            </w:r>
            <w:r>
              <w:rPr>
                <w:rFonts w:ascii="宋体" w:hAnsi="宋体" w:cs="宋体" w:eastAsia="宋体" w:hint="default"/>
                <w:sz w:val="18"/>
                <w:szCs w:val="18"/>
              </w:rPr>
              <w:t>称</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8"/>
              <w:ind w:left="182" w:right="180"/>
              <w:jc w:val="both"/>
              <w:rPr>
                <w:rFonts w:ascii="宋体" w:hAnsi="宋体" w:cs="宋体" w:eastAsia="宋体" w:hint="default"/>
                <w:sz w:val="18"/>
                <w:szCs w:val="18"/>
              </w:rPr>
            </w:pPr>
            <w:r>
              <w:rPr>
                <w:rFonts w:ascii="宋体" w:hAnsi="宋体" w:cs="宋体" w:eastAsia="宋体" w:hint="default"/>
                <w:sz w:val="18"/>
                <w:szCs w:val="18"/>
              </w:rPr>
              <w:t>股权</w:t>
            </w:r>
            <w:r>
              <w:rPr>
                <w:rFonts w:ascii="宋体" w:hAnsi="宋体" w:cs="宋体" w:eastAsia="宋体" w:hint="default"/>
                <w:spacing w:val="-86"/>
                <w:sz w:val="18"/>
                <w:szCs w:val="18"/>
              </w:rPr>
              <w:t> </w:t>
            </w:r>
            <w:r>
              <w:rPr>
                <w:rFonts w:ascii="宋体" w:hAnsi="宋体" w:cs="宋体" w:eastAsia="宋体" w:hint="default"/>
                <w:sz w:val="18"/>
                <w:szCs w:val="18"/>
              </w:rPr>
              <w:t>处置</w:t>
            </w:r>
            <w:r>
              <w:rPr>
                <w:rFonts w:ascii="宋体" w:hAnsi="宋体" w:cs="宋体" w:eastAsia="宋体" w:hint="default"/>
                <w:spacing w:val="-86"/>
                <w:sz w:val="18"/>
                <w:szCs w:val="18"/>
              </w:rPr>
              <w:t> </w:t>
            </w:r>
            <w:r>
              <w:rPr>
                <w:rFonts w:ascii="宋体" w:hAnsi="宋体" w:cs="宋体" w:eastAsia="宋体" w:hint="default"/>
                <w:sz w:val="18"/>
                <w:szCs w:val="18"/>
              </w:rPr>
              <w:t>价款</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8"/>
              <w:ind w:left="177" w:right="180"/>
              <w:jc w:val="both"/>
              <w:rPr>
                <w:rFonts w:ascii="宋体" w:hAnsi="宋体" w:cs="宋体" w:eastAsia="宋体" w:hint="default"/>
                <w:sz w:val="18"/>
                <w:szCs w:val="18"/>
              </w:rPr>
            </w:pPr>
            <w:r>
              <w:rPr>
                <w:rFonts w:ascii="宋体" w:hAnsi="宋体" w:cs="宋体" w:eastAsia="宋体" w:hint="default"/>
                <w:sz w:val="18"/>
                <w:szCs w:val="18"/>
              </w:rPr>
              <w:t>股权</w:t>
            </w:r>
            <w:r>
              <w:rPr>
                <w:rFonts w:ascii="宋体" w:hAnsi="宋体" w:cs="宋体" w:eastAsia="宋体" w:hint="default"/>
                <w:spacing w:val="-86"/>
                <w:sz w:val="18"/>
                <w:szCs w:val="18"/>
              </w:rPr>
              <w:t> </w:t>
            </w:r>
            <w:r>
              <w:rPr>
                <w:rFonts w:ascii="宋体" w:hAnsi="宋体" w:cs="宋体" w:eastAsia="宋体" w:hint="default"/>
                <w:sz w:val="18"/>
                <w:szCs w:val="18"/>
              </w:rPr>
              <w:t>处置</w:t>
            </w:r>
            <w:r>
              <w:rPr>
                <w:rFonts w:ascii="宋体" w:hAnsi="宋体" w:cs="宋体" w:eastAsia="宋体" w:hint="default"/>
                <w:spacing w:val="-86"/>
                <w:sz w:val="18"/>
                <w:szCs w:val="18"/>
              </w:rPr>
              <w:t> </w:t>
            </w:r>
            <w:r>
              <w:rPr>
                <w:rFonts w:ascii="宋体" w:hAnsi="宋体" w:cs="宋体" w:eastAsia="宋体" w:hint="default"/>
                <w:sz w:val="18"/>
                <w:szCs w:val="18"/>
              </w:rPr>
              <w:t>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8"/>
              <w:ind w:left="182" w:right="175"/>
              <w:jc w:val="both"/>
              <w:rPr>
                <w:rFonts w:ascii="宋体" w:hAnsi="宋体" w:cs="宋体" w:eastAsia="宋体" w:hint="default"/>
                <w:sz w:val="18"/>
                <w:szCs w:val="18"/>
              </w:rPr>
            </w:pPr>
            <w:r>
              <w:rPr>
                <w:rFonts w:ascii="宋体" w:hAnsi="宋体" w:cs="宋体" w:eastAsia="宋体" w:hint="default"/>
                <w:sz w:val="18"/>
                <w:szCs w:val="18"/>
              </w:rPr>
              <w:t>股权</w:t>
            </w:r>
            <w:r>
              <w:rPr>
                <w:rFonts w:ascii="宋体" w:hAnsi="宋体" w:cs="宋体" w:eastAsia="宋体" w:hint="default"/>
                <w:spacing w:val="-86"/>
                <w:sz w:val="18"/>
                <w:szCs w:val="18"/>
              </w:rPr>
              <w:t> </w:t>
            </w:r>
            <w:r>
              <w:rPr>
                <w:rFonts w:ascii="宋体" w:hAnsi="宋体" w:cs="宋体" w:eastAsia="宋体" w:hint="default"/>
                <w:sz w:val="18"/>
                <w:szCs w:val="18"/>
              </w:rPr>
              <w:t>处置</w:t>
            </w:r>
            <w:r>
              <w:rPr>
                <w:rFonts w:ascii="宋体" w:hAnsi="宋体" w:cs="宋体" w:eastAsia="宋体" w:hint="default"/>
                <w:spacing w:val="-86"/>
                <w:sz w:val="18"/>
                <w:szCs w:val="18"/>
              </w:rPr>
              <w:t> </w:t>
            </w:r>
            <w:r>
              <w:rPr>
                <w:rFonts w:ascii="宋体" w:hAnsi="宋体" w:cs="宋体" w:eastAsia="宋体" w:hint="default"/>
                <w:sz w:val="18"/>
                <w:szCs w:val="18"/>
              </w:rPr>
              <w:t>方式</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19" w:lineRule="auto"/>
              <w:ind w:left="182" w:right="176"/>
              <w:jc w:val="both"/>
              <w:rPr>
                <w:rFonts w:ascii="宋体" w:hAnsi="宋体" w:cs="宋体" w:eastAsia="宋体" w:hint="default"/>
                <w:sz w:val="18"/>
                <w:szCs w:val="18"/>
              </w:rPr>
            </w:pPr>
            <w:r>
              <w:rPr>
                <w:rFonts w:ascii="宋体" w:hAnsi="宋体" w:cs="宋体" w:eastAsia="宋体" w:hint="default"/>
                <w:sz w:val="18"/>
                <w:szCs w:val="18"/>
              </w:rPr>
              <w:t>丧失</w:t>
            </w:r>
            <w:r>
              <w:rPr>
                <w:rFonts w:ascii="宋体" w:hAnsi="宋体" w:cs="宋体" w:eastAsia="宋体" w:hint="default"/>
                <w:spacing w:val="-86"/>
                <w:sz w:val="18"/>
                <w:szCs w:val="18"/>
              </w:rPr>
              <w:t> </w:t>
            </w:r>
            <w:r>
              <w:rPr>
                <w:rFonts w:ascii="宋体" w:hAnsi="宋体" w:cs="宋体" w:eastAsia="宋体" w:hint="default"/>
                <w:sz w:val="18"/>
                <w:szCs w:val="18"/>
              </w:rPr>
              <w:t>控制</w:t>
            </w:r>
            <w:r>
              <w:rPr>
                <w:rFonts w:ascii="宋体" w:hAnsi="宋体" w:cs="宋体" w:eastAsia="宋体" w:hint="default"/>
                <w:spacing w:val="-86"/>
                <w:sz w:val="18"/>
                <w:szCs w:val="18"/>
              </w:rPr>
              <w:t> </w:t>
            </w:r>
            <w:r>
              <w:rPr>
                <w:rFonts w:ascii="宋体" w:hAnsi="宋体" w:cs="宋体" w:eastAsia="宋体" w:hint="default"/>
                <w:sz w:val="18"/>
                <w:szCs w:val="18"/>
              </w:rPr>
              <w:t>权的</w:t>
            </w:r>
            <w:r>
              <w:rPr>
                <w:rFonts w:ascii="宋体" w:hAnsi="宋体" w:cs="宋体" w:eastAsia="宋体" w:hint="default"/>
                <w:spacing w:val="-86"/>
                <w:sz w:val="18"/>
                <w:szCs w:val="18"/>
              </w:rPr>
              <w:t> </w:t>
            </w:r>
            <w:r>
              <w:rPr>
                <w:rFonts w:ascii="宋体" w:hAnsi="宋体" w:cs="宋体" w:eastAsia="宋体" w:hint="default"/>
                <w:sz w:val="18"/>
                <w:szCs w:val="18"/>
              </w:rPr>
              <w:t>时点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82" w:right="175"/>
              <w:jc w:val="both"/>
              <w:rPr>
                <w:rFonts w:ascii="宋体" w:hAnsi="宋体" w:cs="宋体" w:eastAsia="宋体" w:hint="default"/>
                <w:sz w:val="18"/>
                <w:szCs w:val="18"/>
              </w:rPr>
            </w:pPr>
            <w:r>
              <w:rPr>
                <w:rFonts w:ascii="宋体" w:hAnsi="宋体" w:cs="宋体" w:eastAsia="宋体" w:hint="default"/>
                <w:sz w:val="18"/>
                <w:szCs w:val="18"/>
              </w:rPr>
              <w:t>丧失</w:t>
            </w:r>
            <w:r>
              <w:rPr>
                <w:rFonts w:ascii="宋体" w:hAnsi="宋体" w:cs="宋体" w:eastAsia="宋体" w:hint="default"/>
                <w:spacing w:val="-86"/>
                <w:sz w:val="18"/>
                <w:szCs w:val="18"/>
              </w:rPr>
              <w:t> </w:t>
            </w:r>
            <w:r>
              <w:rPr>
                <w:rFonts w:ascii="宋体" w:hAnsi="宋体" w:cs="宋体" w:eastAsia="宋体" w:hint="default"/>
                <w:sz w:val="18"/>
                <w:szCs w:val="18"/>
              </w:rPr>
              <w:t>控制</w:t>
            </w:r>
            <w:r>
              <w:rPr>
                <w:rFonts w:ascii="宋体" w:hAnsi="宋体" w:cs="宋体" w:eastAsia="宋体" w:hint="default"/>
                <w:spacing w:val="-86"/>
                <w:sz w:val="18"/>
                <w:szCs w:val="18"/>
              </w:rPr>
              <w:t> </w:t>
            </w:r>
            <w:r>
              <w:rPr>
                <w:rFonts w:ascii="宋体" w:hAnsi="宋体" w:cs="宋体" w:eastAsia="宋体" w:hint="default"/>
                <w:sz w:val="18"/>
                <w:szCs w:val="18"/>
              </w:rPr>
              <w:t>权时</w:t>
            </w:r>
            <w:r>
              <w:rPr>
                <w:rFonts w:ascii="宋体" w:hAnsi="宋体" w:cs="宋体" w:eastAsia="宋体" w:hint="default"/>
                <w:spacing w:val="-86"/>
                <w:sz w:val="18"/>
                <w:szCs w:val="18"/>
              </w:rPr>
              <w:t> </w:t>
            </w:r>
            <w:r>
              <w:rPr>
                <w:rFonts w:ascii="宋体" w:hAnsi="宋体" w:cs="宋体" w:eastAsia="宋体" w:hint="default"/>
                <w:sz w:val="18"/>
                <w:szCs w:val="18"/>
              </w:rPr>
              <w:t>点的</w:t>
            </w:r>
            <w:r>
              <w:rPr>
                <w:rFonts w:ascii="宋体" w:hAnsi="宋体" w:cs="宋体" w:eastAsia="宋体" w:hint="default"/>
                <w:spacing w:val="-86"/>
                <w:sz w:val="18"/>
                <w:szCs w:val="18"/>
              </w:rPr>
              <w:t> </w:t>
            </w:r>
            <w:r>
              <w:rPr>
                <w:rFonts w:ascii="宋体" w:hAnsi="宋体" w:cs="宋体" w:eastAsia="宋体" w:hint="default"/>
                <w:sz w:val="18"/>
                <w:szCs w:val="18"/>
              </w:rPr>
              <w:t>确定</w:t>
            </w:r>
            <w:r>
              <w:rPr>
                <w:rFonts w:ascii="宋体" w:hAnsi="宋体" w:cs="宋体" w:eastAsia="宋体" w:hint="default"/>
                <w:spacing w:val="-86"/>
                <w:sz w:val="18"/>
                <w:szCs w:val="18"/>
              </w:rPr>
              <w:t> </w:t>
            </w:r>
            <w:r>
              <w:rPr>
                <w:rFonts w:ascii="宋体" w:hAnsi="宋体" w:cs="宋体" w:eastAsia="宋体" w:hint="default"/>
                <w:sz w:val="18"/>
                <w:szCs w:val="18"/>
              </w:rPr>
              <w:t>依据</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2" w:right="180"/>
              <w:jc w:val="both"/>
              <w:rPr>
                <w:rFonts w:ascii="宋体" w:hAnsi="宋体" w:cs="宋体" w:eastAsia="宋体" w:hint="default"/>
                <w:sz w:val="18"/>
                <w:szCs w:val="18"/>
              </w:rPr>
            </w:pPr>
            <w:r>
              <w:rPr>
                <w:rFonts w:ascii="宋体" w:hAnsi="宋体" w:cs="宋体" w:eastAsia="宋体" w:hint="default"/>
                <w:sz w:val="18"/>
                <w:szCs w:val="18"/>
              </w:rPr>
              <w:t>处置</w:t>
            </w:r>
            <w:r>
              <w:rPr>
                <w:rFonts w:ascii="宋体" w:hAnsi="宋体" w:cs="宋体" w:eastAsia="宋体" w:hint="default"/>
                <w:spacing w:val="-86"/>
                <w:sz w:val="18"/>
                <w:szCs w:val="18"/>
              </w:rPr>
              <w:t> </w:t>
            </w:r>
            <w:r>
              <w:rPr>
                <w:rFonts w:ascii="宋体" w:hAnsi="宋体" w:cs="宋体" w:eastAsia="宋体" w:hint="default"/>
                <w:sz w:val="18"/>
                <w:szCs w:val="18"/>
              </w:rPr>
              <w:t>价款</w:t>
            </w:r>
            <w:r>
              <w:rPr>
                <w:rFonts w:ascii="宋体" w:hAnsi="宋体" w:cs="宋体" w:eastAsia="宋体" w:hint="default"/>
                <w:spacing w:val="-86"/>
                <w:sz w:val="18"/>
                <w:szCs w:val="18"/>
              </w:rPr>
              <w:t> </w:t>
            </w:r>
            <w:r>
              <w:rPr>
                <w:rFonts w:ascii="宋体" w:hAnsi="宋体" w:cs="宋体" w:eastAsia="宋体" w:hint="default"/>
                <w:sz w:val="18"/>
                <w:szCs w:val="18"/>
              </w:rPr>
              <w:t>与处</w:t>
            </w:r>
            <w:r>
              <w:rPr>
                <w:rFonts w:ascii="宋体" w:hAnsi="宋体" w:cs="宋体" w:eastAsia="宋体" w:hint="default"/>
                <w:spacing w:val="-86"/>
                <w:sz w:val="18"/>
                <w:szCs w:val="18"/>
              </w:rPr>
              <w:t> </w:t>
            </w:r>
            <w:r>
              <w:rPr>
                <w:rFonts w:ascii="宋体" w:hAnsi="宋体" w:cs="宋体" w:eastAsia="宋体" w:hint="default"/>
                <w:sz w:val="18"/>
                <w:szCs w:val="18"/>
              </w:rPr>
              <w:t>置投</w:t>
            </w:r>
            <w:r>
              <w:rPr>
                <w:rFonts w:ascii="宋体" w:hAnsi="宋体" w:cs="宋体" w:eastAsia="宋体" w:hint="default"/>
                <w:spacing w:val="-86"/>
                <w:sz w:val="18"/>
                <w:szCs w:val="18"/>
              </w:rPr>
              <w:t> </w:t>
            </w:r>
            <w:r>
              <w:rPr>
                <w:rFonts w:ascii="宋体" w:hAnsi="宋体" w:cs="宋体" w:eastAsia="宋体" w:hint="default"/>
                <w:sz w:val="18"/>
                <w:szCs w:val="18"/>
              </w:rPr>
              <w:t>资对</w:t>
            </w:r>
            <w:r>
              <w:rPr>
                <w:rFonts w:ascii="宋体" w:hAnsi="宋体" w:cs="宋体" w:eastAsia="宋体" w:hint="default"/>
                <w:spacing w:val="-86"/>
                <w:sz w:val="18"/>
                <w:szCs w:val="18"/>
              </w:rPr>
              <w:t> </w:t>
            </w:r>
            <w:r>
              <w:rPr>
                <w:rFonts w:ascii="宋体" w:hAnsi="宋体" w:cs="宋体" w:eastAsia="宋体" w:hint="default"/>
                <w:sz w:val="18"/>
                <w:szCs w:val="18"/>
              </w:rPr>
              <w:t>应的</w:t>
            </w:r>
            <w:r>
              <w:rPr>
                <w:rFonts w:ascii="宋体" w:hAnsi="宋体" w:cs="宋体" w:eastAsia="宋体" w:hint="default"/>
                <w:spacing w:val="-86"/>
                <w:sz w:val="18"/>
                <w:szCs w:val="18"/>
              </w:rPr>
              <w:t> </w:t>
            </w:r>
            <w:r>
              <w:rPr>
                <w:rFonts w:ascii="宋体" w:hAnsi="宋体" w:cs="宋体" w:eastAsia="宋体" w:hint="default"/>
                <w:sz w:val="18"/>
                <w:szCs w:val="18"/>
              </w:rPr>
              <w:t>合并</w:t>
            </w:r>
            <w:r>
              <w:rPr>
                <w:rFonts w:ascii="宋体" w:hAnsi="宋体" w:cs="宋体" w:eastAsia="宋体" w:hint="default"/>
                <w:spacing w:val="-86"/>
                <w:sz w:val="18"/>
                <w:szCs w:val="18"/>
              </w:rPr>
              <w:t> </w:t>
            </w:r>
            <w:r>
              <w:rPr>
                <w:rFonts w:ascii="宋体" w:hAnsi="宋体" w:cs="宋体" w:eastAsia="宋体" w:hint="default"/>
                <w:sz w:val="18"/>
                <w:szCs w:val="18"/>
              </w:rPr>
              <w:t>财务</w:t>
            </w:r>
            <w:r>
              <w:rPr>
                <w:rFonts w:ascii="宋体" w:hAnsi="宋体" w:cs="宋体" w:eastAsia="宋体" w:hint="default"/>
                <w:spacing w:val="-86"/>
                <w:sz w:val="18"/>
                <w:szCs w:val="18"/>
              </w:rPr>
              <w:t> </w:t>
            </w:r>
            <w:r>
              <w:rPr>
                <w:rFonts w:ascii="宋体" w:hAnsi="宋体" w:cs="宋体" w:eastAsia="宋体" w:hint="default"/>
                <w:sz w:val="18"/>
                <w:szCs w:val="18"/>
              </w:rPr>
              <w:t>报表</w:t>
            </w:r>
            <w:r>
              <w:rPr>
                <w:rFonts w:ascii="宋体" w:hAnsi="宋体" w:cs="宋体" w:eastAsia="宋体" w:hint="default"/>
                <w:spacing w:val="-86"/>
                <w:sz w:val="18"/>
                <w:szCs w:val="18"/>
              </w:rPr>
              <w:t> </w:t>
            </w:r>
            <w:r>
              <w:rPr>
                <w:rFonts w:ascii="宋体" w:hAnsi="宋体" w:cs="宋体" w:eastAsia="宋体" w:hint="default"/>
                <w:sz w:val="18"/>
                <w:szCs w:val="18"/>
              </w:rPr>
              <w:t>层面</w:t>
            </w:r>
            <w:r>
              <w:rPr>
                <w:rFonts w:ascii="宋体" w:hAnsi="宋体" w:cs="宋体" w:eastAsia="宋体" w:hint="default"/>
                <w:spacing w:val="-86"/>
                <w:sz w:val="18"/>
                <w:szCs w:val="18"/>
              </w:rPr>
              <w:t> </w:t>
            </w:r>
            <w:r>
              <w:rPr>
                <w:rFonts w:ascii="宋体" w:hAnsi="宋体" w:cs="宋体" w:eastAsia="宋体" w:hint="default"/>
                <w:sz w:val="18"/>
                <w:szCs w:val="18"/>
              </w:rPr>
              <w:t>享有</w:t>
            </w:r>
            <w:r>
              <w:rPr>
                <w:rFonts w:ascii="宋体" w:hAnsi="宋体" w:cs="宋体" w:eastAsia="宋体" w:hint="default"/>
                <w:spacing w:val="-86"/>
                <w:sz w:val="18"/>
                <w:szCs w:val="18"/>
              </w:rPr>
              <w:t> </w:t>
            </w:r>
            <w:r>
              <w:rPr>
                <w:rFonts w:ascii="宋体" w:hAnsi="宋体" w:cs="宋体" w:eastAsia="宋体" w:hint="default"/>
                <w:sz w:val="18"/>
                <w:szCs w:val="18"/>
              </w:rPr>
              <w:t>该子</w:t>
            </w:r>
            <w:r>
              <w:rPr>
                <w:rFonts w:ascii="宋体" w:hAnsi="宋体" w:cs="宋体" w:eastAsia="宋体" w:hint="default"/>
                <w:spacing w:val="-86"/>
                <w:sz w:val="18"/>
                <w:szCs w:val="18"/>
              </w:rPr>
              <w:t> </w:t>
            </w: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净资</w:t>
            </w:r>
            <w:r>
              <w:rPr>
                <w:rFonts w:ascii="宋体" w:hAnsi="宋体" w:cs="宋体" w:eastAsia="宋体" w:hint="default"/>
                <w:spacing w:val="-86"/>
                <w:sz w:val="18"/>
                <w:szCs w:val="18"/>
              </w:rPr>
              <w:t> </w:t>
            </w:r>
            <w:r>
              <w:rPr>
                <w:rFonts w:ascii="宋体" w:hAnsi="宋体" w:cs="宋体" w:eastAsia="宋体" w:hint="default"/>
                <w:sz w:val="18"/>
                <w:szCs w:val="18"/>
              </w:rPr>
              <w:t>产份</w:t>
            </w:r>
            <w:r>
              <w:rPr>
                <w:rFonts w:ascii="宋体" w:hAnsi="宋体" w:cs="宋体" w:eastAsia="宋体" w:hint="default"/>
                <w:spacing w:val="-86"/>
                <w:sz w:val="18"/>
                <w:szCs w:val="18"/>
              </w:rPr>
              <w:t> </w:t>
            </w:r>
            <w:r>
              <w:rPr>
                <w:rFonts w:ascii="宋体" w:hAnsi="宋体" w:cs="宋体" w:eastAsia="宋体" w:hint="default"/>
                <w:sz w:val="18"/>
                <w:szCs w:val="18"/>
              </w:rPr>
              <w:t>额的</w:t>
            </w:r>
            <w:r>
              <w:rPr>
                <w:rFonts w:ascii="宋体" w:hAnsi="宋体" w:cs="宋体" w:eastAsia="宋体" w:hint="default"/>
                <w:spacing w:val="-86"/>
                <w:sz w:val="18"/>
                <w:szCs w:val="18"/>
              </w:rPr>
              <w:t> </w:t>
            </w:r>
            <w:r>
              <w:rPr>
                <w:rFonts w:ascii="宋体" w:hAnsi="宋体" w:cs="宋体" w:eastAsia="宋体" w:hint="default"/>
                <w:sz w:val="18"/>
                <w:szCs w:val="18"/>
              </w:rPr>
              <w:t>差额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77" w:right="180"/>
              <w:jc w:val="both"/>
              <w:rPr>
                <w:rFonts w:ascii="宋体" w:hAnsi="宋体" w:cs="宋体" w:eastAsia="宋体" w:hint="default"/>
                <w:sz w:val="18"/>
                <w:szCs w:val="18"/>
              </w:rPr>
            </w:pPr>
            <w:r>
              <w:rPr>
                <w:rFonts w:ascii="宋体" w:hAnsi="宋体" w:cs="宋体" w:eastAsia="宋体" w:hint="default"/>
                <w:sz w:val="18"/>
                <w:szCs w:val="18"/>
              </w:rPr>
              <w:t>丧失</w:t>
            </w:r>
            <w:r>
              <w:rPr>
                <w:rFonts w:ascii="宋体" w:hAnsi="宋体" w:cs="宋体" w:eastAsia="宋体" w:hint="default"/>
                <w:spacing w:val="-86"/>
                <w:sz w:val="18"/>
                <w:szCs w:val="18"/>
              </w:rPr>
              <w:t> </w:t>
            </w:r>
            <w:r>
              <w:rPr>
                <w:rFonts w:ascii="宋体" w:hAnsi="宋体" w:cs="宋体" w:eastAsia="宋体" w:hint="default"/>
                <w:sz w:val="18"/>
                <w:szCs w:val="18"/>
              </w:rPr>
              <w:t>控制</w:t>
            </w:r>
            <w:r>
              <w:rPr>
                <w:rFonts w:ascii="宋体" w:hAnsi="宋体" w:cs="宋体" w:eastAsia="宋体" w:hint="default"/>
                <w:spacing w:val="-86"/>
                <w:sz w:val="18"/>
                <w:szCs w:val="18"/>
              </w:rPr>
              <w:t> </w:t>
            </w:r>
            <w:r>
              <w:rPr>
                <w:rFonts w:ascii="宋体" w:hAnsi="宋体" w:cs="宋体" w:eastAsia="宋体" w:hint="default"/>
                <w:sz w:val="18"/>
                <w:szCs w:val="18"/>
              </w:rPr>
              <w:t>权之</w:t>
            </w:r>
            <w:r>
              <w:rPr>
                <w:rFonts w:ascii="宋体" w:hAnsi="宋体" w:cs="宋体" w:eastAsia="宋体" w:hint="default"/>
                <w:spacing w:val="-86"/>
                <w:sz w:val="18"/>
                <w:szCs w:val="18"/>
              </w:rPr>
              <w:t> </w:t>
            </w:r>
            <w:r>
              <w:rPr>
                <w:rFonts w:ascii="宋体" w:hAnsi="宋体" w:cs="宋体" w:eastAsia="宋体" w:hint="default"/>
                <w:sz w:val="18"/>
                <w:szCs w:val="18"/>
              </w:rPr>
              <w:t>日剩</w:t>
            </w:r>
            <w:r>
              <w:rPr>
                <w:rFonts w:ascii="宋体" w:hAnsi="宋体" w:cs="宋体" w:eastAsia="宋体" w:hint="default"/>
                <w:spacing w:val="-86"/>
                <w:sz w:val="18"/>
                <w:szCs w:val="18"/>
              </w:rPr>
              <w:t> </w:t>
            </w:r>
            <w:r>
              <w:rPr>
                <w:rFonts w:ascii="宋体" w:hAnsi="宋体" w:cs="宋体" w:eastAsia="宋体" w:hint="default"/>
                <w:sz w:val="18"/>
                <w:szCs w:val="18"/>
              </w:rPr>
              <w:t>余股</w:t>
            </w:r>
            <w:r>
              <w:rPr>
                <w:rFonts w:ascii="宋体" w:hAnsi="宋体" w:cs="宋体" w:eastAsia="宋体" w:hint="default"/>
                <w:spacing w:val="-86"/>
                <w:sz w:val="18"/>
                <w:szCs w:val="18"/>
              </w:rPr>
              <w:t> </w:t>
            </w:r>
            <w:r>
              <w:rPr>
                <w:rFonts w:ascii="宋体" w:hAnsi="宋体" w:cs="宋体" w:eastAsia="宋体" w:hint="default"/>
                <w:sz w:val="18"/>
                <w:szCs w:val="18"/>
              </w:rPr>
              <w:t>权的</w:t>
            </w:r>
            <w:r>
              <w:rPr>
                <w:rFonts w:ascii="宋体" w:hAnsi="宋体" w:cs="宋体" w:eastAsia="宋体" w:hint="default"/>
                <w:spacing w:val="-86"/>
                <w:sz w:val="18"/>
                <w:szCs w:val="18"/>
              </w:rPr>
              <w:t> </w:t>
            </w:r>
            <w:r>
              <w:rPr>
                <w:rFonts w:ascii="宋体" w:hAnsi="宋体" w:cs="宋体" w:eastAsia="宋体" w:hint="default"/>
                <w:sz w:val="18"/>
                <w:szCs w:val="18"/>
              </w:rPr>
              <w:t>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82" w:right="175"/>
              <w:jc w:val="both"/>
              <w:rPr>
                <w:rFonts w:ascii="宋体" w:hAnsi="宋体" w:cs="宋体" w:eastAsia="宋体" w:hint="default"/>
                <w:sz w:val="18"/>
                <w:szCs w:val="18"/>
              </w:rPr>
            </w:pPr>
            <w:r>
              <w:rPr>
                <w:rFonts w:ascii="宋体" w:hAnsi="宋体" w:cs="宋体" w:eastAsia="宋体" w:hint="default"/>
                <w:sz w:val="18"/>
                <w:szCs w:val="18"/>
              </w:rPr>
              <w:t>丧失</w:t>
            </w:r>
            <w:r>
              <w:rPr>
                <w:rFonts w:ascii="宋体" w:hAnsi="宋体" w:cs="宋体" w:eastAsia="宋体" w:hint="default"/>
                <w:spacing w:val="-86"/>
                <w:sz w:val="18"/>
                <w:szCs w:val="18"/>
              </w:rPr>
              <w:t> </w:t>
            </w:r>
            <w:r>
              <w:rPr>
                <w:rFonts w:ascii="宋体" w:hAnsi="宋体" w:cs="宋体" w:eastAsia="宋体" w:hint="default"/>
                <w:sz w:val="18"/>
                <w:szCs w:val="18"/>
              </w:rPr>
              <w:t>控制</w:t>
            </w:r>
            <w:r>
              <w:rPr>
                <w:rFonts w:ascii="宋体" w:hAnsi="宋体" w:cs="宋体" w:eastAsia="宋体" w:hint="default"/>
                <w:spacing w:val="-86"/>
                <w:sz w:val="18"/>
                <w:szCs w:val="18"/>
              </w:rPr>
              <w:t> </w:t>
            </w:r>
            <w:r>
              <w:rPr>
                <w:rFonts w:ascii="宋体" w:hAnsi="宋体" w:cs="宋体" w:eastAsia="宋体" w:hint="default"/>
                <w:sz w:val="18"/>
                <w:szCs w:val="18"/>
              </w:rPr>
              <w:t>权之</w:t>
            </w:r>
            <w:r>
              <w:rPr>
                <w:rFonts w:ascii="宋体" w:hAnsi="宋体" w:cs="宋体" w:eastAsia="宋体" w:hint="default"/>
                <w:spacing w:val="-86"/>
                <w:sz w:val="18"/>
                <w:szCs w:val="18"/>
              </w:rPr>
              <w:t> </w:t>
            </w:r>
            <w:r>
              <w:rPr>
                <w:rFonts w:ascii="宋体" w:hAnsi="宋体" w:cs="宋体" w:eastAsia="宋体" w:hint="default"/>
                <w:sz w:val="18"/>
                <w:szCs w:val="18"/>
              </w:rPr>
              <w:t>日剩</w:t>
            </w:r>
            <w:r>
              <w:rPr>
                <w:rFonts w:ascii="宋体" w:hAnsi="宋体" w:cs="宋体" w:eastAsia="宋体" w:hint="default"/>
                <w:spacing w:val="-86"/>
                <w:sz w:val="18"/>
                <w:szCs w:val="18"/>
              </w:rPr>
              <w:t> </w:t>
            </w:r>
            <w:r>
              <w:rPr>
                <w:rFonts w:ascii="宋体" w:hAnsi="宋体" w:cs="宋体" w:eastAsia="宋体" w:hint="default"/>
                <w:sz w:val="18"/>
                <w:szCs w:val="18"/>
              </w:rPr>
              <w:t>余股</w:t>
            </w:r>
            <w:r>
              <w:rPr>
                <w:rFonts w:ascii="宋体" w:hAnsi="宋体" w:cs="宋体" w:eastAsia="宋体" w:hint="default"/>
                <w:spacing w:val="-86"/>
                <w:sz w:val="18"/>
                <w:szCs w:val="18"/>
              </w:rPr>
              <w:t> </w:t>
            </w:r>
            <w:r>
              <w:rPr>
                <w:rFonts w:ascii="宋体" w:hAnsi="宋体" w:cs="宋体" w:eastAsia="宋体" w:hint="default"/>
                <w:sz w:val="18"/>
                <w:szCs w:val="18"/>
              </w:rPr>
              <w:t>权的</w:t>
            </w:r>
            <w:r>
              <w:rPr>
                <w:rFonts w:ascii="宋体" w:hAnsi="宋体" w:cs="宋体" w:eastAsia="宋体" w:hint="default"/>
                <w:spacing w:val="-86"/>
                <w:sz w:val="18"/>
                <w:szCs w:val="18"/>
              </w:rPr>
              <w:t> </w:t>
            </w:r>
            <w:r>
              <w:rPr>
                <w:rFonts w:ascii="宋体" w:hAnsi="宋体" w:cs="宋体" w:eastAsia="宋体" w:hint="default"/>
                <w:sz w:val="18"/>
                <w:szCs w:val="18"/>
              </w:rPr>
              <w:t>账面</w:t>
            </w:r>
            <w:r>
              <w:rPr>
                <w:rFonts w:ascii="宋体" w:hAnsi="宋体" w:cs="宋体" w:eastAsia="宋体" w:hint="default"/>
                <w:spacing w:val="-86"/>
                <w:sz w:val="18"/>
                <w:szCs w:val="18"/>
              </w:rPr>
              <w:t> </w:t>
            </w:r>
            <w:r>
              <w:rPr>
                <w:rFonts w:ascii="宋体" w:hAnsi="宋体" w:cs="宋体" w:eastAsia="宋体" w:hint="default"/>
                <w:sz w:val="18"/>
                <w:szCs w:val="18"/>
              </w:rPr>
              <w:t>价值</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82" w:right="182"/>
              <w:jc w:val="both"/>
              <w:rPr>
                <w:rFonts w:ascii="宋体" w:hAnsi="宋体" w:cs="宋体" w:eastAsia="宋体" w:hint="default"/>
                <w:sz w:val="18"/>
                <w:szCs w:val="18"/>
              </w:rPr>
            </w:pPr>
            <w:r>
              <w:rPr>
                <w:rFonts w:ascii="宋体" w:hAnsi="宋体" w:cs="宋体" w:eastAsia="宋体" w:hint="default"/>
                <w:sz w:val="18"/>
                <w:szCs w:val="18"/>
              </w:rPr>
              <w:t>丧失</w:t>
            </w:r>
            <w:r>
              <w:rPr>
                <w:rFonts w:ascii="宋体" w:hAnsi="宋体" w:cs="宋体" w:eastAsia="宋体" w:hint="default"/>
                <w:spacing w:val="-86"/>
                <w:sz w:val="18"/>
                <w:szCs w:val="18"/>
              </w:rPr>
              <w:t> </w:t>
            </w:r>
            <w:r>
              <w:rPr>
                <w:rFonts w:ascii="宋体" w:hAnsi="宋体" w:cs="宋体" w:eastAsia="宋体" w:hint="default"/>
                <w:sz w:val="18"/>
                <w:szCs w:val="18"/>
              </w:rPr>
              <w:t>控制</w:t>
            </w:r>
            <w:r>
              <w:rPr>
                <w:rFonts w:ascii="宋体" w:hAnsi="宋体" w:cs="宋体" w:eastAsia="宋体" w:hint="default"/>
                <w:spacing w:val="-86"/>
                <w:sz w:val="18"/>
                <w:szCs w:val="18"/>
              </w:rPr>
              <w:t> </w:t>
            </w:r>
            <w:r>
              <w:rPr>
                <w:rFonts w:ascii="宋体" w:hAnsi="宋体" w:cs="宋体" w:eastAsia="宋体" w:hint="default"/>
                <w:sz w:val="18"/>
                <w:szCs w:val="18"/>
              </w:rPr>
              <w:t>权之</w:t>
            </w:r>
            <w:r>
              <w:rPr>
                <w:rFonts w:ascii="宋体" w:hAnsi="宋体" w:cs="宋体" w:eastAsia="宋体" w:hint="default"/>
                <w:spacing w:val="-86"/>
                <w:sz w:val="18"/>
                <w:szCs w:val="18"/>
              </w:rPr>
              <w:t> </w:t>
            </w:r>
            <w:r>
              <w:rPr>
                <w:rFonts w:ascii="宋体" w:hAnsi="宋体" w:cs="宋体" w:eastAsia="宋体" w:hint="default"/>
                <w:sz w:val="18"/>
                <w:szCs w:val="18"/>
              </w:rPr>
              <w:t>日剩</w:t>
            </w:r>
            <w:r>
              <w:rPr>
                <w:rFonts w:ascii="宋体" w:hAnsi="宋体" w:cs="宋体" w:eastAsia="宋体" w:hint="default"/>
                <w:spacing w:val="-86"/>
                <w:sz w:val="18"/>
                <w:szCs w:val="18"/>
              </w:rPr>
              <w:t> </w:t>
            </w:r>
            <w:r>
              <w:rPr>
                <w:rFonts w:ascii="宋体" w:hAnsi="宋体" w:cs="宋体" w:eastAsia="宋体" w:hint="default"/>
                <w:sz w:val="18"/>
                <w:szCs w:val="18"/>
              </w:rPr>
              <w:t>余股</w:t>
            </w:r>
            <w:r>
              <w:rPr>
                <w:rFonts w:ascii="宋体" w:hAnsi="宋体" w:cs="宋体" w:eastAsia="宋体" w:hint="default"/>
                <w:spacing w:val="-86"/>
                <w:sz w:val="18"/>
                <w:szCs w:val="18"/>
              </w:rPr>
              <w:t> </w:t>
            </w:r>
            <w:r>
              <w:rPr>
                <w:rFonts w:ascii="宋体" w:hAnsi="宋体" w:cs="宋体" w:eastAsia="宋体" w:hint="default"/>
                <w:sz w:val="18"/>
                <w:szCs w:val="18"/>
              </w:rPr>
              <w:t>权的</w:t>
            </w:r>
            <w:r>
              <w:rPr>
                <w:rFonts w:ascii="宋体" w:hAnsi="宋体" w:cs="宋体" w:eastAsia="宋体" w:hint="default"/>
                <w:spacing w:val="-86"/>
                <w:sz w:val="18"/>
                <w:szCs w:val="18"/>
              </w:rPr>
              <w:t> </w:t>
            </w:r>
            <w:r>
              <w:rPr>
                <w:rFonts w:ascii="宋体" w:hAnsi="宋体" w:cs="宋体" w:eastAsia="宋体" w:hint="default"/>
                <w:sz w:val="18"/>
                <w:szCs w:val="18"/>
              </w:rPr>
              <w:t>公允</w:t>
            </w:r>
            <w:r>
              <w:rPr>
                <w:rFonts w:ascii="宋体" w:hAnsi="宋体" w:cs="宋体" w:eastAsia="宋体" w:hint="default"/>
                <w:spacing w:val="-86"/>
                <w:sz w:val="18"/>
                <w:szCs w:val="18"/>
              </w:rPr>
              <w:t> </w:t>
            </w:r>
            <w:r>
              <w:rPr>
                <w:rFonts w:ascii="宋体" w:hAnsi="宋体" w:cs="宋体" w:eastAsia="宋体" w:hint="default"/>
                <w:sz w:val="18"/>
                <w:szCs w:val="18"/>
              </w:rPr>
              <w:t>价值</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9" w:lineRule="auto"/>
              <w:ind w:left="177" w:right="180"/>
              <w:jc w:val="both"/>
              <w:rPr>
                <w:rFonts w:ascii="宋体" w:hAnsi="宋体" w:cs="宋体" w:eastAsia="宋体" w:hint="default"/>
                <w:sz w:val="18"/>
                <w:szCs w:val="18"/>
              </w:rPr>
            </w:pPr>
            <w:r>
              <w:rPr>
                <w:rFonts w:ascii="宋体" w:hAnsi="宋体" w:cs="宋体" w:eastAsia="宋体" w:hint="default"/>
                <w:sz w:val="18"/>
                <w:szCs w:val="18"/>
              </w:rPr>
              <w:t>按照</w:t>
            </w:r>
            <w:r>
              <w:rPr>
                <w:rFonts w:ascii="宋体" w:hAnsi="宋体" w:cs="宋体" w:eastAsia="宋体" w:hint="default"/>
                <w:spacing w:val="-86"/>
                <w:sz w:val="18"/>
                <w:szCs w:val="18"/>
              </w:rPr>
              <w:t> </w:t>
            </w:r>
            <w:r>
              <w:rPr>
                <w:rFonts w:ascii="宋体" w:hAnsi="宋体" w:cs="宋体" w:eastAsia="宋体" w:hint="default"/>
                <w:sz w:val="18"/>
                <w:szCs w:val="18"/>
              </w:rPr>
              <w:t>公允</w:t>
            </w:r>
            <w:r>
              <w:rPr>
                <w:rFonts w:ascii="宋体" w:hAnsi="宋体" w:cs="宋体" w:eastAsia="宋体" w:hint="default"/>
                <w:spacing w:val="-86"/>
                <w:sz w:val="18"/>
                <w:szCs w:val="18"/>
              </w:rPr>
              <w:t> </w:t>
            </w:r>
            <w:r>
              <w:rPr>
                <w:rFonts w:ascii="宋体" w:hAnsi="宋体" w:cs="宋体" w:eastAsia="宋体" w:hint="default"/>
                <w:sz w:val="18"/>
                <w:szCs w:val="18"/>
              </w:rPr>
              <w:t>价值</w:t>
            </w:r>
            <w:r>
              <w:rPr>
                <w:rFonts w:ascii="宋体" w:hAnsi="宋体" w:cs="宋体" w:eastAsia="宋体" w:hint="default"/>
                <w:spacing w:val="-86"/>
                <w:sz w:val="18"/>
                <w:szCs w:val="18"/>
              </w:rPr>
              <w:t> </w:t>
            </w:r>
            <w:r>
              <w:rPr>
                <w:rFonts w:ascii="宋体" w:hAnsi="宋体" w:cs="宋体" w:eastAsia="宋体" w:hint="default"/>
                <w:sz w:val="18"/>
                <w:szCs w:val="18"/>
              </w:rPr>
              <w:t>重新</w:t>
            </w:r>
            <w:r>
              <w:rPr>
                <w:rFonts w:ascii="宋体" w:hAnsi="宋体" w:cs="宋体" w:eastAsia="宋体" w:hint="default"/>
                <w:spacing w:val="-86"/>
                <w:sz w:val="18"/>
                <w:szCs w:val="18"/>
              </w:rPr>
              <w:t> </w:t>
            </w:r>
            <w:r>
              <w:rPr>
                <w:rFonts w:ascii="宋体" w:hAnsi="宋体" w:cs="宋体" w:eastAsia="宋体" w:hint="default"/>
                <w:sz w:val="18"/>
                <w:szCs w:val="18"/>
              </w:rPr>
              <w:t>计量</w:t>
            </w:r>
            <w:r>
              <w:rPr>
                <w:rFonts w:ascii="宋体" w:hAnsi="宋体" w:cs="宋体" w:eastAsia="宋体" w:hint="default"/>
                <w:spacing w:val="-86"/>
                <w:sz w:val="18"/>
                <w:szCs w:val="18"/>
              </w:rPr>
              <w:t> </w:t>
            </w:r>
            <w:r>
              <w:rPr>
                <w:rFonts w:ascii="宋体" w:hAnsi="宋体" w:cs="宋体" w:eastAsia="宋体" w:hint="default"/>
                <w:sz w:val="18"/>
                <w:szCs w:val="18"/>
              </w:rPr>
              <w:t>剩余</w:t>
            </w:r>
            <w:r>
              <w:rPr>
                <w:rFonts w:ascii="宋体" w:hAnsi="宋体" w:cs="宋体" w:eastAsia="宋体" w:hint="default"/>
                <w:spacing w:val="-86"/>
                <w:sz w:val="18"/>
                <w:szCs w:val="18"/>
              </w:rPr>
              <w:t> </w:t>
            </w:r>
            <w:r>
              <w:rPr>
                <w:rFonts w:ascii="宋体" w:hAnsi="宋体" w:cs="宋体" w:eastAsia="宋体" w:hint="default"/>
                <w:sz w:val="18"/>
                <w:szCs w:val="18"/>
              </w:rPr>
              <w:t>股权</w:t>
            </w:r>
            <w:r>
              <w:rPr>
                <w:rFonts w:ascii="宋体" w:hAnsi="宋体" w:cs="宋体" w:eastAsia="宋体" w:hint="default"/>
                <w:spacing w:val="-86"/>
                <w:sz w:val="18"/>
                <w:szCs w:val="18"/>
              </w:rPr>
              <w:t> </w:t>
            </w:r>
            <w:r>
              <w:rPr>
                <w:rFonts w:ascii="宋体" w:hAnsi="宋体" w:cs="宋体" w:eastAsia="宋体" w:hint="default"/>
                <w:sz w:val="18"/>
                <w:szCs w:val="18"/>
              </w:rPr>
              <w:t>产生</w:t>
            </w:r>
            <w:r>
              <w:rPr>
                <w:rFonts w:ascii="宋体" w:hAnsi="宋体" w:cs="宋体" w:eastAsia="宋体" w:hint="default"/>
                <w:spacing w:val="-86"/>
                <w:sz w:val="18"/>
                <w:szCs w:val="18"/>
              </w:rPr>
              <w:t> </w:t>
            </w:r>
            <w:r>
              <w:rPr>
                <w:rFonts w:ascii="宋体" w:hAnsi="宋体" w:cs="宋体" w:eastAsia="宋体" w:hint="default"/>
                <w:sz w:val="18"/>
                <w:szCs w:val="18"/>
              </w:rPr>
              <w:t>的利</w:t>
            </w:r>
            <w:r>
              <w:rPr>
                <w:rFonts w:ascii="宋体" w:hAnsi="宋体" w:cs="宋体" w:eastAsia="宋体" w:hint="default"/>
                <w:spacing w:val="-86"/>
                <w:sz w:val="18"/>
                <w:szCs w:val="18"/>
              </w:rPr>
              <w:t> </w:t>
            </w:r>
            <w:r>
              <w:rPr>
                <w:rFonts w:ascii="宋体" w:hAnsi="宋体" w:cs="宋体" w:eastAsia="宋体" w:hint="default"/>
                <w:sz w:val="18"/>
                <w:szCs w:val="18"/>
              </w:rPr>
              <w:t>得或</w:t>
            </w:r>
            <w:r>
              <w:rPr>
                <w:rFonts w:ascii="宋体" w:hAnsi="宋体" w:cs="宋体" w:eastAsia="宋体" w:hint="default"/>
                <w:spacing w:val="-86"/>
                <w:sz w:val="18"/>
                <w:szCs w:val="18"/>
              </w:rPr>
              <w:t> </w:t>
            </w:r>
            <w:r>
              <w:rPr>
                <w:rFonts w:ascii="宋体" w:hAnsi="宋体" w:cs="宋体" w:eastAsia="宋体" w:hint="default"/>
                <w:sz w:val="18"/>
                <w:szCs w:val="18"/>
              </w:rPr>
              <w:t>损失</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182" w:right="177"/>
              <w:jc w:val="both"/>
              <w:rPr>
                <w:rFonts w:ascii="宋体" w:hAnsi="宋体" w:cs="宋体" w:eastAsia="宋体" w:hint="default"/>
                <w:sz w:val="18"/>
                <w:szCs w:val="18"/>
              </w:rPr>
            </w:pPr>
            <w:r>
              <w:rPr>
                <w:rFonts w:ascii="宋体" w:hAnsi="宋体" w:cs="宋体" w:eastAsia="宋体" w:hint="default"/>
                <w:sz w:val="18"/>
                <w:szCs w:val="18"/>
              </w:rPr>
              <w:t>丧失</w:t>
            </w:r>
            <w:r>
              <w:rPr>
                <w:rFonts w:ascii="宋体" w:hAnsi="宋体" w:cs="宋体" w:eastAsia="宋体" w:hint="default"/>
                <w:spacing w:val="-86"/>
                <w:sz w:val="18"/>
                <w:szCs w:val="18"/>
              </w:rPr>
              <w:t> </w:t>
            </w:r>
            <w:r>
              <w:rPr>
                <w:rFonts w:ascii="宋体" w:hAnsi="宋体" w:cs="宋体" w:eastAsia="宋体" w:hint="default"/>
                <w:sz w:val="18"/>
                <w:szCs w:val="18"/>
              </w:rPr>
              <w:t>控制</w:t>
            </w:r>
            <w:r>
              <w:rPr>
                <w:rFonts w:ascii="宋体" w:hAnsi="宋体" w:cs="宋体" w:eastAsia="宋体" w:hint="default"/>
                <w:spacing w:val="-86"/>
                <w:sz w:val="18"/>
                <w:szCs w:val="18"/>
              </w:rPr>
              <w:t> </w:t>
            </w:r>
            <w:r>
              <w:rPr>
                <w:rFonts w:ascii="宋体" w:hAnsi="宋体" w:cs="宋体" w:eastAsia="宋体" w:hint="default"/>
                <w:sz w:val="18"/>
                <w:szCs w:val="18"/>
              </w:rPr>
              <w:t>权之</w:t>
            </w:r>
            <w:r>
              <w:rPr>
                <w:rFonts w:ascii="宋体" w:hAnsi="宋体" w:cs="宋体" w:eastAsia="宋体" w:hint="default"/>
                <w:spacing w:val="-86"/>
                <w:sz w:val="18"/>
                <w:szCs w:val="18"/>
              </w:rPr>
              <w:t> </w:t>
            </w:r>
            <w:r>
              <w:rPr>
                <w:rFonts w:ascii="宋体" w:hAnsi="宋体" w:cs="宋体" w:eastAsia="宋体" w:hint="default"/>
                <w:sz w:val="18"/>
                <w:szCs w:val="18"/>
              </w:rPr>
              <w:t>日剩</w:t>
            </w:r>
            <w:r>
              <w:rPr>
                <w:rFonts w:ascii="宋体" w:hAnsi="宋体" w:cs="宋体" w:eastAsia="宋体" w:hint="default"/>
                <w:spacing w:val="-86"/>
                <w:sz w:val="18"/>
                <w:szCs w:val="18"/>
              </w:rPr>
              <w:t> </w:t>
            </w:r>
            <w:r>
              <w:rPr>
                <w:rFonts w:ascii="宋体" w:hAnsi="宋体" w:cs="宋体" w:eastAsia="宋体" w:hint="default"/>
                <w:sz w:val="18"/>
                <w:szCs w:val="18"/>
              </w:rPr>
              <w:t>余股</w:t>
            </w:r>
            <w:r>
              <w:rPr>
                <w:rFonts w:ascii="宋体" w:hAnsi="宋体" w:cs="宋体" w:eastAsia="宋体" w:hint="default"/>
                <w:spacing w:val="-86"/>
                <w:sz w:val="18"/>
                <w:szCs w:val="18"/>
              </w:rPr>
              <w:t> </w:t>
            </w:r>
            <w:r>
              <w:rPr>
                <w:rFonts w:ascii="宋体" w:hAnsi="宋体" w:cs="宋体" w:eastAsia="宋体" w:hint="default"/>
                <w:sz w:val="18"/>
                <w:szCs w:val="18"/>
              </w:rPr>
              <w:t>权公</w:t>
            </w:r>
            <w:r>
              <w:rPr>
                <w:rFonts w:ascii="宋体" w:hAnsi="宋体" w:cs="宋体" w:eastAsia="宋体" w:hint="default"/>
                <w:spacing w:val="-86"/>
                <w:sz w:val="18"/>
                <w:szCs w:val="18"/>
              </w:rPr>
              <w:t> </w:t>
            </w:r>
            <w:r>
              <w:rPr>
                <w:rFonts w:ascii="宋体" w:hAnsi="宋体" w:cs="宋体" w:eastAsia="宋体" w:hint="default"/>
                <w:sz w:val="18"/>
                <w:szCs w:val="18"/>
              </w:rPr>
              <w:t>允价</w:t>
            </w:r>
            <w:r>
              <w:rPr>
                <w:rFonts w:ascii="宋体" w:hAnsi="宋体" w:cs="宋体" w:eastAsia="宋体" w:hint="default"/>
                <w:spacing w:val="-86"/>
                <w:sz w:val="18"/>
                <w:szCs w:val="18"/>
              </w:rPr>
              <w:t> </w:t>
            </w:r>
            <w:r>
              <w:rPr>
                <w:rFonts w:ascii="宋体" w:hAnsi="宋体" w:cs="宋体" w:eastAsia="宋体" w:hint="default"/>
                <w:sz w:val="18"/>
                <w:szCs w:val="18"/>
              </w:rPr>
              <w:t>值的</w:t>
            </w:r>
            <w:r>
              <w:rPr>
                <w:rFonts w:ascii="宋体" w:hAnsi="宋体" w:cs="宋体" w:eastAsia="宋体" w:hint="default"/>
                <w:spacing w:val="-86"/>
                <w:sz w:val="18"/>
                <w:szCs w:val="18"/>
              </w:rPr>
              <w:t> </w:t>
            </w:r>
            <w:r>
              <w:rPr>
                <w:rFonts w:ascii="宋体" w:hAnsi="宋体" w:cs="宋体" w:eastAsia="宋体" w:hint="default"/>
                <w:sz w:val="18"/>
                <w:szCs w:val="18"/>
              </w:rPr>
              <w:t>确定</w:t>
            </w:r>
            <w:r>
              <w:rPr>
                <w:rFonts w:ascii="宋体" w:hAnsi="宋体" w:cs="宋体" w:eastAsia="宋体" w:hint="default"/>
                <w:spacing w:val="-86"/>
                <w:sz w:val="18"/>
                <w:szCs w:val="18"/>
              </w:rPr>
              <w:t> </w:t>
            </w:r>
            <w:r>
              <w:rPr>
                <w:rFonts w:ascii="宋体" w:hAnsi="宋体" w:cs="宋体" w:eastAsia="宋体" w:hint="default"/>
                <w:sz w:val="18"/>
                <w:szCs w:val="18"/>
              </w:rPr>
              <w:t>方法</w:t>
            </w:r>
            <w:r>
              <w:rPr>
                <w:rFonts w:ascii="宋体" w:hAnsi="宋体" w:cs="宋体" w:eastAsia="宋体" w:hint="default"/>
                <w:spacing w:val="-86"/>
                <w:sz w:val="18"/>
                <w:szCs w:val="18"/>
              </w:rPr>
              <w:t> </w:t>
            </w:r>
            <w:r>
              <w:rPr>
                <w:rFonts w:ascii="宋体" w:hAnsi="宋体" w:cs="宋体" w:eastAsia="宋体" w:hint="default"/>
                <w:sz w:val="18"/>
                <w:szCs w:val="18"/>
              </w:rPr>
              <w:t>及主</w:t>
            </w:r>
            <w:r>
              <w:rPr>
                <w:rFonts w:ascii="宋体" w:hAnsi="宋体" w:cs="宋体" w:eastAsia="宋体" w:hint="default"/>
                <w:spacing w:val="-86"/>
                <w:sz w:val="18"/>
                <w:szCs w:val="18"/>
              </w:rPr>
              <w:t> </w:t>
            </w:r>
            <w:r>
              <w:rPr>
                <w:rFonts w:ascii="宋体" w:hAnsi="宋体" w:cs="宋体" w:eastAsia="宋体" w:hint="default"/>
                <w:sz w:val="18"/>
                <w:szCs w:val="18"/>
              </w:rPr>
              <w:t>要假</w:t>
            </w:r>
            <w:r>
              <w:rPr>
                <w:rFonts w:ascii="宋体" w:hAnsi="宋体" w:cs="宋体" w:eastAsia="宋体" w:hint="default"/>
                <w:spacing w:val="-86"/>
                <w:sz w:val="18"/>
                <w:szCs w:val="18"/>
              </w:rPr>
              <w:t> </w:t>
            </w:r>
            <w:r>
              <w:rPr>
                <w:rFonts w:ascii="宋体" w:hAnsi="宋体" w:cs="宋体" w:eastAsia="宋体" w:hint="default"/>
                <w:sz w:val="18"/>
                <w:szCs w:val="18"/>
              </w:rPr>
              <w:t>设</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182" w:right="180"/>
              <w:jc w:val="both"/>
              <w:rPr>
                <w:rFonts w:ascii="宋体" w:hAnsi="宋体" w:cs="宋体" w:eastAsia="宋体" w:hint="default"/>
                <w:sz w:val="18"/>
                <w:szCs w:val="18"/>
              </w:rPr>
            </w:pPr>
            <w:r>
              <w:rPr>
                <w:rFonts w:ascii="宋体" w:hAnsi="宋体" w:cs="宋体" w:eastAsia="宋体" w:hint="default"/>
                <w:sz w:val="18"/>
                <w:szCs w:val="18"/>
              </w:rPr>
              <w:t>与原</w:t>
            </w:r>
            <w:r>
              <w:rPr>
                <w:rFonts w:ascii="宋体" w:hAnsi="宋体" w:cs="宋体" w:eastAsia="宋体" w:hint="default"/>
                <w:spacing w:val="-86"/>
                <w:sz w:val="18"/>
                <w:szCs w:val="18"/>
              </w:rPr>
              <w:t> </w:t>
            </w:r>
            <w:r>
              <w:rPr>
                <w:rFonts w:ascii="宋体" w:hAnsi="宋体" w:cs="宋体" w:eastAsia="宋体" w:hint="default"/>
                <w:sz w:val="18"/>
                <w:szCs w:val="18"/>
              </w:rPr>
              <w:t>子公</w:t>
            </w:r>
            <w:r>
              <w:rPr>
                <w:rFonts w:ascii="宋体" w:hAnsi="宋体" w:cs="宋体" w:eastAsia="宋体" w:hint="default"/>
                <w:spacing w:val="-86"/>
                <w:sz w:val="18"/>
                <w:szCs w:val="18"/>
              </w:rPr>
              <w:t> </w:t>
            </w:r>
            <w:r>
              <w:rPr>
                <w:rFonts w:ascii="宋体" w:hAnsi="宋体" w:cs="宋体" w:eastAsia="宋体" w:hint="default"/>
                <w:sz w:val="18"/>
                <w:szCs w:val="18"/>
              </w:rPr>
              <w:t>司股</w:t>
            </w:r>
            <w:r>
              <w:rPr>
                <w:rFonts w:ascii="宋体" w:hAnsi="宋体" w:cs="宋体" w:eastAsia="宋体" w:hint="default"/>
                <w:spacing w:val="-86"/>
                <w:sz w:val="18"/>
                <w:szCs w:val="18"/>
              </w:rPr>
              <w:t> </w:t>
            </w:r>
            <w:r>
              <w:rPr>
                <w:rFonts w:ascii="宋体" w:hAnsi="宋体" w:cs="宋体" w:eastAsia="宋体" w:hint="default"/>
                <w:sz w:val="18"/>
                <w:szCs w:val="18"/>
              </w:rPr>
              <w:t>权投</w:t>
            </w:r>
            <w:r>
              <w:rPr>
                <w:rFonts w:ascii="宋体" w:hAnsi="宋体" w:cs="宋体" w:eastAsia="宋体" w:hint="default"/>
                <w:spacing w:val="-86"/>
                <w:sz w:val="18"/>
                <w:szCs w:val="18"/>
              </w:rPr>
              <w:t> </w:t>
            </w:r>
            <w:r>
              <w:rPr>
                <w:rFonts w:ascii="宋体" w:hAnsi="宋体" w:cs="宋体" w:eastAsia="宋体" w:hint="default"/>
                <w:sz w:val="18"/>
                <w:szCs w:val="18"/>
              </w:rPr>
              <w:t>资相</w:t>
            </w:r>
            <w:r>
              <w:rPr>
                <w:rFonts w:ascii="宋体" w:hAnsi="宋体" w:cs="宋体" w:eastAsia="宋体" w:hint="default"/>
                <w:spacing w:val="-86"/>
                <w:sz w:val="18"/>
                <w:szCs w:val="18"/>
              </w:rPr>
              <w:t> </w:t>
            </w:r>
            <w:r>
              <w:rPr>
                <w:rFonts w:ascii="宋体" w:hAnsi="宋体" w:cs="宋体" w:eastAsia="宋体" w:hint="default"/>
                <w:sz w:val="18"/>
                <w:szCs w:val="18"/>
              </w:rPr>
              <w:t>关的</w:t>
            </w:r>
            <w:r>
              <w:rPr>
                <w:rFonts w:ascii="宋体" w:hAnsi="宋体" w:cs="宋体" w:eastAsia="宋体" w:hint="default"/>
                <w:spacing w:val="-86"/>
                <w:sz w:val="18"/>
                <w:szCs w:val="18"/>
              </w:rPr>
              <w:t> </w:t>
            </w: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r>
              <w:rPr>
                <w:rFonts w:ascii="宋体" w:hAnsi="宋体" w:cs="宋体" w:eastAsia="宋体" w:hint="default"/>
                <w:spacing w:val="-86"/>
                <w:sz w:val="18"/>
                <w:szCs w:val="18"/>
              </w:rPr>
              <w:t> </w:t>
            </w:r>
            <w:r>
              <w:rPr>
                <w:rFonts w:ascii="宋体" w:hAnsi="宋体" w:cs="宋体" w:eastAsia="宋体" w:hint="default"/>
                <w:sz w:val="18"/>
                <w:szCs w:val="18"/>
              </w:rPr>
              <w:t>转入</w:t>
            </w:r>
            <w:r>
              <w:rPr>
                <w:rFonts w:ascii="宋体" w:hAnsi="宋体" w:cs="宋体" w:eastAsia="宋体" w:hint="default"/>
                <w:spacing w:val="-86"/>
                <w:sz w:val="18"/>
                <w:szCs w:val="18"/>
              </w:rPr>
              <w:t> </w:t>
            </w:r>
            <w:r>
              <w:rPr>
                <w:rFonts w:ascii="宋体" w:hAnsi="宋体" w:cs="宋体" w:eastAsia="宋体" w:hint="default"/>
                <w:sz w:val="18"/>
                <w:szCs w:val="18"/>
              </w:rPr>
              <w:t>投资</w:t>
            </w:r>
            <w:r>
              <w:rPr>
                <w:rFonts w:ascii="宋体" w:hAnsi="宋体" w:cs="宋体" w:eastAsia="宋体" w:hint="default"/>
                <w:spacing w:val="-86"/>
                <w:sz w:val="18"/>
                <w:szCs w:val="18"/>
              </w:rPr>
              <w:t> </w:t>
            </w:r>
            <w:r>
              <w:rPr>
                <w:rFonts w:ascii="宋体" w:hAnsi="宋体" w:cs="宋体" w:eastAsia="宋体" w:hint="default"/>
                <w:sz w:val="18"/>
                <w:szCs w:val="18"/>
              </w:rPr>
              <w:t>损益</w:t>
            </w:r>
            <w:r>
              <w:rPr>
                <w:rFonts w:ascii="宋体" w:hAnsi="宋体" w:cs="宋体" w:eastAsia="宋体" w:hint="default"/>
                <w:spacing w:val="-86"/>
                <w:sz w:val="18"/>
                <w:szCs w:val="18"/>
              </w:rPr>
              <w:t> </w:t>
            </w:r>
            <w:r>
              <w:rPr>
                <w:rFonts w:ascii="宋体" w:hAnsi="宋体" w:cs="宋体" w:eastAsia="宋体" w:hint="default"/>
                <w:sz w:val="18"/>
                <w:szCs w:val="18"/>
              </w:rPr>
              <w:t>的金</w:t>
            </w:r>
            <w:r>
              <w:rPr>
                <w:rFonts w:ascii="宋体" w:hAnsi="宋体" w:cs="宋体" w:eastAsia="宋体" w:hint="default"/>
                <w:spacing w:val="-86"/>
                <w:sz w:val="18"/>
                <w:szCs w:val="18"/>
              </w:rPr>
              <w:t> </w:t>
            </w:r>
            <w:r>
              <w:rPr>
                <w:rFonts w:ascii="宋体" w:hAnsi="宋体" w:cs="宋体" w:eastAsia="宋体" w:hint="default"/>
                <w:sz w:val="18"/>
                <w:szCs w:val="18"/>
              </w:rPr>
              <w:t>额</w:t>
            </w:r>
          </w:p>
        </w:tc>
      </w:tr>
      <w:tr>
        <w:trPr>
          <w:trHeight w:val="2276"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52"/>
              <w:jc w:val="both"/>
              <w:rPr>
                <w:rFonts w:ascii="宋体" w:hAnsi="宋体" w:cs="宋体" w:eastAsia="宋体" w:hint="default"/>
                <w:sz w:val="18"/>
                <w:szCs w:val="18"/>
              </w:rPr>
            </w:pPr>
            <w:r>
              <w:rPr>
                <w:rFonts w:ascii="宋体" w:hAnsi="宋体" w:cs="宋体" w:eastAsia="宋体" w:hint="default"/>
                <w:sz w:val="18"/>
                <w:szCs w:val="18"/>
              </w:rPr>
              <w:t>深圳</w:t>
            </w:r>
            <w:r>
              <w:rPr>
                <w:rFonts w:ascii="宋体" w:hAnsi="宋体" w:cs="宋体" w:eastAsia="宋体" w:hint="default"/>
                <w:spacing w:val="-86"/>
                <w:sz w:val="18"/>
                <w:szCs w:val="18"/>
              </w:rPr>
              <w:t> </w:t>
            </w:r>
            <w:r>
              <w:rPr>
                <w:rFonts w:ascii="宋体" w:hAnsi="宋体" w:cs="宋体" w:eastAsia="宋体" w:hint="default"/>
                <w:sz w:val="18"/>
                <w:szCs w:val="18"/>
              </w:rPr>
              <w:t>前海</w:t>
            </w:r>
            <w:r>
              <w:rPr>
                <w:rFonts w:ascii="宋体" w:hAnsi="宋体" w:cs="宋体" w:eastAsia="宋体" w:hint="default"/>
                <w:spacing w:val="-86"/>
                <w:sz w:val="18"/>
                <w:szCs w:val="18"/>
              </w:rPr>
              <w:t> </w:t>
            </w:r>
            <w:r>
              <w:rPr>
                <w:rFonts w:ascii="宋体" w:hAnsi="宋体" w:cs="宋体" w:eastAsia="宋体" w:hint="default"/>
                <w:sz w:val="18"/>
                <w:szCs w:val="18"/>
              </w:rPr>
              <w:t>维恩</w:t>
            </w:r>
            <w:r>
              <w:rPr>
                <w:rFonts w:ascii="宋体" w:hAnsi="宋体" w:cs="宋体" w:eastAsia="宋体" w:hint="default"/>
                <w:spacing w:val="-86"/>
                <w:sz w:val="18"/>
                <w:szCs w:val="18"/>
              </w:rPr>
              <w:t> </w:t>
            </w:r>
            <w:r>
              <w:rPr>
                <w:rFonts w:ascii="宋体" w:hAnsi="宋体" w:cs="宋体" w:eastAsia="宋体" w:hint="default"/>
                <w:sz w:val="18"/>
                <w:szCs w:val="18"/>
              </w:rPr>
              <w:t>贝特</w:t>
            </w:r>
            <w:r>
              <w:rPr>
                <w:rFonts w:ascii="宋体" w:hAnsi="宋体" w:cs="宋体" w:eastAsia="宋体" w:hint="default"/>
                <w:spacing w:val="-86"/>
                <w:sz w:val="18"/>
                <w:szCs w:val="18"/>
              </w:rPr>
              <w:t> </w:t>
            </w:r>
            <w:r>
              <w:rPr>
                <w:rFonts w:ascii="宋体" w:hAnsi="宋体" w:cs="宋体" w:eastAsia="宋体" w:hint="default"/>
                <w:sz w:val="18"/>
                <w:szCs w:val="18"/>
              </w:rPr>
              <w:t>科技</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10"/>
              <w:ind w:left="130" w:right="0"/>
              <w:jc w:val="left"/>
              <w:rPr>
                <w:rFonts w:ascii="Times New Roman" w:hAnsi="Times New Roman" w:cs="Times New Roman" w:eastAsia="Times New Roman" w:hint="default"/>
                <w:sz w:val="18"/>
                <w:szCs w:val="18"/>
              </w:rPr>
            </w:pPr>
            <w:r>
              <w:rPr>
                <w:rFonts w:ascii="Times New Roman"/>
                <w:sz w:val="18"/>
              </w:rPr>
              <w:t>000.00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10"/>
              <w:ind w:left="470"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25"/>
              <w:ind w:left="105" w:right="252"/>
              <w:jc w:val="left"/>
              <w:rPr>
                <w:rFonts w:ascii="宋体" w:hAnsi="宋体" w:cs="宋体" w:eastAsia="宋体" w:hint="default"/>
                <w:sz w:val="18"/>
                <w:szCs w:val="18"/>
              </w:rPr>
            </w:pPr>
            <w:r>
              <w:rPr>
                <w:rFonts w:ascii="宋体" w:hAnsi="宋体" w:cs="宋体" w:eastAsia="宋体" w:hint="default"/>
                <w:sz w:val="18"/>
                <w:szCs w:val="18"/>
              </w:rPr>
              <w:t>股权</w:t>
            </w:r>
            <w:r>
              <w:rPr>
                <w:rFonts w:ascii="宋体" w:hAnsi="宋体" w:cs="宋体" w:eastAsia="宋体" w:hint="default"/>
                <w:spacing w:val="-86"/>
                <w:sz w:val="18"/>
                <w:szCs w:val="18"/>
              </w:rPr>
              <w:t> </w:t>
            </w:r>
            <w:r>
              <w:rPr>
                <w:rFonts w:ascii="宋体" w:hAnsi="宋体" w:cs="宋体" w:eastAsia="宋体" w:hint="default"/>
                <w:sz w:val="18"/>
                <w:szCs w:val="18"/>
              </w:rPr>
              <w:t>转让</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05" w:right="252"/>
              <w:jc w:val="both"/>
              <w:rPr>
                <w:rFonts w:ascii="宋体" w:hAnsi="宋体" w:cs="宋体" w:eastAsia="宋体" w:hint="default"/>
                <w:sz w:val="18"/>
                <w:szCs w:val="18"/>
              </w:rPr>
            </w:pPr>
            <w:r>
              <w:rPr>
                <w:rFonts w:ascii="宋体" w:hAnsi="宋体" w:cs="宋体" w:eastAsia="宋体" w:hint="default"/>
                <w:sz w:val="18"/>
                <w:szCs w:val="18"/>
              </w:rPr>
              <w:t>工商</w:t>
            </w:r>
            <w:r>
              <w:rPr>
                <w:rFonts w:ascii="宋体" w:hAnsi="宋体" w:cs="宋体" w:eastAsia="宋体" w:hint="default"/>
                <w:spacing w:val="-86"/>
                <w:sz w:val="18"/>
                <w:szCs w:val="18"/>
              </w:rPr>
              <w:t> </w:t>
            </w:r>
            <w:r>
              <w:rPr>
                <w:rFonts w:ascii="宋体" w:hAnsi="宋体" w:cs="宋体" w:eastAsia="宋体" w:hint="default"/>
                <w:sz w:val="18"/>
                <w:szCs w:val="18"/>
              </w:rPr>
              <w:t>登记</w:t>
            </w:r>
            <w:r>
              <w:rPr>
                <w:rFonts w:ascii="宋体" w:hAnsi="宋体" w:cs="宋体" w:eastAsia="宋体" w:hint="default"/>
                <w:spacing w:val="-86"/>
                <w:sz w:val="18"/>
                <w:szCs w:val="18"/>
              </w:rPr>
              <w:t> </w:t>
            </w:r>
            <w:r>
              <w:rPr>
                <w:rFonts w:ascii="宋体" w:hAnsi="宋体" w:cs="宋体" w:eastAsia="宋体" w:hint="default"/>
                <w:sz w:val="18"/>
                <w:szCs w:val="18"/>
              </w:rPr>
              <w:t>已变</w:t>
            </w:r>
            <w:r>
              <w:rPr>
                <w:rFonts w:ascii="宋体" w:hAnsi="宋体" w:cs="宋体" w:eastAsia="宋体" w:hint="default"/>
                <w:spacing w:val="-86"/>
                <w:sz w:val="18"/>
                <w:szCs w:val="18"/>
              </w:rPr>
              <w:t> </w:t>
            </w:r>
            <w:r>
              <w:rPr>
                <w:rFonts w:ascii="宋体" w:hAnsi="宋体" w:cs="宋体" w:eastAsia="宋体" w:hint="default"/>
                <w:sz w:val="18"/>
                <w:szCs w:val="18"/>
              </w:rPr>
              <w:t>更</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955,67</w:t>
            </w:r>
          </w:p>
          <w:p>
            <w:pPr>
              <w:pStyle w:val="TableParagraph"/>
              <w:spacing w:line="240" w:lineRule="auto" w:before="110"/>
              <w:ind w:left="206" w:right="0"/>
              <w:jc w:val="center"/>
              <w:rPr>
                <w:rFonts w:ascii="Times New Roman" w:hAnsi="Times New Roman" w:cs="Times New Roman" w:eastAsia="Times New Roman" w:hint="default"/>
                <w:sz w:val="18"/>
                <w:szCs w:val="18"/>
              </w:rPr>
            </w:pPr>
            <w:r>
              <w:rPr>
                <w:rFonts w:ascii="Times New Roman"/>
                <w:sz w:val="18"/>
              </w:rPr>
              <w:t>6.14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10"/>
              <w:ind w:left="470"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1,362,</w:t>
            </w:r>
          </w:p>
          <w:p>
            <w:pPr>
              <w:pStyle w:val="TableParagraph"/>
              <w:spacing w:line="240" w:lineRule="auto" w:before="110"/>
              <w:ind w:left="129" w:right="0"/>
              <w:jc w:val="left"/>
              <w:rPr>
                <w:rFonts w:ascii="Times New Roman" w:hAnsi="Times New Roman" w:cs="Times New Roman" w:eastAsia="Times New Roman" w:hint="default"/>
                <w:sz w:val="18"/>
                <w:szCs w:val="18"/>
              </w:rPr>
            </w:pPr>
            <w:r>
              <w:rPr>
                <w:rFonts w:ascii="Times New Roman"/>
                <w:sz w:val="18"/>
              </w:rPr>
              <w:t>882.58</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10"/>
              <w:ind w:left="129" w:right="0"/>
              <w:jc w:val="left"/>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637,11</w:t>
            </w:r>
          </w:p>
          <w:p>
            <w:pPr>
              <w:pStyle w:val="TableParagraph"/>
              <w:spacing w:line="240" w:lineRule="auto" w:before="110"/>
              <w:ind w:left="201" w:right="0"/>
              <w:jc w:val="center"/>
              <w:rPr>
                <w:rFonts w:ascii="Times New Roman" w:hAnsi="Times New Roman" w:cs="Times New Roman" w:eastAsia="Times New Roman" w:hint="default"/>
                <w:sz w:val="18"/>
                <w:szCs w:val="18"/>
              </w:rPr>
            </w:pPr>
            <w:r>
              <w:rPr>
                <w:rFonts w:ascii="Times New Roman"/>
                <w:sz w:val="18"/>
              </w:rPr>
              <w:t>7.42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5" w:right="252"/>
              <w:jc w:val="both"/>
              <w:rPr>
                <w:rFonts w:ascii="宋体" w:hAnsi="宋体" w:cs="宋体" w:eastAsia="宋体" w:hint="default"/>
                <w:sz w:val="18"/>
                <w:szCs w:val="18"/>
              </w:rPr>
            </w:pPr>
            <w:r>
              <w:rPr>
                <w:rFonts w:ascii="宋体" w:hAnsi="宋体" w:cs="宋体" w:eastAsia="宋体" w:hint="default"/>
                <w:sz w:val="18"/>
                <w:szCs w:val="18"/>
              </w:rPr>
              <w:t>按股</w:t>
            </w:r>
            <w:r>
              <w:rPr>
                <w:rFonts w:ascii="宋体" w:hAnsi="宋体" w:cs="宋体" w:eastAsia="宋体" w:hint="default"/>
                <w:spacing w:val="-86"/>
                <w:sz w:val="18"/>
                <w:szCs w:val="18"/>
              </w:rPr>
              <w:t> </w:t>
            </w:r>
            <w:r>
              <w:rPr>
                <w:rFonts w:ascii="宋体" w:hAnsi="宋体" w:cs="宋体" w:eastAsia="宋体" w:hint="default"/>
                <w:sz w:val="18"/>
                <w:szCs w:val="18"/>
              </w:rPr>
              <w:t>权转</w:t>
            </w:r>
            <w:r>
              <w:rPr>
                <w:rFonts w:ascii="宋体" w:hAnsi="宋体" w:cs="宋体" w:eastAsia="宋体" w:hint="default"/>
                <w:spacing w:val="-86"/>
                <w:sz w:val="18"/>
                <w:szCs w:val="18"/>
              </w:rPr>
              <w:t> </w:t>
            </w:r>
            <w:r>
              <w:rPr>
                <w:rFonts w:ascii="宋体" w:hAnsi="宋体" w:cs="宋体" w:eastAsia="宋体" w:hint="default"/>
                <w:sz w:val="18"/>
                <w:szCs w:val="18"/>
              </w:rPr>
              <w:t>让价</w:t>
            </w:r>
            <w:r>
              <w:rPr>
                <w:rFonts w:ascii="宋体" w:hAnsi="宋体" w:cs="宋体" w:eastAsia="宋体" w:hint="default"/>
                <w:spacing w:val="-86"/>
                <w:sz w:val="18"/>
                <w:szCs w:val="18"/>
              </w:rPr>
              <w:t> </w:t>
            </w:r>
            <w:r>
              <w:rPr>
                <w:rFonts w:ascii="宋体" w:hAnsi="宋体" w:cs="宋体" w:eastAsia="宋体" w:hint="default"/>
                <w:sz w:val="18"/>
                <w:szCs w:val="18"/>
              </w:rPr>
              <w:t>款计</w:t>
            </w:r>
            <w:r>
              <w:rPr>
                <w:rFonts w:ascii="宋体" w:hAnsi="宋体" w:cs="宋体" w:eastAsia="宋体" w:hint="default"/>
                <w:spacing w:val="-86"/>
                <w:sz w:val="18"/>
                <w:szCs w:val="18"/>
              </w:rPr>
              <w:t> </w:t>
            </w:r>
            <w:r>
              <w:rPr>
                <w:rFonts w:ascii="宋体" w:hAnsi="宋体" w:cs="宋体" w:eastAsia="宋体" w:hint="default"/>
                <w:sz w:val="18"/>
                <w:szCs w:val="18"/>
              </w:rPr>
              <w:t>算得</w:t>
            </w:r>
            <w:r>
              <w:rPr>
                <w:rFonts w:ascii="宋体" w:hAnsi="宋体" w:cs="宋体" w:eastAsia="宋体" w:hint="default"/>
                <w:spacing w:val="-86"/>
                <w:sz w:val="18"/>
                <w:szCs w:val="18"/>
              </w:rPr>
              <w:t> </w:t>
            </w:r>
            <w:r>
              <w:rPr>
                <w:rFonts w:ascii="宋体" w:hAnsi="宋体" w:cs="宋体" w:eastAsia="宋体" w:hint="default"/>
                <w:sz w:val="18"/>
                <w:szCs w:val="18"/>
              </w:rPr>
              <w:t>出</w:t>
            </w:r>
          </w:p>
        </w:tc>
        <w:tc>
          <w:tcPr>
            <w:tcW w:w="739" w:type="dxa"/>
            <w:tcBorders>
              <w:top w:val="single" w:sz="4" w:space="0" w:color="000000"/>
              <w:left w:val="single" w:sz="4" w:space="0" w:color="000000"/>
              <w:bottom w:val="single" w:sz="4" w:space="0" w:color="000000"/>
              <w:right w:val="single" w:sz="4" w:space="0" w:color="000000"/>
            </w:tcBorders>
          </w:tcPr>
          <w:p>
            <w:pP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3"/>
          <w:szCs w:val="23"/>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是否存在通过多次交易分步处置对子公司投资且在本期丧失控制权的情形</w:t>
      </w:r>
    </w:p>
    <w:p>
      <w:pPr>
        <w:spacing w:before="119"/>
        <w:ind w:left="113" w:right="176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5、其他原因的合并范围变动" w:id="439"/>
      <w:bookmarkEnd w:id="439"/>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1"/>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说明其他原因导致的合并范围变动（如，新设子公司、清算子公司等）及其相关情况：</w:t>
      </w:r>
    </w:p>
    <w:p>
      <w:pPr>
        <w:spacing w:after="0"/>
        <w:jc w:val="left"/>
        <w:rPr>
          <w:rFonts w:ascii="宋体" w:hAnsi="宋体" w:cs="宋体" w:eastAsia="宋体" w:hint="default"/>
          <w:sz w:val="18"/>
          <w:szCs w:val="18"/>
        </w:rPr>
        <w:sectPr>
          <w:type w:val="continuous"/>
          <w:pgSz w:w="11910" w:h="16840"/>
          <w:pgMar w:top="1100" w:bottom="1220" w:left="1020" w:right="0"/>
        </w:sectPr>
      </w:pPr>
    </w:p>
    <w:p>
      <w:pPr>
        <w:spacing w:line="240" w:lineRule="auto" w:before="8"/>
        <w:rPr>
          <w:rFonts w:ascii="宋体" w:hAnsi="宋体" w:cs="宋体" w:eastAsia="宋体" w:hint="default"/>
          <w:sz w:val="21"/>
          <w:szCs w:val="21"/>
        </w:rPr>
      </w:pPr>
    </w:p>
    <w:p>
      <w:pPr>
        <w:pStyle w:val="BodyText"/>
        <w:spacing w:line="273" w:lineRule="auto" w:before="36"/>
        <w:ind w:right="1125" w:firstLine="422"/>
        <w:jc w:val="both"/>
      </w:pPr>
      <w:r>
        <w:rPr>
          <w:spacing w:val="-2"/>
        </w:rPr>
        <w:t>本期新设子公司北京迪科云起科技有限公司、新设孙公司合肥天源迪科职业培训学校有限公司、芜湖</w:t>
      </w:r>
      <w:r>
        <w:rPr>
          <w:w w:val="100"/>
        </w:rPr>
        <w:t> </w:t>
      </w:r>
      <w:r>
        <w:rPr>
          <w:spacing w:val="-2"/>
        </w:rPr>
        <w:t>迪科数金科技有限公司、香港维恩贝特。北京迪科云起科技有限公司、合肥天源迪科职业培训学校有限公</w:t>
      </w:r>
      <w:r>
        <w:rPr>
          <w:spacing w:val="-33"/>
        </w:rPr>
        <w:t> </w:t>
      </w:r>
      <w:r>
        <w:rPr>
          <w:spacing w:val="-33"/>
        </w:rPr>
      </w:r>
      <w:r>
        <w:rPr/>
        <w:t>司和芜湖迪科数金科技有限公司尚未开展业务。</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line="484" w:lineRule="auto" w:before="0"/>
        <w:ind w:left="113" w:right="8100" w:firstLine="0"/>
        <w:jc w:val="left"/>
        <w:rPr>
          <w:rFonts w:ascii="宋体" w:hAnsi="宋体" w:cs="宋体" w:eastAsia="宋体" w:hint="default"/>
          <w:sz w:val="21"/>
          <w:szCs w:val="21"/>
        </w:rPr>
      </w:pPr>
      <w:bookmarkStart w:name="6、其他" w:id="440"/>
      <w:bookmarkEnd w:id="440"/>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九、在其他主体中的权益" w:id="441"/>
      <w:bookmarkEnd w:id="441"/>
      <w:r>
        <w:rPr>
          <w:rFonts w:ascii="宋体" w:hAnsi="宋体" w:cs="宋体" w:eastAsia="宋体" w:hint="default"/>
          <w:b/>
          <w:bCs/>
          <w:w w:val="100"/>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442"/>
      <w:bookmarkEnd w:id="44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6"/>
        <w:ind w:right="1764"/>
        <w:jc w:val="left"/>
        <w:rPr>
          <w:b w:val="0"/>
          <w:bCs w:val="0"/>
        </w:rPr>
      </w:pPr>
      <w:bookmarkStart w:name="（1）企业集团的构成" w:id="443"/>
      <w:bookmarkEnd w:id="443"/>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398"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4"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上海天源迪科</w:t>
            </w:r>
          </w:p>
          <w:p>
            <w:pPr>
              <w:pStyle w:val="TableParagraph"/>
              <w:spacing w:line="240" w:lineRule="auto" w:before="7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合肥天源迪科</w:t>
            </w:r>
          </w:p>
          <w:p>
            <w:pPr>
              <w:pStyle w:val="TableParagraph"/>
              <w:spacing w:line="240" w:lineRule="auto" w:before="7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北京天源迪科</w:t>
            </w:r>
          </w:p>
          <w:p>
            <w:pPr>
              <w:pStyle w:val="TableParagraph"/>
              <w:spacing w:line="240" w:lineRule="auto" w:before="7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宋体" w:hAnsi="宋体" w:cs="宋体" w:eastAsia="宋体" w:hint="default"/>
                <w:sz w:val="18"/>
                <w:szCs w:val="18"/>
              </w:rPr>
            </w:pPr>
            <w:r>
              <w:rPr>
                <w:rFonts w:ascii="宋体" w:hAnsi="宋体" w:cs="宋体" w:eastAsia="宋体" w:hint="default"/>
                <w:spacing w:val="-4"/>
                <w:sz w:val="18"/>
                <w:szCs w:val="18"/>
              </w:rPr>
              <w:t>合肥英泽</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服务外包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88.00%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武汉天源迪科</w:t>
            </w:r>
          </w:p>
          <w:p>
            <w:pPr>
              <w:pStyle w:val="TableParagraph"/>
              <w:spacing w:line="240" w:lineRule="auto" w:before="7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广州天源迪科</w:t>
            </w:r>
          </w:p>
          <w:p>
            <w:pPr>
              <w:pStyle w:val="TableParagraph"/>
              <w:spacing w:line="240" w:lineRule="auto" w:before="7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9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宋体" w:hAnsi="宋体" w:cs="宋体" w:eastAsia="宋体" w:hint="default"/>
                <w:sz w:val="18"/>
                <w:szCs w:val="18"/>
              </w:rPr>
            </w:pPr>
            <w:r>
              <w:rPr>
                <w:rFonts w:ascii="宋体" w:hAnsi="宋体" w:cs="宋体" w:eastAsia="宋体" w:hint="default"/>
                <w:spacing w:val="-4"/>
                <w:sz w:val="18"/>
                <w:szCs w:val="18"/>
              </w:rPr>
              <w:t>广州易杰</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7</w:t>
            </w:r>
            <w:r>
              <w:rPr>
                <w:rFonts w:ascii="宋体" w:hAnsi="宋体" w:cs="宋体" w:eastAsia="宋体" w:hint="default"/>
                <w:spacing w:val="-4"/>
                <w:sz w:val="18"/>
                <w:szCs w:val="18"/>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电信增值业务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4"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right"/>
              <w:rPr>
                <w:rFonts w:ascii="宋体" w:hAnsi="宋体" w:cs="宋体" w:eastAsia="宋体" w:hint="default"/>
                <w:sz w:val="18"/>
                <w:szCs w:val="18"/>
              </w:rPr>
            </w:pPr>
            <w:r>
              <w:rPr>
                <w:rFonts w:ascii="宋体" w:hAnsi="宋体" w:cs="宋体" w:eastAsia="宋体" w:hint="default"/>
                <w:spacing w:val="-4"/>
                <w:sz w:val="18"/>
                <w:szCs w:val="18"/>
              </w:rPr>
              <w:t>广州易星</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8</w:t>
            </w:r>
            <w:r>
              <w:rPr>
                <w:rFonts w:ascii="宋体" w:hAnsi="宋体" w:cs="宋体" w:eastAsia="宋体" w:hint="default"/>
                <w:spacing w:val="-4"/>
                <w:sz w:val="18"/>
                <w:szCs w:val="18"/>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77.35%</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深圳金华威</w:t>
            </w:r>
            <w:r>
              <w:rPr>
                <w:rFonts w:ascii="Times New Roman" w:hAnsi="Times New Roman" w:cs="Times New Roman" w:eastAsia="Times New Roman" w:hint="default"/>
                <w:sz w:val="18"/>
                <w:szCs w:val="18"/>
              </w:rPr>
              <w:t>*</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华为设备代理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55.00%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广西驿途</w:t>
            </w:r>
            <w:r>
              <w:rPr>
                <w:rFonts w:ascii="Times New Roman" w:hAnsi="Times New Roman" w:cs="Times New Roman" w:eastAsia="Times New Roman" w:hint="default"/>
                <w:sz w:val="18"/>
                <w:szCs w:val="18"/>
              </w:rPr>
              <w:t>*</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电信增值业务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51.00%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深圳宝贝团</w:t>
            </w:r>
            <w:r>
              <w:rPr>
                <w:rFonts w:ascii="Times New Roman" w:hAnsi="Times New Roman" w:cs="Times New Roman" w:eastAsia="Times New Roman" w:hint="default"/>
                <w:sz w:val="18"/>
                <w:szCs w:val="18"/>
              </w:rPr>
              <w:t>*</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55.40%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合肥科技</w:t>
            </w:r>
            <w:r>
              <w:rPr>
                <w:rFonts w:ascii="Times New Roman" w:hAnsi="Times New Roman" w:cs="Times New Roman" w:eastAsia="Times New Roman" w:hint="default"/>
                <w:sz w:val="18"/>
                <w:szCs w:val="18"/>
              </w:rPr>
              <w:t>*</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租赁物业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安徽迪科数金</w:t>
            </w:r>
          </w:p>
          <w:p>
            <w:pPr>
              <w:pStyle w:val="TableParagraph"/>
              <w:spacing w:line="240" w:lineRule="auto" w:before="7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pacing w:val="-1"/>
                <w:sz w:val="18"/>
              </w:rPr>
              <w:t>84.00%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亳州迪科数金</w:t>
            </w:r>
          </w:p>
          <w:p>
            <w:pPr>
              <w:pStyle w:val="TableParagraph"/>
              <w:spacing w:line="240" w:lineRule="auto" w:before="7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14</w:t>
            </w:r>
            <w:r>
              <w:rPr>
                <w:rFonts w:ascii="宋体" w:hAnsi="宋体" w:cs="宋体" w:eastAsia="宋体" w:hint="default"/>
                <w:sz w:val="18"/>
                <w:szCs w:val="18"/>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亳州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亳州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40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合肥人才（</w:t>
            </w:r>
            <w:r>
              <w:rPr>
                <w:rFonts w:ascii="Times New Roman" w:hAnsi="Times New Roman" w:cs="Times New Roman" w:eastAsia="Times New Roman" w:hint="default"/>
                <w:spacing w:val="-4"/>
                <w:sz w:val="18"/>
                <w:szCs w:val="18"/>
              </w:rPr>
              <w:t>15</w:t>
            </w:r>
            <w:r>
              <w:rPr>
                <w:rFonts w:ascii="宋体" w:hAnsi="宋体" w:cs="宋体" w:eastAsia="宋体" w:hint="default"/>
                <w:spacing w:val="-4"/>
                <w:sz w:val="18"/>
                <w:szCs w:val="18"/>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0"/>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芜湖迪科数金</w:t>
            </w:r>
          </w:p>
          <w:p>
            <w:pPr>
              <w:pStyle w:val="TableParagraph"/>
              <w:spacing w:line="240" w:lineRule="auto" w:before="7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芜湖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芜湖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合肥职业学校</w:t>
            </w:r>
          </w:p>
          <w:p>
            <w:pPr>
              <w:pStyle w:val="TableParagraph"/>
              <w:spacing w:line="240" w:lineRule="auto" w:before="7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教育</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北京网络</w:t>
            </w:r>
            <w:r>
              <w:rPr>
                <w:rFonts w:ascii="Times New Roman" w:hAnsi="Times New Roman" w:cs="Times New Roman" w:eastAsia="Times New Roman" w:hint="default"/>
                <w:sz w:val="18"/>
                <w:szCs w:val="18"/>
              </w:rPr>
              <w:t>*</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技术服务开发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北京迪科云起</w:t>
            </w:r>
          </w:p>
          <w:p>
            <w:pPr>
              <w:pStyle w:val="TableParagraph"/>
              <w:spacing w:line="240" w:lineRule="auto" w:before="7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19</w:t>
            </w:r>
            <w:r>
              <w:rPr>
                <w:rFonts w:ascii="宋体" w:hAnsi="宋体" w:cs="宋体" w:eastAsia="宋体" w:hint="default"/>
                <w:sz w:val="18"/>
                <w:szCs w:val="18"/>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技术服务开发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70.00%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维恩贝特</w:t>
            </w:r>
            <w:r>
              <w:rPr>
                <w:rFonts w:ascii="Times New Roman" w:hAnsi="Times New Roman" w:cs="Times New Roman" w:eastAsia="Times New Roman" w:hint="default"/>
                <w:sz w:val="18"/>
                <w:szCs w:val="18"/>
              </w:rPr>
              <w:t>*</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技术服务开发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99.96%</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上海维恩孛特</w:t>
            </w:r>
          </w:p>
          <w:p>
            <w:pPr>
              <w:pStyle w:val="TableParagraph"/>
              <w:spacing w:line="240" w:lineRule="auto" w:before="7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21</w:t>
            </w:r>
            <w:r>
              <w:rPr>
                <w:rFonts w:ascii="宋体" w:hAnsi="宋体" w:cs="宋体" w:eastAsia="宋体" w:hint="default"/>
                <w:sz w:val="18"/>
                <w:szCs w:val="18"/>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技术服务开发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pacing w:val="-1"/>
                <w:sz w:val="18"/>
              </w:rPr>
              <w:t>51.00%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澳门维恩贝特</w:t>
            </w:r>
          </w:p>
          <w:p>
            <w:pPr>
              <w:pStyle w:val="TableParagraph"/>
              <w:spacing w:line="240" w:lineRule="auto" w:before="8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22</w:t>
            </w:r>
            <w:r>
              <w:rPr>
                <w:rFonts w:ascii="宋体" w:hAnsi="宋体" w:cs="宋体" w:eastAsia="宋体" w:hint="default"/>
                <w:sz w:val="18"/>
                <w:szCs w:val="18"/>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技术服务开发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pacing w:val="-1"/>
                <w:sz w:val="18"/>
              </w:rPr>
              <w:t>99.00%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香港维恩贝特</w:t>
            </w:r>
          </w:p>
          <w:p>
            <w:pPr>
              <w:pStyle w:val="TableParagraph"/>
              <w:spacing w:line="240" w:lineRule="auto" w:before="7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23</w:t>
            </w:r>
            <w:r>
              <w:rPr>
                <w:rFonts w:ascii="宋体" w:hAnsi="宋体" w:cs="宋体" w:eastAsia="宋体" w:hint="default"/>
                <w:sz w:val="18"/>
                <w:szCs w:val="18"/>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技术服务开发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before="54"/>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在子公司的持股比例不同于表决权比例的说明：</w:t>
      </w:r>
    </w:p>
    <w:p>
      <w:pPr>
        <w:pStyle w:val="BodyText"/>
        <w:spacing w:line="273" w:lineRule="auto" w:before="84"/>
        <w:ind w:right="1204" w:firstLine="422"/>
        <w:jc w:val="both"/>
      </w:pPr>
      <w:r>
        <w:rPr>
          <w:spacing w:val="-1"/>
        </w:rPr>
        <w:t>（</w:t>
      </w:r>
      <w:r>
        <w:rPr>
          <w:rFonts w:ascii="宋体" w:hAnsi="宋体" w:cs="宋体" w:eastAsia="宋体" w:hint="default"/>
          <w:spacing w:val="-1"/>
        </w:rPr>
        <w:t>1</w:t>
      </w:r>
      <w:r>
        <w:rPr>
          <w:spacing w:val="-1"/>
        </w:rPr>
        <w:t>）</w:t>
      </w:r>
      <w:r>
        <w:rPr>
          <w:rFonts w:ascii="宋体" w:hAnsi="宋体" w:cs="宋体" w:eastAsia="宋体" w:hint="default"/>
          <w:spacing w:val="-1"/>
        </w:rPr>
        <w:t>2010</w:t>
      </w:r>
      <w:r>
        <w:rPr>
          <w:spacing w:val="-1"/>
        </w:rPr>
        <w:t>年</w:t>
      </w:r>
      <w:r>
        <w:rPr>
          <w:rFonts w:ascii="宋体" w:hAnsi="宋体" w:cs="宋体" w:eastAsia="宋体" w:hint="default"/>
          <w:spacing w:val="-1"/>
        </w:rPr>
        <w:t>9</w:t>
      </w:r>
      <w:r>
        <w:rPr>
          <w:spacing w:val="-1"/>
        </w:rPr>
        <w:t>月，本公司通过收购上海天源迪科其他股东持有</w:t>
      </w:r>
      <w:r>
        <w:rPr>
          <w:rFonts w:ascii="宋体" w:hAnsi="宋体" w:cs="宋体" w:eastAsia="宋体" w:hint="default"/>
          <w:spacing w:val="-1"/>
        </w:rPr>
        <w:t>20%</w:t>
      </w:r>
      <w:r>
        <w:rPr>
          <w:spacing w:val="-1"/>
        </w:rPr>
        <w:t>股权后该公司成为本公司之全资子</w:t>
      </w:r>
      <w:r>
        <w:rPr>
          <w:w w:val="100"/>
        </w:rPr>
        <w:t> </w:t>
      </w:r>
      <w:r>
        <w:rPr>
          <w:spacing w:val="-1"/>
        </w:rPr>
        <w:t>公司；</w:t>
      </w:r>
      <w:r>
        <w:rPr>
          <w:rFonts w:ascii="宋体" w:hAnsi="宋体" w:cs="宋体" w:eastAsia="宋体" w:hint="default"/>
          <w:spacing w:val="-1"/>
        </w:rPr>
        <w:t>2011</w:t>
      </w:r>
      <w:r>
        <w:rPr>
          <w:spacing w:val="-1"/>
        </w:rPr>
        <w:t>年</w:t>
      </w:r>
      <w:r>
        <w:rPr>
          <w:rFonts w:ascii="宋体" w:hAnsi="宋体" w:cs="宋体" w:eastAsia="宋体" w:hint="default"/>
          <w:spacing w:val="-1"/>
        </w:rPr>
        <w:t>3</w:t>
      </w:r>
      <w:r>
        <w:rPr>
          <w:spacing w:val="-1"/>
        </w:rPr>
        <w:t>月，本公司对该公司增资</w:t>
      </w:r>
      <w:r>
        <w:rPr>
          <w:rFonts w:ascii="宋体" w:hAnsi="宋体" w:cs="宋体" w:eastAsia="宋体" w:hint="default"/>
          <w:spacing w:val="-1"/>
        </w:rPr>
        <w:t>1,200</w:t>
      </w:r>
      <w:r>
        <w:rPr>
          <w:spacing w:val="-1"/>
        </w:rPr>
        <w:t>万元，增资完成后该公司注册资本变更为</w:t>
      </w:r>
      <w:r>
        <w:rPr>
          <w:rFonts w:ascii="宋体" w:hAnsi="宋体" w:cs="宋体" w:eastAsia="宋体" w:hint="default"/>
          <w:spacing w:val="-1"/>
        </w:rPr>
        <w:t>2,400</w:t>
      </w:r>
      <w:r>
        <w:rPr>
          <w:spacing w:val="-1"/>
        </w:rPr>
        <w:t>万元，本公</w:t>
      </w:r>
      <w:r>
        <w:rPr>
          <w:spacing w:val="-51"/>
        </w:rPr>
        <w:t> </w:t>
      </w:r>
      <w:r>
        <w:rPr>
          <w:spacing w:val="-51"/>
        </w:rPr>
      </w:r>
      <w:r>
        <w:rPr>
          <w:spacing w:val="-1"/>
        </w:rPr>
        <w:t>司累计出资</w:t>
      </w:r>
      <w:r>
        <w:rPr>
          <w:rFonts w:ascii="宋体" w:hAnsi="宋体" w:cs="宋体" w:eastAsia="宋体" w:hint="default"/>
          <w:spacing w:val="-1"/>
        </w:rPr>
        <w:t>2,400</w:t>
      </w:r>
      <w:r>
        <w:rPr>
          <w:spacing w:val="-1"/>
        </w:rPr>
        <w:t>万元，占注册资本</w:t>
      </w:r>
      <w:r>
        <w:rPr>
          <w:rFonts w:ascii="宋体" w:hAnsi="宋体" w:cs="宋体" w:eastAsia="宋体" w:hint="default"/>
          <w:spacing w:val="-1"/>
        </w:rPr>
        <w:t>100%</w:t>
      </w:r>
      <w:r>
        <w:rPr>
          <w:spacing w:val="-1"/>
        </w:rPr>
        <w:t>。</w:t>
      </w:r>
      <w:r>
        <w:rPr>
          <w:rFonts w:ascii="宋体" w:hAnsi="宋体" w:cs="宋体" w:eastAsia="宋体" w:hint="default"/>
          <w:spacing w:val="-1"/>
        </w:rPr>
        <w:t>2017</w:t>
      </w:r>
      <w:r>
        <w:rPr>
          <w:spacing w:val="-1"/>
        </w:rPr>
        <w:t>年</w:t>
      </w:r>
      <w:r>
        <w:rPr>
          <w:rFonts w:ascii="宋体" w:hAnsi="宋体" w:cs="宋体" w:eastAsia="宋体" w:hint="default"/>
          <w:spacing w:val="-1"/>
        </w:rPr>
        <w:t>8</w:t>
      </w:r>
      <w:r>
        <w:rPr>
          <w:spacing w:val="-1"/>
        </w:rPr>
        <w:t>月，本公司对上海天源迪科增资</w:t>
      </w:r>
      <w:r>
        <w:rPr>
          <w:rFonts w:ascii="宋体" w:hAnsi="宋体" w:cs="宋体" w:eastAsia="宋体" w:hint="default"/>
          <w:spacing w:val="-1"/>
        </w:rPr>
        <w:t>2,600</w:t>
      </w:r>
      <w:r>
        <w:rPr>
          <w:spacing w:val="-1"/>
        </w:rPr>
        <w:t>万元，增资完成</w:t>
      </w:r>
      <w:r>
        <w:rPr>
          <w:spacing w:val="-50"/>
        </w:rPr>
        <w:t> </w:t>
      </w:r>
      <w:r>
        <w:rPr>
          <w:spacing w:val="-50"/>
        </w:rPr>
      </w:r>
      <w:r>
        <w:rPr/>
        <w:t>后该公司注册资本变更为</w:t>
      </w:r>
      <w:r>
        <w:rPr>
          <w:rFonts w:ascii="宋体" w:hAnsi="宋体" w:cs="宋体" w:eastAsia="宋体" w:hint="default"/>
        </w:rPr>
        <w:t>5,000</w:t>
      </w:r>
      <w:r>
        <w:rPr/>
        <w:t>万元，本公司累计出资</w:t>
      </w:r>
      <w:r>
        <w:rPr>
          <w:rFonts w:ascii="宋体" w:hAnsi="宋体" w:cs="宋体" w:eastAsia="宋体" w:hint="default"/>
        </w:rPr>
        <w:t>5,000</w:t>
      </w:r>
      <w:r>
        <w:rPr/>
        <w:t>万元，占注册资本</w:t>
      </w:r>
      <w:r>
        <w:rPr>
          <w:rFonts w:ascii="宋体" w:hAnsi="宋体" w:cs="宋体" w:eastAsia="宋体" w:hint="default"/>
        </w:rPr>
        <w:t>100%</w:t>
      </w:r>
      <w:r>
        <w:rPr/>
        <w:t>。</w:t>
      </w:r>
    </w:p>
    <w:p>
      <w:pPr>
        <w:pStyle w:val="BodyText"/>
        <w:spacing w:line="273" w:lineRule="auto" w:before="8"/>
        <w:ind w:right="1007" w:firstLine="422"/>
        <w:jc w:val="left"/>
      </w:pPr>
      <w:r>
        <w:rPr>
          <w:rFonts w:ascii="宋体" w:hAnsi="宋体" w:cs="宋体" w:eastAsia="宋体" w:hint="default"/>
        </w:rPr>
        <w:t>*</w:t>
      </w:r>
      <w:r>
        <w:rPr/>
        <w:t>（</w:t>
      </w:r>
      <w:r>
        <w:rPr>
          <w:rFonts w:ascii="宋体" w:hAnsi="宋体" w:cs="宋体" w:eastAsia="宋体" w:hint="default"/>
        </w:rPr>
        <w:t>2</w:t>
      </w:r>
      <w:r>
        <w:rPr/>
        <w:t>）合肥天源迪科于</w:t>
      </w:r>
      <w:r>
        <w:rPr>
          <w:rFonts w:ascii="宋体" w:hAnsi="宋体" w:cs="宋体" w:eastAsia="宋体" w:hint="default"/>
        </w:rPr>
        <w:t>2010</w:t>
      </w:r>
      <w:r>
        <w:rPr/>
        <w:t>年</w:t>
      </w:r>
      <w:r>
        <w:rPr>
          <w:rFonts w:ascii="宋体" w:hAnsi="宋体" w:cs="宋体" w:eastAsia="宋体" w:hint="default"/>
        </w:rPr>
        <w:t>11</w:t>
      </w:r>
      <w:r>
        <w:rPr/>
        <w:t>月成立，取得合肥市工商行政管理局颁发的统一信用代码为</w:t>
      </w:r>
      <w:r>
        <w:rPr>
          <w:w w:val="100"/>
        </w:rPr>
        <w:t> </w:t>
      </w:r>
      <w:r>
        <w:rPr>
          <w:rFonts w:ascii="宋体" w:hAnsi="宋体" w:cs="宋体" w:eastAsia="宋体" w:hint="default"/>
          <w:spacing w:val="-1"/>
        </w:rPr>
        <w:t>913401005649667670</w:t>
      </w:r>
      <w:r>
        <w:rPr>
          <w:spacing w:val="-1"/>
        </w:rPr>
        <w:t>企业法人营业执照，</w:t>
      </w:r>
      <w:r>
        <w:rPr>
          <w:rFonts w:ascii="宋体" w:hAnsi="宋体" w:cs="宋体" w:eastAsia="宋体" w:hint="default"/>
          <w:spacing w:val="-1"/>
        </w:rPr>
        <w:t>2015</w:t>
      </w:r>
      <w:r>
        <w:rPr>
          <w:spacing w:val="-1"/>
        </w:rPr>
        <w:t>年本公司对该公司增资</w:t>
      </w:r>
      <w:r>
        <w:rPr>
          <w:rFonts w:ascii="宋体" w:hAnsi="宋体" w:cs="宋体" w:eastAsia="宋体" w:hint="default"/>
          <w:spacing w:val="-1"/>
        </w:rPr>
        <w:t>8,550</w:t>
      </w:r>
      <w:r>
        <w:rPr>
          <w:spacing w:val="-1"/>
        </w:rPr>
        <w:t>万元，</w:t>
      </w:r>
      <w:r>
        <w:rPr>
          <w:rFonts w:ascii="宋体" w:hAnsi="宋体" w:cs="宋体" w:eastAsia="宋体" w:hint="default"/>
          <w:spacing w:val="-1"/>
        </w:rPr>
        <w:t>2016</w:t>
      </w:r>
      <w:r>
        <w:rPr>
          <w:spacing w:val="-1"/>
        </w:rPr>
        <w:t>年本公司对其增资</w:t>
      </w:r>
    </w:p>
    <w:p>
      <w:pPr>
        <w:pStyle w:val="BodyText"/>
        <w:spacing w:line="273" w:lineRule="auto"/>
        <w:ind w:right="1007"/>
        <w:jc w:val="left"/>
      </w:pPr>
      <w:r>
        <w:rPr>
          <w:rFonts w:ascii="宋体" w:hAnsi="宋体" w:cs="宋体" w:eastAsia="宋体" w:hint="default"/>
          <w:spacing w:val="-2"/>
        </w:rPr>
        <w:t>1,450</w:t>
      </w:r>
      <w:r>
        <w:rPr>
          <w:spacing w:val="-2"/>
        </w:rPr>
        <w:t>万元，增资完成后，该公司的注册资本变更为</w:t>
      </w:r>
      <w:r>
        <w:rPr>
          <w:rFonts w:ascii="宋体" w:hAnsi="宋体" w:cs="宋体" w:eastAsia="宋体" w:hint="default"/>
          <w:spacing w:val="-2"/>
        </w:rPr>
        <w:t>22,000</w:t>
      </w:r>
      <w:r>
        <w:rPr>
          <w:spacing w:val="-2"/>
        </w:rPr>
        <w:t>万元，本公司累计实际出资人民币</w:t>
      </w:r>
      <w:r>
        <w:rPr>
          <w:rFonts w:ascii="宋体" w:hAnsi="宋体" w:cs="宋体" w:eastAsia="宋体" w:hint="default"/>
          <w:spacing w:val="-2"/>
        </w:rPr>
        <w:t>22,000</w:t>
      </w:r>
      <w:r>
        <w:rPr>
          <w:spacing w:val="-2"/>
        </w:rPr>
        <w:t>万元，</w:t>
      </w:r>
      <w:r>
        <w:rPr>
          <w:spacing w:val="-13"/>
        </w:rPr>
        <w:t> </w:t>
      </w:r>
      <w:r>
        <w:rPr/>
        <w:t>占注册资本</w:t>
      </w:r>
      <w:r>
        <w:rPr>
          <w:rFonts w:ascii="宋体" w:hAnsi="宋体" w:cs="宋体" w:eastAsia="宋体" w:hint="default"/>
        </w:rPr>
        <w:t>100%</w:t>
      </w:r>
      <w:r>
        <w:rPr/>
        <w:t>。</w:t>
      </w:r>
    </w:p>
    <w:p>
      <w:pPr>
        <w:pStyle w:val="BodyText"/>
        <w:spacing w:line="266" w:lineRule="auto"/>
        <w:ind w:right="1206" w:firstLine="422"/>
        <w:jc w:val="both"/>
      </w:pPr>
      <w:r>
        <w:rPr>
          <w:rFonts w:ascii="宋体" w:hAnsi="宋体" w:cs="宋体" w:eastAsia="宋体" w:hint="default"/>
          <w:spacing w:val="-2"/>
        </w:rPr>
        <w:t>*</w:t>
      </w:r>
      <w:r>
        <w:rPr>
          <w:spacing w:val="-2"/>
        </w:rPr>
        <w:t>（</w:t>
      </w:r>
      <w:r>
        <w:rPr>
          <w:rFonts w:ascii="宋体" w:hAnsi="宋体" w:cs="宋体" w:eastAsia="宋体" w:hint="default"/>
          <w:spacing w:val="-2"/>
        </w:rPr>
        <w:t>3</w:t>
      </w:r>
      <w:r>
        <w:rPr>
          <w:spacing w:val="-2"/>
        </w:rPr>
        <w:t>）北京天源迪科于</w:t>
      </w:r>
      <w:r>
        <w:rPr>
          <w:rFonts w:ascii="宋体" w:hAnsi="宋体" w:cs="宋体" w:eastAsia="宋体" w:hint="default"/>
          <w:spacing w:val="-2"/>
        </w:rPr>
        <w:t>2011</w:t>
      </w:r>
      <w:r>
        <w:rPr>
          <w:spacing w:val="-2"/>
        </w:rPr>
        <w:t>年</w:t>
      </w:r>
      <w:r>
        <w:rPr>
          <w:rFonts w:ascii="宋体" w:hAnsi="宋体" w:cs="宋体" w:eastAsia="宋体" w:hint="default"/>
          <w:spacing w:val="-2"/>
        </w:rPr>
        <w:t>3</w:t>
      </w:r>
      <w:r>
        <w:rPr>
          <w:spacing w:val="-2"/>
        </w:rPr>
        <w:t>月成立，取得北京市工商行政管理局海淀分局颁发的统一信用代码为</w:t>
      </w:r>
      <w:r>
        <w:rPr>
          <w:w w:val="100"/>
        </w:rPr>
        <w:t> </w:t>
      </w:r>
      <w:r>
        <w:rPr>
          <w:rFonts w:ascii="宋体" w:hAnsi="宋体" w:cs="宋体" w:eastAsia="宋体" w:hint="default"/>
          <w:spacing w:val="-1"/>
        </w:rPr>
        <w:t>91110108571295930R</w:t>
      </w:r>
      <w:r>
        <w:rPr>
          <w:spacing w:val="-1"/>
        </w:rPr>
        <w:t>企业法人营业执照，注册资本人民币</w:t>
      </w:r>
      <w:r>
        <w:rPr>
          <w:rFonts w:ascii="宋体" w:hAnsi="宋体" w:cs="宋体" w:eastAsia="宋体" w:hint="default"/>
          <w:spacing w:val="-1"/>
        </w:rPr>
        <w:t>5</w:t>
      </w:r>
      <w:r>
        <w:rPr>
          <w:rFonts w:ascii="Times New Roman" w:hAnsi="Times New Roman" w:cs="Times New Roman" w:eastAsia="Times New Roman" w:hint="default"/>
          <w:spacing w:val="-1"/>
        </w:rPr>
        <w:t>,000</w:t>
      </w:r>
      <w:r>
        <w:rPr>
          <w:spacing w:val="-1"/>
        </w:rPr>
        <w:t>万元，本公司实际出资人民币</w:t>
      </w:r>
      <w:r>
        <w:rPr>
          <w:rFonts w:ascii="宋体" w:hAnsi="宋体" w:cs="宋体" w:eastAsia="宋体" w:hint="default"/>
          <w:spacing w:val="-1"/>
        </w:rPr>
        <w:t>2</w:t>
      </w:r>
      <w:r>
        <w:rPr>
          <w:rFonts w:ascii="Times New Roman" w:hAnsi="Times New Roman" w:cs="Times New Roman" w:eastAsia="Times New Roman" w:hint="default"/>
          <w:spacing w:val="-1"/>
        </w:rPr>
        <w:t>,000</w:t>
      </w:r>
      <w:r>
        <w:rPr>
          <w:spacing w:val="-1"/>
        </w:rPr>
        <w:t>万元，</w:t>
      </w:r>
      <w:r>
        <w:rPr>
          <w:spacing w:val="-44"/>
        </w:rPr>
        <w:t> </w:t>
      </w:r>
      <w:r>
        <w:rPr>
          <w:spacing w:val="-44"/>
        </w:rPr>
      </w:r>
      <w:r>
        <w:rPr/>
        <w:t>占注册资本</w:t>
      </w:r>
      <w:r>
        <w:rPr>
          <w:rFonts w:ascii="宋体" w:hAnsi="宋体" w:cs="宋体" w:eastAsia="宋体" w:hint="default"/>
        </w:rPr>
        <w:t>100%</w:t>
      </w:r>
      <w:r>
        <w:rPr/>
        <w:t>。</w:t>
      </w:r>
    </w:p>
    <w:p>
      <w:pPr>
        <w:pStyle w:val="BodyText"/>
        <w:spacing w:line="273" w:lineRule="auto" w:before="14"/>
        <w:ind w:right="1007" w:firstLine="422"/>
        <w:jc w:val="left"/>
      </w:pPr>
      <w:r>
        <w:rPr>
          <w:rFonts w:ascii="宋体" w:hAnsi="宋体" w:cs="宋体" w:eastAsia="宋体" w:hint="default"/>
        </w:rPr>
        <w:t>*</w:t>
      </w:r>
      <w:r>
        <w:rPr/>
        <w:t>（</w:t>
      </w:r>
      <w:r>
        <w:rPr>
          <w:rFonts w:ascii="宋体" w:hAnsi="宋体" w:cs="宋体" w:eastAsia="宋体" w:hint="default"/>
        </w:rPr>
        <w:t>4</w:t>
      </w:r>
      <w:r>
        <w:rPr/>
        <w:t>）合肥英泽于</w:t>
      </w:r>
      <w:r>
        <w:rPr>
          <w:rFonts w:ascii="宋体" w:hAnsi="宋体" w:cs="宋体" w:eastAsia="宋体" w:hint="default"/>
        </w:rPr>
        <w:t>2012</w:t>
      </w:r>
      <w:r>
        <w:rPr/>
        <w:t>年</w:t>
      </w:r>
      <w:r>
        <w:rPr>
          <w:rFonts w:ascii="宋体" w:hAnsi="宋体" w:cs="宋体" w:eastAsia="宋体" w:hint="default"/>
        </w:rPr>
        <w:t>11</w:t>
      </w:r>
      <w:r>
        <w:rPr/>
        <w:t>月成立，取得合肥市工商行政管理局颁发的统一信用代码为</w:t>
      </w:r>
      <w:r>
        <w:rPr>
          <w:w w:val="100"/>
        </w:rPr>
        <w:t> </w:t>
      </w:r>
      <w:r>
        <w:rPr>
          <w:rFonts w:ascii="宋体" w:hAnsi="宋体" w:cs="宋体" w:eastAsia="宋体" w:hint="default"/>
          <w:spacing w:val="-1"/>
        </w:rPr>
        <w:t>91340100057041807C</w:t>
      </w:r>
      <w:r>
        <w:rPr>
          <w:spacing w:val="-1"/>
        </w:rPr>
        <w:t>企业法人营业执照，注册资本人民币</w:t>
      </w:r>
      <w:r>
        <w:rPr>
          <w:rFonts w:ascii="宋体" w:hAnsi="宋体" w:cs="宋体" w:eastAsia="宋体" w:hint="default"/>
          <w:spacing w:val="-1"/>
        </w:rPr>
        <w:t>3,000</w:t>
      </w:r>
      <w:r>
        <w:rPr>
          <w:spacing w:val="-1"/>
        </w:rPr>
        <w:t>万元，本公司实际出资人民币</w:t>
      </w:r>
      <w:r>
        <w:rPr>
          <w:rFonts w:ascii="宋体" w:hAnsi="宋体" w:cs="宋体" w:eastAsia="宋体" w:hint="default"/>
          <w:spacing w:val="-1"/>
        </w:rPr>
        <w:t>2,400</w:t>
      </w:r>
      <w:r>
        <w:rPr>
          <w:spacing w:val="-1"/>
        </w:rPr>
        <w:t>万元，</w:t>
      </w:r>
      <w:r>
        <w:rPr>
          <w:spacing w:val="-43"/>
        </w:rPr>
        <w:t> </w:t>
      </w:r>
      <w:r>
        <w:rPr>
          <w:spacing w:val="-43"/>
        </w:rPr>
      </w:r>
      <w:r>
        <w:rPr/>
        <w:t>占注册资本</w:t>
      </w:r>
      <w:r>
        <w:rPr>
          <w:rFonts w:ascii="宋体" w:hAnsi="宋体" w:cs="宋体" w:eastAsia="宋体" w:hint="default"/>
        </w:rPr>
        <w:t>80%</w:t>
      </w:r>
      <w:r>
        <w:rPr/>
        <w:t>。</w:t>
      </w:r>
      <w:r>
        <w:rPr>
          <w:rFonts w:ascii="宋体" w:hAnsi="宋体" w:cs="宋体" w:eastAsia="宋体" w:hint="default"/>
        </w:rPr>
        <w:t>2017</w:t>
      </w:r>
      <w:r>
        <w:rPr/>
        <w:t>年，公司通过购买少数股东赵其峰股份，持股比例变为</w:t>
      </w:r>
      <w:r>
        <w:rPr>
          <w:rFonts w:ascii="宋体" w:hAnsi="宋体" w:cs="宋体" w:eastAsia="宋体" w:hint="default"/>
        </w:rPr>
        <w:t>88%</w:t>
      </w:r>
      <w:r>
        <w:rPr/>
        <w:t>。</w:t>
      </w:r>
    </w:p>
    <w:p>
      <w:pPr>
        <w:pStyle w:val="BodyText"/>
        <w:spacing w:line="273" w:lineRule="auto"/>
        <w:ind w:right="1007" w:firstLine="422"/>
        <w:jc w:val="left"/>
      </w:pPr>
      <w:r>
        <w:rPr>
          <w:rFonts w:ascii="宋体" w:hAnsi="宋体" w:cs="宋体" w:eastAsia="宋体" w:hint="default"/>
        </w:rPr>
        <w:t>*</w:t>
      </w:r>
      <w:r>
        <w:rPr/>
        <w:t>（</w:t>
      </w:r>
      <w:r>
        <w:rPr>
          <w:rFonts w:ascii="宋体" w:hAnsi="宋体" w:cs="宋体" w:eastAsia="宋体" w:hint="default"/>
        </w:rPr>
        <w:t>5</w:t>
      </w:r>
      <w:r>
        <w:rPr/>
        <w:t>）武汉天源迪科于</w:t>
      </w:r>
      <w:r>
        <w:rPr>
          <w:rFonts w:ascii="宋体" w:hAnsi="宋体" w:cs="宋体" w:eastAsia="宋体" w:hint="default"/>
        </w:rPr>
        <w:t>2013</w:t>
      </w:r>
      <w:r>
        <w:rPr/>
        <w:t>年</w:t>
      </w:r>
      <w:r>
        <w:rPr>
          <w:rFonts w:ascii="宋体" w:hAnsi="宋体" w:cs="宋体" w:eastAsia="宋体" w:hint="default"/>
        </w:rPr>
        <w:t>11</w:t>
      </w:r>
      <w:r>
        <w:rPr/>
        <w:t>月成立，取得武汉市工商行政管理局颁发的统一信用代码为</w:t>
      </w:r>
      <w:r>
        <w:rPr>
          <w:w w:val="100"/>
        </w:rPr>
        <w:t> </w:t>
      </w:r>
      <w:r>
        <w:rPr>
          <w:rFonts w:ascii="宋体" w:hAnsi="宋体" w:cs="宋体" w:eastAsia="宋体" w:hint="default"/>
          <w:spacing w:val="-2"/>
        </w:rPr>
        <w:t>91420100081954585H</w:t>
      </w:r>
      <w:r>
        <w:rPr>
          <w:spacing w:val="-2"/>
        </w:rPr>
        <w:t>企业法人营业执照，成立时注册资本人民币</w:t>
      </w:r>
      <w:r>
        <w:rPr>
          <w:rFonts w:ascii="宋体" w:hAnsi="宋体" w:cs="宋体" w:eastAsia="宋体" w:hint="default"/>
          <w:spacing w:val="-2"/>
        </w:rPr>
        <w:t>3,000</w:t>
      </w:r>
      <w:r>
        <w:rPr>
          <w:spacing w:val="-2"/>
        </w:rPr>
        <w:t>万元，实收资本</w:t>
      </w:r>
      <w:r>
        <w:rPr>
          <w:rFonts w:ascii="宋体" w:hAnsi="宋体" w:cs="宋体" w:eastAsia="宋体" w:hint="default"/>
          <w:spacing w:val="-2"/>
        </w:rPr>
        <w:t>3,000</w:t>
      </w:r>
      <w:r>
        <w:rPr>
          <w:spacing w:val="-2"/>
        </w:rPr>
        <w:t>万元。</w:t>
      </w:r>
      <w:r>
        <w:rPr>
          <w:rFonts w:ascii="宋体" w:hAnsi="宋体" w:cs="宋体" w:eastAsia="宋体" w:hint="default"/>
          <w:spacing w:val="-2"/>
        </w:rPr>
        <w:t>2017</w:t>
      </w:r>
      <w:r>
        <w:rPr>
          <w:spacing w:val="-2"/>
        </w:rPr>
        <w:t>年</w:t>
      </w:r>
      <w:r>
        <w:rPr/>
        <w:t> 本公司对其增资</w:t>
      </w:r>
      <w:r>
        <w:rPr>
          <w:rFonts w:ascii="宋体" w:hAnsi="宋体" w:cs="宋体" w:eastAsia="宋体" w:hint="default"/>
        </w:rPr>
        <w:t>7,000</w:t>
      </w:r>
      <w:r>
        <w:rPr/>
        <w:t>万元，增资完成后，本公司实际出资人民币</w:t>
      </w:r>
      <w:r>
        <w:rPr>
          <w:rFonts w:ascii="宋体" w:hAnsi="宋体" w:cs="宋体" w:eastAsia="宋体" w:hint="default"/>
        </w:rPr>
        <w:t>10,000</w:t>
      </w:r>
      <w:r>
        <w:rPr/>
        <w:t>万元，占注册资本</w:t>
      </w:r>
      <w:r>
        <w:rPr>
          <w:rFonts w:ascii="宋体" w:hAnsi="宋体" w:cs="宋体" w:eastAsia="宋体" w:hint="default"/>
        </w:rPr>
        <w:t>100%</w:t>
      </w:r>
      <w:r>
        <w:rPr/>
        <w:t>。</w:t>
      </w:r>
    </w:p>
    <w:p>
      <w:pPr>
        <w:pStyle w:val="BodyText"/>
        <w:spacing w:line="273" w:lineRule="auto"/>
        <w:ind w:right="1007" w:firstLine="422"/>
        <w:jc w:val="left"/>
      </w:pPr>
      <w:r>
        <w:rPr>
          <w:rFonts w:ascii="宋体" w:hAnsi="宋体" w:cs="宋体" w:eastAsia="宋体" w:hint="default"/>
        </w:rPr>
        <w:t>*</w:t>
      </w:r>
      <w:r>
        <w:rPr/>
        <w:t>（</w:t>
      </w:r>
      <w:r>
        <w:rPr>
          <w:rFonts w:ascii="宋体" w:hAnsi="宋体" w:cs="宋体" w:eastAsia="宋体" w:hint="default"/>
        </w:rPr>
        <w:t>6</w:t>
      </w:r>
      <w:r>
        <w:rPr/>
        <w:t>）广州天源迪科于</w:t>
      </w:r>
      <w:r>
        <w:rPr>
          <w:rFonts w:ascii="宋体" w:hAnsi="宋体" w:cs="宋体" w:eastAsia="宋体" w:hint="default"/>
        </w:rPr>
        <w:t>2014</w:t>
      </w:r>
      <w:r>
        <w:rPr/>
        <w:t>年</w:t>
      </w:r>
      <w:r>
        <w:rPr>
          <w:rFonts w:ascii="宋体" w:hAnsi="宋体" w:cs="宋体" w:eastAsia="宋体" w:hint="default"/>
        </w:rPr>
        <w:t>10</w:t>
      </w:r>
      <w:r>
        <w:rPr/>
        <w:t>月成立，取得广州市工商行政管理局颁发的统一信用代码为</w:t>
      </w:r>
      <w:r>
        <w:rPr>
          <w:w w:val="100"/>
        </w:rPr>
        <w:t> </w:t>
      </w:r>
      <w:r>
        <w:rPr>
          <w:rFonts w:ascii="宋体" w:hAnsi="宋体" w:cs="宋体" w:eastAsia="宋体" w:hint="default"/>
          <w:spacing w:val="-1"/>
        </w:rPr>
        <w:t>91440101320926507W</w:t>
      </w:r>
      <w:r>
        <w:rPr>
          <w:spacing w:val="-1"/>
        </w:rPr>
        <w:t>企业法人营业执照，注册资本</w:t>
      </w:r>
      <w:r>
        <w:rPr>
          <w:rFonts w:ascii="宋体" w:hAnsi="宋体" w:cs="宋体" w:eastAsia="宋体" w:hint="default"/>
          <w:spacing w:val="-1"/>
        </w:rPr>
        <w:t>1,000</w:t>
      </w:r>
      <w:r>
        <w:rPr>
          <w:spacing w:val="-1"/>
        </w:rPr>
        <w:t>万元，实收资本</w:t>
      </w:r>
      <w:r>
        <w:rPr>
          <w:rFonts w:ascii="宋体" w:hAnsi="宋体" w:cs="宋体" w:eastAsia="宋体" w:hint="default"/>
          <w:spacing w:val="-1"/>
        </w:rPr>
        <w:t>1,000</w:t>
      </w:r>
      <w:r>
        <w:rPr>
          <w:spacing w:val="-1"/>
        </w:rPr>
        <w:t>万元，本公司实际出资本</w:t>
      </w:r>
    </w:p>
    <w:p>
      <w:pPr>
        <w:pStyle w:val="BodyText"/>
        <w:spacing w:line="240" w:lineRule="auto"/>
        <w:ind w:right="1764"/>
        <w:jc w:val="left"/>
      </w:pPr>
      <w:r>
        <w:rPr>
          <w:rFonts w:ascii="宋体" w:hAnsi="宋体" w:cs="宋体" w:eastAsia="宋体" w:hint="default"/>
        </w:rPr>
        <w:t>1,000</w:t>
      </w:r>
      <w:r>
        <w:rPr/>
        <w:t>万元，占注册资本</w:t>
      </w:r>
      <w:r>
        <w:rPr>
          <w:rFonts w:ascii="宋体" w:hAnsi="宋体" w:cs="宋体" w:eastAsia="宋体" w:hint="default"/>
        </w:rPr>
        <w:t>100%</w:t>
      </w:r>
      <w:r>
        <w:rPr/>
        <w:t>。</w:t>
      </w:r>
    </w:p>
    <w:p>
      <w:pPr>
        <w:pStyle w:val="BodyText"/>
        <w:spacing w:line="273" w:lineRule="auto" w:before="37"/>
        <w:ind w:right="1007" w:firstLine="422"/>
        <w:jc w:val="left"/>
      </w:pPr>
      <w:r>
        <w:rPr>
          <w:rFonts w:ascii="宋体" w:hAnsi="宋体" w:cs="宋体" w:eastAsia="宋体" w:hint="default"/>
          <w:spacing w:val="-2"/>
        </w:rPr>
        <w:t>*</w:t>
      </w:r>
      <w:r>
        <w:rPr>
          <w:spacing w:val="-2"/>
        </w:rPr>
        <w:t>（</w:t>
      </w:r>
      <w:r>
        <w:rPr>
          <w:rFonts w:ascii="宋体" w:hAnsi="宋体" w:cs="宋体" w:eastAsia="宋体" w:hint="default"/>
          <w:spacing w:val="-2"/>
        </w:rPr>
        <w:t>7</w:t>
      </w:r>
      <w:r>
        <w:rPr>
          <w:spacing w:val="-2"/>
        </w:rPr>
        <w:t>）广州易杰：</w:t>
      </w:r>
      <w:r>
        <w:rPr>
          <w:rFonts w:ascii="宋体" w:hAnsi="宋体" w:cs="宋体" w:eastAsia="宋体" w:hint="default"/>
          <w:spacing w:val="-2"/>
        </w:rPr>
        <w:t>2012</w:t>
      </w:r>
      <w:r>
        <w:rPr>
          <w:spacing w:val="-2"/>
        </w:rPr>
        <w:t>年</w:t>
      </w:r>
      <w:r>
        <w:rPr>
          <w:rFonts w:ascii="宋体" w:hAnsi="宋体" w:cs="宋体" w:eastAsia="宋体" w:hint="default"/>
          <w:spacing w:val="-2"/>
        </w:rPr>
        <w:t>4</w:t>
      </w:r>
      <w:r>
        <w:rPr>
          <w:spacing w:val="-2"/>
        </w:rPr>
        <w:t>月，本公司受让原股东毛琼持有的广州易杰</w:t>
      </w:r>
      <w:r>
        <w:rPr>
          <w:rFonts w:ascii="宋体" w:hAnsi="宋体" w:cs="宋体" w:eastAsia="宋体" w:hint="default"/>
          <w:spacing w:val="-2"/>
        </w:rPr>
        <w:t>30%</w:t>
      </w:r>
      <w:r>
        <w:rPr>
          <w:spacing w:val="-2"/>
        </w:rPr>
        <w:t>股权，本次受让完成后本公</w:t>
      </w:r>
      <w:r>
        <w:rPr>
          <w:w w:val="100"/>
        </w:rPr>
        <w:t> </w:t>
      </w:r>
      <w:r>
        <w:rPr/>
        <w:t>司持有广州易杰</w:t>
      </w:r>
      <w:r>
        <w:rPr>
          <w:rFonts w:ascii="宋体" w:hAnsi="宋体" w:cs="宋体" w:eastAsia="宋体" w:hint="default"/>
        </w:rPr>
        <w:t>100%</w:t>
      </w:r>
      <w:r>
        <w:rPr/>
        <w:t>的股权。</w:t>
      </w:r>
    </w:p>
    <w:p>
      <w:pPr>
        <w:pStyle w:val="BodyText"/>
        <w:spacing w:line="240" w:lineRule="auto"/>
        <w:ind w:left="535" w:right="1007"/>
        <w:jc w:val="left"/>
      </w:pPr>
      <w:r>
        <w:rPr>
          <w:rFonts w:ascii="宋体" w:hAnsi="宋体" w:cs="宋体" w:eastAsia="宋体" w:hint="default"/>
        </w:rPr>
        <w:t>*</w:t>
      </w:r>
      <w:r>
        <w:rPr/>
        <w:t>（</w:t>
      </w:r>
      <w:r>
        <w:rPr>
          <w:rFonts w:ascii="宋体" w:hAnsi="宋体" w:cs="宋体" w:eastAsia="宋体" w:hint="default"/>
        </w:rPr>
        <w:t>8</w:t>
      </w:r>
      <w:r>
        <w:rPr/>
        <w:t>）广州易星：</w:t>
      </w:r>
      <w:r>
        <w:rPr>
          <w:rFonts w:ascii="宋体" w:hAnsi="宋体" w:cs="宋体" w:eastAsia="宋体" w:hint="default"/>
        </w:rPr>
        <w:t>2012</w:t>
      </w:r>
      <w:r>
        <w:rPr/>
        <w:t>年</w:t>
      </w:r>
      <w:r>
        <w:rPr>
          <w:rFonts w:ascii="宋体" w:hAnsi="宋体" w:cs="宋体" w:eastAsia="宋体" w:hint="default"/>
        </w:rPr>
        <w:t>5</w:t>
      </w:r>
      <w:r>
        <w:rPr/>
        <w:t>月，本公司受让陶小敏等四位股东共计持有的广州易星</w:t>
      </w:r>
      <w:r>
        <w:rPr>
          <w:rFonts w:ascii="宋体" w:hAnsi="宋体" w:cs="宋体" w:eastAsia="宋体" w:hint="default"/>
        </w:rPr>
        <w:t>6.70%</w:t>
      </w:r>
      <w:r>
        <w:rPr/>
        <w:t>股权，受让股</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73" w:lineRule="auto" w:before="36"/>
        <w:ind w:right="1007"/>
        <w:jc w:val="left"/>
      </w:pPr>
      <w:r>
        <w:rPr/>
        <w:t>权及增资完成后，本公司合计持有广州易星</w:t>
      </w:r>
      <w:r>
        <w:rPr>
          <w:rFonts w:ascii="宋体" w:hAnsi="宋体" w:cs="宋体" w:eastAsia="宋体" w:hint="default"/>
        </w:rPr>
        <w:t>57.70%</w:t>
      </w:r>
      <w:r>
        <w:rPr/>
        <w:t>的股权。</w:t>
      </w:r>
      <w:r>
        <w:rPr>
          <w:rFonts w:ascii="宋体" w:hAnsi="宋体" w:cs="宋体" w:eastAsia="宋体" w:hint="default"/>
        </w:rPr>
        <w:t>2013</w:t>
      </w:r>
      <w:r>
        <w:rPr/>
        <w:t>年</w:t>
      </w:r>
      <w:r>
        <w:rPr>
          <w:rFonts w:ascii="宋体" w:hAnsi="宋体" w:cs="宋体" w:eastAsia="宋体" w:hint="default"/>
        </w:rPr>
        <w:t>7</w:t>
      </w:r>
      <w:r>
        <w:rPr/>
        <w:t>月，本公司受让上述陶小敏等四位股</w:t>
      </w:r>
      <w:r>
        <w:rPr>
          <w:w w:val="100"/>
        </w:rPr>
        <w:t> </w:t>
      </w:r>
      <w:r>
        <w:rPr/>
        <w:t>东共持有的广州易星</w:t>
      </w:r>
      <w:r>
        <w:rPr>
          <w:rFonts w:ascii="宋体" w:hAnsi="宋体" w:cs="宋体" w:eastAsia="宋体" w:hint="default"/>
        </w:rPr>
        <w:t>9%</w:t>
      </w:r>
      <w:r>
        <w:rPr/>
        <w:t>股权，本公司合计持有广州易星</w:t>
      </w:r>
      <w:r>
        <w:rPr>
          <w:rFonts w:ascii="宋体" w:hAnsi="宋体" w:cs="宋体" w:eastAsia="宋体" w:hint="default"/>
        </w:rPr>
        <w:t>66.7%</w:t>
      </w:r>
      <w:r>
        <w:rPr/>
        <w:t>的股权。</w:t>
      </w:r>
      <w:r>
        <w:rPr>
          <w:rFonts w:ascii="宋体" w:hAnsi="宋体" w:cs="宋体" w:eastAsia="宋体" w:hint="default"/>
        </w:rPr>
        <w:t>2015</w:t>
      </w:r>
      <w:r>
        <w:rPr/>
        <w:t>年</w:t>
      </w:r>
      <w:r>
        <w:rPr>
          <w:rFonts w:ascii="宋体" w:hAnsi="宋体" w:cs="宋体" w:eastAsia="宋体" w:hint="default"/>
        </w:rPr>
        <w:t>7</w:t>
      </w:r>
      <w:r>
        <w:rPr/>
        <w:t>月，本公司受让赵欣、周朝</w:t>
      </w:r>
      <w:r>
        <w:rPr>
          <w:w w:val="100"/>
        </w:rPr>
        <w:t> </w:t>
      </w:r>
      <w:r>
        <w:rPr/>
        <w:t>华两位股东共持有的</w:t>
      </w:r>
      <w:r>
        <w:rPr>
          <w:rFonts w:ascii="宋体" w:hAnsi="宋体" w:cs="宋体" w:eastAsia="宋体" w:hint="default"/>
        </w:rPr>
        <w:t>10.65%</w:t>
      </w:r>
      <w:r>
        <w:rPr/>
        <w:t>的股权，股权转让完成后，本公司合计持有广州易星</w:t>
      </w:r>
      <w:r>
        <w:rPr>
          <w:rFonts w:ascii="宋体" w:hAnsi="宋体" w:cs="宋体" w:eastAsia="宋体" w:hint="default"/>
        </w:rPr>
        <w:t>77.35%</w:t>
      </w:r>
      <w:r>
        <w:rPr/>
        <w:t>的股权。</w:t>
      </w:r>
      <w:r>
        <w:rPr>
          <w:rFonts w:ascii="宋体" w:hAnsi="宋体" w:cs="宋体" w:eastAsia="宋体" w:hint="default"/>
        </w:rPr>
        <w:t>2017</w:t>
      </w:r>
      <w:r>
        <w:rPr/>
        <w:t>年，</w:t>
      </w:r>
      <w:r>
        <w:rPr>
          <w:spacing w:val="-103"/>
        </w:rPr>
        <w:t> </w:t>
      </w:r>
      <w:r>
        <w:rPr>
          <w:spacing w:val="-7"/>
        </w:rPr>
        <w:t>公司转让</w:t>
      </w:r>
      <w:r>
        <w:rPr>
          <w:rFonts w:ascii="宋体" w:hAnsi="宋体" w:cs="宋体" w:eastAsia="宋体" w:hint="default"/>
          <w:spacing w:val="-7"/>
        </w:rPr>
        <w:t>4%</w:t>
      </w:r>
      <w:r>
        <w:rPr>
          <w:spacing w:val="-7"/>
        </w:rPr>
        <w:t>股份，持股比例变为</w:t>
      </w:r>
      <w:r>
        <w:rPr>
          <w:rFonts w:ascii="宋体" w:hAnsi="宋体" w:cs="宋体" w:eastAsia="宋体" w:hint="default"/>
          <w:spacing w:val="-7"/>
        </w:rPr>
        <w:t>73.35%</w:t>
      </w:r>
      <w:r>
        <w:rPr>
          <w:spacing w:val="-7"/>
        </w:rPr>
        <w:t>。</w:t>
      </w:r>
      <w:r>
        <w:rPr>
          <w:rFonts w:ascii="宋体" w:hAnsi="宋体" w:cs="宋体" w:eastAsia="宋体" w:hint="default"/>
          <w:spacing w:val="-7"/>
        </w:rPr>
        <w:t>2019</w:t>
      </w:r>
      <w:r>
        <w:rPr>
          <w:spacing w:val="-7"/>
        </w:rPr>
        <w:t>年，公司受让杨爱国、王会洪计</w:t>
      </w:r>
      <w:r>
        <w:rPr>
          <w:rFonts w:ascii="宋体" w:hAnsi="宋体" w:cs="宋体" w:eastAsia="宋体" w:hint="default"/>
          <w:spacing w:val="-7"/>
        </w:rPr>
        <w:t>4%</w:t>
      </w:r>
      <w:r>
        <w:rPr>
          <w:spacing w:val="-7"/>
        </w:rPr>
        <w:t>股权，持股比例变为</w:t>
      </w:r>
      <w:r>
        <w:rPr>
          <w:rFonts w:ascii="宋体" w:hAnsi="宋体" w:cs="宋体" w:eastAsia="宋体" w:hint="default"/>
          <w:spacing w:val="-7"/>
        </w:rPr>
        <w:t>77.35%</w:t>
      </w:r>
      <w:r>
        <w:rPr>
          <w:spacing w:val="-7"/>
        </w:rPr>
        <w:t>。</w:t>
      </w:r>
    </w:p>
    <w:p>
      <w:pPr>
        <w:pStyle w:val="BodyText"/>
        <w:spacing w:line="273" w:lineRule="auto"/>
        <w:ind w:right="1007" w:firstLine="422"/>
        <w:jc w:val="left"/>
      </w:pPr>
      <w:r>
        <w:rPr>
          <w:rFonts w:ascii="宋体" w:hAnsi="宋体" w:cs="宋体" w:eastAsia="宋体" w:hint="default"/>
          <w:spacing w:val="-4"/>
        </w:rPr>
        <w:t>*</w:t>
      </w:r>
      <w:r>
        <w:rPr>
          <w:spacing w:val="-4"/>
        </w:rPr>
        <w:t>（</w:t>
      </w:r>
      <w:r>
        <w:rPr>
          <w:rFonts w:ascii="宋体" w:hAnsi="宋体" w:cs="宋体" w:eastAsia="宋体" w:hint="default"/>
          <w:spacing w:val="-4"/>
        </w:rPr>
        <w:t>9</w:t>
      </w:r>
      <w:r>
        <w:rPr>
          <w:spacing w:val="-4"/>
        </w:rPr>
        <w:t>）深圳金华威：</w:t>
      </w:r>
      <w:r>
        <w:rPr>
          <w:rFonts w:ascii="宋体" w:hAnsi="宋体" w:cs="宋体" w:eastAsia="宋体" w:hint="default"/>
          <w:spacing w:val="-4"/>
        </w:rPr>
        <w:t>2011</w:t>
      </w:r>
      <w:r>
        <w:rPr>
          <w:spacing w:val="-4"/>
        </w:rPr>
        <w:t>年</w:t>
      </w:r>
      <w:r>
        <w:rPr>
          <w:rFonts w:ascii="宋体" w:hAnsi="宋体" w:cs="宋体" w:eastAsia="宋体" w:hint="default"/>
          <w:spacing w:val="-4"/>
        </w:rPr>
        <w:t>8</w:t>
      </w:r>
      <w:r>
        <w:rPr>
          <w:spacing w:val="-4"/>
        </w:rPr>
        <w:t>月，本公司受让深圳齐普生信息科技有限公司持有的深圳金华威</w:t>
      </w:r>
      <w:r>
        <w:rPr>
          <w:rFonts w:ascii="宋体" w:hAnsi="宋体" w:cs="宋体" w:eastAsia="宋体" w:hint="default"/>
          <w:spacing w:val="-4"/>
        </w:rPr>
        <w:t>45%</w:t>
      </w:r>
      <w:r>
        <w:rPr>
          <w:spacing w:val="-4"/>
        </w:rPr>
        <w:t>股权；</w:t>
      </w:r>
      <w:r>
        <w:rPr>
          <w:w w:val="100"/>
        </w:rPr>
        <w:t> </w:t>
      </w:r>
      <w:r>
        <w:rPr>
          <w:rFonts w:ascii="宋体" w:hAnsi="宋体" w:cs="宋体" w:eastAsia="宋体" w:hint="default"/>
        </w:rPr>
        <w:t>2012</w:t>
      </w:r>
      <w:r>
        <w:rPr/>
        <w:t>年</w:t>
      </w:r>
      <w:r>
        <w:rPr>
          <w:rFonts w:ascii="宋体" w:hAnsi="宋体" w:cs="宋体" w:eastAsia="宋体" w:hint="default"/>
        </w:rPr>
        <w:t>3</w:t>
      </w:r>
      <w:r>
        <w:rPr/>
        <w:t>月，本公司受让王磊持有的深圳金华威公司</w:t>
      </w:r>
      <w:r>
        <w:rPr>
          <w:rFonts w:ascii="宋体" w:hAnsi="宋体" w:cs="宋体" w:eastAsia="宋体" w:hint="default"/>
        </w:rPr>
        <w:t>10%</w:t>
      </w:r>
      <w:r>
        <w:rPr/>
        <w:t>股权，本次受让完成后合计持有深圳金华威</w:t>
      </w:r>
      <w:r>
        <w:rPr>
          <w:rFonts w:ascii="宋体" w:hAnsi="宋体" w:cs="宋体" w:eastAsia="宋体" w:hint="default"/>
        </w:rPr>
        <w:t>55%</w:t>
      </w:r>
      <w:r>
        <w:rPr/>
        <w:t>的</w:t>
      </w:r>
      <w:r>
        <w:rPr>
          <w:spacing w:val="-103"/>
        </w:rPr>
        <w:t> </w:t>
      </w:r>
      <w:r>
        <w:rPr/>
        <w:t>股权，并取得实际控制。</w:t>
      </w:r>
      <w:r>
        <w:rPr>
          <w:rFonts w:ascii="宋体" w:hAnsi="宋体" w:cs="宋体" w:eastAsia="宋体" w:hint="default"/>
        </w:rPr>
        <w:t>2013</w:t>
      </w:r>
      <w:r>
        <w:rPr/>
        <w:t>年</w:t>
      </w:r>
      <w:r>
        <w:rPr>
          <w:rFonts w:ascii="宋体" w:hAnsi="宋体" w:cs="宋体" w:eastAsia="宋体" w:hint="default"/>
        </w:rPr>
        <w:t>1</w:t>
      </w:r>
      <w:r>
        <w:rPr/>
        <w:t>月，深圳金华威申请增加注册资本人民币</w:t>
      </w:r>
      <w:r>
        <w:rPr>
          <w:rFonts w:ascii="宋体" w:hAnsi="宋体" w:cs="宋体" w:eastAsia="宋体" w:hint="default"/>
        </w:rPr>
        <w:t>3,000</w:t>
      </w:r>
      <w:r>
        <w:rPr/>
        <w:t>万元，由股东分期缴足，</w:t>
      </w:r>
      <w:r>
        <w:rPr>
          <w:spacing w:val="-103"/>
        </w:rPr>
        <w:t> </w:t>
      </w:r>
      <w:r>
        <w:rPr>
          <w:spacing w:val="-103"/>
        </w:rPr>
      </w:r>
      <w:r>
        <w:rPr/>
        <w:t>注册资本变更为</w:t>
      </w:r>
      <w:r>
        <w:rPr>
          <w:rFonts w:ascii="宋体" w:hAnsi="宋体" w:cs="宋体" w:eastAsia="宋体" w:hint="default"/>
        </w:rPr>
        <w:t>5,000</w:t>
      </w:r>
      <w:r>
        <w:rPr/>
        <w:t>万元。</w:t>
      </w:r>
      <w:r>
        <w:rPr>
          <w:rFonts w:ascii="宋体" w:hAnsi="宋体" w:cs="宋体" w:eastAsia="宋体" w:hint="default"/>
        </w:rPr>
        <w:t>2018</w:t>
      </w:r>
      <w:r>
        <w:rPr/>
        <w:t>年，深圳金华威增加注册资本</w:t>
      </w:r>
      <w:r>
        <w:rPr>
          <w:rFonts w:ascii="宋体" w:hAnsi="宋体" w:cs="宋体" w:eastAsia="宋体" w:hint="default"/>
        </w:rPr>
        <w:t>7,000</w:t>
      </w:r>
      <w:r>
        <w:rPr/>
        <w:t>万元，由股东按持股比例缴纳，增资</w:t>
      </w:r>
      <w:r>
        <w:rPr>
          <w:w w:val="100"/>
        </w:rPr>
        <w:t> </w:t>
      </w:r>
      <w:r>
        <w:rPr/>
        <w:t>完成后，注册资本变为</w:t>
      </w:r>
      <w:r>
        <w:rPr>
          <w:rFonts w:ascii="宋体" w:hAnsi="宋体" w:cs="宋体" w:eastAsia="宋体" w:hint="default"/>
        </w:rPr>
        <w:t>12,000</w:t>
      </w:r>
      <w:r>
        <w:rPr/>
        <w:t>万元。截止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日，深圳金华威实收资本为</w:t>
      </w:r>
      <w:r>
        <w:rPr>
          <w:rFonts w:ascii="宋体" w:hAnsi="宋体" w:cs="宋体" w:eastAsia="宋体" w:hint="default"/>
        </w:rPr>
        <w:t>12,000</w:t>
      </w:r>
      <w:r>
        <w:rPr/>
        <w:t>万元，本公司累</w:t>
      </w:r>
      <w:r>
        <w:rPr>
          <w:w w:val="100"/>
        </w:rPr>
        <w:t> </w:t>
      </w:r>
      <w:r>
        <w:rPr/>
        <w:t>计出资</w:t>
      </w:r>
      <w:r>
        <w:rPr>
          <w:rFonts w:ascii="宋体" w:hAnsi="宋体" w:cs="宋体" w:eastAsia="宋体" w:hint="default"/>
        </w:rPr>
        <w:t>6,600</w:t>
      </w:r>
      <w:r>
        <w:rPr/>
        <w:t>万元，占注册资本</w:t>
      </w:r>
      <w:r>
        <w:rPr>
          <w:rFonts w:ascii="宋体" w:hAnsi="宋体" w:cs="宋体" w:eastAsia="宋体" w:hint="default"/>
        </w:rPr>
        <w:t>55%</w:t>
      </w:r>
      <w:r>
        <w:rPr/>
        <w:t>。</w:t>
      </w:r>
    </w:p>
    <w:p>
      <w:pPr>
        <w:pStyle w:val="BodyText"/>
        <w:spacing w:line="273" w:lineRule="auto"/>
        <w:ind w:right="1007" w:firstLine="422"/>
        <w:jc w:val="left"/>
      </w:pPr>
      <w:r>
        <w:rPr>
          <w:rFonts w:ascii="宋体" w:hAnsi="宋体" w:cs="宋体" w:eastAsia="宋体" w:hint="default"/>
          <w:spacing w:val="-1"/>
        </w:rPr>
        <w:t>*</w:t>
      </w:r>
      <w:r>
        <w:rPr>
          <w:spacing w:val="-1"/>
        </w:rPr>
        <w:t>（</w:t>
      </w:r>
      <w:r>
        <w:rPr>
          <w:rFonts w:ascii="宋体" w:hAnsi="宋体" w:cs="宋体" w:eastAsia="宋体" w:hint="default"/>
          <w:spacing w:val="-1"/>
        </w:rPr>
        <w:t>10</w:t>
      </w:r>
      <w:r>
        <w:rPr>
          <w:spacing w:val="-1"/>
        </w:rPr>
        <w:t>）广西驿途：</w:t>
      </w:r>
      <w:r>
        <w:rPr>
          <w:rFonts w:ascii="宋体" w:hAnsi="宋体" w:cs="宋体" w:eastAsia="宋体" w:hint="default"/>
          <w:spacing w:val="-1"/>
        </w:rPr>
        <w:t>2012</w:t>
      </w:r>
      <w:r>
        <w:rPr>
          <w:spacing w:val="-1"/>
        </w:rPr>
        <w:t>年</w:t>
      </w:r>
      <w:r>
        <w:rPr>
          <w:rFonts w:ascii="宋体" w:hAnsi="宋体" w:cs="宋体" w:eastAsia="宋体" w:hint="default"/>
          <w:spacing w:val="-1"/>
        </w:rPr>
        <w:t>10</w:t>
      </w:r>
      <w:r>
        <w:rPr>
          <w:spacing w:val="-1"/>
        </w:rPr>
        <w:t>月，本公司受让覃杰持有的广西驿途</w:t>
      </w:r>
      <w:r>
        <w:rPr>
          <w:rFonts w:ascii="宋体" w:hAnsi="宋体" w:cs="宋体" w:eastAsia="宋体" w:hint="default"/>
          <w:spacing w:val="-1"/>
        </w:rPr>
        <w:t>45.02%</w:t>
      </w:r>
      <w:r>
        <w:rPr>
          <w:spacing w:val="-1"/>
        </w:rPr>
        <w:t>股权，并同时向广西驿途增</w:t>
      </w:r>
      <w:r>
        <w:rPr>
          <w:w w:val="100"/>
        </w:rPr>
        <w:t> </w:t>
      </w:r>
      <w:r>
        <w:rPr/>
        <w:t>资</w:t>
      </w:r>
      <w:r>
        <w:rPr>
          <w:rFonts w:ascii="宋体" w:hAnsi="宋体" w:cs="宋体" w:eastAsia="宋体" w:hint="default"/>
        </w:rPr>
        <w:t>61</w:t>
      </w:r>
      <w:r>
        <w:rPr/>
        <w:t>万元，受让股权及增资完成后，本公司合计持有广西驿途</w:t>
      </w:r>
      <w:r>
        <w:rPr>
          <w:rFonts w:ascii="宋体" w:hAnsi="宋体" w:cs="宋体" w:eastAsia="宋体" w:hint="default"/>
        </w:rPr>
        <w:t>51%</w:t>
      </w:r>
      <w:r>
        <w:rPr/>
        <w:t>的股权。</w:t>
      </w:r>
    </w:p>
    <w:p>
      <w:pPr>
        <w:pStyle w:val="BodyText"/>
        <w:spacing w:line="273" w:lineRule="auto"/>
        <w:ind w:right="1007" w:firstLine="422"/>
        <w:jc w:val="left"/>
      </w:pPr>
      <w:r>
        <w:rPr>
          <w:rFonts w:ascii="宋体" w:hAnsi="宋体" w:cs="宋体" w:eastAsia="宋体" w:hint="default"/>
        </w:rPr>
        <w:t>*</w:t>
      </w:r>
      <w:r>
        <w:rPr/>
        <w:t>（</w:t>
      </w:r>
      <w:r>
        <w:rPr>
          <w:rFonts w:ascii="宋体" w:hAnsi="宋体" w:cs="宋体" w:eastAsia="宋体" w:hint="default"/>
        </w:rPr>
        <w:t>11</w:t>
      </w:r>
      <w:r>
        <w:rPr/>
        <w:t>）深圳宝贝团：</w:t>
      </w:r>
      <w:r>
        <w:rPr>
          <w:rFonts w:ascii="宋体" w:hAnsi="宋体" w:cs="宋体" w:eastAsia="宋体" w:hint="default"/>
        </w:rPr>
        <w:t>2015</w:t>
      </w:r>
      <w:r>
        <w:rPr/>
        <w:t>年</w:t>
      </w:r>
      <w:r>
        <w:rPr>
          <w:rFonts w:ascii="宋体" w:hAnsi="宋体" w:cs="宋体" w:eastAsia="宋体" w:hint="default"/>
        </w:rPr>
        <w:t>2</w:t>
      </w:r>
      <w:r>
        <w:rPr/>
        <w:t>月，本公司受让袁夫捷、詹宏智共同持有的深圳宝贝团</w:t>
      </w:r>
      <w:r>
        <w:rPr>
          <w:rFonts w:ascii="宋体" w:hAnsi="宋体" w:cs="宋体" w:eastAsia="宋体" w:hint="default"/>
        </w:rPr>
        <w:t>47.5%</w:t>
      </w:r>
      <w:r>
        <w:rPr/>
        <w:t>股权，并</w:t>
      </w:r>
      <w:r>
        <w:rPr>
          <w:w w:val="100"/>
        </w:rPr>
        <w:t> </w:t>
      </w:r>
      <w:r>
        <w:rPr>
          <w:spacing w:val="-1"/>
        </w:rPr>
        <w:t>同时向深圳宝贝团增资</w:t>
      </w:r>
      <w:r>
        <w:rPr>
          <w:rFonts w:ascii="宋体" w:hAnsi="宋体" w:cs="宋体" w:eastAsia="宋体" w:hint="default"/>
          <w:spacing w:val="-1"/>
        </w:rPr>
        <w:t>100</w:t>
      </w:r>
      <w:r>
        <w:rPr>
          <w:spacing w:val="-1"/>
        </w:rPr>
        <w:t>万，受让股权及增资完成后，本公司合计持有深圳宝贝团</w:t>
      </w:r>
      <w:r>
        <w:rPr>
          <w:rFonts w:ascii="宋体" w:hAnsi="宋体" w:cs="宋体" w:eastAsia="宋体" w:hint="default"/>
          <w:spacing w:val="-1"/>
        </w:rPr>
        <w:t>51%</w:t>
      </w:r>
      <w:r>
        <w:rPr>
          <w:spacing w:val="-1"/>
        </w:rPr>
        <w:t>的股权。</w:t>
      </w:r>
      <w:r>
        <w:rPr>
          <w:rFonts w:ascii="宋体" w:hAnsi="宋体" w:cs="宋体" w:eastAsia="宋体" w:hint="default"/>
          <w:spacing w:val="-1"/>
        </w:rPr>
        <w:t>2017</w:t>
      </w:r>
      <w:r>
        <w:rPr>
          <w:spacing w:val="-1"/>
        </w:rPr>
        <w:t>年，</w:t>
      </w:r>
      <w:r>
        <w:rPr>
          <w:spacing w:val="-51"/>
        </w:rPr>
        <w:t> </w:t>
      </w:r>
      <w:r>
        <w:rPr>
          <w:spacing w:val="-2"/>
        </w:rPr>
        <w:t>公司购买其他股东</w:t>
      </w:r>
      <w:r>
        <w:rPr>
          <w:rFonts w:ascii="宋体" w:hAnsi="宋体" w:cs="宋体" w:eastAsia="宋体" w:hint="default"/>
          <w:spacing w:val="-2"/>
        </w:rPr>
        <w:t>10.40%</w:t>
      </w:r>
      <w:r>
        <w:rPr>
          <w:spacing w:val="-2"/>
        </w:rPr>
        <w:t>的股份，持股比例变为</w:t>
      </w:r>
      <w:r>
        <w:rPr>
          <w:rFonts w:ascii="宋体" w:hAnsi="宋体" w:cs="宋体" w:eastAsia="宋体" w:hint="default"/>
          <w:spacing w:val="-2"/>
        </w:rPr>
        <w:t>61.40%</w:t>
      </w:r>
      <w:r>
        <w:rPr>
          <w:spacing w:val="-2"/>
        </w:rPr>
        <w:t>。</w:t>
      </w:r>
      <w:r>
        <w:rPr>
          <w:rFonts w:ascii="宋体" w:hAnsi="宋体" w:cs="宋体" w:eastAsia="宋体" w:hint="default"/>
          <w:spacing w:val="-2"/>
        </w:rPr>
        <w:t>2019</w:t>
      </w:r>
      <w:r>
        <w:rPr>
          <w:spacing w:val="-2"/>
        </w:rPr>
        <w:t>年，本公司将合计</w:t>
      </w:r>
      <w:r>
        <w:rPr>
          <w:rFonts w:ascii="宋体" w:hAnsi="宋体" w:cs="宋体" w:eastAsia="宋体" w:hint="default"/>
          <w:spacing w:val="-2"/>
        </w:rPr>
        <w:t>6%</w:t>
      </w:r>
      <w:r>
        <w:rPr>
          <w:spacing w:val="-2"/>
        </w:rPr>
        <w:t>的股权分别转让予袁夫</w:t>
      </w:r>
      <w:r>
        <w:rPr>
          <w:spacing w:val="-15"/>
        </w:rPr>
        <w:t> </w:t>
      </w:r>
      <w:r>
        <w:rPr>
          <w:spacing w:val="-15"/>
        </w:rPr>
      </w:r>
      <w:r>
        <w:rPr/>
        <w:t>捷</w:t>
      </w:r>
      <w:r>
        <w:rPr>
          <w:rFonts w:ascii="宋体" w:hAnsi="宋体" w:cs="宋体" w:eastAsia="宋体" w:hint="default"/>
        </w:rPr>
        <w:t>3%</w:t>
      </w:r>
      <w:r>
        <w:rPr/>
        <w:t>、詹宏智</w:t>
      </w:r>
      <w:r>
        <w:rPr>
          <w:rFonts w:ascii="宋体" w:hAnsi="宋体" w:cs="宋体" w:eastAsia="宋体" w:hint="default"/>
        </w:rPr>
        <w:t>3%</w:t>
      </w:r>
      <w:r>
        <w:rPr/>
        <w:t>，转让完成后，本公司对深圳宝贝团的持股比例变更为</w:t>
      </w:r>
      <w:r>
        <w:rPr>
          <w:rFonts w:ascii="宋体" w:hAnsi="宋体" w:cs="宋体" w:eastAsia="宋体" w:hint="default"/>
        </w:rPr>
        <w:t>55.4%</w:t>
      </w:r>
      <w:r>
        <w:rPr/>
        <w:t>。</w:t>
      </w:r>
    </w:p>
    <w:p>
      <w:pPr>
        <w:pStyle w:val="BodyText"/>
        <w:spacing w:line="273" w:lineRule="auto"/>
        <w:ind w:right="1007" w:firstLine="422"/>
        <w:jc w:val="left"/>
      </w:pPr>
      <w:r>
        <w:rPr>
          <w:rFonts w:ascii="宋体" w:hAnsi="宋体" w:cs="宋体" w:eastAsia="宋体" w:hint="default"/>
        </w:rPr>
        <w:t>*</w:t>
      </w:r>
      <w:r>
        <w:rPr/>
        <w:t>（</w:t>
      </w:r>
      <w:r>
        <w:rPr>
          <w:rFonts w:ascii="宋体" w:hAnsi="宋体" w:cs="宋体" w:eastAsia="宋体" w:hint="default"/>
        </w:rPr>
        <w:t>12</w:t>
      </w:r>
      <w:r>
        <w:rPr/>
        <w:t>）合肥科技于</w:t>
      </w:r>
      <w:r>
        <w:rPr>
          <w:rFonts w:ascii="宋体" w:hAnsi="宋体" w:cs="宋体" w:eastAsia="宋体" w:hint="default"/>
        </w:rPr>
        <w:t>2015</w:t>
      </w:r>
      <w:r>
        <w:rPr/>
        <w:t>年</w:t>
      </w:r>
      <w:r>
        <w:rPr>
          <w:rFonts w:ascii="宋体" w:hAnsi="宋体" w:cs="宋体" w:eastAsia="宋体" w:hint="default"/>
        </w:rPr>
        <w:t>10</w:t>
      </w:r>
      <w:r>
        <w:rPr/>
        <w:t>月成立，取得合肥市工商行政管理局颁发的统一信用代码为</w:t>
      </w:r>
      <w:r>
        <w:rPr>
          <w:w w:val="100"/>
        </w:rPr>
        <w:t> </w:t>
      </w:r>
      <w:r>
        <w:rPr>
          <w:rFonts w:ascii="宋体" w:hAnsi="宋体" w:cs="宋体" w:eastAsia="宋体" w:hint="default"/>
          <w:spacing w:val="-1"/>
        </w:rPr>
        <w:t>91340100MA2MQH535N</w:t>
      </w:r>
      <w:r>
        <w:rPr>
          <w:spacing w:val="-1"/>
        </w:rPr>
        <w:t>企业法人营业执照，注册资本人民币</w:t>
      </w:r>
      <w:r>
        <w:rPr>
          <w:rFonts w:ascii="宋体" w:hAnsi="宋体" w:cs="宋体" w:eastAsia="宋体" w:hint="default"/>
          <w:spacing w:val="-1"/>
        </w:rPr>
        <w:t>100</w:t>
      </w:r>
      <w:r>
        <w:rPr>
          <w:spacing w:val="-1"/>
        </w:rPr>
        <w:t>万元，本公司之子公司合肥天源迪科于</w:t>
      </w:r>
      <w:r>
        <w:rPr>
          <w:rFonts w:ascii="宋体" w:hAnsi="宋体" w:cs="宋体" w:eastAsia="宋体" w:hint="default"/>
          <w:spacing w:val="-1"/>
        </w:rPr>
        <w:t>2016</w:t>
      </w:r>
      <w:r>
        <w:rPr>
          <w:rFonts w:ascii="宋体" w:hAnsi="宋体" w:cs="宋体" w:eastAsia="宋体" w:hint="default"/>
          <w:spacing w:val="-46"/>
        </w:rPr>
        <w:t> </w:t>
      </w:r>
      <w:r>
        <w:rPr>
          <w:rFonts w:ascii="宋体" w:hAnsi="宋体" w:cs="宋体" w:eastAsia="宋体" w:hint="default"/>
          <w:spacing w:val="-46"/>
        </w:rPr>
      </w:r>
      <w:r>
        <w:rPr/>
        <w:t>年</w:t>
      </w:r>
      <w:r>
        <w:rPr>
          <w:rFonts w:ascii="宋体" w:hAnsi="宋体" w:cs="宋体" w:eastAsia="宋体" w:hint="default"/>
        </w:rPr>
        <w:t>1</w:t>
      </w:r>
      <w:r>
        <w:rPr/>
        <w:t>月实际出资人民币</w:t>
      </w:r>
      <w:r>
        <w:rPr>
          <w:rFonts w:ascii="宋体" w:hAnsi="宋体" w:cs="宋体" w:eastAsia="宋体" w:hint="default"/>
        </w:rPr>
        <w:t>100</w:t>
      </w:r>
      <w:r>
        <w:rPr/>
        <w:t>万元，占注册资本</w:t>
      </w:r>
      <w:r>
        <w:rPr>
          <w:rFonts w:ascii="宋体" w:hAnsi="宋体" w:cs="宋体" w:eastAsia="宋体" w:hint="default"/>
        </w:rPr>
        <w:t>100%</w:t>
      </w:r>
      <w:r>
        <w:rPr/>
        <w:t>。</w:t>
      </w:r>
    </w:p>
    <w:p>
      <w:pPr>
        <w:pStyle w:val="BodyText"/>
        <w:spacing w:line="273" w:lineRule="auto" w:before="8"/>
        <w:ind w:right="1007" w:firstLine="422"/>
        <w:jc w:val="left"/>
      </w:pPr>
      <w:r>
        <w:rPr>
          <w:rFonts w:ascii="宋体" w:hAnsi="宋体" w:cs="宋体" w:eastAsia="宋体" w:hint="default"/>
          <w:spacing w:val="-2"/>
        </w:rPr>
        <w:t>*</w:t>
      </w:r>
      <w:r>
        <w:rPr>
          <w:spacing w:val="-2"/>
        </w:rPr>
        <w:t>（</w:t>
      </w:r>
      <w:r>
        <w:rPr>
          <w:rFonts w:ascii="宋体" w:hAnsi="宋体" w:cs="宋体" w:eastAsia="宋体" w:hint="default"/>
          <w:spacing w:val="-2"/>
        </w:rPr>
        <w:t>13</w:t>
      </w:r>
      <w:r>
        <w:rPr>
          <w:spacing w:val="-2"/>
        </w:rPr>
        <w:t>）安徽迪科数金：安徽迪科数金于</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月成立，取得合肥市高新开发区市场监督管理局颁发</w:t>
      </w:r>
      <w:r>
        <w:rPr>
          <w:w w:val="100"/>
        </w:rPr>
        <w:t> </w:t>
      </w:r>
      <w:r>
        <w:rPr/>
        <w:t>的统一信用代码为</w:t>
      </w:r>
      <w:r>
        <w:rPr>
          <w:rFonts w:ascii="宋体" w:hAnsi="宋体" w:cs="宋体" w:eastAsia="宋体" w:hint="default"/>
        </w:rPr>
        <w:t>91340100MA2NLTGC53</w:t>
      </w:r>
      <w:r>
        <w:rPr/>
        <w:t>企业法人营业执照，注册资本人民币</w:t>
      </w:r>
      <w:r>
        <w:rPr>
          <w:rFonts w:ascii="宋体" w:hAnsi="宋体" w:cs="宋体" w:eastAsia="宋体" w:hint="default"/>
        </w:rPr>
        <w:t>2,000</w:t>
      </w:r>
      <w:r>
        <w:rPr/>
        <w:t>万元，本公司持股比例</w:t>
      </w:r>
      <w:r>
        <w:rPr>
          <w:w w:val="100"/>
        </w:rPr>
        <w:t> </w:t>
      </w:r>
      <w:r>
        <w:rPr/>
        <w:t>为</w:t>
      </w:r>
      <w:r>
        <w:rPr>
          <w:rFonts w:ascii="宋体" w:hAnsi="宋体" w:cs="宋体" w:eastAsia="宋体" w:hint="default"/>
        </w:rPr>
        <w:t>84%</w:t>
      </w:r>
      <w:r>
        <w:rPr/>
        <w:t>。</w:t>
      </w:r>
    </w:p>
    <w:p>
      <w:pPr>
        <w:pStyle w:val="BodyText"/>
        <w:spacing w:line="273" w:lineRule="auto"/>
        <w:ind w:right="1007" w:firstLine="422"/>
        <w:jc w:val="left"/>
      </w:pPr>
      <w:r>
        <w:rPr>
          <w:rFonts w:ascii="宋体" w:hAnsi="宋体" w:cs="宋体" w:eastAsia="宋体" w:hint="default"/>
          <w:spacing w:val="-2"/>
        </w:rPr>
        <w:t>*</w:t>
      </w:r>
      <w:r>
        <w:rPr>
          <w:spacing w:val="-2"/>
        </w:rPr>
        <w:t>（</w:t>
      </w:r>
      <w:r>
        <w:rPr>
          <w:rFonts w:ascii="宋体" w:hAnsi="宋体" w:cs="宋体" w:eastAsia="宋体" w:hint="default"/>
          <w:spacing w:val="-2"/>
        </w:rPr>
        <w:t>14</w:t>
      </w:r>
      <w:r>
        <w:rPr>
          <w:spacing w:val="-2"/>
        </w:rPr>
        <w:t>）亳州迪科数金：亳州迪科数金于</w:t>
      </w:r>
      <w:r>
        <w:rPr>
          <w:rFonts w:ascii="宋体" w:hAnsi="宋体" w:cs="宋体" w:eastAsia="宋体" w:hint="default"/>
          <w:spacing w:val="-2"/>
        </w:rPr>
        <w:t>2017</w:t>
      </w:r>
      <w:r>
        <w:rPr>
          <w:spacing w:val="-2"/>
        </w:rPr>
        <w:t>年</w:t>
      </w:r>
      <w:r>
        <w:rPr>
          <w:rFonts w:ascii="宋体" w:hAnsi="宋体" w:cs="宋体" w:eastAsia="宋体" w:hint="default"/>
          <w:spacing w:val="-2"/>
        </w:rPr>
        <w:t>6</w:t>
      </w:r>
      <w:r>
        <w:rPr>
          <w:spacing w:val="-2"/>
        </w:rPr>
        <w:t>月成立，取得亳州市工商行政管理局颁发的统一信用</w:t>
      </w:r>
      <w:r>
        <w:rPr>
          <w:w w:val="100"/>
        </w:rPr>
        <w:t> </w:t>
      </w:r>
      <w:r>
        <w:rPr/>
        <w:t>代码为</w:t>
      </w:r>
      <w:r>
        <w:rPr>
          <w:rFonts w:ascii="宋体" w:hAnsi="宋体" w:cs="宋体" w:eastAsia="宋体" w:hint="default"/>
        </w:rPr>
        <w:t>91341600MA2NP4XRX3</w:t>
      </w:r>
      <w:r>
        <w:rPr/>
        <w:t>企业法人营业执照，注册资本人民币</w:t>
      </w:r>
      <w:r>
        <w:rPr>
          <w:rFonts w:ascii="宋体" w:hAnsi="宋体" w:cs="宋体" w:eastAsia="宋体" w:hint="default"/>
        </w:rPr>
        <w:t>500</w:t>
      </w:r>
      <w:r>
        <w:rPr/>
        <w:t>万元。亳州迪科系安徽迪科的全资子</w:t>
      </w:r>
      <w:r>
        <w:rPr>
          <w:w w:val="100"/>
        </w:rPr>
        <w:t> </w:t>
      </w:r>
      <w:r>
        <w:rPr/>
        <w:t>公司。</w:t>
      </w:r>
    </w:p>
    <w:p>
      <w:pPr>
        <w:pStyle w:val="BodyText"/>
        <w:spacing w:line="273" w:lineRule="auto" w:before="8"/>
        <w:ind w:right="1007" w:firstLine="422"/>
        <w:jc w:val="left"/>
      </w:pPr>
      <w:r>
        <w:rPr>
          <w:rFonts w:ascii="宋体" w:hAnsi="宋体" w:cs="宋体" w:eastAsia="宋体" w:hint="default"/>
        </w:rPr>
        <w:t>*</w:t>
      </w:r>
      <w:r>
        <w:rPr/>
        <w:t>（</w:t>
      </w:r>
      <w:r>
        <w:rPr>
          <w:rFonts w:ascii="宋体" w:hAnsi="宋体" w:cs="宋体" w:eastAsia="宋体" w:hint="default"/>
        </w:rPr>
        <w:t>15</w:t>
      </w:r>
      <w:r>
        <w:rPr/>
        <w:t>）合肥人才：合肥人才于</w:t>
      </w:r>
      <w:r>
        <w:rPr>
          <w:rFonts w:ascii="宋体" w:hAnsi="宋体" w:cs="宋体" w:eastAsia="宋体" w:hint="default"/>
        </w:rPr>
        <w:t>2018</w:t>
      </w:r>
      <w:r>
        <w:rPr/>
        <w:t>年</w:t>
      </w:r>
      <w:r>
        <w:rPr>
          <w:rFonts w:ascii="宋体" w:hAnsi="宋体" w:cs="宋体" w:eastAsia="宋体" w:hint="default"/>
        </w:rPr>
        <w:t>1</w:t>
      </w:r>
      <w:r>
        <w:rPr/>
        <w:t>月成立，取得合肥市工商行政管理局颁发的统一信用代码为</w:t>
      </w:r>
      <w:r>
        <w:rPr>
          <w:w w:val="100"/>
        </w:rPr>
        <w:t> </w:t>
      </w:r>
      <w:r>
        <w:rPr>
          <w:rFonts w:ascii="宋体" w:hAnsi="宋体" w:cs="宋体" w:eastAsia="宋体" w:hint="default"/>
          <w:spacing w:val="-1"/>
        </w:rPr>
        <w:t>91340100MA2RGB9J5X</w:t>
      </w:r>
      <w:r>
        <w:rPr>
          <w:spacing w:val="-1"/>
        </w:rPr>
        <w:t>企业法人营业执照，注册资本人民币</w:t>
      </w:r>
      <w:r>
        <w:rPr>
          <w:rFonts w:ascii="宋体" w:hAnsi="宋体" w:cs="宋体" w:eastAsia="宋体" w:hint="default"/>
          <w:spacing w:val="-1"/>
        </w:rPr>
        <w:t>300</w:t>
      </w:r>
      <w:r>
        <w:rPr>
          <w:spacing w:val="-1"/>
        </w:rPr>
        <w:t>万元。合肥人才系安徽迪科数金的全资子公</w:t>
      </w:r>
      <w:r>
        <w:rPr>
          <w:spacing w:val="-48"/>
        </w:rPr>
        <w:t> </w:t>
      </w:r>
      <w:r>
        <w:rPr>
          <w:spacing w:val="-48"/>
        </w:rPr>
      </w:r>
      <w:r>
        <w:rPr/>
        <w:t>司。</w:t>
      </w:r>
    </w:p>
    <w:p>
      <w:pPr>
        <w:pStyle w:val="BodyText"/>
        <w:spacing w:line="266" w:lineRule="auto"/>
        <w:ind w:right="1205" w:firstLine="422"/>
        <w:jc w:val="both"/>
      </w:pPr>
      <w:r>
        <w:rPr>
          <w:rFonts w:ascii="宋体" w:hAnsi="宋体" w:cs="宋体" w:eastAsia="宋体" w:hint="default"/>
          <w:spacing w:val="-1"/>
        </w:rPr>
        <w:t>*</w:t>
      </w:r>
      <w:r>
        <w:rPr>
          <w:spacing w:val="-1"/>
        </w:rPr>
        <w:t>（</w:t>
      </w:r>
      <w:r>
        <w:rPr>
          <w:rFonts w:ascii="宋体" w:hAnsi="宋体" w:cs="宋体" w:eastAsia="宋体" w:hint="default"/>
          <w:spacing w:val="-1"/>
        </w:rPr>
        <w:t>16</w:t>
      </w:r>
      <w:r>
        <w:rPr>
          <w:spacing w:val="-1"/>
        </w:rPr>
        <w:t>）芜湖迪科数金：芜湖迪科数金于</w:t>
      </w:r>
      <w:r>
        <w:rPr>
          <w:rFonts w:ascii="宋体" w:hAnsi="宋体" w:cs="宋体" w:eastAsia="宋体" w:hint="default"/>
          <w:spacing w:val="-1"/>
        </w:rPr>
        <w:t>2019</w:t>
      </w:r>
      <w:r>
        <w:rPr>
          <w:spacing w:val="-1"/>
        </w:rPr>
        <w:t>年</w:t>
      </w:r>
      <w:r>
        <w:rPr>
          <w:rFonts w:ascii="宋体" w:hAnsi="宋体" w:cs="宋体" w:eastAsia="宋体" w:hint="default"/>
          <w:spacing w:val="-1"/>
        </w:rPr>
        <w:t>11</w:t>
      </w:r>
      <w:r>
        <w:rPr>
          <w:spacing w:val="-1"/>
        </w:rPr>
        <w:t>月成立，取得芜湖市工商行政管理局颁发的统一信</w:t>
      </w:r>
      <w:r>
        <w:rPr>
          <w:w w:val="100"/>
        </w:rPr>
        <w:t> </w:t>
      </w:r>
      <w:r>
        <w:rPr>
          <w:spacing w:val="-1"/>
        </w:rPr>
        <w:t>用代码为</w:t>
      </w:r>
      <w:r>
        <w:rPr>
          <w:rFonts w:ascii="宋体" w:hAnsi="宋体" w:cs="宋体" w:eastAsia="宋体" w:hint="default"/>
          <w:spacing w:val="-1"/>
        </w:rPr>
        <w:t>91340203MA2UAUWX89</w:t>
      </w:r>
      <w:r>
        <w:rPr>
          <w:spacing w:val="-1"/>
        </w:rPr>
        <w:t>企业法人营业执照，注册资本人民币</w:t>
      </w:r>
      <w:r>
        <w:rPr>
          <w:rFonts w:ascii="宋体" w:hAnsi="宋体" w:cs="宋体" w:eastAsia="宋体" w:hint="default"/>
          <w:spacing w:val="-1"/>
        </w:rPr>
        <w:t>1000</w:t>
      </w:r>
      <w:r>
        <w:rPr>
          <w:spacing w:val="-1"/>
        </w:rPr>
        <w:t>万元，实收资本为</w:t>
      </w:r>
      <w:r>
        <w:rPr>
          <w:rFonts w:ascii="Times New Roman" w:hAnsi="Times New Roman" w:cs="Times New Roman" w:eastAsia="Times New Roman" w:hint="default"/>
          <w:spacing w:val="-1"/>
        </w:rPr>
        <w:t>0</w:t>
      </w:r>
      <w:r>
        <w:rPr>
          <w:spacing w:val="-1"/>
        </w:rPr>
        <w:t>元。芜湖迪科</w:t>
      </w:r>
      <w:r>
        <w:rPr>
          <w:spacing w:val="-48"/>
        </w:rPr>
        <w:t> </w:t>
      </w:r>
      <w:r>
        <w:rPr>
          <w:spacing w:val="-48"/>
        </w:rPr>
      </w:r>
      <w:r>
        <w:rPr/>
        <w:t>数金系安徽迪科数金的全资子公司，尚未开展业务。</w:t>
      </w:r>
    </w:p>
    <w:p>
      <w:pPr>
        <w:pStyle w:val="BodyText"/>
        <w:spacing w:line="273" w:lineRule="auto" w:before="14"/>
        <w:ind w:right="1007" w:firstLine="422"/>
        <w:jc w:val="left"/>
      </w:pPr>
      <w:r>
        <w:rPr>
          <w:rFonts w:ascii="宋体" w:hAnsi="宋体" w:cs="宋体" w:eastAsia="宋体" w:hint="default"/>
        </w:rPr>
        <w:t>*</w:t>
      </w:r>
      <w:r>
        <w:rPr/>
        <w:t>（</w:t>
      </w:r>
      <w:r>
        <w:rPr>
          <w:rFonts w:ascii="宋体" w:hAnsi="宋体" w:cs="宋体" w:eastAsia="宋体" w:hint="default"/>
        </w:rPr>
        <w:t>17</w:t>
      </w:r>
      <w:r>
        <w:rPr/>
        <w:t>）合肥职业学校：合肥职业学校于</w:t>
      </w:r>
      <w:r>
        <w:rPr>
          <w:rFonts w:ascii="宋体" w:hAnsi="宋体" w:cs="宋体" w:eastAsia="宋体" w:hint="default"/>
        </w:rPr>
        <w:t>2019</w:t>
      </w:r>
      <w:r>
        <w:rPr/>
        <w:t>年</w:t>
      </w:r>
      <w:r>
        <w:rPr>
          <w:rFonts w:ascii="宋体" w:hAnsi="宋体" w:cs="宋体" w:eastAsia="宋体" w:hint="default"/>
        </w:rPr>
        <w:t>11</w:t>
      </w:r>
      <w:r>
        <w:rPr/>
        <w:t>月成立，取得合肥市工商行政管理局颁发的统一信</w:t>
      </w:r>
      <w:r>
        <w:rPr>
          <w:w w:val="100"/>
        </w:rPr>
        <w:t> </w:t>
      </w:r>
      <w:r>
        <w:rPr/>
        <w:t>用代码为</w:t>
      </w:r>
      <w:r>
        <w:rPr>
          <w:rFonts w:ascii="宋体" w:hAnsi="宋体" w:cs="宋体" w:eastAsia="宋体" w:hint="default"/>
        </w:rPr>
        <w:t>91340100MA2U9LHH1X</w:t>
      </w:r>
      <w:r>
        <w:rPr/>
        <w:t>企业法人营业执照，注册资本人民币</w:t>
      </w:r>
      <w:r>
        <w:rPr>
          <w:rFonts w:ascii="宋体" w:hAnsi="宋体" w:cs="宋体" w:eastAsia="宋体" w:hint="default"/>
        </w:rPr>
        <w:t>500</w:t>
      </w:r>
      <w:r>
        <w:rPr/>
        <w:t>万元，实收资本为</w:t>
      </w:r>
      <w:r>
        <w:rPr>
          <w:rFonts w:ascii="宋体" w:hAnsi="宋体" w:cs="宋体" w:eastAsia="宋体" w:hint="default"/>
        </w:rPr>
        <w:t>10</w:t>
      </w:r>
      <w:r>
        <w:rPr/>
        <w:t>万元。合肥职</w:t>
      </w:r>
      <w:r>
        <w:rPr>
          <w:w w:val="100"/>
        </w:rPr>
        <w:t> </w:t>
      </w:r>
      <w:r>
        <w:rPr>
          <w:spacing w:val="-2"/>
        </w:rPr>
        <w:t>业学校由合肥天源迪科认缴出资</w:t>
      </w:r>
      <w:r>
        <w:rPr>
          <w:rFonts w:ascii="宋体" w:hAnsi="宋体" w:cs="宋体" w:eastAsia="宋体" w:hint="default"/>
          <w:spacing w:val="-2"/>
        </w:rPr>
        <w:t>350</w:t>
      </w:r>
      <w:r>
        <w:rPr>
          <w:spacing w:val="-2"/>
        </w:rPr>
        <w:t>万元，占比</w:t>
      </w:r>
      <w:r>
        <w:rPr>
          <w:rFonts w:ascii="宋体" w:hAnsi="宋体" w:cs="宋体" w:eastAsia="宋体" w:hint="default"/>
          <w:spacing w:val="-2"/>
        </w:rPr>
        <w:t>70%</w:t>
      </w:r>
      <w:r>
        <w:rPr>
          <w:spacing w:val="-2"/>
        </w:rPr>
        <w:t>，安徽迪科数金认缴出资</w:t>
      </w:r>
      <w:r>
        <w:rPr>
          <w:rFonts w:ascii="宋体" w:hAnsi="宋体" w:cs="宋体" w:eastAsia="宋体" w:hint="default"/>
          <w:spacing w:val="-2"/>
        </w:rPr>
        <w:t>150</w:t>
      </w:r>
      <w:r>
        <w:rPr>
          <w:spacing w:val="-2"/>
        </w:rPr>
        <w:t>万元，占比</w:t>
      </w:r>
      <w:r>
        <w:rPr>
          <w:rFonts w:ascii="宋体" w:hAnsi="宋体" w:cs="宋体" w:eastAsia="宋体" w:hint="default"/>
          <w:spacing w:val="-2"/>
        </w:rPr>
        <w:t>30%</w:t>
      </w:r>
      <w:r>
        <w:rPr>
          <w:spacing w:val="-2"/>
        </w:rPr>
        <w:t>。合肥职业</w:t>
      </w:r>
      <w:r>
        <w:rPr>
          <w:spacing w:val="-20"/>
        </w:rPr>
        <w:t> </w:t>
      </w:r>
      <w:r>
        <w:rPr>
          <w:spacing w:val="-20"/>
        </w:rPr>
      </w:r>
      <w:r>
        <w:rPr/>
        <w:t>学校尚未开展业务。</w:t>
      </w:r>
    </w:p>
    <w:p>
      <w:pPr>
        <w:pStyle w:val="BodyText"/>
        <w:spacing w:line="273" w:lineRule="auto"/>
        <w:ind w:right="1007" w:firstLine="422"/>
        <w:jc w:val="left"/>
      </w:pPr>
      <w:r>
        <w:rPr>
          <w:rFonts w:ascii="宋体" w:hAnsi="宋体" w:cs="宋体" w:eastAsia="宋体" w:hint="default"/>
          <w:spacing w:val="-2"/>
        </w:rPr>
        <w:t>*</w:t>
      </w:r>
      <w:r>
        <w:rPr>
          <w:spacing w:val="-2"/>
        </w:rPr>
        <w:t>（</w:t>
      </w:r>
      <w:r>
        <w:rPr>
          <w:rFonts w:ascii="宋体" w:hAnsi="宋体" w:cs="宋体" w:eastAsia="宋体" w:hint="default"/>
          <w:spacing w:val="-2"/>
        </w:rPr>
        <w:t>18</w:t>
      </w:r>
      <w:r>
        <w:rPr>
          <w:spacing w:val="-2"/>
        </w:rPr>
        <w:t>）北京网络：北京网络原系维恩贝特的子公司，维恩贝特原持有北京网络</w:t>
      </w:r>
      <w:r>
        <w:rPr>
          <w:rFonts w:ascii="宋体" w:hAnsi="宋体" w:cs="宋体" w:eastAsia="宋体" w:hint="default"/>
          <w:spacing w:val="-2"/>
        </w:rPr>
        <w:t>100%</w:t>
      </w:r>
      <w:r>
        <w:rPr>
          <w:spacing w:val="-2"/>
        </w:rPr>
        <w:t>的股份。</w:t>
      </w:r>
      <w:r>
        <w:rPr>
          <w:rFonts w:ascii="宋体" w:hAnsi="宋体" w:cs="宋体" w:eastAsia="宋体" w:hint="default"/>
          <w:spacing w:val="-2"/>
        </w:rPr>
        <w:t>2019</w:t>
      </w:r>
      <w:r>
        <w:rPr>
          <w:spacing w:val="-2"/>
        </w:rPr>
        <w:t>年，</w:t>
      </w:r>
      <w:r>
        <w:rPr>
          <w:w w:val="100"/>
        </w:rPr>
        <w:t> </w:t>
      </w:r>
      <w:r>
        <w:rPr/>
        <w:t>维恩贝特将北京网络</w:t>
      </w:r>
      <w:r>
        <w:rPr>
          <w:rFonts w:ascii="宋体" w:hAnsi="宋体" w:cs="宋体" w:eastAsia="宋体" w:hint="default"/>
        </w:rPr>
        <w:t>100%</w:t>
      </w:r>
      <w:r>
        <w:rPr/>
        <w:t>的股权转让予本公司，转让完成后，本公司持有北京网络</w:t>
      </w:r>
      <w:r>
        <w:rPr>
          <w:rFonts w:ascii="宋体" w:hAnsi="宋体" w:cs="宋体" w:eastAsia="宋体" w:hint="default"/>
        </w:rPr>
        <w:t>100%</w:t>
      </w:r>
      <w:r>
        <w:rPr/>
        <w:t>股权。</w:t>
      </w:r>
    </w:p>
    <w:p>
      <w:pPr>
        <w:pStyle w:val="BodyText"/>
        <w:spacing w:line="261" w:lineRule="auto"/>
        <w:ind w:right="1155" w:firstLine="422"/>
        <w:jc w:val="both"/>
      </w:pPr>
      <w:r>
        <w:rPr>
          <w:rFonts w:ascii="宋体" w:hAnsi="宋体" w:cs="宋体" w:eastAsia="宋体" w:hint="default"/>
          <w:spacing w:val="-1"/>
        </w:rPr>
        <w:t>*</w:t>
      </w:r>
      <w:r>
        <w:rPr>
          <w:spacing w:val="-1"/>
        </w:rPr>
        <w:t>（</w:t>
      </w:r>
      <w:r>
        <w:rPr>
          <w:rFonts w:ascii="宋体" w:hAnsi="宋体" w:cs="宋体" w:eastAsia="宋体" w:hint="default"/>
          <w:spacing w:val="-1"/>
        </w:rPr>
        <w:t>19</w:t>
      </w:r>
      <w:r>
        <w:rPr>
          <w:spacing w:val="-1"/>
        </w:rPr>
        <w:t>）北京迪科云起：北京迪科云起于</w:t>
      </w:r>
      <w:r>
        <w:rPr>
          <w:rFonts w:ascii="宋体" w:hAnsi="宋体" w:cs="宋体" w:eastAsia="宋体" w:hint="default"/>
          <w:spacing w:val="-1"/>
        </w:rPr>
        <w:t>2019</w:t>
      </w:r>
      <w:r>
        <w:rPr>
          <w:spacing w:val="-1"/>
        </w:rPr>
        <w:t>年</w:t>
      </w:r>
      <w:r>
        <w:rPr>
          <w:rFonts w:ascii="宋体" w:hAnsi="宋体" w:cs="宋体" w:eastAsia="宋体" w:hint="default"/>
          <w:spacing w:val="-1"/>
        </w:rPr>
        <w:t>11</w:t>
      </w:r>
      <w:r>
        <w:rPr>
          <w:spacing w:val="-1"/>
        </w:rPr>
        <w:t>月成立，取得北京市工商行政管理局颁发的统一信</w:t>
      </w:r>
      <w:r>
        <w:rPr>
          <w:w w:val="100"/>
        </w:rPr>
        <w:t> </w:t>
      </w:r>
      <w:r>
        <w:rPr>
          <w:spacing w:val="-1"/>
        </w:rPr>
        <w:t>用代码为</w:t>
      </w:r>
      <w:r>
        <w:rPr>
          <w:rFonts w:ascii="宋体" w:hAnsi="宋体" w:cs="宋体" w:eastAsia="宋体" w:hint="default"/>
          <w:spacing w:val="-1"/>
        </w:rPr>
        <w:t>91110108MA01NWJ523</w:t>
      </w:r>
      <w:r>
        <w:rPr>
          <w:spacing w:val="-1"/>
        </w:rPr>
        <w:t>企业法人营业执照，注册资本人民币</w:t>
      </w:r>
      <w:r>
        <w:rPr>
          <w:rFonts w:ascii="宋体" w:hAnsi="宋体" w:cs="宋体" w:eastAsia="宋体" w:hint="default"/>
          <w:spacing w:val="-1"/>
        </w:rPr>
        <w:t>3</w:t>
      </w:r>
      <w:r>
        <w:rPr>
          <w:rFonts w:ascii="Times New Roman" w:hAnsi="Times New Roman" w:cs="Times New Roman" w:eastAsia="Times New Roman" w:hint="default"/>
          <w:spacing w:val="-1"/>
        </w:rPr>
        <w:t>,000</w:t>
      </w:r>
      <w:r>
        <w:rPr>
          <w:spacing w:val="-1"/>
        </w:rPr>
        <w:t>万元，实收资本为</w:t>
      </w:r>
      <w:r>
        <w:rPr>
          <w:rFonts w:ascii="Times New Roman" w:hAnsi="Times New Roman" w:cs="Times New Roman" w:eastAsia="Times New Roman" w:hint="default"/>
          <w:spacing w:val="-1"/>
        </w:rPr>
        <w:t>0</w:t>
      </w:r>
      <w:r>
        <w:rPr>
          <w:spacing w:val="-1"/>
        </w:rPr>
        <w:t>万元。北京迪</w:t>
      </w:r>
      <w:r>
        <w:rPr>
          <w:spacing w:val="-47"/>
        </w:rPr>
        <w:t> </w:t>
      </w:r>
      <w:r>
        <w:rPr>
          <w:spacing w:val="-47"/>
        </w:rPr>
      </w:r>
      <w:r>
        <w:rPr>
          <w:spacing w:val="-1"/>
        </w:rPr>
        <w:t>科云起由本公司认缴出资</w:t>
      </w:r>
      <w:r>
        <w:rPr>
          <w:rFonts w:ascii="宋体" w:hAnsi="宋体" w:cs="宋体" w:eastAsia="宋体" w:hint="default"/>
          <w:spacing w:val="-1"/>
        </w:rPr>
        <w:t>2,10</w:t>
      </w:r>
      <w:r>
        <w:rPr>
          <w:rFonts w:ascii="Times New Roman" w:hAnsi="Times New Roman" w:cs="Times New Roman" w:eastAsia="Times New Roman" w:hint="default"/>
          <w:spacing w:val="-1"/>
        </w:rPr>
        <w:t>0</w:t>
      </w:r>
      <w:r>
        <w:rPr>
          <w:spacing w:val="-1"/>
        </w:rPr>
        <w:t>万元，占比</w:t>
      </w:r>
      <w:r>
        <w:rPr>
          <w:rFonts w:ascii="宋体" w:hAnsi="宋体" w:cs="宋体" w:eastAsia="宋体" w:hint="default"/>
          <w:spacing w:val="-1"/>
        </w:rPr>
        <w:t>70%</w:t>
      </w:r>
      <w:r>
        <w:rPr>
          <w:spacing w:val="-1"/>
        </w:rPr>
        <w:t>，北京迪科云集信息科技中心（有限合伙）认缴出资</w:t>
      </w:r>
      <w:r>
        <w:rPr>
          <w:rFonts w:ascii="宋体" w:hAnsi="宋体" w:cs="宋体" w:eastAsia="宋体" w:hint="default"/>
          <w:spacing w:val="-1"/>
        </w:rPr>
        <w:t>900</w:t>
      </w:r>
      <w:r>
        <w:rPr>
          <w:spacing w:val="-1"/>
        </w:rPr>
        <w:t>万</w:t>
      </w:r>
      <w:r>
        <w:rPr>
          <w:spacing w:val="-52"/>
        </w:rPr>
        <w:t> </w:t>
      </w:r>
      <w:r>
        <w:rPr/>
        <w:t>元，占比</w:t>
      </w:r>
      <w:r>
        <w:rPr>
          <w:rFonts w:ascii="宋体" w:hAnsi="宋体" w:cs="宋体" w:eastAsia="宋体" w:hint="default"/>
        </w:rPr>
        <w:t>30%</w:t>
      </w:r>
      <w:r>
        <w:rPr/>
        <w:t>。北京迪科云起尚未开展业务。</w:t>
      </w:r>
    </w:p>
    <w:p>
      <w:pPr>
        <w:pStyle w:val="BodyText"/>
        <w:spacing w:line="273" w:lineRule="auto" w:before="19"/>
        <w:ind w:right="1007" w:firstLine="422"/>
        <w:jc w:val="left"/>
      </w:pPr>
      <w:r>
        <w:rPr>
          <w:rFonts w:ascii="宋体" w:hAnsi="宋体" w:cs="宋体" w:eastAsia="宋体" w:hint="default"/>
          <w:spacing w:val="-2"/>
        </w:rPr>
        <w:t>*</w:t>
      </w:r>
      <w:r>
        <w:rPr>
          <w:spacing w:val="-2"/>
        </w:rPr>
        <w:t>（</w:t>
      </w:r>
      <w:r>
        <w:rPr>
          <w:rFonts w:ascii="宋体" w:hAnsi="宋体" w:cs="宋体" w:eastAsia="宋体" w:hint="default"/>
          <w:spacing w:val="-2"/>
        </w:rPr>
        <w:t>20</w:t>
      </w:r>
      <w:r>
        <w:rPr>
          <w:spacing w:val="-2"/>
        </w:rPr>
        <w:t>）维恩贝特：</w:t>
      </w:r>
      <w:r>
        <w:rPr>
          <w:rFonts w:ascii="宋体" w:hAnsi="宋体" w:cs="宋体" w:eastAsia="宋体" w:hint="default"/>
          <w:spacing w:val="-2"/>
        </w:rPr>
        <w:t>2017</w:t>
      </w:r>
      <w:r>
        <w:rPr>
          <w:spacing w:val="-2"/>
        </w:rPr>
        <w:t>年</w:t>
      </w:r>
      <w:r>
        <w:rPr>
          <w:rFonts w:ascii="宋体" w:hAnsi="宋体" w:cs="宋体" w:eastAsia="宋体" w:hint="default"/>
          <w:spacing w:val="-2"/>
        </w:rPr>
        <w:t>9</w:t>
      </w:r>
      <w:r>
        <w:rPr>
          <w:spacing w:val="-2"/>
        </w:rPr>
        <w:t>月，本公司取得维恩贝特控制权，持股比例为</w:t>
      </w:r>
      <w:r>
        <w:rPr>
          <w:rFonts w:ascii="宋体" w:hAnsi="宋体" w:cs="宋体" w:eastAsia="宋体" w:hint="default"/>
          <w:spacing w:val="-2"/>
        </w:rPr>
        <w:t>99.4494%</w:t>
      </w:r>
      <w:r>
        <w:rPr>
          <w:spacing w:val="-2"/>
        </w:rPr>
        <w:t>。</w:t>
      </w:r>
      <w:r>
        <w:rPr>
          <w:rFonts w:ascii="宋体" w:hAnsi="宋体" w:cs="宋体" w:eastAsia="宋体" w:hint="default"/>
          <w:spacing w:val="-2"/>
        </w:rPr>
        <w:t>2018</w:t>
      </w:r>
      <w:r>
        <w:rPr>
          <w:spacing w:val="-2"/>
        </w:rPr>
        <w:t>年，本公司</w:t>
      </w:r>
      <w:r>
        <w:rPr>
          <w:w w:val="100"/>
        </w:rPr>
        <w:t> </w:t>
      </w:r>
      <w:r>
        <w:rPr/>
        <w:t>陆续又收购维恩贝特少数股权，</w:t>
      </w:r>
      <w:r>
        <w:rPr>
          <w:rFonts w:ascii="宋体" w:hAnsi="宋体" w:cs="宋体" w:eastAsia="宋体" w:hint="default"/>
        </w:rPr>
        <w:t>2018</w:t>
      </w:r>
      <w:r>
        <w:rPr/>
        <w:t>年末持股比例为</w:t>
      </w:r>
      <w:r>
        <w:rPr>
          <w:rFonts w:ascii="宋体" w:hAnsi="宋体" w:cs="宋体" w:eastAsia="宋体" w:hint="default"/>
        </w:rPr>
        <w:t>99.9595%</w:t>
      </w:r>
      <w:r>
        <w:rPr/>
        <w:t>。</w:t>
      </w:r>
    </w:p>
    <w:p>
      <w:pPr>
        <w:pStyle w:val="BodyText"/>
        <w:spacing w:line="240" w:lineRule="auto"/>
        <w:ind w:left="535" w:right="1007"/>
        <w:jc w:val="left"/>
      </w:pPr>
      <w:r>
        <w:rPr>
          <w:rFonts w:ascii="宋体" w:hAnsi="宋体" w:cs="宋体" w:eastAsia="宋体" w:hint="default"/>
        </w:rPr>
        <w:t>*</w:t>
      </w:r>
      <w:r>
        <w:rPr/>
        <w:t>（</w:t>
      </w:r>
      <w:r>
        <w:rPr>
          <w:rFonts w:ascii="宋体" w:hAnsi="宋体" w:cs="宋体" w:eastAsia="宋体" w:hint="default"/>
        </w:rPr>
        <w:t>21</w:t>
      </w:r>
      <w:r>
        <w:rPr/>
        <w:t>）上海维恩孛特：上海维恩孛特系维恩贝特的子公司，维恩贝特持有上海维恩孛特</w:t>
      </w:r>
      <w:r>
        <w:rPr>
          <w:rFonts w:ascii="宋体" w:hAnsi="宋体" w:cs="宋体" w:eastAsia="宋体" w:hint="default"/>
        </w:rPr>
        <w:t>51%</w:t>
      </w:r>
      <w:r>
        <w:rPr/>
        <w:t>的股份。</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40" w:lineRule="auto" w:before="36"/>
        <w:ind w:left="535" w:right="1007"/>
        <w:jc w:val="left"/>
      </w:pPr>
      <w:r>
        <w:rPr>
          <w:rFonts w:ascii="宋体" w:hAnsi="宋体" w:cs="宋体" w:eastAsia="宋体" w:hint="default"/>
        </w:rPr>
        <w:t>*</w:t>
      </w:r>
      <w:r>
        <w:rPr/>
        <w:t>（</w:t>
      </w:r>
      <w:r>
        <w:rPr>
          <w:rFonts w:ascii="宋体" w:hAnsi="宋体" w:cs="宋体" w:eastAsia="宋体" w:hint="default"/>
        </w:rPr>
        <w:t>22</w:t>
      </w:r>
      <w:r>
        <w:rPr/>
        <w:t>）澳门维恩贝特：澳门维恩贝特系维恩贝特的子公司，维恩贝特持有澳门维恩贝特</w:t>
      </w:r>
      <w:r>
        <w:rPr>
          <w:rFonts w:ascii="宋体" w:hAnsi="宋体" w:cs="宋体" w:eastAsia="宋体" w:hint="default"/>
        </w:rPr>
        <w:t>99%</w:t>
      </w:r>
      <w:r>
        <w:rPr/>
        <w:t>的股份。</w:t>
      </w:r>
    </w:p>
    <w:p>
      <w:pPr>
        <w:pStyle w:val="BodyText"/>
        <w:spacing w:line="240" w:lineRule="auto" w:before="37"/>
        <w:ind w:left="535" w:right="0"/>
        <w:jc w:val="left"/>
      </w:pPr>
      <w:r>
        <w:rPr>
          <w:rFonts w:ascii="宋体" w:hAnsi="宋体" w:cs="宋体" w:eastAsia="宋体" w:hint="default"/>
        </w:rPr>
        <w:t>*</w:t>
      </w:r>
      <w:r>
        <w:rPr/>
        <w:t>（</w:t>
      </w:r>
      <w:r>
        <w:rPr>
          <w:rFonts w:ascii="宋体" w:hAnsi="宋体" w:cs="宋体" w:eastAsia="宋体" w:hint="default"/>
        </w:rPr>
        <w:t>23</w:t>
      </w:r>
      <w:r>
        <w:rPr/>
        <w:t>）香港维恩贝特：香港维恩贝特系维恩贝特的子公司，维恩贝特持有香港维恩贝特</w:t>
      </w:r>
      <w:r>
        <w:rPr>
          <w:rFonts w:ascii="宋体" w:hAnsi="宋体" w:cs="宋体" w:eastAsia="宋体" w:hint="default"/>
        </w:rPr>
        <w:t>100%</w:t>
      </w:r>
      <w:r>
        <w:rPr/>
        <w:t>的股份。</w:t>
      </w:r>
    </w:p>
    <w:p>
      <w:pPr>
        <w:spacing w:line="240" w:lineRule="auto" w:before="0"/>
        <w:rPr>
          <w:rFonts w:ascii="宋体" w:hAnsi="宋体" w:cs="宋体" w:eastAsia="宋体" w:hint="default"/>
          <w:sz w:val="20"/>
          <w:szCs w:val="20"/>
        </w:rPr>
      </w:pPr>
    </w:p>
    <w:p>
      <w:pPr>
        <w:spacing w:line="362" w:lineRule="auto" w:before="156"/>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持有半数或以下表决权但仍控制被投资单位、以及持有半数以上表决权但不控制被投资单位的依据：</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对于纳入合并范围的重要的结构化主体，控制的依据：</w:t>
      </w:r>
    </w:p>
    <w:p>
      <w:pPr>
        <w:spacing w:line="357" w:lineRule="auto" w:before="23"/>
        <w:ind w:left="113" w:right="7695" w:firstLine="0"/>
        <w:jc w:val="left"/>
        <w:rPr>
          <w:rFonts w:ascii="宋体" w:hAnsi="宋体" w:cs="宋体" w:eastAsia="宋体" w:hint="default"/>
          <w:sz w:val="18"/>
          <w:szCs w:val="18"/>
        </w:rPr>
      </w:pPr>
      <w:r>
        <w:rPr>
          <w:rFonts w:ascii="宋体" w:hAnsi="宋体" w:cs="宋体" w:eastAsia="宋体" w:hint="default"/>
          <w:spacing w:val="-3"/>
          <w:sz w:val="18"/>
          <w:szCs w:val="18"/>
        </w:rPr>
        <w:t>确定公司是代理人还是委托人的依据：</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其他说明：</w:t>
      </w:r>
    </w:p>
    <w:p>
      <w:pPr>
        <w:spacing w:line="240" w:lineRule="auto" w:before="12"/>
        <w:rPr>
          <w:rFonts w:ascii="宋体" w:hAnsi="宋体" w:cs="宋体" w:eastAsia="宋体" w:hint="default"/>
          <w:sz w:val="19"/>
          <w:szCs w:val="19"/>
        </w:rPr>
      </w:pPr>
    </w:p>
    <w:p>
      <w:pPr>
        <w:pStyle w:val="Heading3"/>
        <w:spacing w:line="240" w:lineRule="auto"/>
        <w:ind w:right="1764"/>
        <w:jc w:val="left"/>
        <w:rPr>
          <w:b w:val="0"/>
          <w:bCs w:val="0"/>
        </w:rPr>
      </w:pPr>
      <w:bookmarkStart w:name="（2）重要的非全资子公司" w:id="444"/>
      <w:bookmarkEnd w:id="444"/>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6"/>
        <w:gridCol w:w="1911"/>
        <w:gridCol w:w="1916"/>
      </w:tblGrid>
      <w:tr>
        <w:trPr>
          <w:trHeight w:val="76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77"/>
              <w:ind w:left="686" w:right="137" w:hanging="543"/>
              <w:jc w:val="left"/>
              <w:rPr>
                <w:rFonts w:ascii="宋体" w:hAnsi="宋体" w:cs="宋体" w:eastAsia="宋体" w:hint="default"/>
                <w:sz w:val="18"/>
                <w:szCs w:val="18"/>
              </w:rPr>
            </w:pPr>
            <w:r>
              <w:rPr>
                <w:rFonts w:ascii="宋体" w:hAnsi="宋体" w:cs="宋体" w:eastAsia="宋体" w:hint="default"/>
                <w:spacing w:val="-3"/>
                <w:sz w:val="18"/>
                <w:szCs w:val="18"/>
              </w:rPr>
              <w:t>本期归属于少数股东</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的损益</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77"/>
              <w:ind w:left="499" w:right="137" w:hanging="360"/>
              <w:jc w:val="left"/>
              <w:rPr>
                <w:rFonts w:ascii="宋体" w:hAnsi="宋体" w:cs="宋体" w:eastAsia="宋体" w:hint="default"/>
                <w:sz w:val="18"/>
                <w:szCs w:val="18"/>
              </w:rPr>
            </w:pPr>
            <w:r>
              <w:rPr>
                <w:rFonts w:ascii="宋体" w:hAnsi="宋体" w:cs="宋体" w:eastAsia="宋体" w:hint="default"/>
                <w:spacing w:val="-3"/>
                <w:sz w:val="18"/>
                <w:szCs w:val="18"/>
              </w:rPr>
              <w:t>本期向少数股东宣告</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分派的股利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77"/>
              <w:ind w:left="864" w:right="137" w:hanging="721"/>
              <w:jc w:val="left"/>
              <w:rPr>
                <w:rFonts w:ascii="宋体" w:hAnsi="宋体" w:cs="宋体" w:eastAsia="宋体" w:hint="default"/>
                <w:sz w:val="18"/>
                <w:szCs w:val="18"/>
              </w:rPr>
            </w:pPr>
            <w:r>
              <w:rPr>
                <w:rFonts w:ascii="宋体" w:hAnsi="宋体" w:cs="宋体" w:eastAsia="宋体" w:hint="default"/>
                <w:spacing w:val="-3"/>
                <w:sz w:val="18"/>
                <w:szCs w:val="18"/>
              </w:rPr>
              <w:t>期末少数股东权益余</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额</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45.00%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30,356,177.72</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121,383,430.58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维恩贝特</w:t>
            </w:r>
            <w:r>
              <w:rPr>
                <w:rFonts w:ascii="Times New Roman" w:hAnsi="Times New Roman" w:cs="Times New Roman" w:eastAsia="Times New Roman" w:hint="default"/>
                <w:spacing w:val="-3"/>
                <w:sz w:val="18"/>
                <w:szCs w:val="18"/>
              </w:rPr>
              <w:t>*1</w:t>
            </w:r>
            <w:r>
              <w:rPr>
                <w:rFonts w:ascii="Times New Roman" w:hAnsi="Times New Roman" w:cs="Times New Roman" w:eastAsia="Times New Roman"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0.04%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24,496.19</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171,819.04</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安徽迪科数金</w:t>
            </w:r>
            <w:r>
              <w:rPr>
                <w:rFonts w:ascii="Times New Roman" w:hAnsi="Times New Roman" w:cs="Times New Roman" w:eastAsia="Times New Roman" w:hint="default"/>
                <w:spacing w:val="-3"/>
                <w:sz w:val="18"/>
                <w:szCs w:val="18"/>
              </w:rPr>
              <w:t>*2</w:t>
            </w:r>
            <w:r>
              <w:rPr>
                <w:rFonts w:ascii="Times New Roman" w:hAnsi="Times New Roman" w:cs="Times New Roman" w:eastAsia="Times New Roman"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16.00%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3,577,120.98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9" w:right="0"/>
              <w:jc w:val="left"/>
              <w:rPr>
                <w:rFonts w:ascii="Times New Roman" w:hAnsi="Times New Roman" w:cs="Times New Roman" w:eastAsia="Times New Roman" w:hint="default"/>
                <w:sz w:val="18"/>
                <w:szCs w:val="18"/>
              </w:rPr>
            </w:pPr>
            <w:r>
              <w:rPr>
                <w:rFonts w:ascii="Times New Roman"/>
                <w:sz w:val="18"/>
              </w:rPr>
              <w:t>800,000.00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8,587,948.39</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子公司少数股东的持股比例不同于表决权比例的说明：</w:t>
      </w:r>
    </w:p>
    <w:p>
      <w:pPr>
        <w:pStyle w:val="BodyText"/>
        <w:spacing w:line="256" w:lineRule="auto" w:before="90"/>
        <w:ind w:right="1007" w:firstLine="422"/>
        <w:jc w:val="left"/>
      </w:pPr>
      <w:r>
        <w:rPr>
          <w:spacing w:val="-2"/>
        </w:rPr>
        <w:t>说明</w:t>
      </w:r>
      <w:r>
        <w:rPr>
          <w:rFonts w:ascii="Times New Roman" w:hAnsi="Times New Roman" w:cs="Times New Roman" w:eastAsia="Times New Roman" w:hint="default"/>
          <w:spacing w:val="-2"/>
        </w:rPr>
        <w:t>1</w:t>
      </w:r>
      <w:r>
        <w:rPr>
          <w:spacing w:val="-2"/>
        </w:rPr>
        <w:t>：本表列示的少数股东损益为维恩贝特合并其子公司数据，期末少数股东权益余额系维恩贝特</w:t>
      </w:r>
      <w:r>
        <w:rPr>
          <w:w w:val="100"/>
        </w:rPr>
        <w:t> </w:t>
      </w:r>
      <w:r>
        <w:rPr/>
        <w:t>合并其子公司期末余额。</w:t>
      </w:r>
    </w:p>
    <w:p>
      <w:pPr>
        <w:pStyle w:val="BodyText"/>
        <w:spacing w:line="256" w:lineRule="auto" w:before="22"/>
        <w:ind w:right="1007" w:firstLine="422"/>
        <w:jc w:val="left"/>
      </w:pPr>
      <w:r>
        <w:rPr>
          <w:spacing w:val="-2"/>
        </w:rPr>
        <w:t>说明</w:t>
      </w:r>
      <w:r>
        <w:rPr>
          <w:rFonts w:ascii="Times New Roman" w:hAnsi="Times New Roman" w:cs="Times New Roman" w:eastAsia="Times New Roman" w:hint="default"/>
          <w:spacing w:val="-2"/>
        </w:rPr>
        <w:t>2</w:t>
      </w:r>
      <w:r>
        <w:rPr>
          <w:spacing w:val="-2"/>
        </w:rPr>
        <w:t>：本表列示的少数股东损益为安徽迪科数金合并其子公司数据，期末少数股东权益余额系安徽</w:t>
      </w:r>
      <w:r>
        <w:rPr>
          <w:w w:val="100"/>
        </w:rPr>
        <w:t> </w:t>
      </w:r>
      <w:r>
        <w:rPr/>
        <w:t>迪科数金合并其子公司期末余额。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3"/>
        <w:spacing w:line="240" w:lineRule="auto"/>
        <w:ind w:right="1764"/>
        <w:jc w:val="left"/>
        <w:rPr>
          <w:b w:val="0"/>
          <w:bCs w:val="0"/>
        </w:rPr>
      </w:pPr>
      <w:bookmarkStart w:name="（3）重要非全资子公司的主要财务信息" w:id="445"/>
      <w:bookmarkEnd w:id="445"/>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734"/>
        <w:gridCol w:w="740"/>
        <w:gridCol w:w="735"/>
        <w:gridCol w:w="734"/>
        <w:gridCol w:w="740"/>
        <w:gridCol w:w="734"/>
        <w:gridCol w:w="735"/>
        <w:gridCol w:w="735"/>
        <w:gridCol w:w="734"/>
        <w:gridCol w:w="735"/>
        <w:gridCol w:w="739"/>
        <w:gridCol w:w="735"/>
        <w:gridCol w:w="739"/>
      </w:tblGrid>
      <w:tr>
        <w:trPr>
          <w:trHeight w:val="404" w:hRule="exact"/>
        </w:trPr>
        <w:tc>
          <w:tcPr>
            <w:tcW w:w="7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82" w:right="175"/>
              <w:jc w:val="both"/>
              <w:rPr>
                <w:rFonts w:ascii="宋体" w:hAnsi="宋体" w:cs="宋体" w:eastAsia="宋体" w:hint="default"/>
                <w:sz w:val="18"/>
                <w:szCs w:val="18"/>
              </w:rPr>
            </w:pPr>
            <w:r>
              <w:rPr>
                <w:rFonts w:ascii="宋体" w:hAnsi="宋体" w:cs="宋体" w:eastAsia="宋体" w:hint="default"/>
                <w:sz w:val="18"/>
                <w:szCs w:val="18"/>
              </w:rPr>
              <w:t>子公</w:t>
            </w:r>
            <w:r>
              <w:rPr>
                <w:rFonts w:ascii="宋体" w:hAnsi="宋体" w:cs="宋体" w:eastAsia="宋体" w:hint="default"/>
                <w:spacing w:val="-86"/>
                <w:sz w:val="18"/>
                <w:szCs w:val="18"/>
              </w:rPr>
              <w:t> </w:t>
            </w:r>
            <w:r>
              <w:rPr>
                <w:rFonts w:ascii="宋体" w:hAnsi="宋体" w:cs="宋体" w:eastAsia="宋体" w:hint="default"/>
                <w:sz w:val="18"/>
                <w:szCs w:val="18"/>
              </w:rPr>
              <w:t>司名</w:t>
            </w:r>
            <w:r>
              <w:rPr>
                <w:rFonts w:ascii="宋体" w:hAnsi="宋体" w:cs="宋体" w:eastAsia="宋体" w:hint="default"/>
                <w:spacing w:val="-86"/>
                <w:sz w:val="18"/>
                <w:szCs w:val="18"/>
              </w:rPr>
              <w:t> </w:t>
            </w:r>
            <w:r>
              <w:rPr>
                <w:rFonts w:ascii="宋体" w:hAnsi="宋体" w:cs="宋体" w:eastAsia="宋体" w:hint="default"/>
                <w:sz w:val="18"/>
                <w:szCs w:val="18"/>
              </w:rPr>
              <w:t>称</w:t>
            </w:r>
          </w:p>
        </w:tc>
        <w:tc>
          <w:tcPr>
            <w:tcW w:w="441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7" w:hRule="exact"/>
        </w:trPr>
        <w:tc>
          <w:tcPr>
            <w:tcW w:w="734" w:type="dxa"/>
            <w:vMerge/>
            <w:tcBorders>
              <w:left w:val="single" w:sz="4" w:space="0" w:color="000000"/>
              <w:bottom w:val="single" w:sz="4" w:space="0" w:color="000000"/>
              <w:right w:val="single" w:sz="4" w:space="0" w:color="000000"/>
            </w:tcBorders>
            <w:shd w:val="clear" w:color="auto" w:fill="D2D2D2"/>
          </w:tcPr>
          <w:p>
            <w:pP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82" w:right="180"/>
              <w:jc w:val="left"/>
              <w:rPr>
                <w:rFonts w:ascii="宋体" w:hAnsi="宋体" w:cs="宋体" w:eastAsia="宋体" w:hint="default"/>
                <w:sz w:val="18"/>
                <w:szCs w:val="18"/>
              </w:rPr>
            </w:pPr>
            <w:r>
              <w:rPr>
                <w:rFonts w:ascii="宋体" w:hAnsi="宋体" w:cs="宋体" w:eastAsia="宋体" w:hint="default"/>
                <w:sz w:val="18"/>
                <w:szCs w:val="18"/>
              </w:rPr>
              <w:t>流动</w:t>
            </w:r>
            <w:r>
              <w:rPr>
                <w:rFonts w:ascii="宋体" w:hAnsi="宋体" w:cs="宋体" w:eastAsia="宋体" w:hint="default"/>
                <w:spacing w:val="-86"/>
                <w:sz w:val="18"/>
                <w:szCs w:val="18"/>
              </w:rPr>
              <w:t> </w:t>
            </w:r>
            <w:r>
              <w:rPr>
                <w:rFonts w:ascii="宋体" w:hAnsi="宋体" w:cs="宋体" w:eastAsia="宋体" w:hint="default"/>
                <w:sz w:val="18"/>
                <w:szCs w:val="18"/>
              </w:rPr>
              <w:t>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77" w:right="180"/>
              <w:jc w:val="both"/>
              <w:rPr>
                <w:rFonts w:ascii="宋体" w:hAnsi="宋体" w:cs="宋体" w:eastAsia="宋体" w:hint="default"/>
                <w:sz w:val="18"/>
                <w:szCs w:val="18"/>
              </w:rPr>
            </w:pPr>
            <w:r>
              <w:rPr>
                <w:rFonts w:ascii="宋体" w:hAnsi="宋体" w:cs="宋体" w:eastAsia="宋体" w:hint="default"/>
                <w:sz w:val="18"/>
                <w:szCs w:val="18"/>
              </w:rPr>
              <w:t>非流</w:t>
            </w:r>
            <w:r>
              <w:rPr>
                <w:rFonts w:ascii="宋体" w:hAnsi="宋体" w:cs="宋体" w:eastAsia="宋体" w:hint="default"/>
                <w:spacing w:val="-86"/>
                <w:sz w:val="18"/>
                <w:szCs w:val="18"/>
              </w:rPr>
              <w:t> </w:t>
            </w:r>
            <w:r>
              <w:rPr>
                <w:rFonts w:ascii="宋体" w:hAnsi="宋体" w:cs="宋体" w:eastAsia="宋体" w:hint="default"/>
                <w:sz w:val="18"/>
                <w:szCs w:val="18"/>
              </w:rPr>
              <w:t>动资</w:t>
            </w:r>
            <w:r>
              <w:rPr>
                <w:rFonts w:ascii="宋体" w:hAnsi="宋体" w:cs="宋体" w:eastAsia="宋体" w:hint="default"/>
                <w:spacing w:val="-86"/>
                <w:sz w:val="18"/>
                <w:szCs w:val="18"/>
              </w:rPr>
              <w:t> </w:t>
            </w:r>
            <w:r>
              <w:rPr>
                <w:rFonts w:ascii="宋体" w:hAnsi="宋体" w:cs="宋体" w:eastAsia="宋体" w:hint="default"/>
                <w:sz w:val="18"/>
                <w:szCs w:val="18"/>
              </w:rPr>
              <w:t>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82" w:right="175"/>
              <w:jc w:val="left"/>
              <w:rPr>
                <w:rFonts w:ascii="宋体" w:hAnsi="宋体" w:cs="宋体" w:eastAsia="宋体" w:hint="default"/>
                <w:sz w:val="18"/>
                <w:szCs w:val="18"/>
              </w:rPr>
            </w:pPr>
            <w:r>
              <w:rPr>
                <w:rFonts w:ascii="宋体" w:hAnsi="宋体" w:cs="宋体" w:eastAsia="宋体" w:hint="default"/>
                <w:sz w:val="18"/>
                <w:szCs w:val="18"/>
              </w:rPr>
              <w:t>资产</w:t>
            </w:r>
            <w:r>
              <w:rPr>
                <w:rFonts w:ascii="宋体" w:hAnsi="宋体" w:cs="宋体" w:eastAsia="宋体" w:hint="default"/>
                <w:spacing w:val="-86"/>
                <w:sz w:val="18"/>
                <w:szCs w:val="18"/>
              </w:rPr>
              <w:t> </w:t>
            </w:r>
            <w:r>
              <w:rPr>
                <w:rFonts w:ascii="宋体" w:hAnsi="宋体" w:cs="宋体" w:eastAsia="宋体" w:hint="default"/>
                <w:sz w:val="18"/>
                <w:szCs w:val="18"/>
              </w:rPr>
              <w:t>合计</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82" w:right="182"/>
              <w:jc w:val="left"/>
              <w:rPr>
                <w:rFonts w:ascii="宋体" w:hAnsi="宋体" w:cs="宋体" w:eastAsia="宋体" w:hint="default"/>
                <w:sz w:val="18"/>
                <w:szCs w:val="18"/>
              </w:rPr>
            </w:pPr>
            <w:r>
              <w:rPr>
                <w:rFonts w:ascii="宋体" w:hAnsi="宋体" w:cs="宋体" w:eastAsia="宋体" w:hint="default"/>
                <w:sz w:val="18"/>
                <w:szCs w:val="18"/>
              </w:rPr>
              <w:t>流动</w:t>
            </w:r>
            <w:r>
              <w:rPr>
                <w:rFonts w:ascii="宋体" w:hAnsi="宋体" w:cs="宋体" w:eastAsia="宋体" w:hint="default"/>
                <w:spacing w:val="-86"/>
                <w:sz w:val="18"/>
                <w:szCs w:val="18"/>
              </w:rPr>
              <w:t> </w:t>
            </w:r>
            <w:r>
              <w:rPr>
                <w:rFonts w:ascii="宋体" w:hAnsi="宋体" w:cs="宋体" w:eastAsia="宋体" w:hint="default"/>
                <w:sz w:val="18"/>
                <w:szCs w:val="18"/>
              </w:rPr>
              <w:t>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77" w:right="180"/>
              <w:jc w:val="both"/>
              <w:rPr>
                <w:rFonts w:ascii="宋体" w:hAnsi="宋体" w:cs="宋体" w:eastAsia="宋体" w:hint="default"/>
                <w:sz w:val="18"/>
                <w:szCs w:val="18"/>
              </w:rPr>
            </w:pPr>
            <w:r>
              <w:rPr>
                <w:rFonts w:ascii="宋体" w:hAnsi="宋体" w:cs="宋体" w:eastAsia="宋体" w:hint="default"/>
                <w:sz w:val="18"/>
                <w:szCs w:val="18"/>
              </w:rPr>
              <w:t>非流</w:t>
            </w:r>
            <w:r>
              <w:rPr>
                <w:rFonts w:ascii="宋体" w:hAnsi="宋体" w:cs="宋体" w:eastAsia="宋体" w:hint="default"/>
                <w:spacing w:val="-86"/>
                <w:sz w:val="18"/>
                <w:szCs w:val="18"/>
              </w:rPr>
              <w:t> </w:t>
            </w:r>
            <w:r>
              <w:rPr>
                <w:rFonts w:ascii="宋体" w:hAnsi="宋体" w:cs="宋体" w:eastAsia="宋体" w:hint="default"/>
                <w:sz w:val="18"/>
                <w:szCs w:val="18"/>
              </w:rPr>
              <w:t>动负</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82" w:right="175"/>
              <w:jc w:val="left"/>
              <w:rPr>
                <w:rFonts w:ascii="宋体" w:hAnsi="宋体" w:cs="宋体" w:eastAsia="宋体" w:hint="default"/>
                <w:sz w:val="18"/>
                <w:szCs w:val="18"/>
              </w:rPr>
            </w:pPr>
            <w:r>
              <w:rPr>
                <w:rFonts w:ascii="宋体" w:hAnsi="宋体" w:cs="宋体" w:eastAsia="宋体" w:hint="default"/>
                <w:sz w:val="18"/>
                <w:szCs w:val="18"/>
              </w:rPr>
              <w:t>负债</w:t>
            </w:r>
            <w:r>
              <w:rPr>
                <w:rFonts w:ascii="宋体" w:hAnsi="宋体" w:cs="宋体" w:eastAsia="宋体" w:hint="default"/>
                <w:spacing w:val="-86"/>
                <w:sz w:val="18"/>
                <w:szCs w:val="18"/>
              </w:rPr>
              <w:t> </w:t>
            </w:r>
            <w:r>
              <w:rPr>
                <w:rFonts w:ascii="宋体" w:hAnsi="宋体" w:cs="宋体" w:eastAsia="宋体" w:hint="default"/>
                <w:sz w:val="18"/>
                <w:szCs w:val="18"/>
              </w:rPr>
              <w:t>合计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82" w:right="177"/>
              <w:jc w:val="left"/>
              <w:rPr>
                <w:rFonts w:ascii="宋体" w:hAnsi="宋体" w:cs="宋体" w:eastAsia="宋体" w:hint="default"/>
                <w:sz w:val="18"/>
                <w:szCs w:val="18"/>
              </w:rPr>
            </w:pPr>
            <w:r>
              <w:rPr>
                <w:rFonts w:ascii="宋体" w:hAnsi="宋体" w:cs="宋体" w:eastAsia="宋体" w:hint="default"/>
                <w:sz w:val="18"/>
                <w:szCs w:val="18"/>
              </w:rPr>
              <w:t>流动</w:t>
            </w:r>
            <w:r>
              <w:rPr>
                <w:rFonts w:ascii="宋体" w:hAnsi="宋体" w:cs="宋体" w:eastAsia="宋体" w:hint="default"/>
                <w:spacing w:val="-86"/>
                <w:sz w:val="18"/>
                <w:szCs w:val="18"/>
              </w:rPr>
              <w:t> </w:t>
            </w:r>
            <w:r>
              <w:rPr>
                <w:rFonts w:ascii="宋体" w:hAnsi="宋体" w:cs="宋体" w:eastAsia="宋体" w:hint="default"/>
                <w:sz w:val="18"/>
                <w:szCs w:val="18"/>
              </w:rPr>
              <w:t>资产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2" w:right="175"/>
              <w:jc w:val="both"/>
              <w:rPr>
                <w:rFonts w:ascii="宋体" w:hAnsi="宋体" w:cs="宋体" w:eastAsia="宋体" w:hint="default"/>
                <w:sz w:val="18"/>
                <w:szCs w:val="18"/>
              </w:rPr>
            </w:pPr>
            <w:r>
              <w:rPr>
                <w:rFonts w:ascii="宋体" w:hAnsi="宋体" w:cs="宋体" w:eastAsia="宋体" w:hint="default"/>
                <w:sz w:val="18"/>
                <w:szCs w:val="18"/>
              </w:rPr>
              <w:t>非流</w:t>
            </w:r>
            <w:r>
              <w:rPr>
                <w:rFonts w:ascii="宋体" w:hAnsi="宋体" w:cs="宋体" w:eastAsia="宋体" w:hint="default"/>
                <w:spacing w:val="-86"/>
                <w:sz w:val="18"/>
                <w:szCs w:val="18"/>
              </w:rPr>
              <w:t> </w:t>
            </w:r>
            <w:r>
              <w:rPr>
                <w:rFonts w:ascii="宋体" w:hAnsi="宋体" w:cs="宋体" w:eastAsia="宋体" w:hint="default"/>
                <w:sz w:val="18"/>
                <w:szCs w:val="18"/>
              </w:rPr>
              <w:t>动资</w:t>
            </w:r>
            <w:r>
              <w:rPr>
                <w:rFonts w:ascii="宋体" w:hAnsi="宋体" w:cs="宋体" w:eastAsia="宋体" w:hint="default"/>
                <w:spacing w:val="-86"/>
                <w:sz w:val="18"/>
                <w:szCs w:val="18"/>
              </w:rPr>
              <w:t> </w:t>
            </w:r>
            <w:r>
              <w:rPr>
                <w:rFonts w:ascii="宋体" w:hAnsi="宋体" w:cs="宋体" w:eastAsia="宋体" w:hint="default"/>
                <w:sz w:val="18"/>
                <w:szCs w:val="18"/>
              </w:rPr>
              <w:t>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82" w:right="176"/>
              <w:jc w:val="left"/>
              <w:rPr>
                <w:rFonts w:ascii="宋体" w:hAnsi="宋体" w:cs="宋体" w:eastAsia="宋体" w:hint="default"/>
                <w:sz w:val="18"/>
                <w:szCs w:val="18"/>
              </w:rPr>
            </w:pPr>
            <w:r>
              <w:rPr>
                <w:rFonts w:ascii="宋体" w:hAnsi="宋体" w:cs="宋体" w:eastAsia="宋体" w:hint="default"/>
                <w:sz w:val="18"/>
                <w:szCs w:val="18"/>
              </w:rPr>
              <w:t>资产</w:t>
            </w:r>
            <w:r>
              <w:rPr>
                <w:rFonts w:ascii="宋体" w:hAnsi="宋体" w:cs="宋体" w:eastAsia="宋体" w:hint="default"/>
                <w:spacing w:val="-86"/>
                <w:sz w:val="18"/>
                <w:szCs w:val="18"/>
              </w:rPr>
              <w:t> </w:t>
            </w:r>
            <w:r>
              <w:rPr>
                <w:rFonts w:ascii="宋体" w:hAnsi="宋体" w:cs="宋体" w:eastAsia="宋体" w:hint="default"/>
                <w:sz w:val="18"/>
                <w:szCs w:val="18"/>
              </w:rPr>
              <w:t>合计</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87" w:right="175"/>
              <w:jc w:val="left"/>
              <w:rPr>
                <w:rFonts w:ascii="宋体" w:hAnsi="宋体" w:cs="宋体" w:eastAsia="宋体" w:hint="default"/>
                <w:sz w:val="18"/>
                <w:szCs w:val="18"/>
              </w:rPr>
            </w:pPr>
            <w:r>
              <w:rPr>
                <w:rFonts w:ascii="宋体" w:hAnsi="宋体" w:cs="宋体" w:eastAsia="宋体" w:hint="default"/>
                <w:sz w:val="18"/>
                <w:szCs w:val="18"/>
              </w:rPr>
              <w:t>流动</w:t>
            </w:r>
            <w:r>
              <w:rPr>
                <w:rFonts w:ascii="宋体" w:hAnsi="宋体" w:cs="宋体" w:eastAsia="宋体" w:hint="default"/>
                <w:spacing w:val="-86"/>
                <w:sz w:val="18"/>
                <w:szCs w:val="18"/>
              </w:rPr>
              <w:t> </w:t>
            </w:r>
            <w:r>
              <w:rPr>
                <w:rFonts w:ascii="宋体" w:hAnsi="宋体" w:cs="宋体" w:eastAsia="宋体" w:hint="default"/>
                <w:sz w:val="18"/>
                <w:szCs w:val="18"/>
              </w:rPr>
              <w:t>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2" w:right="177"/>
              <w:jc w:val="both"/>
              <w:rPr>
                <w:rFonts w:ascii="宋体" w:hAnsi="宋体" w:cs="宋体" w:eastAsia="宋体" w:hint="default"/>
                <w:sz w:val="18"/>
                <w:szCs w:val="18"/>
              </w:rPr>
            </w:pPr>
            <w:r>
              <w:rPr>
                <w:rFonts w:ascii="宋体" w:hAnsi="宋体" w:cs="宋体" w:eastAsia="宋体" w:hint="default"/>
                <w:sz w:val="18"/>
                <w:szCs w:val="18"/>
              </w:rPr>
              <w:t>非流</w:t>
            </w:r>
            <w:r>
              <w:rPr>
                <w:rFonts w:ascii="宋体" w:hAnsi="宋体" w:cs="宋体" w:eastAsia="宋体" w:hint="default"/>
                <w:spacing w:val="-86"/>
                <w:sz w:val="18"/>
                <w:szCs w:val="18"/>
              </w:rPr>
              <w:t> </w:t>
            </w:r>
            <w:r>
              <w:rPr>
                <w:rFonts w:ascii="宋体" w:hAnsi="宋体" w:cs="宋体" w:eastAsia="宋体" w:hint="default"/>
                <w:sz w:val="18"/>
                <w:szCs w:val="18"/>
              </w:rPr>
              <w:t>动负</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82" w:right="180"/>
              <w:jc w:val="left"/>
              <w:rPr>
                <w:rFonts w:ascii="宋体" w:hAnsi="宋体" w:cs="宋体" w:eastAsia="宋体" w:hint="default"/>
                <w:sz w:val="18"/>
                <w:szCs w:val="18"/>
              </w:rPr>
            </w:pPr>
            <w:r>
              <w:rPr>
                <w:rFonts w:ascii="宋体" w:hAnsi="宋体" w:cs="宋体" w:eastAsia="宋体" w:hint="default"/>
                <w:sz w:val="18"/>
                <w:szCs w:val="18"/>
              </w:rPr>
              <w:t>负债</w:t>
            </w:r>
            <w:r>
              <w:rPr>
                <w:rFonts w:ascii="宋体" w:hAnsi="宋体" w:cs="宋体" w:eastAsia="宋体" w:hint="default"/>
                <w:spacing w:val="-86"/>
                <w:sz w:val="18"/>
                <w:szCs w:val="18"/>
              </w:rPr>
              <w:t> </w:t>
            </w:r>
            <w:r>
              <w:rPr>
                <w:rFonts w:ascii="宋体" w:hAnsi="宋体" w:cs="宋体" w:eastAsia="宋体" w:hint="default"/>
                <w:sz w:val="18"/>
                <w:szCs w:val="18"/>
              </w:rPr>
              <w:t>合计</w:t>
            </w:r>
          </w:p>
        </w:tc>
      </w:tr>
      <w:tr>
        <w:trPr>
          <w:trHeight w:val="1023"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52"/>
              <w:jc w:val="both"/>
              <w:rPr>
                <w:rFonts w:ascii="宋体" w:hAnsi="宋体" w:cs="宋体" w:eastAsia="宋体" w:hint="default"/>
                <w:sz w:val="18"/>
                <w:szCs w:val="18"/>
              </w:rPr>
            </w:pPr>
            <w:r>
              <w:rPr>
                <w:rFonts w:ascii="宋体" w:hAnsi="宋体" w:cs="宋体" w:eastAsia="宋体" w:hint="default"/>
                <w:sz w:val="18"/>
                <w:szCs w:val="18"/>
              </w:rPr>
              <w:t>深圳</w:t>
            </w:r>
            <w:r>
              <w:rPr>
                <w:rFonts w:ascii="宋体" w:hAnsi="宋体" w:cs="宋体" w:eastAsia="宋体" w:hint="default"/>
                <w:spacing w:val="-86"/>
                <w:sz w:val="18"/>
                <w:szCs w:val="18"/>
              </w:rPr>
              <w:t> </w:t>
            </w:r>
            <w:r>
              <w:rPr>
                <w:rFonts w:ascii="宋体" w:hAnsi="宋体" w:cs="宋体" w:eastAsia="宋体" w:hint="default"/>
                <w:sz w:val="18"/>
                <w:szCs w:val="18"/>
              </w:rPr>
              <w:t>金华</w:t>
            </w:r>
            <w:r>
              <w:rPr>
                <w:rFonts w:ascii="宋体" w:hAnsi="宋体" w:cs="宋体" w:eastAsia="宋体" w:hint="default"/>
                <w:spacing w:val="-86"/>
                <w:sz w:val="18"/>
                <w:szCs w:val="18"/>
              </w:rPr>
              <w:t> </w:t>
            </w:r>
            <w:r>
              <w:rPr>
                <w:rFonts w:ascii="宋体" w:hAnsi="宋体" w:cs="宋体" w:eastAsia="宋体" w:hint="default"/>
                <w:sz w:val="18"/>
                <w:szCs w:val="18"/>
              </w:rPr>
              <w:t>威</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9" w:right="0"/>
              <w:jc w:val="center"/>
              <w:rPr>
                <w:rFonts w:ascii="Times New Roman" w:hAnsi="Times New Roman" w:cs="Times New Roman" w:eastAsia="Times New Roman" w:hint="default"/>
                <w:sz w:val="18"/>
                <w:szCs w:val="18"/>
              </w:rPr>
            </w:pPr>
            <w:r>
              <w:rPr>
                <w:rFonts w:ascii="Times New Roman"/>
                <w:sz w:val="18"/>
              </w:rPr>
              <w:t>2,154,</w:t>
            </w:r>
          </w:p>
          <w:p>
            <w:pPr>
              <w:pStyle w:val="TableParagraph"/>
              <w:spacing w:line="240" w:lineRule="auto" w:before="100"/>
              <w:ind w:left="29" w:right="0"/>
              <w:jc w:val="center"/>
              <w:rPr>
                <w:rFonts w:ascii="Times New Roman" w:hAnsi="Times New Roman" w:cs="Times New Roman" w:eastAsia="Times New Roman" w:hint="default"/>
                <w:sz w:val="18"/>
                <w:szCs w:val="18"/>
              </w:rPr>
            </w:pPr>
            <w:r>
              <w:rPr>
                <w:rFonts w:ascii="Times New Roman"/>
                <w:sz w:val="18"/>
              </w:rPr>
              <w:t>206,65</w:t>
            </w:r>
          </w:p>
          <w:p>
            <w:pPr>
              <w:pStyle w:val="TableParagraph"/>
              <w:spacing w:line="240" w:lineRule="auto" w:before="110"/>
              <w:ind w:left="206" w:right="0"/>
              <w:jc w:val="center"/>
              <w:rPr>
                <w:rFonts w:ascii="Times New Roman" w:hAnsi="Times New Roman" w:cs="Times New Roman" w:eastAsia="Times New Roman" w:hint="default"/>
                <w:sz w:val="18"/>
                <w:szCs w:val="18"/>
              </w:rPr>
            </w:pPr>
            <w:r>
              <w:rPr>
                <w:rFonts w:ascii="Times New Roman"/>
                <w:sz w:val="18"/>
              </w:rPr>
              <w:t>8.45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16,543</w:t>
            </w:r>
          </w:p>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,609.6</w:t>
            </w:r>
          </w:p>
          <w:p>
            <w:pPr>
              <w:pStyle w:val="TableParagraph"/>
              <w:spacing w:line="240" w:lineRule="auto" w:before="110"/>
              <w:ind w:right="105"/>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4" w:right="0"/>
              <w:jc w:val="center"/>
              <w:rPr>
                <w:rFonts w:ascii="Times New Roman" w:hAnsi="Times New Roman" w:cs="Times New Roman" w:eastAsia="Times New Roman" w:hint="default"/>
                <w:sz w:val="18"/>
                <w:szCs w:val="18"/>
              </w:rPr>
            </w:pPr>
            <w:r>
              <w:rPr>
                <w:rFonts w:ascii="Times New Roman"/>
                <w:sz w:val="18"/>
              </w:rPr>
              <w:t>2,170,</w:t>
            </w:r>
          </w:p>
          <w:p>
            <w:pPr>
              <w:pStyle w:val="TableParagraph"/>
              <w:spacing w:line="240" w:lineRule="auto" w:before="100"/>
              <w:ind w:left="33" w:right="0"/>
              <w:jc w:val="center"/>
              <w:rPr>
                <w:rFonts w:ascii="Times New Roman" w:hAnsi="Times New Roman" w:cs="Times New Roman" w:eastAsia="Times New Roman" w:hint="default"/>
                <w:sz w:val="18"/>
                <w:szCs w:val="18"/>
              </w:rPr>
            </w:pPr>
            <w:r>
              <w:rPr>
                <w:rFonts w:ascii="Times New Roman"/>
                <w:sz w:val="18"/>
              </w:rPr>
              <w:t>750,26</w:t>
            </w:r>
          </w:p>
          <w:p>
            <w:pPr>
              <w:pStyle w:val="TableParagraph"/>
              <w:spacing w:line="240" w:lineRule="auto" w:before="110"/>
              <w:ind w:left="210" w:right="0"/>
              <w:jc w:val="center"/>
              <w:rPr>
                <w:rFonts w:ascii="Times New Roman" w:hAnsi="Times New Roman" w:cs="Times New Roman" w:eastAsia="Times New Roman" w:hint="default"/>
                <w:sz w:val="18"/>
                <w:szCs w:val="18"/>
              </w:rPr>
            </w:pPr>
            <w:r>
              <w:rPr>
                <w:rFonts w:ascii="Times New Roman"/>
                <w:sz w:val="18"/>
              </w:rPr>
              <w:t>8.14</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8" w:right="0"/>
              <w:jc w:val="center"/>
              <w:rPr>
                <w:rFonts w:ascii="Times New Roman" w:hAnsi="Times New Roman" w:cs="Times New Roman" w:eastAsia="Times New Roman" w:hint="default"/>
                <w:sz w:val="18"/>
                <w:szCs w:val="18"/>
              </w:rPr>
            </w:pPr>
            <w:r>
              <w:rPr>
                <w:rFonts w:ascii="Times New Roman"/>
                <w:sz w:val="18"/>
              </w:rPr>
              <w:t>1,901,</w:t>
            </w:r>
          </w:p>
          <w:p>
            <w:pPr>
              <w:pStyle w:val="TableParagraph"/>
              <w:spacing w:line="240" w:lineRule="auto" w:before="100"/>
              <w:ind w:left="37" w:right="0"/>
              <w:jc w:val="center"/>
              <w:rPr>
                <w:rFonts w:ascii="Times New Roman" w:hAnsi="Times New Roman" w:cs="Times New Roman" w:eastAsia="Times New Roman" w:hint="default"/>
                <w:sz w:val="18"/>
                <w:szCs w:val="18"/>
              </w:rPr>
            </w:pPr>
            <w:r>
              <w:rPr>
                <w:rFonts w:ascii="Times New Roman"/>
                <w:sz w:val="18"/>
              </w:rPr>
              <w:t>009,31</w:t>
            </w:r>
          </w:p>
          <w:p>
            <w:pPr>
              <w:pStyle w:val="TableParagraph"/>
              <w:spacing w:line="240" w:lineRule="auto" w:before="110"/>
              <w:ind w:left="205" w:right="0"/>
              <w:jc w:val="center"/>
              <w:rPr>
                <w:rFonts w:ascii="Times New Roman" w:hAnsi="Times New Roman" w:cs="Times New Roman" w:eastAsia="Times New Roman" w:hint="default"/>
                <w:sz w:val="18"/>
                <w:szCs w:val="18"/>
              </w:rPr>
            </w:pPr>
            <w:r>
              <w:rPr>
                <w:rFonts w:ascii="Times New Roman"/>
                <w:sz w:val="18"/>
              </w:rPr>
              <w:t>1.31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4" w:right="0"/>
              <w:jc w:val="center"/>
              <w:rPr>
                <w:rFonts w:ascii="Times New Roman" w:hAnsi="Times New Roman" w:cs="Times New Roman" w:eastAsia="Times New Roman" w:hint="default"/>
                <w:sz w:val="18"/>
                <w:szCs w:val="18"/>
              </w:rPr>
            </w:pPr>
            <w:r>
              <w:rPr>
                <w:rFonts w:ascii="Times New Roman"/>
                <w:sz w:val="18"/>
              </w:rPr>
              <w:t>1,901,</w:t>
            </w:r>
          </w:p>
          <w:p>
            <w:pPr>
              <w:pStyle w:val="TableParagraph"/>
              <w:spacing w:line="240" w:lineRule="auto" w:before="100"/>
              <w:ind w:left="43" w:right="0"/>
              <w:jc w:val="center"/>
              <w:rPr>
                <w:rFonts w:ascii="Times New Roman" w:hAnsi="Times New Roman" w:cs="Times New Roman" w:eastAsia="Times New Roman" w:hint="default"/>
                <w:sz w:val="18"/>
                <w:szCs w:val="18"/>
              </w:rPr>
            </w:pPr>
            <w:r>
              <w:rPr>
                <w:rFonts w:ascii="Times New Roman"/>
                <w:sz w:val="18"/>
              </w:rPr>
              <w:t>009,31</w:t>
            </w:r>
          </w:p>
          <w:p>
            <w:pPr>
              <w:pStyle w:val="TableParagraph"/>
              <w:spacing w:line="240" w:lineRule="auto" w:before="110"/>
              <w:ind w:left="211" w:right="0"/>
              <w:jc w:val="center"/>
              <w:rPr>
                <w:rFonts w:ascii="Times New Roman" w:hAnsi="Times New Roman" w:cs="Times New Roman" w:eastAsia="Times New Roman" w:hint="default"/>
                <w:sz w:val="18"/>
                <w:szCs w:val="18"/>
              </w:rPr>
            </w:pPr>
            <w:r>
              <w:rPr>
                <w:rFonts w:ascii="Times New Roman"/>
                <w:sz w:val="18"/>
              </w:rPr>
              <w:t>1.31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3" w:right="0"/>
              <w:jc w:val="center"/>
              <w:rPr>
                <w:rFonts w:ascii="Times New Roman" w:hAnsi="Times New Roman" w:cs="Times New Roman" w:eastAsia="Times New Roman" w:hint="default"/>
                <w:sz w:val="18"/>
                <w:szCs w:val="18"/>
              </w:rPr>
            </w:pPr>
            <w:r>
              <w:rPr>
                <w:rFonts w:ascii="Times New Roman"/>
                <w:sz w:val="18"/>
              </w:rPr>
              <w:t>1,580,</w:t>
            </w:r>
          </w:p>
          <w:p>
            <w:pPr>
              <w:pStyle w:val="TableParagraph"/>
              <w:spacing w:line="240" w:lineRule="auto" w:before="100"/>
              <w:ind w:left="33" w:right="0"/>
              <w:jc w:val="center"/>
              <w:rPr>
                <w:rFonts w:ascii="Times New Roman" w:hAnsi="Times New Roman" w:cs="Times New Roman" w:eastAsia="Times New Roman" w:hint="default"/>
                <w:sz w:val="18"/>
                <w:szCs w:val="18"/>
              </w:rPr>
            </w:pPr>
            <w:r>
              <w:rPr>
                <w:rFonts w:ascii="Times New Roman"/>
                <w:sz w:val="18"/>
              </w:rPr>
              <w:t>001,06</w:t>
            </w:r>
          </w:p>
          <w:p>
            <w:pPr>
              <w:pStyle w:val="TableParagraph"/>
              <w:spacing w:line="240" w:lineRule="auto" w:before="110"/>
              <w:ind w:left="210" w:right="0"/>
              <w:jc w:val="center"/>
              <w:rPr>
                <w:rFonts w:ascii="Times New Roman" w:hAnsi="Times New Roman" w:cs="Times New Roman" w:eastAsia="Times New Roman" w:hint="default"/>
                <w:sz w:val="18"/>
                <w:szCs w:val="18"/>
              </w:rPr>
            </w:pPr>
            <w:r>
              <w:rPr>
                <w:rFonts w:ascii="Times New Roman"/>
                <w:sz w:val="18"/>
              </w:rPr>
              <w:t>3.34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10,865</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,818.3</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3" w:right="0"/>
              <w:jc w:val="center"/>
              <w:rPr>
                <w:rFonts w:ascii="Times New Roman" w:hAnsi="Times New Roman" w:cs="Times New Roman" w:eastAsia="Times New Roman" w:hint="default"/>
                <w:sz w:val="18"/>
                <w:szCs w:val="18"/>
              </w:rPr>
            </w:pPr>
            <w:r>
              <w:rPr>
                <w:rFonts w:ascii="Times New Roman"/>
                <w:sz w:val="18"/>
              </w:rPr>
              <w:t>1,590,</w:t>
            </w:r>
          </w:p>
          <w:p>
            <w:pPr>
              <w:pStyle w:val="TableParagraph"/>
              <w:spacing w:line="240" w:lineRule="auto" w:before="100"/>
              <w:ind w:left="33" w:right="0"/>
              <w:jc w:val="center"/>
              <w:rPr>
                <w:rFonts w:ascii="Times New Roman" w:hAnsi="Times New Roman" w:cs="Times New Roman" w:eastAsia="Times New Roman" w:hint="default"/>
                <w:sz w:val="18"/>
                <w:szCs w:val="18"/>
              </w:rPr>
            </w:pPr>
            <w:r>
              <w:rPr>
                <w:rFonts w:ascii="Times New Roman"/>
                <w:sz w:val="18"/>
              </w:rPr>
              <w:t>866,88</w:t>
            </w:r>
          </w:p>
          <w:p>
            <w:pPr>
              <w:pStyle w:val="TableParagraph"/>
              <w:spacing w:line="240" w:lineRule="auto" w:before="110"/>
              <w:ind w:left="210" w:right="0"/>
              <w:jc w:val="center"/>
              <w:rPr>
                <w:rFonts w:ascii="Times New Roman" w:hAnsi="Times New Roman" w:cs="Times New Roman" w:eastAsia="Times New Roman" w:hint="default"/>
                <w:sz w:val="18"/>
                <w:szCs w:val="18"/>
              </w:rPr>
            </w:pPr>
            <w:r>
              <w:rPr>
                <w:rFonts w:ascii="Times New Roman"/>
                <w:sz w:val="18"/>
              </w:rPr>
              <w:t>1.64</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1,388,</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584,09</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7.53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9" w:right="0"/>
              <w:jc w:val="center"/>
              <w:rPr>
                <w:rFonts w:ascii="Times New Roman" w:hAnsi="Times New Roman" w:cs="Times New Roman" w:eastAsia="Times New Roman" w:hint="default"/>
                <w:sz w:val="18"/>
                <w:szCs w:val="18"/>
              </w:rPr>
            </w:pPr>
            <w:r>
              <w:rPr>
                <w:rFonts w:ascii="Times New Roman"/>
                <w:sz w:val="18"/>
              </w:rPr>
              <w:t>1,388,</w:t>
            </w:r>
          </w:p>
          <w:p>
            <w:pPr>
              <w:pStyle w:val="TableParagraph"/>
              <w:spacing w:line="240" w:lineRule="auto" w:before="100"/>
              <w:ind w:left="28" w:right="0"/>
              <w:jc w:val="center"/>
              <w:rPr>
                <w:rFonts w:ascii="Times New Roman" w:hAnsi="Times New Roman" w:cs="Times New Roman" w:eastAsia="Times New Roman" w:hint="default"/>
                <w:sz w:val="18"/>
                <w:szCs w:val="18"/>
              </w:rPr>
            </w:pPr>
            <w:r>
              <w:rPr>
                <w:rFonts w:ascii="Times New Roman"/>
                <w:sz w:val="18"/>
              </w:rPr>
              <w:t>584,09</w:t>
            </w:r>
          </w:p>
          <w:p>
            <w:pPr>
              <w:pStyle w:val="TableParagraph"/>
              <w:spacing w:line="240" w:lineRule="auto" w:before="110"/>
              <w:ind w:left="206" w:right="0"/>
              <w:jc w:val="center"/>
              <w:rPr>
                <w:rFonts w:ascii="Times New Roman" w:hAnsi="Times New Roman" w:cs="Times New Roman" w:eastAsia="Times New Roman" w:hint="default"/>
                <w:sz w:val="18"/>
                <w:szCs w:val="18"/>
              </w:rPr>
            </w:pPr>
            <w:r>
              <w:rPr>
                <w:rFonts w:ascii="Times New Roman"/>
                <w:sz w:val="18"/>
              </w:rPr>
              <w:t>7.53</w:t>
            </w:r>
          </w:p>
        </w:tc>
      </w:tr>
      <w:tr>
        <w:trPr>
          <w:trHeight w:val="1028"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5" w:right="252"/>
              <w:jc w:val="left"/>
              <w:rPr>
                <w:rFonts w:ascii="宋体" w:hAnsi="宋体" w:cs="宋体" w:eastAsia="宋体" w:hint="default"/>
                <w:sz w:val="18"/>
                <w:szCs w:val="18"/>
              </w:rPr>
            </w:pPr>
            <w:r>
              <w:rPr>
                <w:rFonts w:ascii="宋体" w:hAnsi="宋体" w:cs="宋体" w:eastAsia="宋体" w:hint="default"/>
                <w:sz w:val="18"/>
                <w:szCs w:val="18"/>
              </w:rPr>
              <w:t>维恩</w:t>
            </w:r>
            <w:r>
              <w:rPr>
                <w:rFonts w:ascii="宋体" w:hAnsi="宋体" w:cs="宋体" w:eastAsia="宋体" w:hint="default"/>
                <w:spacing w:val="-86"/>
                <w:sz w:val="18"/>
                <w:szCs w:val="18"/>
              </w:rPr>
              <w:t> </w:t>
            </w:r>
            <w:r>
              <w:rPr>
                <w:rFonts w:ascii="宋体" w:hAnsi="宋体" w:cs="宋体" w:eastAsia="宋体" w:hint="default"/>
                <w:sz w:val="18"/>
                <w:szCs w:val="18"/>
              </w:rPr>
              <w:t>贝特</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0" w:right="0"/>
              <w:jc w:val="left"/>
              <w:rPr>
                <w:rFonts w:ascii="Times New Roman" w:hAnsi="Times New Roman" w:cs="Times New Roman" w:eastAsia="Times New Roman" w:hint="default"/>
                <w:sz w:val="18"/>
                <w:szCs w:val="18"/>
              </w:rPr>
            </w:pPr>
            <w:r>
              <w:rPr>
                <w:rFonts w:ascii="Times New Roman"/>
                <w:sz w:val="18"/>
              </w:rPr>
              <w:t>396,08</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5,473.</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79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80,198</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,214.0</w:t>
            </w:r>
          </w:p>
          <w:p>
            <w:pPr>
              <w:pStyle w:val="TableParagraph"/>
              <w:spacing w:line="240" w:lineRule="auto" w:before="110"/>
              <w:ind w:right="105"/>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476,28</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3,687.</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88</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48,225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,075.3</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4,993,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271.66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53,218</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,347.0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313,33</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2,193.</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62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33,891</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,372.2</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347,22</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3,565.</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87</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25,133</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,429.2</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227,66</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6.67</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25,361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,095.9</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r>
        <w:trPr>
          <w:trHeight w:val="715"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3"/>
              <w:ind w:left="105" w:right="252"/>
              <w:jc w:val="left"/>
              <w:rPr>
                <w:rFonts w:ascii="宋体" w:hAnsi="宋体" w:cs="宋体" w:eastAsia="宋体" w:hint="default"/>
                <w:sz w:val="18"/>
                <w:szCs w:val="18"/>
              </w:rPr>
            </w:pPr>
            <w:r>
              <w:rPr>
                <w:rFonts w:ascii="宋体" w:hAnsi="宋体" w:cs="宋体" w:eastAsia="宋体" w:hint="default"/>
                <w:sz w:val="18"/>
                <w:szCs w:val="18"/>
              </w:rPr>
              <w:t>安徽</w:t>
            </w:r>
            <w:r>
              <w:rPr>
                <w:rFonts w:ascii="宋体" w:hAnsi="宋体" w:cs="宋体" w:eastAsia="宋体" w:hint="default"/>
                <w:spacing w:val="-86"/>
                <w:sz w:val="18"/>
                <w:szCs w:val="18"/>
              </w:rPr>
              <w:t> </w:t>
            </w:r>
            <w:r>
              <w:rPr>
                <w:rFonts w:ascii="宋体" w:hAnsi="宋体" w:cs="宋体" w:eastAsia="宋体" w:hint="default"/>
                <w:sz w:val="18"/>
                <w:szCs w:val="18"/>
              </w:rPr>
              <w:t>迪科</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30" w:right="0"/>
              <w:jc w:val="left"/>
              <w:rPr>
                <w:rFonts w:ascii="Times New Roman" w:hAnsi="Times New Roman" w:cs="Times New Roman" w:eastAsia="Times New Roman" w:hint="default"/>
                <w:sz w:val="18"/>
                <w:szCs w:val="18"/>
              </w:rPr>
            </w:pPr>
            <w:r>
              <w:rPr>
                <w:rFonts w:ascii="Times New Roman"/>
                <w:sz w:val="18"/>
              </w:rPr>
              <w:t>43,295</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,823.3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24" w:right="0"/>
              <w:jc w:val="left"/>
              <w:rPr>
                <w:rFonts w:ascii="Times New Roman" w:hAnsi="Times New Roman" w:cs="Times New Roman" w:eastAsia="Times New Roman" w:hint="default"/>
                <w:sz w:val="18"/>
                <w:szCs w:val="18"/>
              </w:rPr>
            </w:pPr>
            <w:r>
              <w:rPr>
                <w:rFonts w:ascii="Times New Roman"/>
                <w:sz w:val="18"/>
              </w:rPr>
              <w:t>22,262</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,565.6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29" w:right="0"/>
              <w:jc w:val="left"/>
              <w:rPr>
                <w:rFonts w:ascii="Times New Roman" w:hAnsi="Times New Roman" w:cs="Times New Roman" w:eastAsia="Times New Roman" w:hint="default"/>
                <w:sz w:val="18"/>
                <w:szCs w:val="18"/>
              </w:rPr>
            </w:pPr>
            <w:r>
              <w:rPr>
                <w:rFonts w:ascii="Times New Roman"/>
                <w:sz w:val="18"/>
              </w:rPr>
              <w:t>65,558</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,388.9</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29" w:right="0"/>
              <w:jc w:val="left"/>
              <w:rPr>
                <w:rFonts w:ascii="Times New Roman" w:hAnsi="Times New Roman" w:cs="Times New Roman" w:eastAsia="Times New Roman" w:hint="default"/>
                <w:sz w:val="18"/>
                <w:szCs w:val="18"/>
              </w:rPr>
            </w:pPr>
            <w:r>
              <w:rPr>
                <w:rFonts w:ascii="Times New Roman"/>
                <w:sz w:val="18"/>
              </w:rPr>
              <w:t>10,174</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,788.0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8" w:right="0"/>
              <w:jc w:val="left"/>
              <w:rPr>
                <w:rFonts w:ascii="Times New Roman" w:hAnsi="Times New Roman" w:cs="Times New Roman" w:eastAsia="Times New Roman" w:hint="default"/>
                <w:sz w:val="18"/>
                <w:szCs w:val="18"/>
              </w:rPr>
            </w:pPr>
            <w:r>
              <w:rPr>
                <w:rFonts w:ascii="Times New Roman"/>
                <w:sz w:val="18"/>
              </w:rPr>
              <w:t>1,708,</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923.44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34" w:right="0"/>
              <w:jc w:val="left"/>
              <w:rPr>
                <w:rFonts w:ascii="Times New Roman" w:hAnsi="Times New Roman" w:cs="Times New Roman" w:eastAsia="Times New Roman" w:hint="default"/>
                <w:sz w:val="18"/>
                <w:szCs w:val="18"/>
              </w:rPr>
            </w:pPr>
            <w:r>
              <w:rPr>
                <w:rFonts w:ascii="Times New Roman"/>
                <w:sz w:val="18"/>
              </w:rPr>
              <w:t>11,883</w:t>
            </w:r>
          </w:p>
          <w:p>
            <w:pPr>
              <w:pStyle w:val="TableParagraph"/>
              <w:spacing w:line="240" w:lineRule="auto" w:before="105"/>
              <w:ind w:left="182" w:right="0"/>
              <w:jc w:val="left"/>
              <w:rPr>
                <w:rFonts w:ascii="Times New Roman" w:hAnsi="Times New Roman" w:cs="Times New Roman" w:eastAsia="Times New Roman" w:hint="default"/>
                <w:sz w:val="18"/>
                <w:szCs w:val="18"/>
              </w:rPr>
            </w:pPr>
            <w:r>
              <w:rPr>
                <w:rFonts w:ascii="Times New Roman"/>
                <w:sz w:val="18"/>
              </w:rPr>
              <w:t>,711.4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29" w:right="0"/>
              <w:jc w:val="left"/>
              <w:rPr>
                <w:rFonts w:ascii="Times New Roman" w:hAnsi="Times New Roman" w:cs="Times New Roman" w:eastAsia="Times New Roman" w:hint="default"/>
                <w:sz w:val="18"/>
                <w:szCs w:val="18"/>
              </w:rPr>
            </w:pPr>
            <w:r>
              <w:rPr>
                <w:rFonts w:ascii="Times New Roman"/>
                <w:sz w:val="18"/>
              </w:rPr>
              <w:t>25,209</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,622.3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29" w:right="0"/>
              <w:jc w:val="left"/>
              <w:rPr>
                <w:rFonts w:ascii="Times New Roman" w:hAnsi="Times New Roman" w:cs="Times New Roman" w:eastAsia="Times New Roman" w:hint="default"/>
                <w:sz w:val="18"/>
                <w:szCs w:val="18"/>
              </w:rPr>
            </w:pPr>
            <w:r>
              <w:rPr>
                <w:rFonts w:ascii="Times New Roman"/>
                <w:sz w:val="18"/>
              </w:rPr>
              <w:t>22,137</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,516.3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29" w:right="0"/>
              <w:jc w:val="left"/>
              <w:rPr>
                <w:rFonts w:ascii="Times New Roman" w:hAnsi="Times New Roman" w:cs="Times New Roman" w:eastAsia="Times New Roman" w:hint="default"/>
                <w:sz w:val="18"/>
                <w:szCs w:val="18"/>
              </w:rPr>
            </w:pPr>
            <w:r>
              <w:rPr>
                <w:rFonts w:ascii="Times New Roman"/>
                <w:sz w:val="18"/>
              </w:rPr>
              <w:t>47,347</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,138.6</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7" w:right="0"/>
              <w:jc w:val="left"/>
              <w:rPr>
                <w:rFonts w:ascii="Times New Roman" w:hAnsi="Times New Roman" w:cs="Times New Roman" w:eastAsia="Times New Roman" w:hint="default"/>
                <w:sz w:val="18"/>
                <w:szCs w:val="18"/>
              </w:rPr>
            </w:pPr>
            <w:r>
              <w:rPr>
                <w:rFonts w:ascii="Times New Roman"/>
                <w:sz w:val="18"/>
              </w:rPr>
              <w:t>9,277,</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633.97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1,751,</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833.38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34" w:right="0"/>
              <w:jc w:val="left"/>
              <w:rPr>
                <w:rFonts w:ascii="Times New Roman" w:hAnsi="Times New Roman" w:cs="Times New Roman" w:eastAsia="Times New Roman" w:hint="default"/>
                <w:sz w:val="18"/>
                <w:szCs w:val="18"/>
              </w:rPr>
            </w:pPr>
            <w:r>
              <w:rPr>
                <w:rFonts w:ascii="Times New Roman"/>
                <w:sz w:val="18"/>
              </w:rPr>
              <w:t>11,029</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,467.3</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734"/>
        <w:gridCol w:w="740"/>
        <w:gridCol w:w="735"/>
        <w:gridCol w:w="734"/>
        <w:gridCol w:w="740"/>
        <w:gridCol w:w="734"/>
        <w:gridCol w:w="735"/>
        <w:gridCol w:w="735"/>
        <w:gridCol w:w="734"/>
        <w:gridCol w:w="735"/>
        <w:gridCol w:w="739"/>
        <w:gridCol w:w="735"/>
        <w:gridCol w:w="739"/>
      </w:tblGrid>
      <w:tr>
        <w:trPr>
          <w:trHeight w:val="36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数金</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5"/>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739"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r>
    </w:tbl>
    <w:p>
      <w:pPr>
        <w:spacing w:before="53"/>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061"/>
        <w:gridCol w:w="1061"/>
        <w:gridCol w:w="1061"/>
        <w:gridCol w:w="1066"/>
        <w:gridCol w:w="1066"/>
        <w:gridCol w:w="1066"/>
        <w:gridCol w:w="1061"/>
        <w:gridCol w:w="1061"/>
        <w:gridCol w:w="1071"/>
      </w:tblGrid>
      <w:tr>
        <w:trPr>
          <w:trHeight w:val="404"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436" w:right="156" w:hanging="269"/>
              <w:jc w:val="left"/>
              <w:rPr>
                <w:rFonts w:ascii="宋体" w:hAnsi="宋体" w:cs="宋体" w:eastAsia="宋体" w:hint="default"/>
                <w:sz w:val="18"/>
                <w:szCs w:val="18"/>
              </w:rPr>
            </w:pPr>
            <w:r>
              <w:rPr>
                <w:rFonts w:ascii="宋体" w:hAnsi="宋体" w:cs="宋体" w:eastAsia="宋体" w:hint="default"/>
                <w:sz w:val="18"/>
                <w:szCs w:val="18"/>
              </w:rPr>
              <w:t>子公司名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50" w:right="161" w:hanging="183"/>
              <w:jc w:val="left"/>
              <w:rPr>
                <w:rFonts w:ascii="宋体" w:hAnsi="宋体" w:cs="宋体" w:eastAsia="宋体" w:hint="default"/>
                <w:sz w:val="18"/>
                <w:szCs w:val="18"/>
              </w:rPr>
            </w:pPr>
            <w:r>
              <w:rPr>
                <w:rFonts w:ascii="宋体" w:hAnsi="宋体" w:cs="宋体" w:eastAsia="宋体" w:hint="default"/>
                <w:sz w:val="18"/>
                <w:szCs w:val="18"/>
              </w:rPr>
              <w:t>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67" w:right="161"/>
              <w:jc w:val="left"/>
              <w:rPr>
                <w:rFonts w:ascii="宋体" w:hAnsi="宋体" w:cs="宋体" w:eastAsia="宋体" w:hint="default"/>
                <w:sz w:val="18"/>
                <w:szCs w:val="18"/>
              </w:rPr>
            </w:pPr>
            <w:r>
              <w:rPr>
                <w:rFonts w:ascii="宋体" w:hAnsi="宋体" w:cs="宋体" w:eastAsia="宋体" w:hint="default"/>
                <w:sz w:val="18"/>
                <w:szCs w:val="18"/>
              </w:rPr>
              <w:t>经营活动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现金流量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45" w:right="156" w:hanging="178"/>
              <w:jc w:val="left"/>
              <w:rPr>
                <w:rFonts w:ascii="宋体" w:hAnsi="宋体" w:cs="宋体" w:eastAsia="宋体" w:hint="default"/>
                <w:sz w:val="18"/>
                <w:szCs w:val="18"/>
              </w:rPr>
            </w:pPr>
            <w:r>
              <w:rPr>
                <w:rFonts w:ascii="宋体" w:hAnsi="宋体" w:cs="宋体" w:eastAsia="宋体" w:hint="default"/>
                <w:sz w:val="18"/>
                <w:szCs w:val="18"/>
              </w:rPr>
              <w:t>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68" w:right="165"/>
              <w:jc w:val="left"/>
              <w:rPr>
                <w:rFonts w:ascii="宋体" w:hAnsi="宋体" w:cs="宋体" w:eastAsia="宋体" w:hint="default"/>
                <w:sz w:val="18"/>
                <w:szCs w:val="18"/>
              </w:rPr>
            </w:pPr>
            <w:r>
              <w:rPr>
                <w:rFonts w:ascii="宋体" w:hAnsi="宋体" w:cs="宋体" w:eastAsia="宋体" w:hint="default"/>
                <w:sz w:val="18"/>
                <w:szCs w:val="18"/>
              </w:rPr>
              <w:t>经营活动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现金流量</w:t>
            </w:r>
          </w:p>
        </w:tc>
      </w:tr>
      <w:tr>
        <w:trPr>
          <w:trHeight w:val="71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19"/>
              <w:jc w:val="left"/>
              <w:rPr>
                <w:rFonts w:ascii="宋体" w:hAnsi="宋体" w:cs="宋体" w:eastAsia="宋体" w:hint="default"/>
                <w:sz w:val="18"/>
                <w:szCs w:val="18"/>
              </w:rPr>
            </w:pPr>
            <w:r>
              <w:rPr>
                <w:rFonts w:ascii="宋体" w:hAnsi="宋体" w:cs="宋体" w:eastAsia="宋体" w:hint="default"/>
                <w:sz w:val="18"/>
                <w:szCs w:val="18"/>
              </w:rPr>
              <w:t>深圳金华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威</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7" w:right="0"/>
              <w:jc w:val="left"/>
              <w:rPr>
                <w:rFonts w:ascii="Times New Roman" w:hAnsi="Times New Roman" w:cs="Times New Roman" w:eastAsia="Times New Roman" w:hint="default"/>
                <w:sz w:val="18"/>
                <w:szCs w:val="18"/>
              </w:rPr>
            </w:pPr>
            <w:r>
              <w:rPr>
                <w:rFonts w:ascii="Times New Roman"/>
                <w:sz w:val="18"/>
              </w:rPr>
              <w:t>2,881,926,</w:t>
            </w:r>
          </w:p>
          <w:p>
            <w:pPr>
              <w:pStyle w:val="TableParagraph"/>
              <w:spacing w:line="240" w:lineRule="auto" w:before="105"/>
              <w:ind w:left="456" w:right="0"/>
              <w:jc w:val="left"/>
              <w:rPr>
                <w:rFonts w:ascii="Times New Roman" w:hAnsi="Times New Roman" w:cs="Times New Roman" w:eastAsia="Times New Roman" w:hint="default"/>
                <w:sz w:val="18"/>
                <w:szCs w:val="18"/>
              </w:rPr>
            </w:pPr>
            <w:r>
              <w:rPr>
                <w:rFonts w:ascii="Times New Roman"/>
                <w:sz w:val="18"/>
              </w:rPr>
              <w:t>374.65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67,458,172</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z w:val="18"/>
              </w:rPr>
              <w:t>.72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67,458,172</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z w:val="18"/>
              </w:rPr>
              <w:t>.72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7" w:right="0"/>
              <w:jc w:val="left"/>
              <w:rPr>
                <w:rFonts w:ascii="Times New Roman" w:hAnsi="Times New Roman" w:cs="Times New Roman" w:eastAsia="Times New Roman" w:hint="default"/>
                <w:sz w:val="18"/>
                <w:szCs w:val="18"/>
              </w:rPr>
            </w:pPr>
            <w:r>
              <w:rPr>
                <w:rFonts w:ascii="Times New Roman"/>
                <w:sz w:val="18"/>
              </w:rPr>
              <w:t>-365,396,4</w:t>
            </w:r>
          </w:p>
          <w:p>
            <w:pPr>
              <w:pStyle w:val="TableParagraph"/>
              <w:spacing w:line="240" w:lineRule="auto" w:before="105"/>
              <w:ind w:left="552" w:right="0"/>
              <w:jc w:val="left"/>
              <w:rPr>
                <w:rFonts w:ascii="Times New Roman" w:hAnsi="Times New Roman" w:cs="Times New Roman" w:eastAsia="Times New Roman" w:hint="default"/>
                <w:sz w:val="18"/>
                <w:szCs w:val="18"/>
              </w:rPr>
            </w:pPr>
            <w:r>
              <w:rPr>
                <w:rFonts w:ascii="Times New Roman"/>
                <w:sz w:val="18"/>
              </w:rPr>
              <w:t>21.88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7" w:right="0"/>
              <w:jc w:val="left"/>
              <w:rPr>
                <w:rFonts w:ascii="Times New Roman" w:hAnsi="Times New Roman" w:cs="Times New Roman" w:eastAsia="Times New Roman" w:hint="default"/>
                <w:sz w:val="18"/>
                <w:szCs w:val="18"/>
              </w:rPr>
            </w:pPr>
            <w:r>
              <w:rPr>
                <w:rFonts w:ascii="Times New Roman"/>
                <w:sz w:val="18"/>
              </w:rPr>
              <w:t>2,238,069,</w:t>
            </w:r>
          </w:p>
          <w:p>
            <w:pPr>
              <w:pStyle w:val="TableParagraph"/>
              <w:spacing w:line="240" w:lineRule="auto" w:before="105"/>
              <w:ind w:left="456" w:right="0"/>
              <w:jc w:val="left"/>
              <w:rPr>
                <w:rFonts w:ascii="Times New Roman" w:hAnsi="Times New Roman" w:cs="Times New Roman" w:eastAsia="Times New Roman" w:hint="default"/>
                <w:sz w:val="18"/>
                <w:szCs w:val="18"/>
              </w:rPr>
            </w:pPr>
            <w:r>
              <w:rPr>
                <w:rFonts w:ascii="Times New Roman"/>
                <w:sz w:val="18"/>
              </w:rPr>
              <w:t>194.94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56,229,521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.10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56,229,521</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z w:val="18"/>
              </w:rPr>
              <w:t>.10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7" w:right="0"/>
              <w:jc w:val="left"/>
              <w:rPr>
                <w:rFonts w:ascii="Times New Roman" w:hAnsi="Times New Roman" w:cs="Times New Roman" w:eastAsia="Times New Roman" w:hint="default"/>
                <w:sz w:val="18"/>
                <w:szCs w:val="18"/>
              </w:rPr>
            </w:pPr>
            <w:r>
              <w:rPr>
                <w:rFonts w:ascii="Times New Roman"/>
                <w:sz w:val="18"/>
              </w:rPr>
              <w:t>-210,661,7</w:t>
            </w:r>
          </w:p>
          <w:p>
            <w:pPr>
              <w:pStyle w:val="TableParagraph"/>
              <w:spacing w:line="240" w:lineRule="auto" w:before="105"/>
              <w:ind w:left="552" w:right="0"/>
              <w:jc w:val="left"/>
              <w:rPr>
                <w:rFonts w:ascii="Times New Roman" w:hAnsi="Times New Roman" w:cs="Times New Roman" w:eastAsia="Times New Roman" w:hint="default"/>
                <w:sz w:val="18"/>
                <w:szCs w:val="18"/>
              </w:rPr>
            </w:pPr>
            <w:r>
              <w:rPr>
                <w:rFonts w:ascii="Times New Roman"/>
                <w:sz w:val="18"/>
              </w:rPr>
              <w:t>45.69</w:t>
            </w:r>
          </w:p>
        </w:tc>
      </w:tr>
      <w:tr>
        <w:trPr>
          <w:trHeight w:val="71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维恩贝特</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250,260,57</w:t>
            </w:r>
          </w:p>
          <w:p>
            <w:pPr>
              <w:pStyle w:val="TableParagraph"/>
              <w:spacing w:line="240" w:lineRule="auto" w:before="110"/>
              <w:ind w:left="633" w:right="0"/>
              <w:jc w:val="left"/>
              <w:rPr>
                <w:rFonts w:ascii="Times New Roman" w:hAnsi="Times New Roman" w:cs="Times New Roman" w:eastAsia="Times New Roman" w:hint="default"/>
                <w:sz w:val="18"/>
                <w:szCs w:val="18"/>
              </w:rPr>
            </w:pPr>
            <w:r>
              <w:rPr>
                <w:rFonts w:ascii="Times New Roman"/>
                <w:sz w:val="18"/>
              </w:rPr>
              <w:t>6.74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60,484,426</w:t>
            </w:r>
          </w:p>
          <w:p>
            <w:pPr>
              <w:pStyle w:val="TableParagraph"/>
              <w:spacing w:line="240" w:lineRule="auto" w:before="110"/>
              <w:ind w:right="94"/>
              <w:jc w:val="right"/>
              <w:rPr>
                <w:rFonts w:ascii="Times New Roman" w:hAnsi="Times New Roman" w:cs="Times New Roman" w:eastAsia="Times New Roman" w:hint="default"/>
                <w:sz w:val="18"/>
                <w:szCs w:val="18"/>
              </w:rPr>
            </w:pPr>
            <w:r>
              <w:rPr>
                <w:rFonts w:ascii="Times New Roman"/>
                <w:spacing w:val="-3"/>
                <w:sz w:val="18"/>
              </w:rPr>
              <w:t>.11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60,484,426</w:t>
            </w:r>
          </w:p>
          <w:p>
            <w:pPr>
              <w:pStyle w:val="TableParagraph"/>
              <w:spacing w:line="240" w:lineRule="auto" w:before="110"/>
              <w:ind w:right="94"/>
              <w:jc w:val="right"/>
              <w:rPr>
                <w:rFonts w:ascii="Times New Roman" w:hAnsi="Times New Roman" w:cs="Times New Roman" w:eastAsia="Times New Roman" w:hint="default"/>
                <w:sz w:val="18"/>
                <w:szCs w:val="18"/>
              </w:rPr>
            </w:pPr>
            <w:r>
              <w:rPr>
                <w:rFonts w:ascii="Times New Roman"/>
                <w:spacing w:val="-3"/>
                <w:sz w:val="18"/>
              </w:rPr>
              <w:t>.11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7" w:right="0"/>
              <w:jc w:val="left"/>
              <w:rPr>
                <w:rFonts w:ascii="Times New Roman" w:hAnsi="Times New Roman" w:cs="Times New Roman" w:eastAsia="Times New Roman" w:hint="default"/>
                <w:sz w:val="18"/>
                <w:szCs w:val="18"/>
              </w:rPr>
            </w:pPr>
            <w:r>
              <w:rPr>
                <w:rFonts w:ascii="Times New Roman"/>
                <w:sz w:val="18"/>
              </w:rPr>
              <w:t>-54,357,68</w:t>
            </w:r>
          </w:p>
          <w:p>
            <w:pPr>
              <w:pStyle w:val="TableParagraph"/>
              <w:spacing w:line="240" w:lineRule="auto" w:before="110"/>
              <w:ind w:left="638" w:right="0"/>
              <w:jc w:val="left"/>
              <w:rPr>
                <w:rFonts w:ascii="Times New Roman" w:hAnsi="Times New Roman" w:cs="Times New Roman" w:eastAsia="Times New Roman" w:hint="default"/>
                <w:sz w:val="18"/>
                <w:szCs w:val="18"/>
              </w:rPr>
            </w:pPr>
            <w:r>
              <w:rPr>
                <w:rFonts w:ascii="Times New Roman"/>
                <w:sz w:val="18"/>
              </w:rPr>
              <w:t>9.38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232,637,37</w:t>
            </w:r>
          </w:p>
          <w:p>
            <w:pPr>
              <w:pStyle w:val="TableParagraph"/>
              <w:spacing w:line="240" w:lineRule="auto" w:before="110"/>
              <w:ind w:left="634" w:right="0"/>
              <w:jc w:val="left"/>
              <w:rPr>
                <w:rFonts w:ascii="Times New Roman" w:hAnsi="Times New Roman" w:cs="Times New Roman" w:eastAsia="Times New Roman" w:hint="default"/>
                <w:sz w:val="18"/>
                <w:szCs w:val="18"/>
              </w:rPr>
            </w:pPr>
            <w:r>
              <w:rPr>
                <w:rFonts w:ascii="Times New Roman"/>
                <w:sz w:val="18"/>
              </w:rPr>
              <w:t>8.43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63,158,847</w:t>
            </w:r>
          </w:p>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sz w:val="18"/>
              </w:rPr>
              <w:t>.74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63,158,847</w:t>
            </w:r>
          </w:p>
          <w:p>
            <w:pPr>
              <w:pStyle w:val="TableParagraph"/>
              <w:spacing w:line="240" w:lineRule="auto" w:before="110"/>
              <w:ind w:right="94"/>
              <w:jc w:val="right"/>
              <w:rPr>
                <w:rFonts w:ascii="Times New Roman" w:hAnsi="Times New Roman" w:cs="Times New Roman" w:eastAsia="Times New Roman" w:hint="default"/>
                <w:sz w:val="18"/>
                <w:szCs w:val="18"/>
              </w:rPr>
            </w:pPr>
            <w:r>
              <w:rPr>
                <w:rFonts w:ascii="Times New Roman"/>
                <w:sz w:val="18"/>
              </w:rPr>
              <w:t>.74</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2"/>
                <w:sz w:val="18"/>
              </w:rPr>
              <w:t>53,011,987.</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68</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219"/>
              <w:jc w:val="left"/>
              <w:rPr>
                <w:rFonts w:ascii="宋体" w:hAnsi="宋体" w:cs="宋体" w:eastAsia="宋体" w:hint="default"/>
                <w:sz w:val="18"/>
                <w:szCs w:val="18"/>
              </w:rPr>
            </w:pPr>
            <w:r>
              <w:rPr>
                <w:rFonts w:ascii="宋体" w:hAnsi="宋体" w:cs="宋体" w:eastAsia="宋体" w:hint="default"/>
                <w:sz w:val="18"/>
                <w:szCs w:val="18"/>
              </w:rPr>
              <w:t>安徽迪科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284,007,13</w:t>
            </w:r>
          </w:p>
          <w:p>
            <w:pPr>
              <w:pStyle w:val="TableParagraph"/>
              <w:spacing w:line="240" w:lineRule="auto" w:before="110"/>
              <w:ind w:left="633" w:right="0"/>
              <w:jc w:val="left"/>
              <w:rPr>
                <w:rFonts w:ascii="Times New Roman" w:hAnsi="Times New Roman" w:cs="Times New Roman" w:eastAsia="Times New Roman" w:hint="default"/>
                <w:sz w:val="18"/>
                <w:szCs w:val="18"/>
              </w:rPr>
            </w:pPr>
            <w:r>
              <w:rPr>
                <w:rFonts w:ascii="Times New Roman"/>
                <w:sz w:val="18"/>
              </w:rPr>
              <w:t>8.26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22,357,006</w:t>
            </w:r>
          </w:p>
          <w:p>
            <w:pPr>
              <w:pStyle w:val="TableParagraph"/>
              <w:spacing w:line="240" w:lineRule="auto" w:before="110"/>
              <w:ind w:right="94"/>
              <w:jc w:val="right"/>
              <w:rPr>
                <w:rFonts w:ascii="Times New Roman" w:hAnsi="Times New Roman" w:cs="Times New Roman" w:eastAsia="Times New Roman" w:hint="default"/>
                <w:sz w:val="18"/>
                <w:szCs w:val="18"/>
              </w:rPr>
            </w:pPr>
            <w:r>
              <w:rPr>
                <w:rFonts w:ascii="Times New Roman"/>
                <w:sz w:val="18"/>
              </w:rPr>
              <w:t>.15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22,357,006</w:t>
            </w:r>
          </w:p>
          <w:p>
            <w:pPr>
              <w:pStyle w:val="TableParagraph"/>
              <w:spacing w:line="240" w:lineRule="auto" w:before="110"/>
              <w:ind w:right="94"/>
              <w:jc w:val="right"/>
              <w:rPr>
                <w:rFonts w:ascii="Times New Roman" w:hAnsi="Times New Roman" w:cs="Times New Roman" w:eastAsia="Times New Roman" w:hint="default"/>
                <w:sz w:val="18"/>
                <w:szCs w:val="18"/>
              </w:rPr>
            </w:pPr>
            <w:r>
              <w:rPr>
                <w:rFonts w:ascii="Times New Roman"/>
                <w:sz w:val="18"/>
              </w:rPr>
              <w:t>.15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28,626,761</w:t>
            </w:r>
          </w:p>
          <w:p>
            <w:pPr>
              <w:pStyle w:val="TableParagraph"/>
              <w:spacing w:line="240" w:lineRule="auto" w:before="110"/>
              <w:ind w:right="94"/>
              <w:jc w:val="right"/>
              <w:rPr>
                <w:rFonts w:ascii="Times New Roman" w:hAnsi="Times New Roman" w:cs="Times New Roman" w:eastAsia="Times New Roman" w:hint="default"/>
                <w:sz w:val="18"/>
                <w:szCs w:val="18"/>
              </w:rPr>
            </w:pPr>
            <w:r>
              <w:rPr>
                <w:rFonts w:ascii="Times New Roman"/>
                <w:sz w:val="18"/>
              </w:rPr>
              <w:t>.32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172,594,41</w:t>
            </w:r>
          </w:p>
          <w:p>
            <w:pPr>
              <w:pStyle w:val="TableParagraph"/>
              <w:spacing w:line="240" w:lineRule="auto" w:before="110"/>
              <w:ind w:left="634" w:right="0"/>
              <w:jc w:val="left"/>
              <w:rPr>
                <w:rFonts w:ascii="Times New Roman" w:hAnsi="Times New Roman" w:cs="Times New Roman" w:eastAsia="Times New Roman" w:hint="default"/>
                <w:sz w:val="18"/>
                <w:szCs w:val="18"/>
              </w:rPr>
            </w:pPr>
            <w:r>
              <w:rPr>
                <w:rFonts w:ascii="Times New Roman"/>
                <w:sz w:val="18"/>
              </w:rPr>
              <w:t>6.08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23,627,269</w:t>
            </w:r>
          </w:p>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sz w:val="18"/>
              </w:rPr>
              <w:t>.00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23,627,269</w:t>
            </w:r>
          </w:p>
          <w:p>
            <w:pPr>
              <w:pStyle w:val="TableParagraph"/>
              <w:spacing w:line="240" w:lineRule="auto" w:before="110"/>
              <w:ind w:right="94"/>
              <w:jc w:val="right"/>
              <w:rPr>
                <w:rFonts w:ascii="Times New Roman" w:hAnsi="Times New Roman" w:cs="Times New Roman" w:eastAsia="Times New Roman" w:hint="default"/>
                <w:sz w:val="18"/>
                <w:szCs w:val="18"/>
              </w:rPr>
            </w:pPr>
            <w:r>
              <w:rPr>
                <w:rFonts w:ascii="Times New Roman"/>
                <w:sz w:val="18"/>
              </w:rPr>
              <w:t>.00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15,107,995</w:t>
            </w:r>
          </w:p>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sz w:val="18"/>
              </w:rPr>
              <w:t>.01</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3"/>
        <w:spacing w:line="240" w:lineRule="auto"/>
        <w:ind w:right="1764"/>
        <w:jc w:val="left"/>
        <w:rPr>
          <w:b w:val="0"/>
          <w:bCs w:val="0"/>
        </w:rPr>
      </w:pPr>
      <w:bookmarkStart w:name="（4）使用企业集团资产和清偿企业集团债务的重大限制" w:id="446"/>
      <w:bookmarkEnd w:id="446"/>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5）向纳入合并财务报表范围的结构化主体提供的财务支持或其他支持" w:id="447"/>
      <w:bookmarkEnd w:id="447"/>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9"/>
        <w:rPr>
          <w:rFonts w:ascii="宋体" w:hAnsi="宋体" w:cs="宋体" w:eastAsia="宋体" w:hint="default"/>
          <w:b/>
          <w:bCs/>
          <w:sz w:val="26"/>
          <w:szCs w:val="26"/>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3"/>
        <w:spacing w:line="240" w:lineRule="auto"/>
        <w:ind w:right="1764"/>
        <w:jc w:val="left"/>
        <w:rPr>
          <w:b w:val="0"/>
          <w:bCs w:val="0"/>
        </w:rPr>
      </w:pPr>
      <w:bookmarkStart w:name="2、在子公司的所有者权益份额发生变化且仍控制子公司的交易" w:id="448"/>
      <w:bookmarkEnd w:id="448"/>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590" w:lineRule="atLeast" w:before="24"/>
        <w:ind w:left="1251" w:right="1007" w:hanging="1139"/>
        <w:jc w:val="left"/>
        <w:rPr>
          <w:rFonts w:ascii="宋体" w:hAnsi="宋体" w:cs="宋体" w:eastAsia="宋体" w:hint="default"/>
          <w:sz w:val="21"/>
          <w:szCs w:val="21"/>
        </w:rPr>
      </w:pPr>
      <w:bookmarkStart w:name="（1）在子公司所有者权益份额发生变化的情况说明" w:id="449"/>
      <w:bookmarkEnd w:id="44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1"/>
          <w:sz w:val="21"/>
          <w:szCs w:val="21"/>
        </w:rPr>
        <w:t>2019</w:t>
      </w:r>
      <w:r>
        <w:rPr>
          <w:rFonts w:ascii="宋体" w:hAnsi="宋体" w:cs="宋体" w:eastAsia="宋体" w:hint="default"/>
          <w:spacing w:val="-1"/>
          <w:sz w:val="21"/>
          <w:szCs w:val="21"/>
        </w:rPr>
        <w:t>年</w:t>
      </w:r>
      <w:r>
        <w:rPr>
          <w:rFonts w:ascii="宋体" w:hAnsi="宋体" w:cs="宋体" w:eastAsia="宋体" w:hint="default"/>
          <w:spacing w:val="-1"/>
          <w:sz w:val="21"/>
          <w:szCs w:val="21"/>
        </w:rPr>
        <w:t>8</w:t>
      </w:r>
      <w:r>
        <w:rPr>
          <w:rFonts w:ascii="宋体" w:hAnsi="宋体" w:cs="宋体" w:eastAsia="宋体" w:hint="default"/>
          <w:spacing w:val="-1"/>
          <w:sz w:val="21"/>
          <w:szCs w:val="21"/>
        </w:rPr>
        <w:t>月，本公司以</w:t>
      </w:r>
      <w:r>
        <w:rPr>
          <w:rFonts w:ascii="宋体" w:hAnsi="宋体" w:cs="宋体" w:eastAsia="宋体" w:hint="default"/>
          <w:spacing w:val="-1"/>
          <w:sz w:val="21"/>
          <w:szCs w:val="21"/>
        </w:rPr>
        <w:t>55.76</w:t>
      </w:r>
      <w:r>
        <w:rPr>
          <w:rFonts w:ascii="宋体" w:hAnsi="宋体" w:cs="宋体" w:eastAsia="宋体" w:hint="default"/>
          <w:spacing w:val="-1"/>
          <w:sz w:val="21"/>
          <w:szCs w:val="21"/>
        </w:rPr>
        <w:t>万元受让杨爱国、王会洪计</w:t>
      </w:r>
      <w:r>
        <w:rPr>
          <w:rFonts w:ascii="宋体" w:hAnsi="宋体" w:cs="宋体" w:eastAsia="宋体" w:hint="default"/>
          <w:spacing w:val="-1"/>
          <w:sz w:val="21"/>
          <w:szCs w:val="21"/>
        </w:rPr>
        <w:t>4%</w:t>
      </w:r>
      <w:r>
        <w:rPr>
          <w:rFonts w:ascii="宋体" w:hAnsi="宋体" w:cs="宋体" w:eastAsia="宋体" w:hint="default"/>
          <w:spacing w:val="-1"/>
          <w:sz w:val="21"/>
          <w:szCs w:val="21"/>
        </w:rPr>
        <w:t>股权，股权转让完成后，本公司对</w:t>
      </w:r>
    </w:p>
    <w:p>
      <w:pPr>
        <w:pStyle w:val="BodyText"/>
        <w:spacing w:line="273" w:lineRule="auto" w:before="37"/>
        <w:ind w:left="1251" w:right="1007" w:hanging="419"/>
        <w:jc w:val="left"/>
      </w:pPr>
      <w:r>
        <w:rPr/>
        <w:t>广州易星的持股比例由</w:t>
      </w:r>
      <w:r>
        <w:rPr>
          <w:rFonts w:ascii="宋体" w:hAnsi="宋体" w:cs="宋体" w:eastAsia="宋体" w:hint="default"/>
        </w:rPr>
        <w:t>73.35%</w:t>
      </w:r>
      <w:r>
        <w:rPr/>
        <w:t>变更为</w:t>
      </w:r>
      <w:r>
        <w:rPr>
          <w:rFonts w:ascii="宋体" w:hAnsi="宋体" w:cs="宋体" w:eastAsia="宋体" w:hint="default"/>
        </w:rPr>
        <w:t>77.35%</w:t>
      </w:r>
      <w:r>
        <w:rPr/>
        <w:t>。</w:t>
      </w:r>
      <w:r>
        <w:rPr>
          <w:spacing w:val="-100"/>
        </w:rPr>
        <w:t> </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月，本公司将合计</w:t>
      </w:r>
      <w:r>
        <w:rPr>
          <w:rFonts w:ascii="宋体" w:hAnsi="宋体" w:cs="宋体" w:eastAsia="宋体" w:hint="default"/>
          <w:spacing w:val="-2"/>
        </w:rPr>
        <w:t>6%</w:t>
      </w:r>
      <w:r>
        <w:rPr>
          <w:spacing w:val="-2"/>
        </w:rPr>
        <w:t>的股权分别转让予袁夫捷</w:t>
      </w:r>
      <w:r>
        <w:rPr>
          <w:rFonts w:ascii="宋体" w:hAnsi="宋体" w:cs="宋体" w:eastAsia="宋体" w:hint="default"/>
          <w:spacing w:val="-2"/>
        </w:rPr>
        <w:t>3%</w:t>
      </w:r>
      <w:r>
        <w:rPr>
          <w:spacing w:val="-2"/>
        </w:rPr>
        <w:t>、詹宏智</w:t>
      </w:r>
      <w:r>
        <w:rPr>
          <w:rFonts w:ascii="宋体" w:hAnsi="宋体" w:cs="宋体" w:eastAsia="宋体" w:hint="default"/>
          <w:spacing w:val="-2"/>
        </w:rPr>
        <w:t>3%</w:t>
      </w:r>
      <w:r>
        <w:rPr>
          <w:spacing w:val="-2"/>
        </w:rPr>
        <w:t>，转让完成后，本公司对</w:t>
      </w:r>
    </w:p>
    <w:p>
      <w:pPr>
        <w:pStyle w:val="BodyText"/>
        <w:spacing w:line="240" w:lineRule="auto"/>
        <w:ind w:left="818" w:right="5826"/>
        <w:jc w:val="center"/>
      </w:pPr>
      <w:r>
        <w:rPr/>
        <w:t>深圳宝贝团的持股比例由</w:t>
      </w:r>
      <w:r>
        <w:rPr>
          <w:rFonts w:ascii="宋体" w:hAnsi="宋体" w:cs="宋体" w:eastAsia="宋体" w:hint="default"/>
        </w:rPr>
        <w:t>61.4%</w:t>
      </w:r>
      <w:r>
        <w:rPr/>
        <w:t>变更为</w:t>
      </w:r>
      <w:r>
        <w:rPr>
          <w:rFonts w:ascii="宋体" w:hAnsi="宋体" w:cs="宋体" w:eastAsia="宋体" w:hint="default"/>
        </w:rPr>
        <w:t>55.4%</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9"/>
        <w:ind w:right="1764"/>
        <w:jc w:val="left"/>
        <w:rPr>
          <w:b w:val="0"/>
          <w:bCs w:val="0"/>
        </w:rPr>
      </w:pPr>
      <w:bookmarkStart w:name="（2）交易对于少数股东权益及归属于母公司所有者权益的影响" w:id="450"/>
      <w:bookmarkEnd w:id="450"/>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93"/>
        <w:gridCol w:w="3189"/>
        <w:gridCol w:w="3193"/>
      </w:tblGrid>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广州易星</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深圳宝贝团</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557,600.00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1,034,091.70</w:t>
            </w:r>
          </w:p>
        </w:tc>
      </w:tr>
      <w:tr>
        <w:trPr>
          <w:trHeight w:val="39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购买成本</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处置对价合计</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557,600.00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1,034,091.70</w:t>
            </w:r>
          </w:p>
        </w:tc>
      </w:tr>
      <w:tr>
        <w:trPr>
          <w:trHeight w:val="715"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142"/>
              <w:jc w:val="left"/>
              <w:rPr>
                <w:rFonts w:ascii="宋体" w:hAnsi="宋体" w:cs="宋体" w:eastAsia="宋体" w:hint="default"/>
                <w:sz w:val="18"/>
                <w:szCs w:val="18"/>
              </w:rPr>
            </w:pPr>
            <w:r>
              <w:rPr>
                <w:rFonts w:ascii="宋体" w:hAnsi="宋体" w:cs="宋体" w:eastAsia="宋体" w:hint="default"/>
                <w:spacing w:val="-3"/>
                <w:sz w:val="18"/>
                <w:szCs w:val="18"/>
              </w:rPr>
              <w:t>减：按取得</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处置的股权比例计算的子</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公司净资产份额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386,636.19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657,567.55</w:t>
            </w:r>
          </w:p>
        </w:tc>
      </w:tr>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170,963.81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376,524.15</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其中：调整资本公积</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-170,963.81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376,524.15</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3"/>
        <w:spacing w:line="240" w:lineRule="auto" w:before="36"/>
        <w:ind w:right="1764"/>
        <w:jc w:val="left"/>
        <w:rPr>
          <w:b w:val="0"/>
          <w:bCs w:val="0"/>
        </w:rPr>
      </w:pPr>
      <w:bookmarkStart w:name="3、在合营安排或联营企业中的权益" w:id="451"/>
      <w:bookmarkEnd w:id="451"/>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1）重要的合营企业或联营企业" w:id="452"/>
      <w:bookmarkEnd w:id="452"/>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2"/>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398"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0"/>
              <w:ind w:left="235" w:right="132" w:hanging="92"/>
              <w:jc w:val="left"/>
              <w:rPr>
                <w:rFonts w:ascii="宋体" w:hAnsi="宋体" w:cs="宋体" w:eastAsia="宋体" w:hint="default"/>
                <w:sz w:val="18"/>
                <w:szCs w:val="18"/>
              </w:rPr>
            </w:pPr>
            <w:r>
              <w:rPr>
                <w:rFonts w:ascii="宋体" w:hAnsi="宋体" w:cs="宋体" w:eastAsia="宋体" w:hint="default"/>
                <w:spacing w:val="-2"/>
                <w:sz w:val="18"/>
                <w:szCs w:val="18"/>
              </w:rPr>
              <w:t>合营企业或联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营企业名称</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39" w:right="132"/>
              <w:jc w:val="center"/>
              <w:rPr>
                <w:rFonts w:ascii="宋体" w:hAnsi="宋体" w:cs="宋体" w:eastAsia="宋体" w:hint="default"/>
                <w:sz w:val="18"/>
                <w:szCs w:val="18"/>
              </w:rPr>
            </w:pPr>
            <w:r>
              <w:rPr>
                <w:rFonts w:ascii="宋体" w:hAnsi="宋体" w:cs="宋体" w:eastAsia="宋体" w:hint="default"/>
                <w:spacing w:val="-2"/>
                <w:sz w:val="18"/>
                <w:szCs w:val="18"/>
              </w:rPr>
              <w:t>对合营企业或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联营企业投资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的会计处理方</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法</w:t>
            </w:r>
          </w:p>
        </w:tc>
      </w:tr>
      <w:tr>
        <w:trPr>
          <w:trHeight w:val="936"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105" w:right="171"/>
              <w:jc w:val="both"/>
              <w:rPr>
                <w:rFonts w:ascii="宋体" w:hAnsi="宋体" w:cs="宋体" w:eastAsia="宋体" w:hint="default"/>
                <w:sz w:val="18"/>
                <w:szCs w:val="18"/>
              </w:rPr>
            </w:pPr>
            <w:r>
              <w:rPr>
                <w:rFonts w:ascii="宋体" w:hAnsi="宋体" w:cs="宋体" w:eastAsia="宋体" w:hint="default"/>
                <w:spacing w:val="-2"/>
                <w:sz w:val="18"/>
                <w:szCs w:val="18"/>
              </w:rPr>
              <w:t>深圳市汇巨信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息技术有限公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40.00%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71"/>
              <w:jc w:val="both"/>
              <w:rPr>
                <w:rFonts w:ascii="宋体" w:hAnsi="宋体" w:cs="宋体" w:eastAsia="宋体" w:hint="default"/>
                <w:sz w:val="18"/>
                <w:szCs w:val="18"/>
              </w:rPr>
            </w:pPr>
            <w:r>
              <w:rPr>
                <w:rFonts w:ascii="宋体" w:hAnsi="宋体" w:cs="宋体" w:eastAsia="宋体" w:hint="default"/>
                <w:spacing w:val="-2"/>
                <w:sz w:val="18"/>
                <w:szCs w:val="18"/>
              </w:rPr>
              <w:t>北京信邦安达</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信息科技股份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24.23%</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1"/>
              <w:jc w:val="both"/>
              <w:rPr>
                <w:rFonts w:ascii="宋体" w:hAnsi="宋体" w:cs="宋体" w:eastAsia="宋体" w:hint="default"/>
                <w:sz w:val="18"/>
                <w:szCs w:val="18"/>
              </w:rPr>
            </w:pPr>
            <w:r>
              <w:rPr>
                <w:rFonts w:ascii="宋体" w:hAnsi="宋体" w:cs="宋体" w:eastAsia="宋体" w:hint="default"/>
                <w:spacing w:val="-2"/>
                <w:sz w:val="18"/>
                <w:szCs w:val="18"/>
              </w:rPr>
              <w:t>广州天源信息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科技股份有限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31.83%</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71"/>
              <w:jc w:val="left"/>
              <w:rPr>
                <w:rFonts w:ascii="宋体" w:hAnsi="宋体" w:cs="宋体" w:eastAsia="宋体" w:hint="default"/>
                <w:sz w:val="18"/>
                <w:szCs w:val="18"/>
              </w:rPr>
            </w:pPr>
            <w:r>
              <w:rPr>
                <w:rFonts w:ascii="宋体" w:hAnsi="宋体" w:cs="宋体" w:eastAsia="宋体" w:hint="default"/>
                <w:spacing w:val="-2"/>
                <w:sz w:val="18"/>
                <w:szCs w:val="18"/>
              </w:rPr>
              <w:t>深圳墨狼科技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管理有限公司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40.00%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71"/>
              <w:jc w:val="both"/>
              <w:rPr>
                <w:rFonts w:ascii="宋体" w:hAnsi="宋体" w:cs="宋体" w:eastAsia="宋体" w:hint="default"/>
                <w:sz w:val="18"/>
                <w:szCs w:val="18"/>
              </w:rPr>
            </w:pPr>
            <w:r>
              <w:rPr>
                <w:rFonts w:ascii="宋体" w:hAnsi="宋体" w:cs="宋体" w:eastAsia="宋体" w:hint="default"/>
                <w:spacing w:val="-2"/>
                <w:sz w:val="18"/>
                <w:szCs w:val="18"/>
              </w:rPr>
              <w:t>深圳前海维恩</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贝特科技有限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701" w:right="0"/>
              <w:jc w:val="left"/>
              <w:rPr>
                <w:rFonts w:ascii="Times New Roman" w:hAnsi="Times New Roman" w:cs="Times New Roman" w:eastAsia="Times New Roman" w:hint="default"/>
                <w:sz w:val="18"/>
                <w:szCs w:val="18"/>
              </w:rPr>
            </w:pPr>
            <w:r>
              <w:rPr>
                <w:rFonts w:ascii="Times New Roman"/>
                <w:sz w:val="18"/>
              </w:rPr>
              <w:t>40.00%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在合营企业或联营企业的持股比例不同于表决权比例的说明：</w:t>
      </w:r>
    </w:p>
    <w:p>
      <w:pPr>
        <w:spacing w:before="120"/>
        <w:ind w:left="113" w:right="1764" w:firstLine="0"/>
        <w:jc w:val="left"/>
        <w:rPr>
          <w:rFonts w:ascii="宋体" w:hAnsi="宋体" w:cs="宋体" w:eastAsia="宋体" w:hint="default"/>
          <w:sz w:val="18"/>
          <w:szCs w:val="18"/>
        </w:rPr>
      </w:pPr>
      <w:r>
        <w:rPr>
          <w:rFonts w:ascii="宋体" w:hAnsi="宋体" w:cs="宋体" w:eastAsia="宋体" w:hint="default"/>
          <w:sz w:val="18"/>
          <w:szCs w:val="18"/>
        </w:rPr>
        <w:t>持有 </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以下表决权但具有重大影响，或者持有</w:t>
      </w:r>
      <w:r>
        <w:rPr>
          <w:rFonts w:ascii="宋体" w:hAnsi="宋体" w:cs="宋体" w:eastAsia="宋体" w:hint="default"/>
          <w:spacing w:val="34"/>
          <w:sz w:val="18"/>
          <w:szCs w:val="18"/>
        </w:rPr>
        <w:t> </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或以上表决权但不具有重大影响的依据：</w:t>
      </w:r>
    </w:p>
    <w:p>
      <w:pPr>
        <w:spacing w:line="240" w:lineRule="auto" w:before="3"/>
        <w:rPr>
          <w:rFonts w:ascii="宋体" w:hAnsi="宋体" w:cs="宋体" w:eastAsia="宋体" w:hint="default"/>
          <w:sz w:val="25"/>
          <w:szCs w:val="25"/>
        </w:rPr>
      </w:pPr>
    </w:p>
    <w:p>
      <w:pPr>
        <w:pStyle w:val="Heading3"/>
        <w:spacing w:line="240" w:lineRule="auto"/>
        <w:ind w:right="1764"/>
        <w:jc w:val="left"/>
        <w:rPr>
          <w:b w:val="0"/>
          <w:bCs w:val="0"/>
        </w:rPr>
      </w:pPr>
      <w:bookmarkStart w:name="（2）重要合营企业的主要财务信息" w:id="453"/>
      <w:bookmarkEnd w:id="453"/>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7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550"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pStyle w:val="Heading3"/>
        <w:spacing w:line="240" w:lineRule="auto"/>
        <w:ind w:right="1764"/>
        <w:jc w:val="left"/>
        <w:rPr>
          <w:b w:val="0"/>
          <w:bCs w:val="0"/>
        </w:rPr>
      </w:pPr>
      <w:bookmarkStart w:name="（3）重要联营企业的主要财务信息" w:id="454"/>
      <w:bookmarkEnd w:id="454"/>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7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7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90" w:right="142" w:hanging="452"/>
              <w:jc w:val="left"/>
              <w:rPr>
                <w:rFonts w:ascii="宋体" w:hAnsi="宋体" w:cs="宋体" w:eastAsia="宋体" w:hint="default"/>
                <w:sz w:val="18"/>
                <w:szCs w:val="18"/>
              </w:rPr>
            </w:pPr>
            <w:r>
              <w:rPr>
                <w:rFonts w:ascii="宋体" w:hAnsi="宋体" w:cs="宋体" w:eastAsia="宋体" w:hint="default"/>
                <w:spacing w:val="-3"/>
                <w:sz w:val="18"/>
                <w:szCs w:val="18"/>
              </w:rPr>
              <w:t>深州市汇巨信息技术</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99" w:right="137" w:hanging="360"/>
              <w:jc w:val="left"/>
              <w:rPr>
                <w:rFonts w:ascii="宋体" w:hAnsi="宋体" w:cs="宋体" w:eastAsia="宋体" w:hint="default"/>
                <w:sz w:val="18"/>
                <w:szCs w:val="18"/>
              </w:rPr>
            </w:pPr>
            <w:r>
              <w:rPr>
                <w:rFonts w:ascii="宋体" w:hAnsi="宋体" w:cs="宋体" w:eastAsia="宋体" w:hint="default"/>
                <w:spacing w:val="-3"/>
                <w:sz w:val="18"/>
                <w:szCs w:val="18"/>
              </w:rPr>
              <w:t>广州天源信息科技股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份有限公司</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95" w:right="137" w:hanging="452"/>
              <w:jc w:val="left"/>
              <w:rPr>
                <w:rFonts w:ascii="宋体" w:hAnsi="宋体" w:cs="宋体" w:eastAsia="宋体" w:hint="default"/>
                <w:sz w:val="18"/>
                <w:szCs w:val="18"/>
              </w:rPr>
            </w:pPr>
            <w:r>
              <w:rPr>
                <w:rFonts w:ascii="宋体" w:hAnsi="宋体" w:cs="宋体" w:eastAsia="宋体" w:hint="default"/>
                <w:spacing w:val="-3"/>
                <w:sz w:val="18"/>
                <w:szCs w:val="18"/>
              </w:rPr>
              <w:t>深州市汇巨信息技术</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04" w:right="137" w:hanging="360"/>
              <w:jc w:val="left"/>
              <w:rPr>
                <w:rFonts w:ascii="宋体" w:hAnsi="宋体" w:cs="宋体" w:eastAsia="宋体" w:hint="default"/>
                <w:sz w:val="18"/>
                <w:szCs w:val="18"/>
              </w:rPr>
            </w:pPr>
            <w:r>
              <w:rPr>
                <w:rFonts w:ascii="宋体" w:hAnsi="宋体" w:cs="宋体" w:eastAsia="宋体" w:hint="default"/>
                <w:spacing w:val="-3"/>
                <w:sz w:val="18"/>
                <w:szCs w:val="18"/>
              </w:rPr>
              <w:t>广州天源信息科技股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份有限公司</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45,187,639.44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57,882,370.65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42,184,709.95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43,679,596.23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356,359.63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2,998,447.36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337,683.26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4,043,094.34</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45,543,999.07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60,880,818.01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42,522,393.21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47,722,690.57</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6,217,680.37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4,940,949.75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2,382,461.53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5,851,666.15</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26,838.79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2,400,000.00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6,217,680.37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4,967,788.54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3,382,461.53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8,251,666.15</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归属于母公司股东权</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39,326,318.70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55,913,029.47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39,139,931.68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39,471,024.42</w:t>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按持股比例计算的净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资产份额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15,730,527.48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17,797,117.28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15,655,972.67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12,563,627.07</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175"/>
              <w:jc w:val="left"/>
              <w:rPr>
                <w:rFonts w:ascii="宋体" w:hAnsi="宋体" w:cs="宋体" w:eastAsia="宋体" w:hint="default"/>
                <w:sz w:val="18"/>
                <w:szCs w:val="18"/>
              </w:rPr>
            </w:pPr>
            <w:r>
              <w:rPr>
                <w:rFonts w:ascii="宋体" w:hAnsi="宋体" w:cs="宋体" w:eastAsia="宋体" w:hint="default"/>
                <w:spacing w:val="-3"/>
                <w:sz w:val="18"/>
                <w:szCs w:val="18"/>
              </w:rPr>
              <w:t>对联营企业权益投资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的账面价值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42,251,763.60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29,105,481.78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42,177,208.79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23,871,991.57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17,680,234.19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47,835,715.88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12,705,989.06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39,883,265.65</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1,186,387.02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16,442,005.05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640,170.74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6,148,666.72</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1,186,387.02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16,442,005.05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640,170.74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6,148,666.72</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175"/>
              <w:jc w:val="left"/>
              <w:rPr>
                <w:rFonts w:ascii="宋体" w:hAnsi="宋体" w:cs="宋体" w:eastAsia="宋体" w:hint="default"/>
                <w:sz w:val="18"/>
                <w:szCs w:val="18"/>
              </w:rPr>
            </w:pPr>
            <w:r>
              <w:rPr>
                <w:rFonts w:ascii="宋体" w:hAnsi="宋体" w:cs="宋体" w:eastAsia="宋体" w:hint="default"/>
                <w:spacing w:val="-3"/>
                <w:sz w:val="18"/>
                <w:szCs w:val="18"/>
              </w:rPr>
              <w:t>本年度收到的来自联</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营企业的股利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400,000.00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3"/>
        <w:spacing w:line="240" w:lineRule="auto"/>
        <w:ind w:right="1764"/>
        <w:jc w:val="left"/>
        <w:rPr>
          <w:b w:val="0"/>
          <w:bCs w:val="0"/>
        </w:rPr>
      </w:pPr>
      <w:bookmarkStart w:name="（4）不重要的合营企业和联营企业的汇总财务信息" w:id="455"/>
      <w:bookmarkEnd w:id="455"/>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328"/>
        <w:gridCol w:w="3058"/>
        <w:gridCol w:w="3188"/>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下列各项按持股比例计算的合计数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15,701,224.87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5,598,971.15</w:t>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下列各项按持股比例计算的合计数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102,253.72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-733,922.71</w:t>
            </w: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102,253.72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-733,922.71</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3"/>
        <w:spacing w:line="240" w:lineRule="auto"/>
        <w:ind w:right="1764"/>
        <w:jc w:val="left"/>
        <w:rPr>
          <w:b w:val="0"/>
          <w:bCs w:val="0"/>
        </w:rPr>
      </w:pPr>
      <w:bookmarkStart w:name="（5）合营企业或联营企业向本公司转移资金的能力存在重大限制的说明" w:id="456"/>
      <w:bookmarkEnd w:id="456"/>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6）合营企业或联营企业发生的超额亏损" w:id="457"/>
      <w:bookmarkEnd w:id="457"/>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1"/>
        <w:gridCol w:w="2396"/>
        <w:gridCol w:w="2391"/>
      </w:tblGrid>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pacing w:val="-3"/>
                <w:sz w:val="18"/>
                <w:szCs w:val="18"/>
              </w:rPr>
              <w:t>合营企业或联营企业名称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04" w:right="104" w:hanging="995"/>
              <w:jc w:val="left"/>
              <w:rPr>
                <w:rFonts w:ascii="宋体" w:hAnsi="宋体" w:cs="宋体" w:eastAsia="宋体" w:hint="default"/>
                <w:sz w:val="18"/>
                <w:szCs w:val="18"/>
              </w:rPr>
            </w:pPr>
            <w:r>
              <w:rPr>
                <w:rFonts w:ascii="宋体" w:hAnsi="宋体" w:cs="宋体" w:eastAsia="宋体" w:hint="default"/>
                <w:spacing w:val="-3"/>
                <w:sz w:val="18"/>
                <w:szCs w:val="18"/>
              </w:rPr>
              <w:t>累积未确认前期累计认的损</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失</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561" w:right="109" w:hanging="452"/>
              <w:jc w:val="left"/>
              <w:rPr>
                <w:rFonts w:ascii="宋体" w:hAnsi="宋体" w:cs="宋体" w:eastAsia="宋体" w:hint="default"/>
                <w:sz w:val="18"/>
                <w:szCs w:val="18"/>
              </w:rPr>
            </w:pPr>
            <w:r>
              <w:rPr>
                <w:rFonts w:ascii="宋体" w:hAnsi="宋体" w:cs="宋体" w:eastAsia="宋体" w:hint="default"/>
                <w:spacing w:val="-3"/>
                <w:sz w:val="18"/>
                <w:szCs w:val="18"/>
              </w:rPr>
              <w:t>本期未确认的损失（或本期</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分享的净利润）</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pacing w:val="-3"/>
                <w:sz w:val="18"/>
                <w:szCs w:val="18"/>
              </w:rPr>
              <w:t>本期末累积未确认的损失</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3"/>
        <w:spacing w:line="240" w:lineRule="auto" w:before="36"/>
        <w:ind w:right="1764"/>
        <w:jc w:val="left"/>
        <w:rPr>
          <w:b w:val="0"/>
          <w:bCs w:val="0"/>
        </w:rPr>
      </w:pPr>
      <w:bookmarkStart w:name="（7）与合营企业投资相关的未确认承诺" w:id="458"/>
      <w:bookmarkEnd w:id="458"/>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8）与合营企业或联营企业投资相关的或有负债" w:id="459"/>
      <w:bookmarkEnd w:id="459"/>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4、重要的共同经营" w:id="460"/>
      <w:bookmarkEnd w:id="460"/>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403" w:hRule="exact"/>
        </w:trPr>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4"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3"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62" w:lineRule="auto" w:before="54"/>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在共同经营中的持股比例或享有的份额不同于表决权比例的说明：</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3"/>
          <w:sz w:val="18"/>
          <w:szCs w:val="18"/>
        </w:rPr>
        <w:t>共同经营为单独主体的，分类为共同经营的依据：</w:t>
      </w:r>
    </w:p>
    <w:p>
      <w:pPr>
        <w:spacing w:before="23"/>
        <w:ind w:left="113"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3"/>
        <w:spacing w:line="240" w:lineRule="auto"/>
        <w:ind w:right="0"/>
        <w:jc w:val="both"/>
        <w:rPr>
          <w:b w:val="0"/>
          <w:bCs w:val="0"/>
        </w:rPr>
      </w:pPr>
      <w:bookmarkStart w:name="5、在未纳入合并财务报表范围的结构化主体中的权益" w:id="461"/>
      <w:bookmarkEnd w:id="461"/>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1"/>
        <w:rPr>
          <w:rFonts w:ascii="宋体" w:hAnsi="宋体" w:cs="宋体" w:eastAsia="宋体" w:hint="default"/>
          <w:b/>
          <w:bCs/>
          <w:sz w:val="27"/>
          <w:szCs w:val="27"/>
        </w:rPr>
      </w:pPr>
    </w:p>
    <w:p>
      <w:pPr>
        <w:spacing w:before="0"/>
        <w:ind w:left="113" w:right="0" w:firstLine="0"/>
        <w:jc w:val="both"/>
        <w:rPr>
          <w:rFonts w:ascii="宋体" w:hAnsi="宋体" w:cs="宋体" w:eastAsia="宋体" w:hint="default"/>
          <w:sz w:val="18"/>
          <w:szCs w:val="18"/>
        </w:rPr>
      </w:pPr>
      <w:r>
        <w:rPr>
          <w:rFonts w:ascii="宋体" w:hAnsi="宋体" w:cs="宋体" w:eastAsia="宋体" w:hint="default"/>
          <w:spacing w:val="-3"/>
          <w:sz w:val="18"/>
          <w:szCs w:val="18"/>
        </w:rPr>
        <w:t>未纳入合并财务报表范围的结构化主体的相关说明：</w:t>
      </w:r>
    </w:p>
    <w:p>
      <w:pPr>
        <w:spacing w:line="240" w:lineRule="auto" w:before="4"/>
        <w:rPr>
          <w:rFonts w:ascii="宋体" w:hAnsi="宋体" w:cs="宋体" w:eastAsia="宋体" w:hint="default"/>
          <w:sz w:val="26"/>
          <w:szCs w:val="26"/>
        </w:rPr>
      </w:pPr>
    </w:p>
    <w:p>
      <w:pPr>
        <w:pStyle w:val="Heading3"/>
        <w:spacing w:line="240" w:lineRule="auto"/>
        <w:ind w:right="0"/>
        <w:jc w:val="both"/>
        <w:rPr>
          <w:b w:val="0"/>
          <w:bCs w:val="0"/>
        </w:rPr>
      </w:pPr>
      <w:bookmarkStart w:name="6、其他" w:id="462"/>
      <w:bookmarkEnd w:id="462"/>
      <w:r>
        <w:rPr>
          <w:b w:val="0"/>
          <w:bCs w:val="0"/>
        </w:rPr>
      </w:r>
      <w:r>
        <w:rPr>
          <w:rFonts w:ascii="Times New Roman" w:hAnsi="Times New Roman" w:cs="Times New Roman" w:eastAsia="Times New Roman" w:hint="default"/>
        </w:rPr>
        <w:t>6</w:t>
      </w:r>
      <w:r>
        <w:rPr/>
        <w:t>、其他</w:t>
      </w:r>
      <w:r>
        <w:rPr>
          <w:b w:val="0"/>
          <w:bCs w:val="0"/>
        </w:rPr>
      </w:r>
    </w:p>
    <w:p>
      <w:pPr>
        <w:spacing w:line="240" w:lineRule="auto" w:before="6"/>
        <w:rPr>
          <w:rFonts w:ascii="宋体" w:hAnsi="宋体" w:cs="宋体" w:eastAsia="宋体" w:hint="default"/>
          <w:b/>
          <w:bCs/>
          <w:sz w:val="22"/>
          <w:szCs w:val="22"/>
        </w:rPr>
      </w:pPr>
    </w:p>
    <w:p>
      <w:pPr>
        <w:pStyle w:val="Heading2"/>
        <w:spacing w:line="240" w:lineRule="auto"/>
        <w:ind w:right="0"/>
        <w:jc w:val="both"/>
        <w:rPr>
          <w:b w:val="0"/>
          <w:bCs w:val="0"/>
        </w:rPr>
      </w:pPr>
      <w:bookmarkStart w:name="十、与金融工具相关的风险" w:id="463"/>
      <w:bookmarkEnd w:id="463"/>
      <w:r>
        <w:rPr>
          <w:b w:val="0"/>
          <w:bCs w:val="0"/>
        </w:rPr>
      </w:r>
      <w:r>
        <w:rPr/>
        <w:t>十、与金融工具相关的风险</w:t>
      </w:r>
      <w:r>
        <w:rPr>
          <w:b w:val="0"/>
          <w:bCs w:val="0"/>
        </w:rPr>
      </w:r>
    </w:p>
    <w:p>
      <w:pPr>
        <w:spacing w:line="240" w:lineRule="auto" w:before="4"/>
        <w:rPr>
          <w:rFonts w:ascii="宋体" w:hAnsi="宋体" w:cs="宋体" w:eastAsia="宋体" w:hint="default"/>
          <w:b/>
          <w:bCs/>
          <w:sz w:val="25"/>
          <w:szCs w:val="25"/>
        </w:rPr>
      </w:pPr>
    </w:p>
    <w:p>
      <w:pPr>
        <w:pStyle w:val="BodyText"/>
        <w:spacing w:line="273" w:lineRule="auto" w:before="0"/>
        <w:ind w:right="1125" w:firstLine="422"/>
        <w:jc w:val="both"/>
      </w:pPr>
      <w:r>
        <w:rPr>
          <w:spacing w:val="-2"/>
        </w:rPr>
        <w:t>本公司在经营过程中面临各种金融风险：信用风险、市场风险和流动性风险。公司董事会全面负责风</w:t>
      </w:r>
      <w:r>
        <w:rPr>
          <w:w w:val="100"/>
        </w:rPr>
        <w:t> </w:t>
      </w:r>
      <w:r>
        <w:rPr>
          <w:spacing w:val="-2"/>
        </w:rPr>
        <w:t>险管理目标和政策的确定，并对风险管理目标和政策承担最终责任，但是董事会已授权本公司风险管理部</w:t>
      </w:r>
      <w:r>
        <w:rPr>
          <w:spacing w:val="-33"/>
        </w:rPr>
        <w:t> </w:t>
      </w:r>
      <w:r>
        <w:rPr>
          <w:spacing w:val="-33"/>
        </w:rPr>
      </w:r>
      <w:r>
        <w:rPr>
          <w:spacing w:val="-2"/>
        </w:rPr>
        <w:t>门设计和实施能确保风险管理目标和政策得以有效执行的程序。董事会通过风险管理主管递交的月度报告</w:t>
      </w:r>
      <w:r>
        <w:rPr>
          <w:spacing w:val="-33"/>
        </w:rPr>
        <w:t> </w:t>
      </w:r>
      <w:r>
        <w:rPr>
          <w:spacing w:val="-33"/>
        </w:rPr>
      </w:r>
      <w:r>
        <w:rPr>
          <w:spacing w:val="-2"/>
        </w:rPr>
        <w:t>来审查已执行程序的有效性以及风险管理目标和政策的合理性。本公司的内部审计师也会审计风险管理的</w:t>
      </w:r>
      <w:r>
        <w:rPr>
          <w:spacing w:val="-33"/>
        </w:rPr>
        <w:t> </w:t>
      </w:r>
      <w:r>
        <w:rPr>
          <w:spacing w:val="-33"/>
        </w:rPr>
      </w:r>
      <w:r>
        <w:rPr/>
        <w:t>政策和程序，并且将有关发现汇报给审计委员会。</w:t>
      </w:r>
    </w:p>
    <w:p>
      <w:pPr>
        <w:pStyle w:val="BodyText"/>
        <w:spacing w:line="273" w:lineRule="auto"/>
        <w:ind w:right="1007" w:firstLine="422"/>
        <w:jc w:val="left"/>
      </w:pPr>
      <w:r>
        <w:rPr>
          <w:spacing w:val="-2"/>
        </w:rPr>
        <w:t>本公司风险管理的总体目标是在不过度影响公司竞争力和应变力的情况下，制定尽可能降低风险的风</w:t>
      </w:r>
      <w:r>
        <w:rPr>
          <w:w w:val="100"/>
        </w:rPr>
        <w:t> </w:t>
      </w:r>
      <w:r>
        <w:rPr/>
        <w:t>险管理政策。</w:t>
      </w:r>
    </w:p>
    <w:p>
      <w:pPr>
        <w:pStyle w:val="BodyText"/>
        <w:spacing w:line="273" w:lineRule="auto" w:before="127"/>
        <w:ind w:left="535" w:right="1007" w:hanging="106"/>
        <w:jc w:val="left"/>
      </w:pPr>
      <w:r>
        <w:rPr>
          <w:rFonts w:ascii="宋体" w:hAnsi="宋体" w:cs="宋体" w:eastAsia="宋体" w:hint="default"/>
          <w:b/>
          <w:bCs/>
        </w:rPr>
        <w:t>（一）信用风险</w:t>
      </w:r>
      <w:r>
        <w:rPr>
          <w:rFonts w:ascii="宋体" w:hAnsi="宋体" w:cs="宋体" w:eastAsia="宋体" w:hint="default"/>
          <w:b/>
          <w:bCs/>
          <w:spacing w:val="-104"/>
        </w:rPr>
        <w:t> </w:t>
      </w:r>
      <w:r>
        <w:rPr>
          <w:spacing w:val="-2"/>
        </w:rPr>
        <w:t>信用风险是指交易对手未能履行合同义务而导致本公司产生财务损失的风险，管理层已制定适当的信</w:t>
      </w:r>
    </w:p>
    <w:p>
      <w:pPr>
        <w:pStyle w:val="BodyText"/>
        <w:spacing w:line="273" w:lineRule="auto" w:before="8"/>
        <w:ind w:left="535" w:right="1007" w:hanging="423"/>
        <w:jc w:val="left"/>
      </w:pPr>
      <w:r>
        <w:rPr/>
        <w:t>用政策，并且不断监察信用风险的敞口。</w:t>
      </w:r>
      <w:r>
        <w:rPr>
          <w:w w:val="100"/>
        </w:rPr>
        <w:t> </w:t>
      </w:r>
      <w:r>
        <w:rPr>
          <w:spacing w:val="-2"/>
        </w:rPr>
        <w:t>本公司已采取政策只与信用良好的交易对手进行交易。另外，本公司基于对客户的财务状况、从第三</w:t>
      </w:r>
    </w:p>
    <w:p>
      <w:pPr>
        <w:pStyle w:val="BodyText"/>
        <w:spacing w:line="273" w:lineRule="auto"/>
        <w:ind w:right="1106"/>
        <w:jc w:val="both"/>
      </w:pPr>
      <w:r>
        <w:rPr>
          <w:spacing w:val="-2"/>
        </w:rPr>
        <w:t>方获取担保的可能性、信用记录及其它因素诸如目前市场状况等评估客户的信用资质并设置相应信用期。</w:t>
      </w:r>
      <w:r>
        <w:rPr>
          <w:spacing w:val="-13"/>
        </w:rPr>
        <w:t> </w:t>
      </w:r>
      <w:r>
        <w:rPr>
          <w:spacing w:val="-13"/>
        </w:rPr>
      </w:r>
      <w:r>
        <w:rPr>
          <w:spacing w:val="-2"/>
        </w:rPr>
        <w:t>本公司对应收票据、应收账款余额及收回情况进行持续监控，对于信用记录不良的客户，本公司会采用书</w:t>
      </w:r>
      <w:r>
        <w:rPr>
          <w:spacing w:val="-33"/>
        </w:rPr>
        <w:t> </w:t>
      </w:r>
      <w:r>
        <w:rPr>
          <w:spacing w:val="-33"/>
        </w:rPr>
      </w:r>
      <w:r>
        <w:rPr>
          <w:spacing w:val="-2"/>
        </w:rPr>
        <w:t>面催款、缩短信用期或取消信用期等方式，以确保本公司不致面临重大信用损失。此外，本公司于每个资</w:t>
      </w:r>
      <w:r>
        <w:rPr>
          <w:spacing w:val="-33"/>
        </w:rPr>
        <w:t> </w:t>
      </w:r>
      <w:r>
        <w:rPr>
          <w:spacing w:val="-33"/>
        </w:rPr>
      </w:r>
      <w:r>
        <w:rPr/>
        <w:t>产负债表日审核金融资产的回收情况，以确保相关金融资产计提了充分的预期信用损失准备。</w:t>
      </w:r>
    </w:p>
    <w:p>
      <w:pPr>
        <w:pStyle w:val="BodyText"/>
        <w:spacing w:line="273" w:lineRule="auto" w:before="8"/>
        <w:ind w:right="1007" w:firstLine="422"/>
        <w:jc w:val="left"/>
      </w:pPr>
      <w:r>
        <w:rPr>
          <w:spacing w:val="-2"/>
        </w:rPr>
        <w:t>本公司其他金融资产包括货币资金、其他应收款等，这些金融资产的信用风险源自于交易对手违约，</w:t>
      </w:r>
      <w:r>
        <w:rPr>
          <w:w w:val="100"/>
        </w:rPr>
        <w:t> </w:t>
      </w:r>
      <w:r>
        <w:rPr/>
        <w:t>最大信用风险敞口为资产负债表中每项金融资产的账面金额。</w:t>
      </w:r>
    </w:p>
    <w:p>
      <w:pPr>
        <w:pStyle w:val="BodyText"/>
        <w:spacing w:line="273" w:lineRule="auto"/>
        <w:ind w:right="1007" w:firstLine="422"/>
        <w:jc w:val="left"/>
      </w:pPr>
      <w:r>
        <w:rPr/>
        <w:t>本公司持有的货币资金主要存放于国有控股银行和其他大中型商业银行等金融机构，管理层认为这些</w:t>
      </w:r>
      <w:r>
        <w:rPr>
          <w:w w:val="100"/>
        </w:rPr>
        <w:t> </w:t>
      </w:r>
      <w:r>
        <w:rPr/>
        <w:t>商业银行具备较高信誉和资产状况，不存在重大的信用风险，不会产生因对方单位违约而导致的任何重大</w:t>
      </w:r>
      <w:r>
        <w:rPr>
          <w:w w:val="100"/>
        </w:rPr>
        <w:t> </w:t>
      </w:r>
      <w:r>
        <w:rPr>
          <w:spacing w:val="-4"/>
        </w:rPr>
        <w:t>损失。本公司的政策是根据各知名金融机构的市场信誉、经营规模及财务背景来控制存放当中的存款金额，</w:t>
      </w:r>
      <w:r>
        <w:rPr>
          <w:spacing w:val="-42"/>
        </w:rPr>
        <w:t> </w:t>
      </w:r>
      <w:r>
        <w:rPr>
          <w:spacing w:val="-42"/>
        </w:rPr>
      </w:r>
      <w:r>
        <w:rPr/>
        <w:t>以限制对任何单个金融机构的信用风险金额。</w:t>
      </w:r>
    </w:p>
    <w:p>
      <w:pPr>
        <w:pStyle w:val="BodyText"/>
        <w:spacing w:line="273" w:lineRule="auto"/>
        <w:ind w:right="1007" w:firstLine="422"/>
        <w:jc w:val="left"/>
      </w:pPr>
      <w:r>
        <w:rPr>
          <w:spacing w:val="-2"/>
        </w:rPr>
        <w:t>作为本公司信用风险资产管理的一部分，本公司利用账龄来评估应收账款和其他应收款的减值损失。</w:t>
      </w:r>
      <w:r>
        <w:rPr>
          <w:w w:val="100"/>
        </w:rPr>
        <w:t> </w:t>
      </w:r>
      <w:r>
        <w:rPr>
          <w:spacing w:val="-2"/>
        </w:rPr>
        <w:t>本公司的应收账款和其他应收款涉及大量客户，账龄信息可以反映这些客户对于应收账款和其他应收款的</w:t>
      </w:r>
    </w:p>
    <w:p>
      <w:pPr>
        <w:spacing w:after="0" w:line="273"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73" w:lineRule="auto" w:before="36"/>
        <w:ind w:right="1007"/>
        <w:jc w:val="left"/>
      </w:pPr>
      <w:r>
        <w:rPr>
          <w:spacing w:val="-2"/>
        </w:rPr>
        <w:t>偿付能力和坏账风险。本公司根据历史数据计算不同账龄期间的历史实际坏账率，并考虑了当前及未来经</w:t>
      </w:r>
      <w:r>
        <w:rPr>
          <w:spacing w:val="-33"/>
        </w:rPr>
        <w:t> </w:t>
      </w:r>
      <w:r>
        <w:rPr>
          <w:spacing w:val="-33"/>
        </w:rPr>
      </w:r>
      <w:r>
        <w:rPr>
          <w:spacing w:val="-2"/>
        </w:rPr>
        <w:t>济状况的预测，如国家</w:t>
      </w:r>
      <w:r>
        <w:rPr>
          <w:rFonts w:ascii="Times New Roman" w:hAnsi="Times New Roman" w:cs="Times New Roman" w:eastAsia="Times New Roman" w:hint="default"/>
          <w:spacing w:val="-2"/>
        </w:rPr>
        <w:t>GDP</w:t>
      </w:r>
      <w:r>
        <w:rPr>
          <w:spacing w:val="-2"/>
        </w:rPr>
        <w:t>增速、基建投资总额、国家货币政策等前瞻性信息进行调整得出预期损失率。</w:t>
      </w:r>
    </w:p>
    <w:p>
      <w:pPr>
        <w:pStyle w:val="BodyText"/>
        <w:spacing w:line="279" w:lineRule="exact" w:before="0"/>
        <w:ind w:left="535" w:right="1764"/>
        <w:jc w:val="left"/>
      </w:pP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日，相关资产的账面余额与预期信用减值损失情况如下：</w:t>
      </w: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27"/>
        <w:gridCol w:w="2694"/>
        <w:gridCol w:w="3714"/>
      </w:tblGrid>
      <w:tr>
        <w:trPr>
          <w:trHeight w:val="353" w:hRule="exact"/>
        </w:trPr>
        <w:tc>
          <w:tcPr>
            <w:tcW w:w="32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419"/>
              <w:jc w:val="right"/>
              <w:rPr>
                <w:rFonts w:ascii="宋体" w:hAnsi="宋体" w:cs="宋体" w:eastAsia="宋体" w:hint="default"/>
                <w:sz w:val="18"/>
                <w:szCs w:val="18"/>
              </w:rPr>
            </w:pPr>
            <w:r>
              <w:rPr>
                <w:rFonts w:ascii="宋体" w:hAnsi="宋体" w:cs="宋体" w:eastAsia="宋体" w:hint="default"/>
                <w:sz w:val="18"/>
                <w:szCs w:val="18"/>
              </w:rPr>
              <w:t>项目</w:t>
            </w:r>
          </w:p>
        </w:tc>
        <w:tc>
          <w:tcPr>
            <w:tcW w:w="26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71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减值准备</w:t>
            </w:r>
          </w:p>
        </w:tc>
      </w:tr>
      <w:tr>
        <w:trPr>
          <w:trHeight w:val="355" w:hRule="exact"/>
        </w:trPr>
        <w:tc>
          <w:tcPr>
            <w:tcW w:w="3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right="-10"/>
              <w:jc w:val="right"/>
              <w:rPr>
                <w:rFonts w:ascii="宋体" w:hAnsi="宋体" w:cs="宋体" w:eastAsia="宋体" w:hint="default"/>
                <w:sz w:val="18"/>
                <w:szCs w:val="18"/>
              </w:rPr>
            </w:pPr>
            <w:r>
              <w:rPr>
                <w:rFonts w:ascii="宋体"/>
                <w:spacing w:val="-2"/>
                <w:sz w:val="18"/>
              </w:rPr>
              <w:t>103,973,677.16</w:t>
            </w:r>
          </w:p>
        </w:tc>
        <w:tc>
          <w:tcPr>
            <w:tcW w:w="37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5"/>
              <w:ind w:right="3"/>
              <w:jc w:val="right"/>
              <w:rPr>
                <w:rFonts w:ascii="宋体" w:hAnsi="宋体" w:cs="宋体" w:eastAsia="宋体" w:hint="default"/>
                <w:sz w:val="18"/>
                <w:szCs w:val="18"/>
              </w:rPr>
            </w:pPr>
            <w:r>
              <w:rPr>
                <w:rFonts w:ascii="宋体"/>
                <w:spacing w:val="-1"/>
                <w:sz w:val="18"/>
              </w:rPr>
              <w:t>2,269,381.04</w:t>
            </w:r>
          </w:p>
        </w:tc>
      </w:tr>
      <w:tr>
        <w:trPr>
          <w:trHeight w:val="350" w:hRule="exact"/>
        </w:trPr>
        <w:tc>
          <w:tcPr>
            <w:tcW w:w="3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pacing w:val="-1"/>
                <w:sz w:val="18"/>
              </w:rPr>
              <w:t>1,684,037,169.97</w:t>
            </w:r>
          </w:p>
        </w:tc>
        <w:tc>
          <w:tcPr>
            <w:tcW w:w="37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3"/>
              <w:jc w:val="right"/>
              <w:rPr>
                <w:rFonts w:ascii="宋体" w:hAnsi="宋体" w:cs="宋体" w:eastAsia="宋体" w:hint="default"/>
                <w:sz w:val="18"/>
                <w:szCs w:val="18"/>
              </w:rPr>
            </w:pPr>
            <w:r>
              <w:rPr>
                <w:rFonts w:ascii="宋体"/>
                <w:spacing w:val="-2"/>
                <w:sz w:val="18"/>
              </w:rPr>
              <w:t>106,912,531.58</w:t>
            </w:r>
          </w:p>
        </w:tc>
      </w:tr>
      <w:tr>
        <w:trPr>
          <w:trHeight w:val="350" w:hRule="exact"/>
        </w:trPr>
        <w:tc>
          <w:tcPr>
            <w:tcW w:w="3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0"/>
              <w:jc w:val="right"/>
              <w:rPr>
                <w:rFonts w:ascii="宋体" w:hAnsi="宋体" w:cs="宋体" w:eastAsia="宋体" w:hint="default"/>
                <w:sz w:val="18"/>
                <w:szCs w:val="18"/>
              </w:rPr>
            </w:pPr>
            <w:r>
              <w:rPr>
                <w:rFonts w:ascii="宋体"/>
                <w:spacing w:val="-1"/>
                <w:sz w:val="18"/>
              </w:rPr>
              <w:t>62,300,480.53</w:t>
            </w:r>
          </w:p>
        </w:tc>
        <w:tc>
          <w:tcPr>
            <w:tcW w:w="37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3"/>
              <w:jc w:val="right"/>
              <w:rPr>
                <w:rFonts w:ascii="宋体" w:hAnsi="宋体" w:cs="宋体" w:eastAsia="宋体" w:hint="default"/>
                <w:sz w:val="18"/>
                <w:szCs w:val="18"/>
              </w:rPr>
            </w:pPr>
            <w:r>
              <w:rPr>
                <w:rFonts w:ascii="宋体"/>
                <w:spacing w:val="-1"/>
                <w:sz w:val="18"/>
              </w:rPr>
              <w:t>5,171,397.68</w:t>
            </w:r>
          </w:p>
        </w:tc>
      </w:tr>
      <w:tr>
        <w:trPr>
          <w:trHeight w:val="355" w:hRule="exact"/>
        </w:trPr>
        <w:tc>
          <w:tcPr>
            <w:tcW w:w="3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right="1419"/>
              <w:jc w:val="right"/>
              <w:rPr>
                <w:rFonts w:ascii="宋体" w:hAnsi="宋体" w:cs="宋体" w:eastAsia="宋体" w:hint="default"/>
                <w:sz w:val="18"/>
                <w:szCs w:val="18"/>
              </w:rPr>
            </w:pPr>
            <w:r>
              <w:rPr>
                <w:rFonts w:ascii="宋体" w:hAnsi="宋体" w:cs="宋体" w:eastAsia="宋体" w:hint="default"/>
                <w:sz w:val="18"/>
                <w:szCs w:val="18"/>
              </w:rPr>
              <w:t>合计</w:t>
            </w:r>
          </w:p>
        </w:tc>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right="-9"/>
              <w:jc w:val="right"/>
              <w:rPr>
                <w:rFonts w:ascii="宋体" w:hAnsi="宋体" w:cs="宋体" w:eastAsia="宋体" w:hint="default"/>
                <w:sz w:val="18"/>
                <w:szCs w:val="18"/>
              </w:rPr>
            </w:pPr>
            <w:r>
              <w:rPr>
                <w:rFonts w:ascii="宋体"/>
                <w:spacing w:val="-1"/>
                <w:sz w:val="18"/>
              </w:rPr>
              <w:t>1,850,311,327.66</w:t>
            </w:r>
          </w:p>
        </w:tc>
        <w:tc>
          <w:tcPr>
            <w:tcW w:w="37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5"/>
              <w:ind w:right="3"/>
              <w:jc w:val="right"/>
              <w:rPr>
                <w:rFonts w:ascii="宋体" w:hAnsi="宋体" w:cs="宋体" w:eastAsia="宋体" w:hint="default"/>
                <w:sz w:val="18"/>
                <w:szCs w:val="18"/>
              </w:rPr>
            </w:pPr>
            <w:r>
              <w:rPr>
                <w:rFonts w:ascii="宋体"/>
                <w:spacing w:val="-2"/>
                <w:sz w:val="18"/>
              </w:rPr>
              <w:t>114,353,310.30</w:t>
            </w:r>
          </w:p>
        </w:tc>
      </w:tr>
    </w:tbl>
    <w:p>
      <w:pPr>
        <w:spacing w:line="240" w:lineRule="auto" w:before="4"/>
        <w:rPr>
          <w:rFonts w:ascii="宋体" w:hAnsi="宋体" w:cs="宋体" w:eastAsia="宋体" w:hint="default"/>
          <w:sz w:val="5"/>
          <w:szCs w:val="5"/>
        </w:rPr>
      </w:pPr>
    </w:p>
    <w:p>
      <w:pPr>
        <w:pStyle w:val="BodyText"/>
        <w:spacing w:line="261" w:lineRule="auto" w:before="36"/>
        <w:ind w:right="1122" w:firstLine="422"/>
        <w:jc w:val="both"/>
      </w:pPr>
      <w:r>
        <w:rPr>
          <w:spacing w:val="-2"/>
        </w:rPr>
        <w:t>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日，本公司管理层评估了担保项下相关借款的逾期情况、相关借款人的财务状况及其所</w:t>
      </w:r>
      <w:r>
        <w:rPr>
          <w:w w:val="100"/>
        </w:rPr>
        <w:t> </w:t>
      </w:r>
      <w:r>
        <w:rPr>
          <w:spacing w:val="-2"/>
        </w:rPr>
        <w:t>处行业的经济形势，认为自该部分财务担保合同初始确认后，相关信用风险未显著增加。因此，本公司按</w:t>
      </w:r>
      <w:r>
        <w:rPr>
          <w:spacing w:val="-33"/>
        </w:rPr>
        <w:t> </w:t>
      </w:r>
      <w:r>
        <w:rPr>
          <w:spacing w:val="-33"/>
        </w:rPr>
      </w:r>
      <w:r>
        <w:rPr>
          <w:spacing w:val="-2"/>
        </w:rPr>
        <w:t>照相当于上述财务担保合同未来</w:t>
      </w:r>
      <w:r>
        <w:rPr>
          <w:rFonts w:ascii="Times New Roman" w:hAnsi="Times New Roman" w:cs="Times New Roman" w:eastAsia="Times New Roman" w:hint="default"/>
          <w:spacing w:val="-2"/>
        </w:rPr>
        <w:t>12</w:t>
      </w:r>
      <w:r>
        <w:rPr>
          <w:spacing w:val="-2"/>
        </w:rPr>
        <w:t>个月内预期信用损失的金额计量其减值准备。</w:t>
      </w:r>
      <w:r>
        <w:rPr>
          <w:rFonts w:ascii="Times New Roman" w:hAnsi="Times New Roman" w:cs="Times New Roman" w:eastAsia="Times New Roman" w:hint="default"/>
          <w:spacing w:val="-2"/>
        </w:rPr>
        <w:t>2019</w:t>
      </w:r>
      <w:r>
        <w:rPr>
          <w:spacing w:val="-2"/>
        </w:rPr>
        <w:t>年度，本公司的评估</w:t>
      </w:r>
      <w:r>
        <w:rPr>
          <w:spacing w:val="-24"/>
        </w:rPr>
        <w:t> </w:t>
      </w:r>
      <w:r>
        <w:rPr>
          <w:spacing w:val="-24"/>
        </w:rPr>
      </w:r>
      <w:r>
        <w:rPr/>
        <w:t>方式与重大假设并未发生变化。根据本公司管理层的评估，相关财务担保无重大预期减值准备。</w:t>
      </w:r>
    </w:p>
    <w:p>
      <w:pPr>
        <w:pStyle w:val="BodyText"/>
        <w:spacing w:line="273" w:lineRule="auto" w:before="18"/>
        <w:ind w:right="1126" w:firstLine="422"/>
        <w:jc w:val="both"/>
      </w:pPr>
      <w:r>
        <w:rPr>
          <w:spacing w:val="-2"/>
        </w:rPr>
        <w:t>本公司的主要客户为中国电信、中国联通、政府部门、银行等，该等客户具有可靠及良好的信誉，因</w:t>
      </w:r>
      <w:r>
        <w:rPr>
          <w:w w:val="100"/>
        </w:rPr>
        <w:t> </w:t>
      </w:r>
      <w:r>
        <w:rPr/>
        <w:t>此，本公司认为该等客户并无重大信用风险。由于本公司的客户广泛，因此没有重大的信用集中风险。</w:t>
      </w:r>
    </w:p>
    <w:p>
      <w:pPr>
        <w:pStyle w:val="BodyText"/>
        <w:spacing w:line="273" w:lineRule="auto"/>
        <w:ind w:right="1125" w:firstLine="422"/>
        <w:jc w:val="both"/>
      </w:pPr>
      <w:r>
        <w:rPr>
          <w:spacing w:val="-2"/>
        </w:rPr>
        <w:t>本公司投资的银行理财产品，交易对方的信用评级须高于或与本公司相同。鉴于交易对方的信用评级</w:t>
      </w:r>
      <w:r>
        <w:rPr>
          <w:w w:val="100"/>
        </w:rPr>
        <w:t> </w:t>
      </w:r>
      <w:r>
        <w:rPr/>
        <w:t>良好，本公司管理层并不预期交易对方会无法履行义务。</w:t>
      </w:r>
    </w:p>
    <w:p>
      <w:pPr>
        <w:pStyle w:val="BodyText"/>
        <w:spacing w:line="273" w:lineRule="auto" w:before="127"/>
        <w:ind w:left="535" w:right="1007" w:hanging="106"/>
        <w:jc w:val="left"/>
      </w:pPr>
      <w:r>
        <w:rPr>
          <w:rFonts w:ascii="宋体" w:hAnsi="宋体" w:cs="宋体" w:eastAsia="宋体" w:hint="default"/>
          <w:b/>
          <w:bCs/>
        </w:rPr>
        <w:t>（二）流动性风险</w:t>
      </w:r>
      <w:r>
        <w:rPr>
          <w:rFonts w:ascii="宋体" w:hAnsi="宋体" w:cs="宋体" w:eastAsia="宋体" w:hint="default"/>
          <w:b/>
          <w:bCs/>
          <w:spacing w:val="-103"/>
        </w:rPr>
        <w:t> </w:t>
      </w:r>
      <w:r>
        <w:rPr>
          <w:spacing w:val="-2"/>
        </w:rPr>
        <w:t>流动性风险是指本公司在履行以交付现金或其他金融资产的方式结算的义务时发生资金短缺的风险。</w:t>
      </w:r>
    </w:p>
    <w:p>
      <w:pPr>
        <w:pStyle w:val="BodyText"/>
        <w:spacing w:line="264" w:lineRule="auto" w:before="8"/>
        <w:ind w:right="1123"/>
        <w:jc w:val="both"/>
      </w:pPr>
      <w:r>
        <w:rPr>
          <w:spacing w:val="-2"/>
        </w:rPr>
        <w:t>本公司的政策是确保拥有充足的现金以偿还到期债务。流动性风险由本公司的财务部门集中控制。财务部</w:t>
      </w:r>
      <w:r>
        <w:rPr>
          <w:spacing w:val="-33"/>
        </w:rPr>
        <w:t> </w:t>
      </w:r>
      <w:r>
        <w:rPr>
          <w:spacing w:val="-33"/>
        </w:rPr>
      </w:r>
      <w:r>
        <w:rPr>
          <w:spacing w:val="-2"/>
        </w:rPr>
        <w:t>门通过监控现金余额、可随时变现的有价证券以及对未来</w:t>
      </w:r>
      <w:r>
        <w:rPr>
          <w:rFonts w:ascii="Times New Roman" w:hAnsi="Times New Roman" w:cs="Times New Roman" w:eastAsia="Times New Roman" w:hint="default"/>
          <w:spacing w:val="-2"/>
        </w:rPr>
        <w:t>12</w:t>
      </w:r>
      <w:r>
        <w:rPr>
          <w:spacing w:val="-2"/>
        </w:rPr>
        <w:t>个月现金流量的滚动预测，确保公司在所有合</w:t>
      </w:r>
      <w:r>
        <w:rPr>
          <w:spacing w:val="-29"/>
        </w:rPr>
        <w:t> </w:t>
      </w:r>
      <w:r>
        <w:rPr>
          <w:spacing w:val="-29"/>
        </w:rPr>
      </w:r>
      <w:r>
        <w:rPr>
          <w:spacing w:val="-2"/>
        </w:rPr>
        <w:t>理预测的情况下拥有充足的资金偿还债务。此外，本公司与主要业务往来银行订立融资额度授信协议，为</w:t>
      </w:r>
      <w:r>
        <w:rPr>
          <w:spacing w:val="-33"/>
        </w:rPr>
        <w:t> </w:t>
      </w:r>
      <w:r>
        <w:rPr>
          <w:spacing w:val="-33"/>
        </w:rPr>
      </w:r>
      <w:r>
        <w:rPr>
          <w:spacing w:val="-2"/>
        </w:rPr>
        <w:t>本公司履行与商业票据相关的义务提供支持。截止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日，本公司已拥有国内多家银行提供的银</w:t>
      </w:r>
      <w:r>
        <w:rPr>
          <w:spacing w:val="-23"/>
        </w:rPr>
        <w:t> </w:t>
      </w:r>
      <w:r>
        <w:rPr>
          <w:spacing w:val="-23"/>
        </w:rPr>
      </w:r>
      <w:r>
        <w:rPr>
          <w:spacing w:val="-4"/>
          <w:w w:val="100"/>
        </w:rPr>
        <w:t>行授信额度，金额</w:t>
      </w:r>
      <w:r>
        <w:rPr>
          <w:rFonts w:ascii="Times New Roman" w:hAnsi="Times New Roman" w:cs="Times New Roman" w:eastAsia="Times New Roman" w:hint="default"/>
          <w:spacing w:val="-4"/>
          <w:w w:val="100"/>
        </w:rPr>
        <w:t>240,000</w:t>
      </w:r>
      <w:r>
        <w:rPr>
          <w:spacing w:val="-4"/>
          <w:w w:val="100"/>
        </w:rPr>
        <w:t>万元，其中：已使用授信金额为</w:t>
      </w:r>
      <w:r>
        <w:rPr>
          <w:rFonts w:ascii="Times New Roman" w:hAnsi="Times New Roman" w:cs="Times New Roman" w:eastAsia="Times New Roman" w:hint="default"/>
          <w:spacing w:val="-4"/>
          <w:w w:val="100"/>
        </w:rPr>
        <w:t>197,800</w:t>
      </w:r>
      <w:r>
        <w:rPr>
          <w:spacing w:val="-4"/>
          <w:w w:val="100"/>
        </w:rPr>
        <w:t>万元。。</w:t>
      </w:r>
    </w:p>
    <w:p>
      <w:pPr>
        <w:pStyle w:val="BodyText"/>
        <w:spacing w:line="289" w:lineRule="exact" w:before="0"/>
        <w:ind w:left="535" w:right="1764"/>
        <w:jc w:val="left"/>
      </w:pP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日，本公司金融负债以未折现的合同现金流量按合同剩余期限列示如下：</w:t>
      </w: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383"/>
        <w:gridCol w:w="1484"/>
        <w:gridCol w:w="1417"/>
        <w:gridCol w:w="1416"/>
        <w:gridCol w:w="1215"/>
        <w:gridCol w:w="2643"/>
      </w:tblGrid>
      <w:tr>
        <w:trPr>
          <w:trHeight w:val="353" w:hRule="exact"/>
        </w:trPr>
        <w:tc>
          <w:tcPr>
            <w:tcW w:w="1383" w:type="dxa"/>
            <w:vMerge w:val="restart"/>
            <w:tcBorders>
              <w:top w:val="single" w:sz="6" w:space="0" w:color="000000"/>
              <w:left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75" w:type="dxa"/>
            <w:gridSpan w:val="5"/>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1383" w:type="dxa"/>
            <w:vMerge/>
            <w:tcBorders>
              <w:left w:val="single" w:sz="6" w:space="0" w:color="000000"/>
              <w:bottom w:val="single" w:sz="12" w:space="0" w:color="000000"/>
              <w:right w:val="single" w:sz="6" w:space="0" w:color="000000"/>
            </w:tcBorders>
          </w:tcPr>
          <w:p>
            <w:pPr/>
          </w:p>
        </w:tc>
        <w:tc>
          <w:tcPr>
            <w:tcW w:w="14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2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36" w:right="0"/>
              <w:jc w:val="left"/>
              <w:rPr>
                <w:rFonts w:ascii="宋体" w:hAnsi="宋体" w:cs="宋体" w:eastAsia="宋体" w:hint="default"/>
                <w:sz w:val="18"/>
                <w:szCs w:val="18"/>
              </w:rPr>
            </w:pPr>
            <w:r>
              <w:rPr>
                <w:rFonts w:ascii="宋体" w:hAnsi="宋体" w:cs="宋体" w:eastAsia="宋体" w:hint="default"/>
                <w:sz w:val="18"/>
                <w:szCs w:val="18"/>
              </w:rPr>
              <w:t>无期限</w:t>
            </w:r>
          </w:p>
        </w:tc>
        <w:tc>
          <w:tcPr>
            <w:tcW w:w="26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5" w:hRule="exact"/>
        </w:trPr>
        <w:tc>
          <w:tcPr>
            <w:tcW w:w="13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18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right="0"/>
              <w:jc w:val="right"/>
              <w:rPr>
                <w:rFonts w:ascii="宋体" w:hAnsi="宋体" w:cs="宋体" w:eastAsia="宋体" w:hint="default"/>
                <w:sz w:val="18"/>
                <w:szCs w:val="18"/>
              </w:rPr>
            </w:pPr>
            <w:r>
              <w:rPr>
                <w:rFonts w:ascii="宋体"/>
                <w:spacing w:val="-1"/>
                <w:sz w:val="18"/>
              </w:rPr>
              <w:t>2,030,035,049.30</w:t>
            </w:r>
          </w:p>
        </w:tc>
        <w:tc>
          <w:tcPr>
            <w:tcW w:w="1417" w:type="dxa"/>
            <w:tcBorders>
              <w:top w:val="single" w:sz="12" w:space="0" w:color="000000"/>
              <w:left w:val="single" w:sz="6" w:space="0" w:color="000000"/>
              <w:bottom w:val="single" w:sz="12" w:space="0" w:color="000000"/>
              <w:right w:val="single" w:sz="6" w:space="0" w:color="000000"/>
            </w:tcBorders>
          </w:tcPr>
          <w:p>
            <w:pPr/>
          </w:p>
        </w:tc>
        <w:tc>
          <w:tcPr>
            <w:tcW w:w="1416" w:type="dxa"/>
            <w:tcBorders>
              <w:top w:val="single" w:sz="12" w:space="0" w:color="000000"/>
              <w:left w:val="single" w:sz="6" w:space="0" w:color="000000"/>
              <w:bottom w:val="single" w:sz="12" w:space="0" w:color="000000"/>
              <w:right w:val="single" w:sz="6" w:space="0" w:color="000000"/>
            </w:tcBorders>
          </w:tcPr>
          <w:p>
            <w:pPr/>
          </w:p>
        </w:tc>
        <w:tc>
          <w:tcPr>
            <w:tcW w:w="1215" w:type="dxa"/>
            <w:tcBorders>
              <w:top w:val="single" w:sz="12" w:space="0" w:color="000000"/>
              <w:left w:val="single" w:sz="6" w:space="0" w:color="000000"/>
              <w:bottom w:val="single" w:sz="12" w:space="0" w:color="000000"/>
              <w:right w:val="single" w:sz="6" w:space="0" w:color="000000"/>
            </w:tcBorders>
          </w:tcPr>
          <w:p>
            <w:pPr/>
          </w:p>
        </w:tc>
        <w:tc>
          <w:tcPr>
            <w:tcW w:w="26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5"/>
              <w:ind w:right="3"/>
              <w:jc w:val="right"/>
              <w:rPr>
                <w:rFonts w:ascii="宋体" w:hAnsi="宋体" w:cs="宋体" w:eastAsia="宋体" w:hint="default"/>
                <w:sz w:val="18"/>
                <w:szCs w:val="18"/>
              </w:rPr>
            </w:pPr>
            <w:r>
              <w:rPr>
                <w:rFonts w:ascii="宋体"/>
                <w:spacing w:val="-1"/>
                <w:sz w:val="18"/>
              </w:rPr>
              <w:t>2,030,035,049.30</w:t>
            </w:r>
          </w:p>
        </w:tc>
      </w:tr>
      <w:tr>
        <w:trPr>
          <w:trHeight w:val="350" w:hRule="exact"/>
        </w:trPr>
        <w:tc>
          <w:tcPr>
            <w:tcW w:w="13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8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68,437,372.19</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pacing w:val="-1"/>
                <w:sz w:val="18"/>
              </w:rPr>
              <w:t>2,877,108.70</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pacing w:val="-1"/>
                <w:sz w:val="18"/>
              </w:rPr>
              <w:t>16,428.64</w:t>
            </w:r>
          </w:p>
        </w:tc>
        <w:tc>
          <w:tcPr>
            <w:tcW w:w="1215" w:type="dxa"/>
            <w:tcBorders>
              <w:top w:val="single" w:sz="12" w:space="0" w:color="000000"/>
              <w:left w:val="single" w:sz="6" w:space="0" w:color="000000"/>
              <w:bottom w:val="single" w:sz="12" w:space="0" w:color="000000"/>
              <w:right w:val="single" w:sz="6" w:space="0" w:color="000000"/>
            </w:tcBorders>
          </w:tcPr>
          <w:p>
            <w:pPr/>
          </w:p>
        </w:tc>
        <w:tc>
          <w:tcPr>
            <w:tcW w:w="26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2"/>
              <w:jc w:val="right"/>
              <w:rPr>
                <w:rFonts w:ascii="宋体" w:hAnsi="宋体" w:cs="宋体" w:eastAsia="宋体" w:hint="default"/>
                <w:sz w:val="18"/>
                <w:szCs w:val="18"/>
              </w:rPr>
            </w:pPr>
            <w:r>
              <w:rPr>
                <w:rFonts w:ascii="宋体"/>
                <w:spacing w:val="-1"/>
                <w:sz w:val="18"/>
              </w:rPr>
              <w:t>71,330,909.53</w:t>
            </w:r>
          </w:p>
        </w:tc>
      </w:tr>
      <w:tr>
        <w:trPr>
          <w:trHeight w:val="351" w:hRule="exact"/>
        </w:trPr>
        <w:tc>
          <w:tcPr>
            <w:tcW w:w="13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18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right"/>
              <w:rPr>
                <w:rFonts w:ascii="宋体" w:hAnsi="宋体" w:cs="宋体" w:eastAsia="宋体" w:hint="default"/>
                <w:sz w:val="18"/>
                <w:szCs w:val="18"/>
              </w:rPr>
            </w:pPr>
            <w:r>
              <w:rPr>
                <w:rFonts w:ascii="宋体"/>
                <w:spacing w:val="-1"/>
                <w:sz w:val="18"/>
              </w:rPr>
              <w:t>27,826,743.93</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5"/>
              <w:jc w:val="right"/>
              <w:rPr>
                <w:rFonts w:ascii="宋体" w:hAnsi="宋体" w:cs="宋体" w:eastAsia="宋体" w:hint="default"/>
                <w:sz w:val="18"/>
                <w:szCs w:val="18"/>
              </w:rPr>
            </w:pPr>
            <w:r>
              <w:rPr>
                <w:rFonts w:ascii="宋体"/>
                <w:spacing w:val="-1"/>
                <w:sz w:val="18"/>
              </w:rPr>
              <w:t>1,182,391.35</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5"/>
              <w:jc w:val="right"/>
              <w:rPr>
                <w:rFonts w:ascii="宋体" w:hAnsi="宋体" w:cs="宋体" w:eastAsia="宋体" w:hint="default"/>
                <w:sz w:val="18"/>
                <w:szCs w:val="18"/>
              </w:rPr>
            </w:pPr>
            <w:r>
              <w:rPr>
                <w:rFonts w:ascii="宋体"/>
                <w:spacing w:val="-1"/>
                <w:sz w:val="18"/>
              </w:rPr>
              <w:t>1,604,404.90</w:t>
            </w:r>
          </w:p>
        </w:tc>
        <w:tc>
          <w:tcPr>
            <w:tcW w:w="1215" w:type="dxa"/>
            <w:tcBorders>
              <w:top w:val="single" w:sz="12" w:space="0" w:color="000000"/>
              <w:left w:val="single" w:sz="6" w:space="0" w:color="000000"/>
              <w:bottom w:val="single" w:sz="12" w:space="0" w:color="000000"/>
              <w:right w:val="single" w:sz="6" w:space="0" w:color="000000"/>
            </w:tcBorders>
          </w:tcPr>
          <w:p>
            <w:pPr/>
          </w:p>
        </w:tc>
        <w:tc>
          <w:tcPr>
            <w:tcW w:w="26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
              <w:ind w:right="2"/>
              <w:jc w:val="right"/>
              <w:rPr>
                <w:rFonts w:ascii="宋体" w:hAnsi="宋体" w:cs="宋体" w:eastAsia="宋体" w:hint="default"/>
                <w:sz w:val="18"/>
                <w:szCs w:val="18"/>
              </w:rPr>
            </w:pPr>
            <w:r>
              <w:rPr>
                <w:rFonts w:ascii="宋体"/>
                <w:spacing w:val="-1"/>
                <w:sz w:val="18"/>
              </w:rPr>
              <w:t>30,613,540.18</w:t>
            </w:r>
          </w:p>
        </w:tc>
      </w:tr>
      <w:tr>
        <w:trPr>
          <w:trHeight w:val="355" w:hRule="exact"/>
        </w:trPr>
        <w:tc>
          <w:tcPr>
            <w:tcW w:w="13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right="0"/>
              <w:jc w:val="right"/>
              <w:rPr>
                <w:rFonts w:ascii="宋体" w:hAnsi="宋体" w:cs="宋体" w:eastAsia="宋体" w:hint="default"/>
                <w:sz w:val="18"/>
                <w:szCs w:val="18"/>
              </w:rPr>
            </w:pPr>
            <w:r>
              <w:rPr>
                <w:rFonts w:ascii="宋体"/>
                <w:spacing w:val="-1"/>
                <w:sz w:val="18"/>
              </w:rPr>
              <w:t>2,126,299,165.42</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right="-5"/>
              <w:jc w:val="right"/>
              <w:rPr>
                <w:rFonts w:ascii="宋体" w:hAnsi="宋体" w:cs="宋体" w:eastAsia="宋体" w:hint="default"/>
                <w:sz w:val="18"/>
                <w:szCs w:val="18"/>
              </w:rPr>
            </w:pPr>
            <w:r>
              <w:rPr>
                <w:rFonts w:ascii="宋体"/>
                <w:spacing w:val="-1"/>
                <w:sz w:val="18"/>
              </w:rPr>
              <w:t>4,059,500.05</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right="-5"/>
              <w:jc w:val="right"/>
              <w:rPr>
                <w:rFonts w:ascii="宋体" w:hAnsi="宋体" w:cs="宋体" w:eastAsia="宋体" w:hint="default"/>
                <w:sz w:val="18"/>
                <w:szCs w:val="18"/>
              </w:rPr>
            </w:pPr>
            <w:r>
              <w:rPr>
                <w:rFonts w:ascii="宋体"/>
                <w:spacing w:val="-1"/>
                <w:sz w:val="18"/>
              </w:rPr>
              <w:t>1,620,833.54</w:t>
            </w:r>
          </w:p>
        </w:tc>
        <w:tc>
          <w:tcPr>
            <w:tcW w:w="1215" w:type="dxa"/>
            <w:tcBorders>
              <w:top w:val="single" w:sz="12" w:space="0" w:color="000000"/>
              <w:left w:val="single" w:sz="6" w:space="0" w:color="000000"/>
              <w:bottom w:val="single" w:sz="12" w:space="0" w:color="000000"/>
              <w:right w:val="single" w:sz="6" w:space="0" w:color="000000"/>
            </w:tcBorders>
          </w:tcPr>
          <w:p>
            <w:pPr/>
          </w:p>
        </w:tc>
        <w:tc>
          <w:tcPr>
            <w:tcW w:w="264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5"/>
              <w:ind w:right="3"/>
              <w:jc w:val="right"/>
              <w:rPr>
                <w:rFonts w:ascii="宋体" w:hAnsi="宋体" w:cs="宋体" w:eastAsia="宋体" w:hint="default"/>
                <w:sz w:val="18"/>
                <w:szCs w:val="18"/>
              </w:rPr>
            </w:pPr>
            <w:r>
              <w:rPr>
                <w:rFonts w:ascii="宋体"/>
                <w:spacing w:val="-1"/>
                <w:sz w:val="18"/>
              </w:rPr>
              <w:t>2,131,979,499.01</w:t>
            </w:r>
          </w:p>
        </w:tc>
      </w:tr>
    </w:tbl>
    <w:p>
      <w:pPr>
        <w:spacing w:line="240" w:lineRule="auto" w:before="1"/>
        <w:rPr>
          <w:rFonts w:ascii="宋体" w:hAnsi="宋体" w:cs="宋体" w:eastAsia="宋体" w:hint="default"/>
          <w:sz w:val="29"/>
          <w:szCs w:val="29"/>
        </w:rPr>
      </w:pPr>
    </w:p>
    <w:p>
      <w:pPr>
        <w:pStyle w:val="BodyText"/>
        <w:spacing w:line="273" w:lineRule="auto" w:before="36"/>
        <w:ind w:left="535" w:right="1007" w:hanging="106"/>
        <w:jc w:val="left"/>
      </w:pPr>
      <w:r>
        <w:rPr>
          <w:rFonts w:ascii="宋体" w:hAnsi="宋体" w:cs="宋体" w:eastAsia="宋体" w:hint="default"/>
          <w:b/>
          <w:bCs/>
        </w:rPr>
        <w:t>（三）市场风险</w:t>
      </w:r>
      <w:r>
        <w:rPr>
          <w:rFonts w:ascii="宋体" w:hAnsi="宋体" w:cs="宋体" w:eastAsia="宋体" w:hint="default"/>
          <w:b/>
          <w:bCs/>
          <w:spacing w:val="-104"/>
        </w:rPr>
        <w:t> </w:t>
      </w:r>
      <w:r>
        <w:rPr>
          <w:spacing w:val="-2"/>
        </w:rPr>
        <w:t>金融工具的市场风险，是指金融工具的公允价值或未来现金流量因市场价格变动而发生波动的风险，</w:t>
      </w:r>
    </w:p>
    <w:p>
      <w:pPr>
        <w:pStyle w:val="BodyText"/>
        <w:spacing w:line="240" w:lineRule="auto" w:before="8"/>
        <w:ind w:right="0"/>
        <w:jc w:val="both"/>
      </w:pPr>
      <w:r>
        <w:rPr/>
        <w:t>包括汇率风险、利率风险和其他价格风险。</w:t>
      </w:r>
    </w:p>
    <w:p>
      <w:pPr>
        <w:pStyle w:val="BodyText"/>
        <w:spacing w:line="256" w:lineRule="auto" w:before="37"/>
        <w:ind w:left="535" w:right="1007"/>
        <w:jc w:val="left"/>
      </w:pPr>
      <w:r>
        <w:rPr>
          <w:rFonts w:ascii="Times New Roman" w:hAnsi="Times New Roman" w:cs="Times New Roman" w:eastAsia="Times New Roman" w:hint="default"/>
        </w:rPr>
        <w:t>1.</w:t>
      </w:r>
      <w:r>
        <w:rPr/>
        <w:t>利率风险</w:t>
      </w:r>
      <w:r>
        <w:rPr>
          <w:spacing w:val="-100"/>
        </w:rPr>
        <w:t> </w:t>
      </w:r>
      <w:r>
        <w:rPr>
          <w:spacing w:val="-2"/>
        </w:rPr>
        <w:t>利率风险，是指金融工具的公允价值或未来现金流量因市场利率变动而发生波动的风险。本公司面临</w:t>
      </w:r>
    </w:p>
    <w:p>
      <w:pPr>
        <w:pStyle w:val="BodyText"/>
        <w:spacing w:line="240" w:lineRule="auto" w:before="22"/>
        <w:ind w:right="0"/>
        <w:jc w:val="both"/>
      </w:pPr>
      <w:r>
        <w:rPr/>
        <w:t>的利率风险主要来源于银行长期借款以及应付债券。公司目前的政策是固定利率借款占外部借款的</w:t>
      </w:r>
    </w:p>
    <w:p>
      <w:pPr>
        <w:pStyle w:val="BodyText"/>
        <w:spacing w:line="266" w:lineRule="auto" w:before="37"/>
        <w:ind w:right="1125"/>
        <w:jc w:val="both"/>
      </w:pPr>
      <w:r>
        <w:rPr>
          <w:rFonts w:ascii="Times New Roman" w:hAnsi="Times New Roman" w:cs="Times New Roman" w:eastAsia="Times New Roman" w:hint="default"/>
          <w:spacing w:val="-2"/>
        </w:rPr>
        <w:t>70%-80%</w:t>
      </w:r>
      <w:r>
        <w:rPr>
          <w:spacing w:val="-2"/>
        </w:rPr>
        <w:t>。为维持该比例，本公司可能运用利率互换以实现预期的利率结构。尽管该政策不能使本公司完</w:t>
      </w:r>
      <w:r>
        <w:rPr>
          <w:spacing w:val="-28"/>
        </w:rPr>
        <w:t> </w:t>
      </w:r>
      <w:r>
        <w:rPr>
          <w:spacing w:val="-28"/>
        </w:rPr>
      </w:r>
      <w:r>
        <w:rPr>
          <w:spacing w:val="-2"/>
        </w:rPr>
        <w:t>全避免支付的利率超出现行市场利率的风险，也不能完全消除与利息支付波动相关的现金流量风险，但是</w:t>
      </w:r>
      <w:r>
        <w:rPr>
          <w:spacing w:val="-33"/>
        </w:rPr>
        <w:t> </w:t>
      </w:r>
      <w:r>
        <w:rPr>
          <w:spacing w:val="-33"/>
        </w:rPr>
      </w:r>
      <w:r>
        <w:rPr/>
        <w:t>管理层认为该政策实现了这些风险之间的合理平衡。</w:t>
      </w:r>
    </w:p>
    <w:p>
      <w:pPr>
        <w:pStyle w:val="BodyText"/>
        <w:spacing w:line="256" w:lineRule="auto" w:before="14"/>
        <w:ind w:right="1007" w:firstLine="422"/>
        <w:jc w:val="left"/>
      </w:pPr>
      <w:r>
        <w:rPr>
          <w:spacing w:val="-1"/>
        </w:rPr>
        <w:t>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日，在其他变量保持不变的情况下，如果以浮动利率计算的借款利率上升或下降</w:t>
      </w:r>
      <w:r>
        <w:rPr>
          <w:rFonts w:ascii="Times New Roman" w:hAnsi="Times New Roman" w:cs="Times New Roman" w:eastAsia="Times New Roman" w:hint="default"/>
          <w:spacing w:val="-1"/>
        </w:rPr>
        <w:t>100</w:t>
      </w:r>
      <w:r>
        <w:rPr>
          <w:rFonts w:ascii="Times New Roman" w:hAnsi="Times New Roman" w:cs="Times New Roman" w:eastAsia="Times New Roman" w:hint="default"/>
          <w:w w:val="100"/>
        </w:rPr>
        <w:t> </w:t>
      </w:r>
      <w:r>
        <w:rPr>
          <w:spacing w:val="-3"/>
          <w:w w:val="100"/>
        </w:rPr>
        <w:t>个基点，则本公司的净利润将减少或增加</w:t>
      </w:r>
      <w:r>
        <w:rPr>
          <w:rFonts w:ascii="Times New Roman" w:hAnsi="Times New Roman" w:cs="Times New Roman" w:eastAsia="Times New Roman" w:hint="default"/>
          <w:spacing w:val="-3"/>
          <w:w w:val="100"/>
        </w:rPr>
        <w:t>11,470,000.00</w:t>
      </w:r>
      <w:r>
        <w:rPr>
          <w:spacing w:val="-3"/>
          <w:w w:val="100"/>
        </w:rPr>
        <w:t>元（</w:t>
      </w:r>
      <w:r>
        <w:rPr>
          <w:rFonts w:ascii="Times New Roman" w:hAnsi="Times New Roman" w:cs="Times New Roman" w:eastAsia="Times New Roman" w:hint="default"/>
          <w:spacing w:val="-3"/>
          <w:w w:val="100"/>
        </w:rPr>
        <w:t>2018</w:t>
      </w:r>
      <w:r>
        <w:rPr>
          <w:spacing w:val="-3"/>
          <w:w w:val="100"/>
        </w:rPr>
        <w:t>年</w:t>
      </w:r>
      <w:r>
        <w:rPr>
          <w:rFonts w:ascii="Times New Roman" w:hAnsi="Times New Roman" w:cs="Times New Roman" w:eastAsia="Times New Roman" w:hint="default"/>
          <w:spacing w:val="-3"/>
          <w:w w:val="100"/>
        </w:rPr>
        <w:t>12</w:t>
      </w:r>
      <w:r>
        <w:rPr>
          <w:spacing w:val="-3"/>
          <w:w w:val="100"/>
        </w:rPr>
        <w:t>月</w:t>
      </w:r>
      <w:r>
        <w:rPr>
          <w:rFonts w:ascii="Times New Roman" w:hAnsi="Times New Roman" w:cs="Times New Roman" w:eastAsia="Times New Roman" w:hint="default"/>
          <w:spacing w:val="-3"/>
          <w:w w:val="100"/>
        </w:rPr>
        <w:t>31</w:t>
      </w:r>
      <w:r>
        <w:rPr>
          <w:spacing w:val="-3"/>
          <w:w w:val="100"/>
        </w:rPr>
        <w:t>日：</w:t>
      </w:r>
      <w:r>
        <w:rPr>
          <w:rFonts w:ascii="Times New Roman" w:hAnsi="Times New Roman" w:cs="Times New Roman" w:eastAsia="Times New Roman" w:hint="default"/>
          <w:spacing w:val="-3"/>
          <w:w w:val="100"/>
        </w:rPr>
        <w:t>6,980,000.00</w:t>
      </w:r>
      <w:r>
        <w:rPr>
          <w:spacing w:val="-3"/>
          <w:w w:val="100"/>
        </w:rPr>
        <w:t>元）。管理层认</w:t>
      </w:r>
    </w:p>
    <w:p>
      <w:pPr>
        <w:spacing w:after="0" w:line="256"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40" w:lineRule="auto" w:before="36"/>
        <w:ind w:right="1764"/>
        <w:jc w:val="left"/>
      </w:pPr>
      <w:r>
        <w:rPr/>
        <w:t>为</w:t>
      </w:r>
      <w:r>
        <w:rPr>
          <w:rFonts w:ascii="Times New Roman" w:hAnsi="Times New Roman" w:cs="Times New Roman" w:eastAsia="Times New Roman" w:hint="default"/>
        </w:rPr>
        <w:t>100</w:t>
      </w:r>
      <w:r>
        <w:rPr/>
        <w:t>个基点合理反映了下一年度利率可能发生变动的合理范围。</w:t>
      </w:r>
    </w:p>
    <w:p>
      <w:pPr>
        <w:pStyle w:val="BodyText"/>
        <w:spacing w:line="256" w:lineRule="auto" w:before="21"/>
        <w:ind w:left="535" w:right="1007"/>
        <w:jc w:val="left"/>
      </w:pPr>
      <w:r>
        <w:rPr>
          <w:rFonts w:ascii="Times New Roman" w:hAnsi="Times New Roman" w:cs="Times New Roman" w:eastAsia="Times New Roman" w:hint="default"/>
        </w:rPr>
        <w:t>2.</w:t>
      </w:r>
      <w:r>
        <w:rPr/>
        <w:t>汇率风险</w:t>
      </w:r>
      <w:r>
        <w:rPr>
          <w:spacing w:val="-100"/>
        </w:rPr>
        <w:t> </w:t>
      </w:r>
      <w:r>
        <w:rPr>
          <w:spacing w:val="-2"/>
        </w:rPr>
        <w:t>汇率风险，是指金融工具的公允价值或未来现金流量因外汇汇率变动而发生波动的风险。本公司主要</w:t>
      </w:r>
    </w:p>
    <w:p>
      <w:pPr>
        <w:pStyle w:val="BodyText"/>
        <w:spacing w:line="266" w:lineRule="auto" w:before="23"/>
        <w:ind w:left="535" w:right="1394" w:hanging="423"/>
        <w:jc w:val="left"/>
      </w:pPr>
      <w:r>
        <w:rPr/>
        <w:t>业务在境内，境外业务占比较小，外汇汇率变动不会对本公司的净利润产生重大影响。</w:t>
      </w:r>
      <w:r>
        <w:rPr>
          <w:w w:val="100"/>
        </w:rPr>
        <w:t> </w:t>
      </w:r>
      <w:r>
        <w:rPr>
          <w:rFonts w:ascii="Times New Roman" w:hAnsi="Times New Roman" w:cs="Times New Roman" w:eastAsia="Times New Roman" w:hint="default"/>
        </w:rPr>
        <w:t>3.</w:t>
      </w:r>
      <w:r>
        <w:rPr/>
        <w:t>其他价格风险</w:t>
      </w:r>
      <w:r>
        <w:rPr>
          <w:w w:val="100"/>
        </w:rPr>
        <w:t> </w:t>
      </w:r>
      <w:r>
        <w:rPr>
          <w:spacing w:val="-2"/>
        </w:rPr>
        <w:t>本公司持有其他公司的权益投资，管理层认为这些投资活动面临的市场价格风险是可以接受的。</w:t>
      </w:r>
      <w:r>
        <w:rPr>
          <w:w w:val="100"/>
        </w:rPr>
        <w:t> </w:t>
      </w:r>
      <w:r>
        <w:rPr/>
        <w:t>本公司持有的其他公司权益投资列示如下：</w:t>
      </w:r>
    </w:p>
    <w:p>
      <w:pPr>
        <w:spacing w:line="240" w:lineRule="auto" w:before="1"/>
        <w:rPr>
          <w:rFonts w:ascii="宋体" w:hAnsi="宋体" w:cs="宋体" w:eastAsia="宋体"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5493"/>
        <w:gridCol w:w="1739"/>
        <w:gridCol w:w="2418"/>
      </w:tblGrid>
      <w:tr>
        <w:trPr>
          <w:trHeight w:val="353" w:hRule="exact"/>
        </w:trPr>
        <w:tc>
          <w:tcPr>
            <w:tcW w:w="5493"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39"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44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418" w:type="dxa"/>
            <w:tcBorders>
              <w:top w:val="single" w:sz="6" w:space="0" w:color="000000"/>
              <w:left w:val="single" w:sz="6" w:space="0" w:color="000000"/>
              <w:bottom w:val="single" w:sz="12" w:space="0" w:color="000000"/>
              <w:right w:val="nil" w:sz="6" w:space="0" w:color="auto"/>
            </w:tcBorders>
          </w:tcPr>
          <w:p>
            <w:pPr>
              <w:pStyle w:val="TableParagraph"/>
              <w:spacing w:line="270" w:lineRule="exact"/>
              <w:ind w:left="571" w:right="0"/>
              <w:jc w:val="left"/>
              <w:rPr>
                <w:rFonts w:ascii="宋体" w:hAnsi="宋体" w:cs="宋体" w:eastAsia="宋体" w:hint="default"/>
                <w:sz w:val="21"/>
                <w:szCs w:val="21"/>
              </w:rPr>
            </w:pPr>
            <w:r>
              <w:rPr>
                <w:rFonts w:ascii="宋体" w:hAnsi="宋体" w:cs="宋体" w:eastAsia="宋体" w:hint="default"/>
                <w:sz w:val="21"/>
                <w:szCs w:val="21"/>
              </w:rPr>
              <w:t>上年年末余额</w:t>
            </w:r>
          </w:p>
        </w:tc>
      </w:tr>
      <w:tr>
        <w:trPr>
          <w:trHeight w:val="355" w:hRule="exact"/>
        </w:trPr>
        <w:tc>
          <w:tcPr>
            <w:tcW w:w="5493"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739"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9"/>
              <w:jc w:val="right"/>
              <w:rPr>
                <w:rFonts w:ascii="宋体" w:hAnsi="宋体" w:cs="宋体" w:eastAsia="宋体" w:hint="default"/>
                <w:sz w:val="21"/>
                <w:szCs w:val="21"/>
              </w:rPr>
            </w:pPr>
            <w:r>
              <w:rPr>
                <w:rFonts w:ascii="宋体"/>
                <w:spacing w:val="-1"/>
                <w:sz w:val="21"/>
              </w:rPr>
              <w:t>2,232,720.00</w:t>
            </w:r>
          </w:p>
        </w:tc>
        <w:tc>
          <w:tcPr>
            <w:tcW w:w="2418"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549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w:t>
            </w:r>
          </w:p>
        </w:tc>
        <w:tc>
          <w:tcPr>
            <w:tcW w:w="1739" w:type="dxa"/>
            <w:tcBorders>
              <w:top w:val="single" w:sz="12" w:space="0" w:color="000000"/>
              <w:left w:val="single" w:sz="6" w:space="0" w:color="000000"/>
              <w:bottom w:val="single" w:sz="12" w:space="0" w:color="000000"/>
              <w:right w:val="single" w:sz="6" w:space="0" w:color="000000"/>
            </w:tcBorders>
          </w:tcPr>
          <w:p>
            <w:pPr/>
          </w:p>
        </w:tc>
        <w:tc>
          <w:tcPr>
            <w:tcW w:w="2418"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1,722,384.00</w:t>
            </w:r>
          </w:p>
        </w:tc>
      </w:tr>
      <w:tr>
        <w:trPr>
          <w:trHeight w:val="350" w:hRule="exact"/>
        </w:trPr>
        <w:tc>
          <w:tcPr>
            <w:tcW w:w="549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739" w:type="dxa"/>
            <w:tcBorders>
              <w:top w:val="single" w:sz="12" w:space="0" w:color="000000"/>
              <w:left w:val="single" w:sz="6" w:space="0" w:color="000000"/>
              <w:bottom w:val="single" w:sz="12" w:space="0" w:color="000000"/>
              <w:right w:val="single" w:sz="6" w:space="0" w:color="000000"/>
            </w:tcBorders>
          </w:tcPr>
          <w:p>
            <w:pPr/>
          </w:p>
        </w:tc>
        <w:tc>
          <w:tcPr>
            <w:tcW w:w="2418"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3"/>
              <w:jc w:val="right"/>
              <w:rPr>
                <w:rFonts w:ascii="宋体" w:hAnsi="宋体" w:cs="宋体" w:eastAsia="宋体" w:hint="default"/>
                <w:sz w:val="21"/>
                <w:szCs w:val="21"/>
              </w:rPr>
            </w:pPr>
            <w:r>
              <w:rPr>
                <w:rFonts w:ascii="宋体"/>
                <w:spacing w:val="-1"/>
                <w:sz w:val="21"/>
              </w:rPr>
              <w:t>72,927,564.25</w:t>
            </w:r>
          </w:p>
        </w:tc>
      </w:tr>
      <w:tr>
        <w:trPr>
          <w:trHeight w:val="355" w:hRule="exact"/>
        </w:trPr>
        <w:tc>
          <w:tcPr>
            <w:tcW w:w="5493"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1739"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9"/>
              <w:jc w:val="right"/>
              <w:rPr>
                <w:rFonts w:ascii="宋体" w:hAnsi="宋体" w:cs="宋体" w:eastAsia="宋体" w:hint="default"/>
                <w:sz w:val="21"/>
                <w:szCs w:val="21"/>
              </w:rPr>
            </w:pPr>
            <w:r>
              <w:rPr>
                <w:rFonts w:ascii="宋体"/>
                <w:spacing w:val="-1"/>
                <w:sz w:val="21"/>
              </w:rPr>
              <w:t>121,623,952.89</w:t>
            </w:r>
          </w:p>
        </w:tc>
        <w:tc>
          <w:tcPr>
            <w:tcW w:w="2418" w:type="dxa"/>
            <w:tcBorders>
              <w:top w:val="single" w:sz="12" w:space="0" w:color="000000"/>
              <w:left w:val="single" w:sz="6" w:space="0" w:color="000000"/>
              <w:bottom w:val="single" w:sz="12" w:space="0" w:color="000000"/>
              <w:right w:val="nil" w:sz="6" w:space="0" w:color="auto"/>
            </w:tcBorders>
          </w:tcPr>
          <w:p>
            <w:pPr/>
          </w:p>
        </w:tc>
      </w:tr>
      <w:tr>
        <w:trPr>
          <w:trHeight w:val="351" w:hRule="exact"/>
        </w:trPr>
        <w:tc>
          <w:tcPr>
            <w:tcW w:w="5493" w:type="dxa"/>
            <w:tcBorders>
              <w:top w:val="single" w:sz="12" w:space="0" w:color="000000"/>
              <w:left w:val="single" w:sz="6" w:space="0" w:color="000000"/>
              <w:bottom w:val="single" w:sz="12" w:space="0" w:color="000000"/>
              <w:right w:val="single" w:sz="6" w:space="0" w:color="000000"/>
            </w:tcBorders>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39" w:type="dxa"/>
            <w:tcBorders>
              <w:top w:val="single" w:sz="12" w:space="0" w:color="000000"/>
              <w:left w:val="single" w:sz="6" w:space="0" w:color="000000"/>
              <w:bottom w:val="single" w:sz="12" w:space="0" w:color="000000"/>
              <w:right w:val="single" w:sz="6" w:space="0" w:color="000000"/>
            </w:tcBorders>
          </w:tcPr>
          <w:p>
            <w:pPr>
              <w:pStyle w:val="TableParagraph"/>
              <w:spacing w:line="261" w:lineRule="exact"/>
              <w:ind w:right="-9"/>
              <w:jc w:val="right"/>
              <w:rPr>
                <w:rFonts w:ascii="宋体" w:hAnsi="宋体" w:cs="宋体" w:eastAsia="宋体" w:hint="default"/>
                <w:sz w:val="21"/>
                <w:szCs w:val="21"/>
              </w:rPr>
            </w:pPr>
            <w:r>
              <w:rPr>
                <w:rFonts w:ascii="宋体"/>
                <w:spacing w:val="-1"/>
                <w:sz w:val="21"/>
              </w:rPr>
              <w:t>123,856,672.89</w:t>
            </w:r>
          </w:p>
        </w:tc>
        <w:tc>
          <w:tcPr>
            <w:tcW w:w="2418" w:type="dxa"/>
            <w:tcBorders>
              <w:top w:val="single" w:sz="12" w:space="0" w:color="000000"/>
              <w:left w:val="single" w:sz="6" w:space="0" w:color="000000"/>
              <w:bottom w:val="single" w:sz="12" w:space="0" w:color="000000"/>
              <w:right w:val="nil" w:sz="6" w:space="0" w:color="auto"/>
            </w:tcBorders>
          </w:tcPr>
          <w:p>
            <w:pPr>
              <w:pStyle w:val="TableParagraph"/>
              <w:spacing w:line="261" w:lineRule="exact"/>
              <w:ind w:right="3"/>
              <w:jc w:val="right"/>
              <w:rPr>
                <w:rFonts w:ascii="宋体" w:hAnsi="宋体" w:cs="宋体" w:eastAsia="宋体" w:hint="default"/>
                <w:sz w:val="21"/>
                <w:szCs w:val="21"/>
              </w:rPr>
            </w:pPr>
            <w:r>
              <w:rPr>
                <w:rFonts w:ascii="宋体"/>
                <w:spacing w:val="-1"/>
                <w:sz w:val="21"/>
              </w:rPr>
              <w:t>74,649,948.25</w:t>
            </w:r>
          </w:p>
        </w:tc>
      </w:tr>
    </w:tbl>
    <w:p>
      <w:pPr>
        <w:spacing w:line="240" w:lineRule="auto" w:before="3"/>
        <w:rPr>
          <w:rFonts w:ascii="宋体" w:hAnsi="宋体" w:cs="宋体" w:eastAsia="宋体" w:hint="default"/>
          <w:sz w:val="5"/>
          <w:szCs w:val="5"/>
        </w:rPr>
      </w:pPr>
    </w:p>
    <w:p>
      <w:pPr>
        <w:pStyle w:val="BodyText"/>
        <w:spacing w:line="256" w:lineRule="auto" w:before="36"/>
        <w:ind w:right="1122" w:firstLine="422"/>
        <w:jc w:val="both"/>
      </w:pPr>
      <w:r>
        <w:rPr>
          <w:spacing w:val="-2"/>
        </w:rPr>
        <w:t>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日，在所有其他变量保持不变的情况下，如果权益工具的价值上涨或下跌</w:t>
      </w:r>
      <w:r>
        <w:rPr>
          <w:rFonts w:ascii="Times New Roman" w:hAnsi="Times New Roman" w:cs="Times New Roman" w:eastAsia="Times New Roman" w:hint="default"/>
          <w:spacing w:val="-2"/>
        </w:rPr>
        <w:t>30%</w:t>
      </w:r>
      <w:r>
        <w:rPr>
          <w:spacing w:val="-2"/>
        </w:rPr>
        <w:t>，则本</w:t>
      </w:r>
      <w:r>
        <w:rPr>
          <w:w w:val="100"/>
        </w:rPr>
        <w:t> </w:t>
      </w:r>
      <w:r>
        <w:rPr>
          <w:spacing w:val="-4"/>
        </w:rPr>
        <w:t>公司将增加或减少净利润</w:t>
      </w:r>
      <w:r>
        <w:rPr>
          <w:rFonts w:ascii="Times New Roman" w:hAnsi="Times New Roman" w:cs="Times New Roman" w:eastAsia="Times New Roman" w:hint="default"/>
          <w:spacing w:val="-4"/>
        </w:rPr>
        <w:t>669,816.00</w:t>
      </w:r>
      <w:r>
        <w:rPr>
          <w:spacing w:val="-4"/>
        </w:rPr>
        <w:t>元、其他综合收益</w:t>
      </w:r>
      <w:r>
        <w:rPr>
          <w:rFonts w:ascii="Times New Roman" w:hAnsi="Times New Roman" w:cs="Times New Roman" w:eastAsia="Times New Roman" w:hint="default"/>
          <w:spacing w:val="-4"/>
        </w:rPr>
        <w:t>36,487,185.87</w:t>
      </w:r>
      <w:r>
        <w:rPr>
          <w:spacing w:val="-4"/>
        </w:rPr>
        <w:t>元（</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日：净利润</w:t>
      </w:r>
      <w:r>
        <w:rPr>
          <w:rFonts w:ascii="Times New Roman" w:hAnsi="Times New Roman" w:cs="Times New Roman" w:eastAsia="Times New Roman" w:hint="default"/>
          <w:spacing w:val="-4"/>
        </w:rPr>
        <w:t>516,715.20</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spacing w:val="-4"/>
          <w:w w:val="100"/>
        </w:rPr>
        <w:t>元、其他综合收益</w:t>
      </w:r>
      <w:r>
        <w:rPr>
          <w:rFonts w:ascii="Times New Roman" w:hAnsi="Times New Roman" w:cs="Times New Roman" w:eastAsia="Times New Roman" w:hint="default"/>
          <w:spacing w:val="-4"/>
          <w:w w:val="100"/>
        </w:rPr>
        <w:t>22,394,984.48</w:t>
      </w:r>
      <w:r>
        <w:rPr>
          <w:spacing w:val="-4"/>
          <w:w w:val="100"/>
        </w:rPr>
        <w:t>元）。管理层认为</w:t>
      </w:r>
      <w:r>
        <w:rPr>
          <w:rFonts w:ascii="Times New Roman" w:hAnsi="Times New Roman" w:cs="Times New Roman" w:eastAsia="Times New Roman" w:hint="default"/>
          <w:spacing w:val="-4"/>
          <w:w w:val="100"/>
        </w:rPr>
        <w:t>30%</w:t>
      </w:r>
      <w:r>
        <w:rPr>
          <w:spacing w:val="-4"/>
          <w:w w:val="100"/>
        </w:rPr>
        <w:t>合理反映了下一年度权益工具价值可能发生变动的合</w:t>
      </w:r>
      <w:r>
        <w:rPr>
          <w:spacing w:val="-85"/>
          <w:w w:val="100"/>
        </w:rPr>
        <w:t> </w:t>
      </w:r>
      <w:r>
        <w:rPr>
          <w:spacing w:val="-85"/>
          <w:w w:val="100"/>
        </w:rPr>
      </w:r>
      <w:r>
        <w:rPr/>
        <w:t>理范围。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34"/>
        <w:ind w:right="1764"/>
        <w:jc w:val="left"/>
        <w:rPr>
          <w:b w:val="0"/>
          <w:bCs w:val="0"/>
        </w:rPr>
      </w:pPr>
      <w:bookmarkStart w:name="十一、公允价值的披露" w:id="464"/>
      <w:bookmarkEnd w:id="464"/>
      <w:r>
        <w:rPr>
          <w:b w:val="0"/>
          <w:bCs w:val="0"/>
        </w:rPr>
      </w: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764"/>
        <w:jc w:val="left"/>
        <w:rPr>
          <w:b w:val="0"/>
          <w:bCs w:val="0"/>
        </w:rPr>
      </w:pPr>
      <w:bookmarkStart w:name="1、以公允价值计量的资产和负债的期末公允价值" w:id="465"/>
      <w:bookmarkEnd w:id="465"/>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93"/>
        <w:gridCol w:w="1839"/>
        <w:gridCol w:w="1916"/>
        <w:gridCol w:w="1911"/>
        <w:gridCol w:w="1916"/>
      </w:tblGrid>
      <w:tr>
        <w:trPr>
          <w:trHeight w:val="398" w:hRule="exact"/>
        </w:trPr>
        <w:tc>
          <w:tcPr>
            <w:tcW w:w="1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6" w:hRule="exact"/>
        </w:trPr>
        <w:tc>
          <w:tcPr>
            <w:tcW w:w="1993" w:type="dxa"/>
            <w:vMerge/>
            <w:tcBorders>
              <w:left w:val="single" w:sz="4" w:space="0" w:color="000000"/>
              <w:bottom w:val="single" w:sz="4" w:space="0" w:color="000000"/>
              <w:right w:val="single" w:sz="4" w:space="0" w:color="000000"/>
            </w:tcBorders>
            <w:shd w:val="clear" w:color="auto" w:fill="D2D2D2"/>
          </w:tcPr>
          <w:p>
            <w:pP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825" w:right="99" w:hanging="720"/>
              <w:jc w:val="left"/>
              <w:rPr>
                <w:rFonts w:ascii="宋体" w:hAnsi="宋体" w:cs="宋体" w:eastAsia="宋体" w:hint="default"/>
                <w:sz w:val="18"/>
                <w:szCs w:val="18"/>
              </w:rPr>
            </w:pPr>
            <w:r>
              <w:rPr>
                <w:rFonts w:ascii="宋体" w:hAnsi="宋体" w:cs="宋体" w:eastAsia="宋体" w:hint="default"/>
                <w:spacing w:val="-3"/>
                <w:sz w:val="18"/>
                <w:szCs w:val="18"/>
              </w:rPr>
              <w:t>第一层次公允价值计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864" w:right="137" w:hanging="721"/>
              <w:jc w:val="left"/>
              <w:rPr>
                <w:rFonts w:ascii="宋体" w:hAnsi="宋体" w:cs="宋体" w:eastAsia="宋体" w:hint="default"/>
                <w:sz w:val="18"/>
                <w:szCs w:val="18"/>
              </w:rPr>
            </w:pPr>
            <w:r>
              <w:rPr>
                <w:rFonts w:ascii="宋体" w:hAnsi="宋体" w:cs="宋体" w:eastAsia="宋体" w:hint="default"/>
                <w:spacing w:val="-3"/>
                <w:sz w:val="18"/>
                <w:szCs w:val="18"/>
              </w:rPr>
              <w:t>第二层次公允价值计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859" w:right="137" w:hanging="720"/>
              <w:jc w:val="left"/>
              <w:rPr>
                <w:rFonts w:ascii="宋体" w:hAnsi="宋体" w:cs="宋体" w:eastAsia="宋体" w:hint="default"/>
                <w:sz w:val="18"/>
                <w:szCs w:val="18"/>
              </w:rPr>
            </w:pPr>
            <w:r>
              <w:rPr>
                <w:rFonts w:ascii="宋体" w:hAnsi="宋体" w:cs="宋体" w:eastAsia="宋体" w:hint="default"/>
                <w:spacing w:val="-3"/>
                <w:sz w:val="18"/>
                <w:szCs w:val="18"/>
              </w:rPr>
              <w:t>第三层次公允价值计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94"/>
              <w:jc w:val="left"/>
              <w:rPr>
                <w:rFonts w:ascii="宋体" w:hAnsi="宋体" w:cs="宋体" w:eastAsia="宋体" w:hint="default"/>
                <w:sz w:val="18"/>
                <w:szCs w:val="18"/>
              </w:rPr>
            </w:pPr>
            <w:r>
              <w:rPr>
                <w:rFonts w:ascii="宋体" w:hAnsi="宋体" w:cs="宋体" w:eastAsia="宋体" w:hint="default"/>
                <w:spacing w:val="-5"/>
                <w:sz w:val="18"/>
                <w:szCs w:val="18"/>
              </w:rPr>
              <w:t>一、持续的公允价值计</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量</w:t>
            </w: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028"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05" w:right="113"/>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以公允价值计量且其</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变动计入当期损益的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金融资产</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2,232,720.00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2,232,720.00</w:t>
            </w:r>
          </w:p>
        </w:tc>
      </w:tr>
      <w:tr>
        <w:trPr>
          <w:trHeight w:val="398"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2,232,720.00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2,232,720.00</w:t>
            </w:r>
          </w:p>
        </w:tc>
      </w:tr>
      <w:tr>
        <w:trPr>
          <w:trHeight w:val="715"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94"/>
              <w:jc w:val="left"/>
              <w:rPr>
                <w:rFonts w:ascii="宋体" w:hAnsi="宋体" w:cs="宋体" w:eastAsia="宋体" w:hint="default"/>
                <w:sz w:val="18"/>
                <w:szCs w:val="18"/>
              </w:rPr>
            </w:pPr>
            <w:r>
              <w:rPr>
                <w:rFonts w:ascii="宋体" w:hAnsi="宋体" w:cs="宋体" w:eastAsia="宋体" w:hint="default"/>
                <w:spacing w:val="-5"/>
                <w:sz w:val="18"/>
                <w:szCs w:val="18"/>
              </w:rPr>
              <w:t>（三）其他权益工具投</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资</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81" w:right="0"/>
              <w:jc w:val="left"/>
              <w:rPr>
                <w:rFonts w:ascii="Times New Roman" w:hAnsi="Times New Roman" w:cs="Times New Roman" w:eastAsia="Times New Roman" w:hint="default"/>
                <w:sz w:val="18"/>
                <w:szCs w:val="18"/>
              </w:rPr>
            </w:pPr>
            <w:r>
              <w:rPr>
                <w:rFonts w:ascii="Times New Roman"/>
                <w:sz w:val="18"/>
              </w:rPr>
              <w:t>108,506,452.89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13,117,500.00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121,623,952.89</w:t>
            </w:r>
          </w:p>
        </w:tc>
      </w:tr>
      <w:tr>
        <w:trPr>
          <w:trHeight w:val="404"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43,379,836.02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43,379,836.02</w:t>
            </w:r>
          </w:p>
        </w:tc>
      </w:tr>
      <w:tr>
        <w:trPr>
          <w:trHeight w:val="715"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94"/>
              <w:jc w:val="left"/>
              <w:rPr>
                <w:rFonts w:ascii="宋体" w:hAnsi="宋体" w:cs="宋体" w:eastAsia="宋体" w:hint="default"/>
                <w:sz w:val="18"/>
                <w:szCs w:val="18"/>
              </w:rPr>
            </w:pPr>
            <w:r>
              <w:rPr>
                <w:rFonts w:ascii="宋体" w:hAnsi="宋体" w:cs="宋体" w:eastAsia="宋体" w:hint="default"/>
                <w:spacing w:val="-5"/>
                <w:sz w:val="18"/>
                <w:szCs w:val="18"/>
              </w:rPr>
              <w:t>二、非持续的公允价值</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计量</w:t>
            </w: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93"/>
        <w:gridCol w:w="1839"/>
        <w:gridCol w:w="1916"/>
        <w:gridCol w:w="1911"/>
        <w:gridCol w:w="1916"/>
      </w:tblGrid>
      <w:tr>
        <w:trPr>
          <w:trHeight w:val="715"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252"/>
              <w:jc w:val="left"/>
              <w:rPr>
                <w:rFonts w:ascii="宋体" w:hAnsi="宋体" w:cs="宋体" w:eastAsia="宋体" w:hint="default"/>
                <w:sz w:val="18"/>
                <w:szCs w:val="18"/>
              </w:rPr>
            </w:pPr>
            <w:r>
              <w:rPr>
                <w:rFonts w:ascii="宋体" w:hAnsi="宋体" w:cs="宋体" w:eastAsia="宋体" w:hint="default"/>
                <w:spacing w:val="-3"/>
                <w:sz w:val="18"/>
                <w:szCs w:val="18"/>
              </w:rPr>
              <w:t>非持续以公允价值计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量的资产总额</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82" w:right="0"/>
              <w:jc w:val="left"/>
              <w:rPr>
                <w:rFonts w:ascii="Times New Roman" w:hAnsi="Times New Roman" w:cs="Times New Roman" w:eastAsia="Times New Roman" w:hint="default"/>
                <w:sz w:val="18"/>
                <w:szCs w:val="18"/>
              </w:rPr>
            </w:pPr>
            <w:r>
              <w:rPr>
                <w:rFonts w:ascii="Times New Roman"/>
                <w:sz w:val="18"/>
              </w:rPr>
              <w:t>2,232,720.00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81" w:right="0"/>
              <w:jc w:val="left"/>
              <w:rPr>
                <w:rFonts w:ascii="Times New Roman" w:hAnsi="Times New Roman" w:cs="Times New Roman" w:eastAsia="Times New Roman" w:hint="default"/>
                <w:sz w:val="18"/>
                <w:szCs w:val="18"/>
              </w:rPr>
            </w:pPr>
            <w:r>
              <w:rPr>
                <w:rFonts w:ascii="Times New Roman"/>
                <w:sz w:val="18"/>
              </w:rPr>
              <w:t>108,506,452.89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63" w:right="0"/>
              <w:jc w:val="left"/>
              <w:rPr>
                <w:rFonts w:ascii="Times New Roman" w:hAnsi="Times New Roman" w:cs="Times New Roman" w:eastAsia="Times New Roman" w:hint="default"/>
                <w:sz w:val="18"/>
                <w:szCs w:val="18"/>
              </w:rPr>
            </w:pPr>
            <w:r>
              <w:rPr>
                <w:rFonts w:ascii="Times New Roman"/>
                <w:sz w:val="18"/>
              </w:rPr>
              <w:t>56,497,336.02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82" w:right="0"/>
              <w:jc w:val="left"/>
              <w:rPr>
                <w:rFonts w:ascii="Times New Roman" w:hAnsi="Times New Roman" w:cs="Times New Roman" w:eastAsia="Times New Roman" w:hint="default"/>
                <w:sz w:val="18"/>
                <w:szCs w:val="18"/>
              </w:rPr>
            </w:pPr>
            <w:r>
              <w:rPr>
                <w:rFonts w:ascii="Times New Roman"/>
                <w:sz w:val="18"/>
              </w:rPr>
              <w:t>167,236,508.91</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2、持续和非持续第一层次公允价值计量项目市价的确定依据" w:id="466"/>
      <w:bookmarkEnd w:id="466"/>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5"/>
        <w:rPr>
          <w:rFonts w:ascii="宋体" w:hAnsi="宋体" w:cs="宋体" w:eastAsia="宋体" w:hint="default"/>
          <w:b/>
          <w:bCs/>
          <w:sz w:val="24"/>
          <w:szCs w:val="24"/>
        </w:rPr>
      </w:pPr>
    </w:p>
    <w:p>
      <w:pPr>
        <w:pStyle w:val="BodyText"/>
        <w:spacing w:line="273" w:lineRule="auto" w:before="0"/>
        <w:ind w:left="516" w:right="1007" w:firstLine="418"/>
        <w:jc w:val="left"/>
      </w:pPr>
      <w:r>
        <w:rPr>
          <w:spacing w:val="-2"/>
        </w:rPr>
        <w:t>本公司以公允价值计量且其变动计入当期损益的金融资产为上市公司股票，其公允价证券交易所</w:t>
      </w:r>
      <w:r>
        <w:rPr>
          <w:w w:val="100"/>
        </w:rPr>
        <w:t> </w:t>
      </w:r>
      <w:r>
        <w:rPr/>
        <w:t>期末收盘价。</w:t>
      </w:r>
    </w:p>
    <w:p>
      <w:pPr>
        <w:pStyle w:val="BodyText"/>
        <w:spacing w:line="438" w:lineRule="exact" w:before="22"/>
        <w:ind w:left="934" w:right="1007"/>
        <w:jc w:val="left"/>
      </w:pPr>
      <w:r>
        <w:rPr/>
        <w:t>本公司应收款项融资主要系银行承兑汇票，其剩余期限较短，账面余额与公允价值相近。</w:t>
      </w:r>
      <w:r>
        <w:rPr>
          <w:w w:val="100"/>
        </w:rPr>
        <w:t> </w:t>
      </w:r>
      <w:r>
        <w:rPr>
          <w:spacing w:val="-2"/>
        </w:rPr>
        <w:t>本公司其他权益工具投资系持有的非上市公司股权，被投资方近期存在股权变动的参照近期其他</w:t>
      </w:r>
    </w:p>
    <w:p>
      <w:pPr>
        <w:pStyle w:val="BodyText"/>
        <w:spacing w:line="249" w:lineRule="exact" w:before="0"/>
        <w:ind w:left="516" w:right="1007"/>
        <w:jc w:val="left"/>
      </w:pPr>
      <w:r>
        <w:rPr/>
        <w:t>投资者对被投资方增资或股权转让价款确认公允价值；近期无股权变动的，被投资方经营环境未发生</w:t>
      </w:r>
    </w:p>
    <w:p>
      <w:pPr>
        <w:pStyle w:val="BodyText"/>
        <w:spacing w:line="240" w:lineRule="auto" w:before="37"/>
        <w:ind w:left="516" w:right="1764"/>
        <w:jc w:val="left"/>
      </w:pPr>
      <w:r>
        <w:rPr/>
        <w:t>重大变化的，以成本价作为公允价值。</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3"/>
        <w:spacing w:line="240" w:lineRule="auto"/>
        <w:ind w:right="1764"/>
        <w:jc w:val="left"/>
        <w:rPr>
          <w:b w:val="0"/>
          <w:bCs w:val="0"/>
        </w:rPr>
      </w:pPr>
      <w:bookmarkStart w:name="3、持续和非持续第二层次公允价值计量项目，采用的估值技术和重要参数的定性及定量信" w:id="467"/>
      <w:bookmarkEnd w:id="467"/>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764"/>
        <w:jc w:val="left"/>
        <w:rPr>
          <w:b w:val="0"/>
          <w:bCs w:val="0"/>
        </w:rPr>
      </w:pPr>
      <w:bookmarkStart w:name="4、持续和非持续第三层次公允价值计量项目，采用的估值技术和重要参数的定性及定量信" w:id="468"/>
      <w:bookmarkEnd w:id="468"/>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07"/>
        <w:jc w:val="left"/>
        <w:rPr>
          <w:b w:val="0"/>
          <w:bCs w:val="0"/>
        </w:rPr>
      </w:pPr>
      <w:bookmarkStart w:name="5、持续的第三层次公允价值计量项目，期初与期末账面价值间的调节信息及不可观察参数" w:id="469"/>
      <w:bookmarkEnd w:id="469"/>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764"/>
        <w:jc w:val="left"/>
        <w:rPr>
          <w:b w:val="0"/>
          <w:bCs w:val="0"/>
        </w:rPr>
      </w:pPr>
      <w:bookmarkStart w:name="6、持续的公允价值计量项目，本期内发生各层级之间转换的，转换的原因及确定转换时点" w:id="470"/>
      <w:bookmarkEnd w:id="470"/>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7、本期内发生的估值技术变更及变更原因" w:id="471"/>
      <w:bookmarkEnd w:id="471"/>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8、不以公允价值计量的金融资产和金融负债的公允价值情况" w:id="472"/>
      <w:bookmarkEnd w:id="472"/>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4" w:lineRule="auto" w:before="0"/>
        <w:ind w:left="113" w:right="8100" w:firstLine="0"/>
        <w:jc w:val="left"/>
        <w:rPr>
          <w:rFonts w:ascii="宋体" w:hAnsi="宋体" w:cs="宋体" w:eastAsia="宋体" w:hint="default"/>
          <w:sz w:val="21"/>
          <w:szCs w:val="21"/>
        </w:rPr>
      </w:pPr>
      <w:bookmarkStart w:name="9、其他" w:id="473"/>
      <w:bookmarkEnd w:id="473"/>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二、关联方及关联交易" w:id="474"/>
      <w:bookmarkEnd w:id="474"/>
      <w:r>
        <w:rPr>
          <w:rFonts w:ascii="宋体" w:hAnsi="宋体" w:cs="宋体" w:eastAsia="宋体" w:hint="default"/>
          <w:b/>
          <w:bCs/>
          <w:w w:val="100"/>
          <w:sz w:val="21"/>
          <w:szCs w:val="21"/>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母公司情况" w:id="475"/>
      <w:bookmarkEnd w:id="47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10"/>
        <w:rPr>
          <w:rFonts w:ascii="宋体" w:hAnsi="宋体" w:cs="宋体" w:eastAsia="宋体" w:hint="default"/>
          <w:b/>
          <w:bCs/>
          <w:sz w:val="7"/>
          <w:szCs w:val="7"/>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5"/>
        <w:gridCol w:w="1599"/>
        <w:gridCol w:w="1594"/>
        <w:gridCol w:w="1594"/>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40" w:right="161" w:hanging="183"/>
              <w:jc w:val="left"/>
              <w:rPr>
                <w:rFonts w:ascii="宋体" w:hAnsi="宋体" w:cs="宋体" w:eastAsia="宋体" w:hint="default"/>
                <w:sz w:val="18"/>
                <w:szCs w:val="18"/>
              </w:rPr>
            </w:pPr>
            <w:r>
              <w:rPr>
                <w:rFonts w:ascii="宋体" w:hAnsi="宋体" w:cs="宋体" w:eastAsia="宋体" w:hint="default"/>
                <w:spacing w:val="-3"/>
                <w:sz w:val="18"/>
                <w:szCs w:val="18"/>
              </w:rPr>
              <w:t>母公司对本企业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的持股比例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9" w:right="161" w:hanging="92"/>
              <w:jc w:val="left"/>
              <w:rPr>
                <w:rFonts w:ascii="宋体" w:hAnsi="宋体" w:cs="宋体" w:eastAsia="宋体" w:hint="default"/>
                <w:sz w:val="18"/>
                <w:szCs w:val="18"/>
              </w:rPr>
            </w:pPr>
            <w:r>
              <w:rPr>
                <w:rFonts w:ascii="宋体" w:hAnsi="宋体" w:cs="宋体" w:eastAsia="宋体" w:hint="default"/>
                <w:spacing w:val="-3"/>
                <w:sz w:val="18"/>
                <w:szCs w:val="18"/>
              </w:rPr>
              <w:t>母公司对本企业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的表决权比例</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本企业的母公司情况的说明</w:t>
      </w:r>
    </w:p>
    <w:p>
      <w:pPr>
        <w:pStyle w:val="BodyText"/>
        <w:spacing w:line="240" w:lineRule="auto" w:before="90"/>
        <w:ind w:left="535" w:right="1007"/>
        <w:jc w:val="left"/>
      </w:pPr>
      <w:r>
        <w:rPr/>
        <w:t>本公司股权结构较为分散，不存在控股股东和实际控制人，亦不存在多人共同拥有公司控制权</w:t>
      </w:r>
    </w:p>
    <w:p>
      <w:pPr>
        <w:spacing w:line="240" w:lineRule="auto" w:before="0"/>
        <w:rPr>
          <w:rFonts w:ascii="宋体" w:hAnsi="宋体" w:cs="宋体" w:eastAsia="宋体" w:hint="default"/>
          <w:sz w:val="20"/>
          <w:szCs w:val="20"/>
        </w:rPr>
      </w:pPr>
    </w:p>
    <w:p>
      <w:pPr>
        <w:spacing w:line="357" w:lineRule="auto" w:before="156"/>
        <w:ind w:left="113" w:right="8661" w:firstLine="0"/>
        <w:jc w:val="left"/>
        <w:rPr>
          <w:rFonts w:ascii="宋体" w:hAnsi="宋体" w:cs="宋体" w:eastAsia="宋体" w:hint="default"/>
          <w:sz w:val="18"/>
          <w:szCs w:val="18"/>
        </w:rPr>
      </w:pPr>
      <w:r>
        <w:rPr>
          <w:rFonts w:ascii="宋体" w:hAnsi="宋体" w:cs="宋体" w:eastAsia="宋体" w:hint="default"/>
          <w:sz w:val="18"/>
          <w:szCs w:val="18"/>
        </w:rPr>
        <w:t>本企业最终控制方是。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其他说明：</w:t>
      </w:r>
    </w:p>
    <w:p>
      <w:pPr>
        <w:spacing w:line="240" w:lineRule="auto" w:before="12"/>
        <w:rPr>
          <w:rFonts w:ascii="宋体" w:hAnsi="宋体" w:cs="宋体" w:eastAsia="宋体" w:hint="default"/>
          <w:sz w:val="19"/>
          <w:szCs w:val="19"/>
        </w:rPr>
      </w:pPr>
    </w:p>
    <w:p>
      <w:pPr>
        <w:pStyle w:val="Heading3"/>
        <w:spacing w:line="240" w:lineRule="auto"/>
        <w:ind w:right="1764"/>
        <w:jc w:val="left"/>
        <w:rPr>
          <w:b w:val="0"/>
          <w:bCs w:val="0"/>
        </w:rPr>
      </w:pPr>
      <w:bookmarkStart w:name="2、本企业的子公司情况" w:id="476"/>
      <w:bookmarkEnd w:id="476"/>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本企业子公司的情况详见附注。</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3"/>
        <w:spacing w:line="240" w:lineRule="auto" w:before="36"/>
        <w:ind w:right="1764"/>
        <w:jc w:val="left"/>
        <w:rPr>
          <w:b w:val="0"/>
          <w:bCs w:val="0"/>
        </w:rPr>
      </w:pPr>
      <w:bookmarkStart w:name="3、本企业合营和联营企业情况" w:id="477"/>
      <w:bookmarkEnd w:id="477"/>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1"/>
        <w:rPr>
          <w:rFonts w:ascii="宋体" w:hAnsi="宋体" w:cs="宋体" w:eastAsia="宋体" w:hint="default"/>
          <w:b/>
          <w:bCs/>
          <w:sz w:val="27"/>
          <w:szCs w:val="27"/>
        </w:rPr>
      </w:pPr>
    </w:p>
    <w:p>
      <w:pPr>
        <w:spacing w:line="357" w:lineRule="auto" w:before="0"/>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本企业重要的合营或联营企业详见附注八（三）在合营安排或联营企业中的权益。</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本期与本公司发生关联方交易，或前期与本公司发生关联方交易形成余额的其他合营或联营企业情况如下：</w:t>
      </w: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79" w:right="0"/>
              <w:jc w:val="left"/>
              <w:rPr>
                <w:rFonts w:ascii="宋体" w:hAnsi="宋体" w:cs="宋体" w:eastAsia="宋体" w:hint="default"/>
                <w:sz w:val="18"/>
                <w:szCs w:val="18"/>
              </w:rPr>
            </w:pPr>
            <w:r>
              <w:rPr>
                <w:rFonts w:ascii="宋体" w:hAnsi="宋体" w:cs="宋体" w:eastAsia="宋体" w:hint="default"/>
                <w:spacing w:val="-3"/>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before="67"/>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3"/>
          <w:szCs w:val="23"/>
        </w:rPr>
      </w:pPr>
    </w:p>
    <w:p>
      <w:pPr>
        <w:pStyle w:val="Heading3"/>
        <w:spacing w:line="240" w:lineRule="auto"/>
        <w:ind w:right="1764"/>
        <w:jc w:val="left"/>
        <w:rPr>
          <w:b w:val="0"/>
          <w:bCs w:val="0"/>
        </w:rPr>
      </w:pPr>
      <w:bookmarkStart w:name="4、其他关联方情况" w:id="478"/>
      <w:bookmarkEnd w:id="478"/>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01" w:right="0"/>
              <w:jc w:val="left"/>
              <w:rPr>
                <w:rFonts w:ascii="宋体" w:hAnsi="宋体" w:cs="宋体" w:eastAsia="宋体" w:hint="default"/>
                <w:sz w:val="18"/>
                <w:szCs w:val="18"/>
              </w:rPr>
            </w:pPr>
            <w:r>
              <w:rPr>
                <w:rFonts w:ascii="宋体" w:hAnsi="宋体" w:cs="宋体" w:eastAsia="宋体" w:hint="default"/>
                <w:spacing w:val="-3"/>
                <w:sz w:val="18"/>
                <w:szCs w:val="18"/>
              </w:rPr>
              <w:t>其他关联方与本企业关系</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东南亚电信集团股份有限公司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本公司投资的其他企业，本公司持股</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3.348%</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陈友、汪东升、谢晓宾、陈鲁康、陈兵、苗逢源</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董事会成员</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肖</w:t>
            </w:r>
            <w:r>
              <w:rPr>
                <w:rFonts w:ascii="宋体" w:hAnsi="宋体" w:cs="宋体" w:eastAsia="宋体" w:hint="default"/>
                <w:spacing w:val="-5"/>
                <w:w w:val="101"/>
                <w:sz w:val="18"/>
                <w:szCs w:val="18"/>
              </w:rPr>
              <w:t>征</w:t>
            </w:r>
            <w:r>
              <w:rPr>
                <w:rFonts w:ascii="宋体" w:hAnsi="宋体" w:cs="宋体" w:eastAsia="宋体" w:hint="default"/>
                <w:w w:val="101"/>
                <w:sz w:val="18"/>
                <w:szCs w:val="18"/>
              </w:rPr>
              <w:t>、</w:t>
            </w:r>
            <w:r>
              <w:rPr>
                <w:rFonts w:ascii="宋体" w:hAnsi="宋体" w:cs="宋体" w:eastAsia="宋体" w:hint="default"/>
                <w:spacing w:val="-5"/>
                <w:w w:val="101"/>
                <w:sz w:val="18"/>
                <w:szCs w:val="18"/>
              </w:rPr>
              <w:t>杨</w:t>
            </w:r>
            <w:r>
              <w:rPr>
                <w:rFonts w:ascii="宋体" w:hAnsi="宋体" w:cs="宋体" w:eastAsia="宋体" w:hint="default"/>
                <w:w w:val="101"/>
                <w:sz w:val="18"/>
                <w:szCs w:val="18"/>
              </w:rPr>
              <w:t>文</w:t>
            </w:r>
            <w:r>
              <w:rPr>
                <w:rFonts w:ascii="宋体" w:hAnsi="宋体" w:cs="宋体" w:eastAsia="宋体" w:hint="default"/>
                <w:spacing w:val="-5"/>
                <w:w w:val="101"/>
                <w:sz w:val="18"/>
                <w:szCs w:val="18"/>
              </w:rPr>
              <w:t>庆</w:t>
            </w:r>
            <w:r>
              <w:rPr>
                <w:rFonts w:ascii="宋体" w:hAnsi="宋体" w:cs="宋体" w:eastAsia="宋体" w:hint="default"/>
                <w:w w:val="101"/>
                <w:sz w:val="18"/>
                <w:szCs w:val="18"/>
              </w:rPr>
              <w:t>、</w:t>
            </w:r>
            <w:r>
              <w:rPr>
                <w:rFonts w:ascii="宋体" w:hAnsi="宋体" w:cs="宋体" w:eastAsia="宋体" w:hint="default"/>
                <w:spacing w:val="-5"/>
                <w:w w:val="101"/>
                <w:sz w:val="18"/>
                <w:szCs w:val="18"/>
              </w:rPr>
              <w:t>代</w:t>
            </w:r>
            <w:r>
              <w:rPr>
                <w:rFonts w:ascii="宋体" w:hAnsi="宋体" w:cs="宋体" w:eastAsia="宋体" w:hint="default"/>
                <w:w w:val="101"/>
                <w:sz w:val="18"/>
                <w:szCs w:val="18"/>
              </w:rPr>
              <w:t>静</w:t>
            </w:r>
            <w:r>
              <w:rPr>
                <w:rFonts w:ascii="宋体" w:hAnsi="宋体" w:cs="宋体" w:eastAsia="宋体" w:hint="default"/>
                <w:spacing w:val="-5"/>
                <w:w w:val="101"/>
                <w:sz w:val="18"/>
                <w:szCs w:val="18"/>
              </w:rPr>
              <w:t>、</w:t>
            </w:r>
            <w:r>
              <w:rPr>
                <w:rFonts w:ascii="宋体" w:hAnsi="宋体" w:cs="宋体" w:eastAsia="宋体" w:hint="default"/>
                <w:w w:val="101"/>
                <w:sz w:val="18"/>
                <w:szCs w:val="18"/>
              </w:rPr>
              <w:t>张</w:t>
            </w:r>
            <w:r>
              <w:rPr>
                <w:rFonts w:ascii="宋体" w:hAnsi="宋体" w:cs="宋体" w:eastAsia="宋体" w:hint="default"/>
                <w:spacing w:val="-5"/>
                <w:w w:val="101"/>
                <w:sz w:val="18"/>
                <w:szCs w:val="18"/>
              </w:rPr>
              <w:t>媛</w:t>
            </w:r>
            <w:r>
              <w:rPr>
                <w:rFonts w:ascii="宋体" w:hAnsi="宋体" w:cs="宋体" w:eastAsia="宋体" w:hint="default"/>
                <w:w w:val="101"/>
                <w:sz w:val="18"/>
                <w:szCs w:val="18"/>
              </w:rPr>
              <w:t>（</w:t>
            </w:r>
            <w:r>
              <w:rPr>
                <w:rFonts w:ascii="宋体" w:hAnsi="宋体" w:cs="宋体" w:eastAsia="宋体" w:hint="default"/>
                <w:spacing w:val="-5"/>
                <w:w w:val="101"/>
                <w:sz w:val="18"/>
                <w:szCs w:val="18"/>
              </w:rPr>
              <w:t>离</w:t>
            </w:r>
            <w:r>
              <w:rPr>
                <w:rFonts w:ascii="宋体" w:hAnsi="宋体" w:cs="宋体" w:eastAsia="宋体" w:hint="default"/>
                <w:w w:val="101"/>
                <w:sz w:val="18"/>
                <w:szCs w:val="18"/>
              </w:rPr>
              <w:t>任</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梁</w:t>
            </w:r>
            <w:r>
              <w:rPr>
                <w:rFonts w:ascii="宋体" w:hAnsi="宋体" w:cs="宋体" w:eastAsia="宋体" w:hint="default"/>
                <w:spacing w:val="-5"/>
                <w:w w:val="101"/>
                <w:sz w:val="18"/>
                <w:szCs w:val="18"/>
              </w:rPr>
              <w:t>凌</w:t>
            </w:r>
            <w:r>
              <w:rPr>
                <w:rFonts w:ascii="宋体" w:hAnsi="宋体" w:cs="宋体" w:eastAsia="宋体" w:hint="default"/>
                <w:w w:val="101"/>
                <w:sz w:val="18"/>
                <w:szCs w:val="18"/>
              </w:rPr>
              <w:t>琳</w:t>
            </w:r>
            <w:r>
              <w:rPr>
                <w:rFonts w:ascii="宋体" w:hAnsi="宋体" w:cs="宋体" w:eastAsia="宋体" w:hint="default"/>
                <w:spacing w:val="-5"/>
                <w:w w:val="101"/>
                <w:sz w:val="18"/>
                <w:szCs w:val="18"/>
              </w:rPr>
              <w:t>（</w:t>
            </w:r>
            <w:r>
              <w:rPr>
                <w:rFonts w:ascii="宋体" w:hAnsi="宋体" w:cs="宋体" w:eastAsia="宋体" w:hint="default"/>
                <w:w w:val="101"/>
                <w:sz w:val="18"/>
                <w:szCs w:val="18"/>
              </w:rPr>
              <w:t>离</w:t>
            </w:r>
            <w:r>
              <w:rPr>
                <w:rFonts w:ascii="宋体" w:hAnsi="宋体" w:cs="宋体" w:eastAsia="宋体" w:hint="default"/>
                <w:spacing w:val="-5"/>
                <w:w w:val="101"/>
                <w:sz w:val="18"/>
                <w:szCs w:val="18"/>
              </w:rPr>
              <w:t>任</w:t>
            </w:r>
            <w:r>
              <w:rPr>
                <w:rFonts w:ascii="宋体" w:hAnsi="宋体" w:cs="宋体" w:eastAsia="宋体" w:hint="default"/>
                <w:w w:val="101"/>
                <w:sz w:val="18"/>
                <w:szCs w:val="18"/>
              </w:rPr>
              <w:t>）</w:t>
            </w:r>
            <w:r>
              <w:rPr>
                <w:rFonts w:ascii="宋体" w:hAnsi="宋体" w:cs="宋体" w:eastAsia="宋体" w:hint="default"/>
                <w:sz w:val="18"/>
                <w:szCs w:val="18"/>
              </w:rPr>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监事会成员</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3"/>
              <w:jc w:val="left"/>
              <w:rPr>
                <w:rFonts w:ascii="宋体" w:hAnsi="宋体" w:cs="宋体" w:eastAsia="宋体" w:hint="default"/>
                <w:sz w:val="18"/>
                <w:szCs w:val="18"/>
              </w:rPr>
            </w:pPr>
            <w:r>
              <w:rPr>
                <w:rFonts w:ascii="宋体" w:hAnsi="宋体" w:cs="宋体" w:eastAsia="宋体" w:hint="default"/>
                <w:spacing w:val="-10"/>
                <w:w w:val="101"/>
                <w:sz w:val="18"/>
                <w:szCs w:val="18"/>
              </w:rPr>
              <w:t>张卫华、谢波峰、戴昌久、梁金华（离任）、郑飞（离任）、</w:t>
            </w:r>
            <w:r>
              <w:rPr>
                <w:rFonts w:ascii="宋体" w:hAnsi="宋体" w:cs="宋体" w:eastAsia="宋体" w:hint="default"/>
                <w:w w:val="101"/>
                <w:sz w:val="18"/>
                <w:szCs w:val="18"/>
              </w:rPr>
              <w:t> </w:t>
            </w:r>
            <w:r>
              <w:rPr>
                <w:rFonts w:ascii="宋体" w:hAnsi="宋体" w:cs="宋体" w:eastAsia="宋体" w:hint="default"/>
                <w:spacing w:val="-3"/>
                <w:sz w:val="18"/>
                <w:szCs w:val="18"/>
              </w:rPr>
              <w:t>盛宝军（离任）</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71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95"/>
              <w:jc w:val="left"/>
              <w:rPr>
                <w:rFonts w:ascii="宋体" w:hAnsi="宋体" w:cs="宋体" w:eastAsia="宋体" w:hint="default"/>
                <w:sz w:val="18"/>
                <w:szCs w:val="18"/>
              </w:rPr>
            </w:pPr>
            <w:r>
              <w:rPr>
                <w:rFonts w:ascii="宋体" w:hAnsi="宋体" w:cs="宋体" w:eastAsia="宋体" w:hint="default"/>
                <w:spacing w:val="-7"/>
                <w:w w:val="101"/>
                <w:sz w:val="18"/>
                <w:szCs w:val="18"/>
              </w:rPr>
              <w:t>陈秀琴、林容、管四新、代峰（离任）、罗赞、钱文胜、赵</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z w:val="18"/>
                <w:szCs w:val="18"/>
              </w:rPr>
              <w:t>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其他高管</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北京江融信科技有限公司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本公司董事陈兵担任董事的公司，维恩贝特持股</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9.068%</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深圳爱淘苗电子商务科技有限公司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本公司独立董事张卫华担任董事长的公司</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深圳迅销科技股份有限公司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本公司子公司维恩贝特所持股公司，持其股份为：</w:t>
            </w:r>
            <w:r>
              <w:rPr>
                <w:rFonts w:ascii="Times New Roman" w:hAnsi="Times New Roman" w:cs="Times New Roman" w:eastAsia="Times New Roman" w:hint="default"/>
                <w:spacing w:val="-3"/>
                <w:sz w:val="18"/>
                <w:szCs w:val="18"/>
              </w:rPr>
              <w:t>2.27%</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中电达通数据技术股份有限公司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本公司子公司维恩贝特所持股公司，持其股份为：</w:t>
            </w:r>
            <w:r>
              <w:rPr>
                <w:rFonts w:ascii="Times New Roman" w:hAnsi="Times New Roman" w:cs="Times New Roman" w:eastAsia="Times New Roman" w:hint="default"/>
                <w:spacing w:val="-4"/>
                <w:sz w:val="18"/>
                <w:szCs w:val="18"/>
              </w:rPr>
              <w:t>0.9887%</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潍坊市云支付科技有限公司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本公司子公司维恩贝特所持股公司，持其股份为：</w:t>
            </w:r>
            <w:r>
              <w:rPr>
                <w:rFonts w:ascii="Times New Roman" w:hAnsi="Times New Roman" w:cs="Times New Roman" w:eastAsia="Times New Roman" w:hint="default"/>
                <w:spacing w:val="-3"/>
                <w:sz w:val="18"/>
                <w:szCs w:val="18"/>
              </w:rPr>
              <w:t>10.00%</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深圳市科陆电子科技股份有限公司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166"/>
              <w:jc w:val="left"/>
              <w:rPr>
                <w:rFonts w:ascii="宋体" w:hAnsi="宋体" w:cs="宋体" w:eastAsia="宋体" w:hint="default"/>
                <w:sz w:val="18"/>
                <w:szCs w:val="18"/>
              </w:rPr>
            </w:pPr>
            <w:r>
              <w:rPr>
                <w:rFonts w:ascii="宋体" w:hAnsi="宋体" w:cs="宋体" w:eastAsia="宋体" w:hint="default"/>
                <w:spacing w:val="-3"/>
                <w:sz w:val="18"/>
                <w:szCs w:val="18"/>
              </w:rPr>
              <w:t>本公司独立董事梁金华先生和盛宝军先生同时担任科陆电</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子独立董事</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广州天源互联网有限公司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广州天源信息科技股份有限公司之子公司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深圳市优课在线教育有限公司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本公司投资的其他企业，本公司持股</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深圳市证通电子股份有限公司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董事陈兵担任其独立董事</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5、关联交易情况" w:id="479"/>
      <w:bookmarkEnd w:id="479"/>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1）购销商品、提供和接受劳务的关联交易" w:id="480"/>
      <w:bookmarkEnd w:id="480"/>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6"/>
        <w:rPr>
          <w:rFonts w:ascii="宋体" w:hAnsi="宋体" w:cs="宋体" w:eastAsia="宋体" w:hint="default"/>
          <w:b/>
          <w:bCs/>
          <w:sz w:val="23"/>
          <w:szCs w:val="23"/>
        </w:rPr>
      </w:pPr>
    </w:p>
    <w:p>
      <w:pPr>
        <w:spacing w:before="46"/>
        <w:ind w:left="113" w:right="1764"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2"/>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41"/>
        <w:gridCol w:w="1455"/>
        <w:gridCol w:w="1455"/>
        <w:gridCol w:w="1705"/>
        <w:gridCol w:w="1709"/>
        <w:gridCol w:w="1709"/>
      </w:tblGrid>
      <w:tr>
        <w:trPr>
          <w:trHeight w:val="398"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6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6" w:right="0"/>
              <w:jc w:val="left"/>
              <w:rPr>
                <w:rFonts w:ascii="宋体" w:hAnsi="宋体" w:cs="宋体" w:eastAsia="宋体" w:hint="default"/>
                <w:sz w:val="18"/>
                <w:szCs w:val="18"/>
              </w:rPr>
            </w:pPr>
            <w:r>
              <w:rPr>
                <w:rFonts w:ascii="宋体" w:hAnsi="宋体" w:cs="宋体" w:eastAsia="宋体" w:hint="default"/>
                <w:spacing w:val="-3"/>
                <w:sz w:val="18"/>
                <w:szCs w:val="18"/>
              </w:rPr>
              <w:t>获批的交易额度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541"/>
        <w:gridCol w:w="1455"/>
        <w:gridCol w:w="1455"/>
        <w:gridCol w:w="1705"/>
        <w:gridCol w:w="1709"/>
        <w:gridCol w:w="1709"/>
      </w:tblGrid>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61"/>
              <w:jc w:val="left"/>
              <w:rPr>
                <w:rFonts w:ascii="宋体" w:hAnsi="宋体" w:cs="宋体" w:eastAsia="宋体" w:hint="default"/>
                <w:sz w:val="18"/>
                <w:szCs w:val="18"/>
              </w:rPr>
            </w:pPr>
            <w:r>
              <w:rPr>
                <w:rFonts w:ascii="宋体" w:hAnsi="宋体" w:cs="宋体" w:eastAsia="宋体" w:hint="default"/>
                <w:spacing w:val="-3"/>
                <w:sz w:val="18"/>
                <w:szCs w:val="18"/>
              </w:rPr>
              <w:t>广州天源信息科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技股份有限公司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85,188.68</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10,000,000.00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6,329,700.71</w:t>
            </w:r>
          </w:p>
        </w:tc>
      </w:tr>
      <w:tr>
        <w:trPr>
          <w:trHeight w:val="71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61"/>
              <w:jc w:val="left"/>
              <w:rPr>
                <w:rFonts w:ascii="宋体" w:hAnsi="宋体" w:cs="宋体" w:eastAsia="宋体" w:hint="default"/>
                <w:sz w:val="18"/>
                <w:szCs w:val="18"/>
              </w:rPr>
            </w:pPr>
            <w:r>
              <w:rPr>
                <w:rFonts w:ascii="宋体" w:hAnsi="宋体" w:cs="宋体" w:eastAsia="宋体" w:hint="default"/>
                <w:spacing w:val="-3"/>
                <w:sz w:val="18"/>
                <w:szCs w:val="18"/>
              </w:rPr>
              <w:t>广州天源互联网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212,971.80</w:t>
            </w:r>
          </w:p>
        </w:tc>
        <w:tc>
          <w:tcPr>
            <w:tcW w:w="1705"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3,549,528.30</w:t>
            </w:r>
          </w:p>
        </w:tc>
      </w:tr>
      <w:tr>
        <w:trPr>
          <w:trHeight w:val="102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161"/>
              <w:jc w:val="both"/>
              <w:rPr>
                <w:rFonts w:ascii="宋体" w:hAnsi="宋体" w:cs="宋体" w:eastAsia="宋体" w:hint="default"/>
                <w:sz w:val="18"/>
                <w:szCs w:val="18"/>
              </w:rPr>
            </w:pPr>
            <w:r>
              <w:rPr>
                <w:rFonts w:ascii="宋体" w:hAnsi="宋体" w:cs="宋体" w:eastAsia="宋体" w:hint="default"/>
                <w:spacing w:val="-3"/>
                <w:sz w:val="18"/>
                <w:szCs w:val="18"/>
              </w:rPr>
              <w:t>北京信邦安达信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息科技股份有限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1,238,762.96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5,000,000.00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2,272,207.52</w:t>
            </w: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105" w:right="161"/>
              <w:jc w:val="left"/>
              <w:rPr>
                <w:rFonts w:ascii="宋体" w:hAnsi="宋体" w:cs="宋体" w:eastAsia="宋体" w:hint="default"/>
                <w:sz w:val="18"/>
                <w:szCs w:val="18"/>
              </w:rPr>
            </w:pPr>
            <w:r>
              <w:rPr>
                <w:rFonts w:ascii="宋体" w:hAnsi="宋体" w:cs="宋体" w:eastAsia="宋体" w:hint="default"/>
                <w:spacing w:val="-3"/>
                <w:sz w:val="18"/>
                <w:szCs w:val="18"/>
              </w:rPr>
              <w:t>深州市汇巨信息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技术有限公司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1,197,341.30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5,000,000.00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884,171.06</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61"/>
              <w:jc w:val="left"/>
              <w:rPr>
                <w:rFonts w:ascii="宋体" w:hAnsi="宋体" w:cs="宋体" w:eastAsia="宋体" w:hint="default"/>
                <w:sz w:val="18"/>
                <w:szCs w:val="18"/>
              </w:rPr>
            </w:pPr>
            <w:r>
              <w:rPr>
                <w:rFonts w:ascii="宋体" w:hAnsi="宋体" w:cs="宋体" w:eastAsia="宋体" w:hint="default"/>
                <w:spacing w:val="-3"/>
                <w:sz w:val="18"/>
                <w:szCs w:val="18"/>
              </w:rPr>
              <w:t>北京江融信科技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133,416.79</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10,000,000.00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2,867,681.53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30,000,000.00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13,035,607.59</w:t>
            </w:r>
          </w:p>
        </w:tc>
      </w:tr>
    </w:tbl>
    <w:p>
      <w:pPr>
        <w:spacing w:before="54"/>
        <w:ind w:left="113" w:right="1764"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6"/>
        <w:gridCol w:w="2262"/>
        <w:gridCol w:w="2261"/>
        <w:gridCol w:w="2651"/>
      </w:tblGrid>
      <w:tr>
        <w:trPr>
          <w:trHeight w:val="398"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7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6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6"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13"/>
              <w:jc w:val="left"/>
              <w:rPr>
                <w:rFonts w:ascii="宋体" w:hAnsi="宋体" w:cs="宋体" w:eastAsia="宋体" w:hint="default"/>
                <w:sz w:val="18"/>
                <w:szCs w:val="18"/>
              </w:rPr>
            </w:pPr>
            <w:r>
              <w:rPr>
                <w:rFonts w:ascii="宋体" w:hAnsi="宋体" w:cs="宋体" w:eastAsia="宋体" w:hint="default"/>
                <w:spacing w:val="-3"/>
                <w:sz w:val="18"/>
                <w:szCs w:val="18"/>
              </w:rPr>
              <w:t>深圳市汇巨信息技术有限公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421,129.31</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620,689.65</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北京江融信科技有限公司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技术服务、房屋租赁</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5,780,916.02</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4,357,323.02</w:t>
            </w:r>
          </w:p>
        </w:tc>
      </w:tr>
      <w:tr>
        <w:trPr>
          <w:trHeight w:val="71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13"/>
              <w:jc w:val="left"/>
              <w:rPr>
                <w:rFonts w:ascii="宋体" w:hAnsi="宋体" w:cs="宋体" w:eastAsia="宋体" w:hint="default"/>
                <w:sz w:val="18"/>
                <w:szCs w:val="18"/>
              </w:rPr>
            </w:pPr>
            <w:r>
              <w:rPr>
                <w:rFonts w:ascii="宋体" w:hAnsi="宋体" w:cs="宋体" w:eastAsia="宋体" w:hint="default"/>
                <w:spacing w:val="-3"/>
                <w:sz w:val="18"/>
                <w:szCs w:val="18"/>
              </w:rPr>
              <w:t>深圳市科陆电子科技股份有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3,687,264.16</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481,632.07</w:t>
            </w:r>
          </w:p>
        </w:tc>
      </w:tr>
      <w:tr>
        <w:trPr>
          <w:trHeight w:val="711"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13"/>
              <w:jc w:val="left"/>
              <w:rPr>
                <w:rFonts w:ascii="宋体" w:hAnsi="宋体" w:cs="宋体" w:eastAsia="宋体" w:hint="default"/>
                <w:sz w:val="18"/>
                <w:szCs w:val="18"/>
              </w:rPr>
            </w:pPr>
            <w:r>
              <w:rPr>
                <w:rFonts w:ascii="宋体" w:hAnsi="宋体" w:cs="宋体" w:eastAsia="宋体" w:hint="default"/>
                <w:spacing w:val="-3"/>
                <w:sz w:val="18"/>
                <w:szCs w:val="18"/>
              </w:rPr>
              <w:t>东南亚电信集团股份有限公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1,409,900.00</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2"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11,299,209.49</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5,459,644.74</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购销商品、提供和接受劳务的关联交易说明</w:t>
      </w:r>
    </w:p>
    <w:p>
      <w:pPr>
        <w:spacing w:line="240" w:lineRule="auto" w:before="8"/>
        <w:rPr>
          <w:rFonts w:ascii="宋体" w:hAnsi="宋体" w:cs="宋体" w:eastAsia="宋体" w:hint="default"/>
          <w:sz w:val="26"/>
          <w:szCs w:val="26"/>
        </w:rPr>
      </w:pPr>
    </w:p>
    <w:p>
      <w:pPr>
        <w:pStyle w:val="Heading3"/>
        <w:spacing w:line="240" w:lineRule="auto"/>
        <w:ind w:right="1764"/>
        <w:jc w:val="left"/>
        <w:rPr>
          <w:b w:val="0"/>
          <w:bCs w:val="0"/>
        </w:rPr>
      </w:pPr>
      <w:bookmarkStart w:name="（2）关联受托管理/承包及委托管理/出包情况" w:id="481"/>
      <w:bookmarkEnd w:id="481"/>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7"/>
        <w:rPr>
          <w:rFonts w:ascii="宋体" w:hAnsi="宋体" w:cs="宋体" w:eastAsia="宋体" w:hint="default"/>
          <w:b/>
          <w:bCs/>
          <w:sz w:val="23"/>
          <w:szCs w:val="23"/>
        </w:rPr>
      </w:pPr>
    </w:p>
    <w:p>
      <w:pPr>
        <w:spacing w:before="46"/>
        <w:ind w:left="113" w:right="1764"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102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00" w:lineRule="auto"/>
              <w:ind w:left="499" w:right="108" w:hanging="384"/>
              <w:jc w:val="left"/>
              <w:rPr>
                <w:rFonts w:ascii="宋体" w:hAnsi="宋体" w:cs="宋体" w:eastAsia="宋体" w:hint="default"/>
                <w:sz w:val="18"/>
                <w:szCs w:val="18"/>
              </w:rPr>
            </w:pPr>
            <w:r>
              <w:rPr>
                <w:rFonts w:ascii="宋体" w:hAnsi="宋体" w:cs="宋体" w:eastAsia="宋体" w:hint="default"/>
                <w:spacing w:val="-2"/>
                <w:sz w:val="18"/>
                <w:szCs w:val="18"/>
              </w:rPr>
              <w:t>委托方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出包方</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00" w:lineRule="auto"/>
              <w:ind w:left="499" w:right="108" w:hanging="384"/>
              <w:jc w:val="left"/>
              <w:rPr>
                <w:rFonts w:ascii="宋体" w:hAnsi="宋体" w:cs="宋体" w:eastAsia="宋体" w:hint="default"/>
                <w:sz w:val="18"/>
                <w:szCs w:val="18"/>
              </w:rPr>
            </w:pPr>
            <w:r>
              <w:rPr>
                <w:rFonts w:ascii="宋体" w:hAnsi="宋体" w:cs="宋体" w:eastAsia="宋体" w:hint="default"/>
                <w:spacing w:val="-2"/>
                <w:sz w:val="18"/>
                <w:szCs w:val="18"/>
              </w:rPr>
              <w:t>受托方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00" w:lineRule="auto"/>
              <w:ind w:left="499" w:right="108" w:hanging="384"/>
              <w:jc w:val="left"/>
              <w:rPr>
                <w:rFonts w:ascii="宋体" w:hAnsi="宋体" w:cs="宋体" w:eastAsia="宋体" w:hint="default"/>
                <w:sz w:val="18"/>
                <w:szCs w:val="18"/>
              </w:rPr>
            </w:pPr>
            <w:r>
              <w:rPr>
                <w:rFonts w:ascii="宋体" w:hAnsi="宋体" w:cs="宋体" w:eastAsia="宋体" w:hint="default"/>
                <w:spacing w:val="-2"/>
                <w:sz w:val="18"/>
                <w:szCs w:val="18"/>
              </w:rPr>
              <w:t>受托</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承包资产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类型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00" w:lineRule="auto"/>
              <w:ind w:left="590" w:right="108" w:hanging="476"/>
              <w:jc w:val="left"/>
              <w:rPr>
                <w:rFonts w:ascii="宋体" w:hAnsi="宋体" w:cs="宋体" w:eastAsia="宋体" w:hint="default"/>
                <w:sz w:val="18"/>
                <w:szCs w:val="18"/>
              </w:rPr>
            </w:pPr>
            <w:r>
              <w:rPr>
                <w:rFonts w:ascii="宋体" w:hAnsi="宋体" w:cs="宋体" w:eastAsia="宋体" w:hint="default"/>
                <w:spacing w:val="-2"/>
                <w:sz w:val="18"/>
                <w:szCs w:val="18"/>
              </w:rPr>
              <w:t>受托</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承包起始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00" w:lineRule="auto"/>
              <w:ind w:left="585" w:right="108" w:hanging="476"/>
              <w:jc w:val="left"/>
              <w:rPr>
                <w:rFonts w:ascii="宋体" w:hAnsi="宋体" w:cs="宋体" w:eastAsia="宋体" w:hint="default"/>
                <w:sz w:val="18"/>
                <w:szCs w:val="18"/>
              </w:rPr>
            </w:pPr>
            <w:r>
              <w:rPr>
                <w:rFonts w:ascii="宋体" w:hAnsi="宋体" w:cs="宋体" w:eastAsia="宋体" w:hint="default"/>
                <w:spacing w:val="-2"/>
                <w:sz w:val="18"/>
                <w:szCs w:val="18"/>
              </w:rPr>
              <w:t>受托</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承包终止</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00" w:lineRule="auto"/>
              <w:ind w:left="139" w:right="113" w:hanging="24"/>
              <w:jc w:val="left"/>
              <w:rPr>
                <w:rFonts w:ascii="宋体" w:hAnsi="宋体" w:cs="宋体" w:eastAsia="宋体" w:hint="default"/>
                <w:sz w:val="18"/>
                <w:szCs w:val="18"/>
              </w:rPr>
            </w:pPr>
            <w:r>
              <w:rPr>
                <w:rFonts w:ascii="宋体" w:hAnsi="宋体" w:cs="宋体" w:eastAsia="宋体" w:hint="default"/>
                <w:spacing w:val="-3"/>
                <w:sz w:val="18"/>
                <w:szCs w:val="18"/>
              </w:rPr>
              <w:t>托管收益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承包</w:t>
            </w:r>
            <w:r>
              <w:rPr>
                <w:rFonts w:ascii="宋体" w:hAnsi="宋体" w:cs="宋体" w:eastAsia="宋体" w:hint="default"/>
                <w:spacing w:val="-72"/>
                <w:sz w:val="18"/>
                <w:szCs w:val="18"/>
              </w:rPr>
              <w:t> </w:t>
            </w:r>
            <w:r>
              <w:rPr>
                <w:rFonts w:ascii="宋体" w:hAnsi="宋体" w:cs="宋体" w:eastAsia="宋体" w:hint="default"/>
                <w:sz w:val="18"/>
                <w:szCs w:val="18"/>
              </w:rPr>
              <w:t>收益定价依据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6"/>
              <w:ind w:left="115" w:right="108"/>
              <w:jc w:val="center"/>
              <w:rPr>
                <w:rFonts w:ascii="宋体" w:hAnsi="宋体" w:cs="宋体" w:eastAsia="宋体" w:hint="default"/>
                <w:sz w:val="18"/>
                <w:szCs w:val="18"/>
              </w:rPr>
            </w:pPr>
            <w:r>
              <w:rPr>
                <w:rFonts w:ascii="宋体" w:hAnsi="宋体" w:cs="宋体" w:eastAsia="宋体" w:hint="default"/>
                <w:sz w:val="18"/>
                <w:szCs w:val="18"/>
              </w:rPr>
              <w:t>本期确认的托</w:t>
            </w:r>
            <w:r>
              <w:rPr>
                <w:rFonts w:ascii="宋体" w:hAnsi="宋体" w:cs="宋体" w:eastAsia="宋体" w:hint="default"/>
                <w:w w:val="101"/>
                <w:sz w:val="18"/>
                <w:szCs w:val="18"/>
              </w:rPr>
              <w:t> </w:t>
            </w:r>
            <w:r>
              <w:rPr>
                <w:rFonts w:ascii="宋体" w:hAnsi="宋体" w:cs="宋体" w:eastAsia="宋体" w:hint="default"/>
                <w:spacing w:val="-2"/>
                <w:sz w:val="18"/>
                <w:szCs w:val="18"/>
              </w:rPr>
              <w:t>管收益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益</w:t>
            </w:r>
          </w:p>
        </w:tc>
      </w:tr>
    </w:tbl>
    <w:p>
      <w:pPr>
        <w:spacing w:after="0" w:line="309" w:lineRule="auto"/>
        <w:jc w:val="center"/>
        <w:rPr>
          <w:rFonts w:ascii="宋体" w:hAnsi="宋体" w:cs="宋体" w:eastAsia="宋体" w:hint="default"/>
          <w:sz w:val="18"/>
          <w:szCs w:val="18"/>
        </w:rPr>
        <w:sectPr>
          <w:pgSz w:w="11910" w:h="16840"/>
          <w:pgMar w:header="906" w:footer="1022" w:top="1100" w:bottom="1220" w:left="1020" w:right="0"/>
        </w:sectPr>
      </w:pPr>
    </w:p>
    <w:p>
      <w:pPr>
        <w:spacing w:line="343" w:lineRule="auto"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关联托管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承包情况说明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2"/>
          <w:sz w:val="18"/>
          <w:szCs w:val="18"/>
        </w:rPr>
        <w:t>本公司委托管理</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2510" w:space="6321"/>
            <w:col w:w="2059"/>
          </w:cols>
        </w:sectPr>
      </w:pP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711"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499" w:right="108" w:hanging="384"/>
              <w:jc w:val="left"/>
              <w:rPr>
                <w:rFonts w:ascii="宋体" w:hAnsi="宋体" w:cs="宋体" w:eastAsia="宋体" w:hint="default"/>
                <w:sz w:val="18"/>
                <w:szCs w:val="18"/>
              </w:rPr>
            </w:pPr>
            <w:r>
              <w:rPr>
                <w:rFonts w:ascii="宋体" w:hAnsi="宋体" w:cs="宋体" w:eastAsia="宋体" w:hint="default"/>
                <w:spacing w:val="-2"/>
                <w:sz w:val="18"/>
                <w:szCs w:val="18"/>
              </w:rPr>
              <w:t>委托方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出包方</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499" w:right="108" w:hanging="384"/>
              <w:jc w:val="left"/>
              <w:rPr>
                <w:rFonts w:ascii="宋体" w:hAnsi="宋体" w:cs="宋体" w:eastAsia="宋体" w:hint="default"/>
                <w:sz w:val="18"/>
                <w:szCs w:val="18"/>
              </w:rPr>
            </w:pPr>
            <w:r>
              <w:rPr>
                <w:rFonts w:ascii="宋体" w:hAnsi="宋体" w:cs="宋体" w:eastAsia="宋体" w:hint="default"/>
                <w:spacing w:val="-2"/>
                <w:sz w:val="18"/>
                <w:szCs w:val="18"/>
              </w:rPr>
              <w:t>受托方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499" w:right="108" w:hanging="384"/>
              <w:jc w:val="left"/>
              <w:rPr>
                <w:rFonts w:ascii="宋体" w:hAnsi="宋体" w:cs="宋体" w:eastAsia="宋体" w:hint="default"/>
                <w:sz w:val="18"/>
                <w:szCs w:val="18"/>
              </w:rPr>
            </w:pPr>
            <w:r>
              <w:rPr>
                <w:rFonts w:ascii="宋体" w:hAnsi="宋体" w:cs="宋体" w:eastAsia="宋体" w:hint="default"/>
                <w:spacing w:val="-2"/>
                <w:sz w:val="18"/>
                <w:szCs w:val="18"/>
              </w:rPr>
              <w:t>委托</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出包资产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类型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590" w:right="108" w:hanging="476"/>
              <w:jc w:val="left"/>
              <w:rPr>
                <w:rFonts w:ascii="宋体" w:hAnsi="宋体" w:cs="宋体" w:eastAsia="宋体" w:hint="default"/>
                <w:sz w:val="18"/>
                <w:szCs w:val="18"/>
              </w:rPr>
            </w:pPr>
            <w:r>
              <w:rPr>
                <w:rFonts w:ascii="宋体" w:hAnsi="宋体" w:cs="宋体" w:eastAsia="宋体" w:hint="default"/>
                <w:spacing w:val="-2"/>
                <w:sz w:val="18"/>
                <w:szCs w:val="18"/>
              </w:rPr>
              <w:t>委托</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出包起始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585" w:right="108" w:hanging="476"/>
              <w:jc w:val="left"/>
              <w:rPr>
                <w:rFonts w:ascii="宋体" w:hAnsi="宋体" w:cs="宋体" w:eastAsia="宋体" w:hint="default"/>
                <w:sz w:val="18"/>
                <w:szCs w:val="18"/>
              </w:rPr>
            </w:pPr>
            <w:r>
              <w:rPr>
                <w:rFonts w:ascii="宋体" w:hAnsi="宋体" w:cs="宋体" w:eastAsia="宋体" w:hint="default"/>
                <w:spacing w:val="-2"/>
                <w:sz w:val="18"/>
                <w:szCs w:val="18"/>
              </w:rPr>
              <w:t>委托</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出包终止</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322" w:right="108" w:hanging="207"/>
              <w:jc w:val="left"/>
              <w:rPr>
                <w:rFonts w:ascii="宋体" w:hAnsi="宋体" w:cs="宋体" w:eastAsia="宋体" w:hint="default"/>
                <w:sz w:val="18"/>
                <w:szCs w:val="18"/>
              </w:rPr>
            </w:pPr>
            <w:r>
              <w:rPr>
                <w:rFonts w:ascii="宋体" w:hAnsi="宋体" w:cs="宋体" w:eastAsia="宋体" w:hint="default"/>
                <w:spacing w:val="-2"/>
                <w:sz w:val="18"/>
                <w:szCs w:val="18"/>
              </w:rPr>
              <w:t>托管费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定价依据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06" w:right="132" w:hanging="68"/>
              <w:jc w:val="left"/>
              <w:rPr>
                <w:rFonts w:ascii="宋体" w:hAnsi="宋体" w:cs="宋体" w:eastAsia="宋体" w:hint="default"/>
                <w:sz w:val="18"/>
                <w:szCs w:val="18"/>
              </w:rPr>
            </w:pPr>
            <w:r>
              <w:rPr>
                <w:rFonts w:ascii="宋体" w:hAnsi="宋体" w:cs="宋体" w:eastAsia="宋体" w:hint="default"/>
                <w:spacing w:val="-2"/>
                <w:sz w:val="18"/>
                <w:szCs w:val="18"/>
              </w:rPr>
              <w:t>本期确认的托</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关联管理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出包情况说明</w:t>
      </w:r>
    </w:p>
    <w:p>
      <w:pPr>
        <w:spacing w:after="0"/>
        <w:jc w:val="left"/>
        <w:rPr>
          <w:rFonts w:ascii="宋体" w:hAnsi="宋体" w:cs="宋体" w:eastAsia="宋体" w:hint="default"/>
          <w:sz w:val="18"/>
          <w:szCs w:val="18"/>
        </w:rPr>
        <w:sectPr>
          <w:type w:val="continuous"/>
          <w:pgSz w:w="11910" w:h="16840"/>
          <w:pgMar w:top="1100" w:bottom="1220" w:left="1020" w:right="0"/>
        </w:sectPr>
      </w:pPr>
    </w:p>
    <w:p>
      <w:pPr>
        <w:spacing w:line="240" w:lineRule="auto" w:before="8"/>
        <w:rPr>
          <w:rFonts w:ascii="宋体" w:hAnsi="宋体" w:cs="宋体" w:eastAsia="宋体" w:hint="default"/>
          <w:sz w:val="21"/>
          <w:szCs w:val="21"/>
        </w:rPr>
      </w:pPr>
    </w:p>
    <w:p>
      <w:pPr>
        <w:pStyle w:val="Heading3"/>
        <w:spacing w:line="240" w:lineRule="auto" w:before="36"/>
        <w:ind w:right="1764"/>
        <w:jc w:val="left"/>
        <w:rPr>
          <w:b w:val="0"/>
          <w:bCs w:val="0"/>
        </w:rPr>
      </w:pPr>
      <w:bookmarkStart w:name="（3）关联租赁情况" w:id="482"/>
      <w:bookmarkEnd w:id="482"/>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6"/>
        <w:rPr>
          <w:rFonts w:ascii="宋体" w:hAnsi="宋体" w:cs="宋体" w:eastAsia="宋体" w:hint="default"/>
          <w:b/>
          <w:bCs/>
          <w:sz w:val="23"/>
          <w:szCs w:val="23"/>
        </w:rPr>
      </w:pPr>
    </w:p>
    <w:p>
      <w:pPr>
        <w:spacing w:before="46"/>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本公司作为出租方：</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1"/>
        <w:gridCol w:w="2396"/>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44"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47"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3" w:right="0"/>
              <w:jc w:val="left"/>
              <w:rPr>
                <w:rFonts w:ascii="宋体" w:hAnsi="宋体" w:cs="宋体" w:eastAsia="宋体" w:hint="default"/>
                <w:sz w:val="18"/>
                <w:szCs w:val="18"/>
              </w:rPr>
            </w:pPr>
            <w:r>
              <w:rPr>
                <w:rFonts w:ascii="宋体" w:hAnsi="宋体" w:cs="宋体" w:eastAsia="宋体" w:hint="default"/>
                <w:spacing w:val="-3"/>
                <w:sz w:val="18"/>
                <w:szCs w:val="18"/>
              </w:rPr>
              <w:t>本期确认的租赁收入</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pacing w:val="-3"/>
                <w:sz w:val="18"/>
                <w:szCs w:val="18"/>
              </w:rPr>
              <w:t>上期确认的租赁收入</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本公司作为承租方：</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8"/>
        <w:rPr>
          <w:rFonts w:ascii="宋体" w:hAnsi="宋体" w:cs="宋体" w:eastAsia="宋体" w:hint="default"/>
          <w:sz w:val="26"/>
          <w:szCs w:val="26"/>
        </w:rPr>
      </w:pPr>
    </w:p>
    <w:p>
      <w:pPr>
        <w:pStyle w:val="Heading3"/>
        <w:spacing w:line="240" w:lineRule="auto"/>
        <w:ind w:right="1764"/>
        <w:jc w:val="left"/>
        <w:rPr>
          <w:b w:val="0"/>
          <w:bCs w:val="0"/>
        </w:rPr>
      </w:pPr>
      <w:bookmarkStart w:name="（4）关联担保情况" w:id="483"/>
      <w:bookmarkEnd w:id="483"/>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6"/>
        <w:rPr>
          <w:rFonts w:ascii="宋体" w:hAnsi="宋体" w:cs="宋体" w:eastAsia="宋体" w:hint="default"/>
          <w:b/>
          <w:bCs/>
          <w:sz w:val="23"/>
          <w:szCs w:val="23"/>
        </w:rPr>
      </w:pPr>
    </w:p>
    <w:p>
      <w:pPr>
        <w:spacing w:before="46"/>
        <w:ind w:left="113" w:right="1764"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864" w:right="137" w:hanging="721"/>
              <w:jc w:val="left"/>
              <w:rPr>
                <w:rFonts w:ascii="宋体" w:hAnsi="宋体" w:cs="宋体" w:eastAsia="宋体" w:hint="default"/>
                <w:sz w:val="18"/>
                <w:szCs w:val="18"/>
              </w:rPr>
            </w:pPr>
            <w:r>
              <w:rPr>
                <w:rFonts w:ascii="宋体" w:hAnsi="宋体" w:cs="宋体" w:eastAsia="宋体" w:hint="default"/>
                <w:spacing w:val="-3"/>
                <w:sz w:val="18"/>
                <w:szCs w:val="18"/>
              </w:rPr>
              <w:t>担保是否已经履行完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毕</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维恩贝特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维恩贝特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合肥天源迪科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上海天源迪科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本公司作为被担保方</w:t>
      </w:r>
    </w:p>
    <w:p>
      <w:pPr>
        <w:spacing w:before="12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864" w:right="137" w:hanging="721"/>
              <w:jc w:val="left"/>
              <w:rPr>
                <w:rFonts w:ascii="宋体" w:hAnsi="宋体" w:cs="宋体" w:eastAsia="宋体" w:hint="default"/>
                <w:sz w:val="18"/>
                <w:szCs w:val="18"/>
              </w:rPr>
            </w:pPr>
            <w:r>
              <w:rPr>
                <w:rFonts w:ascii="宋体" w:hAnsi="宋体" w:cs="宋体" w:eastAsia="宋体" w:hint="default"/>
                <w:spacing w:val="-3"/>
                <w:sz w:val="18"/>
                <w:szCs w:val="18"/>
              </w:rPr>
              <w:t>担保是否已经履行完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毕</w:t>
            </w:r>
          </w:p>
        </w:tc>
      </w:tr>
    </w:tbl>
    <w:p>
      <w:pPr>
        <w:spacing w:after="0" w:line="316"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深圳金华威、合肥天</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源迪科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before="54"/>
        <w:ind w:left="113" w:right="1764"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5）关联方资金拆借" w:id="484"/>
      <w:bookmarkEnd w:id="484"/>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911"/>
        <w:gridCol w:w="1916"/>
        <w:gridCol w:w="1916"/>
        <w:gridCol w:w="1916"/>
      </w:tblGrid>
      <w:tr>
        <w:trPr>
          <w:trHeight w:val="399"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957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957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6）关联方资产转让、债务重组情况" w:id="485"/>
      <w:bookmarkEnd w:id="485"/>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5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4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7）关键管理人员报酬" w:id="486"/>
      <w:bookmarkEnd w:id="486"/>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45" w:right="0"/>
              <w:jc w:val="left"/>
              <w:rPr>
                <w:rFonts w:ascii="Times New Roman" w:hAnsi="Times New Roman" w:cs="Times New Roman" w:eastAsia="Times New Roman" w:hint="default"/>
                <w:sz w:val="18"/>
                <w:szCs w:val="18"/>
              </w:rPr>
            </w:pPr>
            <w:r>
              <w:rPr>
                <w:rFonts w:ascii="Times New Roman"/>
                <w:sz w:val="18"/>
              </w:rPr>
              <w:t>17,487,200.00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40" w:right="0"/>
              <w:jc w:val="left"/>
              <w:rPr>
                <w:rFonts w:ascii="Times New Roman" w:hAnsi="Times New Roman" w:cs="Times New Roman" w:eastAsia="Times New Roman" w:hint="default"/>
                <w:sz w:val="18"/>
                <w:szCs w:val="18"/>
              </w:rPr>
            </w:pPr>
            <w:r>
              <w:rPr>
                <w:rFonts w:ascii="Times New Roman"/>
                <w:sz w:val="18"/>
              </w:rPr>
              <w:t>14,190,800.00</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8）其他关联交易" w:id="487"/>
      <w:bookmarkEnd w:id="487"/>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6、关联方应收应付款项" w:id="488"/>
      <w:bookmarkEnd w:id="488"/>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1）应收项目" w:id="489"/>
      <w:bookmarkEnd w:id="489"/>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94"/>
        <w:gridCol w:w="1599"/>
        <w:gridCol w:w="3189"/>
        <w:gridCol w:w="3188"/>
      </w:tblGrid>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19"/>
              <w:jc w:val="left"/>
              <w:rPr>
                <w:rFonts w:ascii="宋体" w:hAnsi="宋体" w:cs="宋体" w:eastAsia="宋体" w:hint="default"/>
                <w:sz w:val="18"/>
                <w:szCs w:val="18"/>
              </w:rPr>
            </w:pPr>
            <w:r>
              <w:rPr>
                <w:rFonts w:ascii="宋体" w:hAnsi="宋体" w:cs="宋体" w:eastAsia="宋体" w:hint="default"/>
                <w:spacing w:val="-3"/>
                <w:sz w:val="18"/>
                <w:szCs w:val="18"/>
              </w:rPr>
              <w:t>北京江融信科技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5,892,446.67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184,580.55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10,244,344.95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684,255.63</w:t>
            </w: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219"/>
              <w:jc w:val="both"/>
              <w:rPr>
                <w:rFonts w:ascii="宋体" w:hAnsi="宋体" w:cs="宋体" w:eastAsia="宋体" w:hint="default"/>
                <w:sz w:val="18"/>
                <w:szCs w:val="18"/>
              </w:rPr>
            </w:pPr>
            <w:r>
              <w:rPr>
                <w:rFonts w:ascii="宋体" w:hAnsi="宋体" w:cs="宋体" w:eastAsia="宋体" w:hint="default"/>
                <w:spacing w:val="-3"/>
                <w:sz w:val="18"/>
                <w:szCs w:val="18"/>
              </w:rPr>
              <w:t>深圳市科陆电子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科技股份有限公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3,908,500.00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117,255.00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219"/>
              <w:jc w:val="left"/>
              <w:rPr>
                <w:rFonts w:ascii="宋体" w:hAnsi="宋体" w:cs="宋体" w:eastAsia="宋体" w:hint="default"/>
                <w:sz w:val="18"/>
                <w:szCs w:val="18"/>
              </w:rPr>
            </w:pPr>
            <w:r>
              <w:rPr>
                <w:rFonts w:ascii="宋体" w:hAnsi="宋体" w:cs="宋体" w:eastAsia="宋体" w:hint="default"/>
                <w:spacing w:val="-3"/>
                <w:sz w:val="18"/>
                <w:szCs w:val="18"/>
              </w:rPr>
              <w:t>深圳市证通电子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311,835.79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109,023.16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311,835.79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46,735.58</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19"/>
              <w:jc w:val="left"/>
              <w:rPr>
                <w:rFonts w:ascii="宋体" w:hAnsi="宋体" w:cs="宋体" w:eastAsia="宋体" w:hint="default"/>
                <w:sz w:val="18"/>
                <w:szCs w:val="18"/>
              </w:rPr>
            </w:pPr>
            <w:r>
              <w:rPr>
                <w:rFonts w:ascii="宋体" w:hAnsi="宋体" w:cs="宋体" w:eastAsia="宋体" w:hint="default"/>
                <w:spacing w:val="-3"/>
                <w:sz w:val="18"/>
                <w:szCs w:val="18"/>
              </w:rPr>
              <w:t>潍坊市云支付科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4,656.40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465.64</w:t>
            </w:r>
          </w:p>
        </w:tc>
      </w:tr>
      <w:tr>
        <w:trPr>
          <w:trHeight w:val="710"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19"/>
              <w:jc w:val="left"/>
              <w:rPr>
                <w:rFonts w:ascii="宋体" w:hAnsi="宋体" w:cs="宋体" w:eastAsia="宋体" w:hint="default"/>
                <w:sz w:val="18"/>
                <w:szCs w:val="18"/>
              </w:rPr>
            </w:pPr>
            <w:r>
              <w:rPr>
                <w:rFonts w:ascii="宋体" w:hAnsi="宋体" w:cs="宋体" w:eastAsia="宋体" w:hint="default"/>
                <w:spacing w:val="-3"/>
                <w:sz w:val="18"/>
                <w:szCs w:val="18"/>
              </w:rPr>
              <w:t>北京江融信科技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105" w:right="219"/>
              <w:jc w:val="left"/>
              <w:rPr>
                <w:rFonts w:ascii="宋体" w:hAnsi="宋体" w:cs="宋体" w:eastAsia="宋体" w:hint="default"/>
                <w:sz w:val="18"/>
                <w:szCs w:val="18"/>
              </w:rPr>
            </w:pPr>
            <w:r>
              <w:rPr>
                <w:rFonts w:ascii="宋体" w:hAnsi="宋体" w:cs="宋体" w:eastAsia="宋体" w:hint="default"/>
                <w:spacing w:val="-3"/>
                <w:sz w:val="18"/>
                <w:szCs w:val="18"/>
              </w:rPr>
              <w:t>北京江融信科技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6,000.00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2）应付项目" w:id="490"/>
      <w:bookmarkEnd w:id="490"/>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13"/>
              <w:jc w:val="left"/>
              <w:rPr>
                <w:rFonts w:ascii="宋体" w:hAnsi="宋体" w:cs="宋体" w:eastAsia="宋体" w:hint="default"/>
                <w:sz w:val="18"/>
                <w:szCs w:val="18"/>
              </w:rPr>
            </w:pPr>
            <w:r>
              <w:rPr>
                <w:rFonts w:ascii="宋体" w:hAnsi="宋体" w:cs="宋体" w:eastAsia="宋体" w:hint="default"/>
                <w:spacing w:val="-3"/>
                <w:sz w:val="18"/>
                <w:szCs w:val="18"/>
              </w:rPr>
              <w:t>深圳市汇巨信息技术有限公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246,240.00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246,240.00</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105" w:right="113"/>
              <w:jc w:val="left"/>
              <w:rPr>
                <w:rFonts w:ascii="宋体" w:hAnsi="宋体" w:cs="宋体" w:eastAsia="宋体" w:hint="default"/>
                <w:sz w:val="18"/>
                <w:szCs w:val="18"/>
              </w:rPr>
            </w:pPr>
            <w:r>
              <w:rPr>
                <w:rFonts w:ascii="宋体" w:hAnsi="宋体" w:cs="宋体" w:eastAsia="宋体" w:hint="default"/>
                <w:spacing w:val="-3"/>
                <w:sz w:val="18"/>
                <w:szCs w:val="18"/>
              </w:rPr>
              <w:t>广州天源信息科技股份有限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2,150,000.10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6,902,311.32</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广州天源互联网有限公司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3,549,528.30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13"/>
              <w:jc w:val="left"/>
              <w:rPr>
                <w:rFonts w:ascii="宋体" w:hAnsi="宋体" w:cs="宋体" w:eastAsia="宋体" w:hint="default"/>
                <w:sz w:val="18"/>
                <w:szCs w:val="18"/>
              </w:rPr>
            </w:pPr>
            <w:r>
              <w:rPr>
                <w:rFonts w:ascii="宋体" w:hAnsi="宋体" w:cs="宋体" w:eastAsia="宋体" w:hint="default"/>
                <w:spacing w:val="-3"/>
                <w:sz w:val="18"/>
                <w:szCs w:val="18"/>
              </w:rPr>
              <w:t>北京信邦安达信息科技股份</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2,199,744.00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1,772,266.04</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北京江融信科技有限公司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135,907.07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155,907.07</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7、关联方承诺" w:id="491"/>
      <w:bookmarkEnd w:id="491"/>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5"/>
        <w:rPr>
          <w:rFonts w:ascii="宋体" w:hAnsi="宋体" w:cs="宋体" w:eastAsia="宋体" w:hint="default"/>
          <w:b/>
          <w:bCs/>
          <w:sz w:val="24"/>
          <w:szCs w:val="24"/>
        </w:rPr>
      </w:pPr>
    </w:p>
    <w:p>
      <w:pPr>
        <w:pStyle w:val="BodyText"/>
        <w:spacing w:line="273" w:lineRule="auto" w:before="0"/>
        <w:ind w:left="535" w:right="1110"/>
        <w:jc w:val="left"/>
      </w:pPr>
      <w:r>
        <w:rPr/>
        <w:t>以下为本公司于资产负债表日，已签约而尚不必在资产负债表上列示的与关联方有关的承诺事项：</w:t>
      </w:r>
      <w:r>
        <w:rPr>
          <w:w w:val="100"/>
        </w:rPr>
        <w:t> </w:t>
      </w:r>
      <w:r>
        <w:rPr>
          <w:rFonts w:ascii="宋体" w:hAnsi="宋体" w:cs="宋体" w:eastAsia="宋体" w:hint="default"/>
          <w:spacing w:val="-2"/>
        </w:rPr>
        <w:t>2019</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27</w:t>
      </w:r>
      <w:r>
        <w:rPr>
          <w:spacing w:val="-2"/>
        </w:rPr>
        <w:t>日，公司第四届董事会第二十六次会议审议通过《关于</w:t>
      </w:r>
      <w:r>
        <w:rPr>
          <w:rFonts w:ascii="宋体" w:hAnsi="宋体" w:cs="宋体" w:eastAsia="宋体" w:hint="default"/>
          <w:spacing w:val="-2"/>
        </w:rPr>
        <w:t>2019</w:t>
      </w:r>
      <w:r>
        <w:rPr>
          <w:rFonts w:ascii="宋体" w:hAnsi="宋体" w:cs="宋体" w:eastAsia="宋体" w:hint="default"/>
          <w:spacing w:val="77"/>
        </w:rPr>
        <w:t> </w:t>
      </w:r>
      <w:r>
        <w:rPr>
          <w:spacing w:val="-2"/>
        </w:rPr>
        <w:t>年度为子公司提供财务资助</w:t>
      </w:r>
    </w:p>
    <w:p>
      <w:pPr>
        <w:pStyle w:val="BodyText"/>
        <w:spacing w:line="273" w:lineRule="auto" w:before="8"/>
        <w:ind w:right="1007"/>
        <w:jc w:val="left"/>
      </w:pPr>
      <w:r>
        <w:rPr>
          <w:spacing w:val="-4"/>
          <w:w w:val="100"/>
        </w:rPr>
        <w:t>额度的议案》。公司的控股子公司深圳市金华威数码科技有限公司、控股子公司合肥英泽信息科技有限公</w:t>
      </w:r>
      <w:r>
        <w:rPr>
          <w:spacing w:val="-83"/>
          <w:w w:val="100"/>
        </w:rPr>
        <w:t> </w:t>
      </w:r>
      <w:r>
        <w:rPr>
          <w:spacing w:val="-83"/>
          <w:w w:val="100"/>
        </w:rPr>
      </w:r>
      <w:r>
        <w:rPr/>
        <w:t>司、控股子公司广西驿途信息科技有限公司因日常经营资金需求，</w:t>
      </w:r>
      <w:r>
        <w:rPr>
          <w:rFonts w:ascii="宋体" w:hAnsi="宋体" w:cs="宋体" w:eastAsia="宋体" w:hint="default"/>
        </w:rPr>
        <w:t>2019 </w:t>
      </w:r>
      <w:r>
        <w:rPr/>
        <w:t>年度计划需要使用流动资金</w:t>
      </w:r>
      <w:r>
        <w:rPr>
          <w:spacing w:val="-102"/>
        </w:rPr>
        <w:t> </w:t>
      </w:r>
      <w:r>
        <w:rPr>
          <w:spacing w:val="-102"/>
        </w:rPr>
      </w:r>
      <w:r>
        <w:rPr>
          <w:rFonts w:ascii="宋体" w:hAnsi="宋体" w:cs="宋体" w:eastAsia="宋体" w:hint="default"/>
          <w:spacing w:val="-2"/>
        </w:rPr>
        <w:t>131,500</w:t>
      </w:r>
      <w:r>
        <w:rPr>
          <w:spacing w:val="-2"/>
        </w:rPr>
        <w:t>万元。为降低融资成本，同时保证资金需求，上述子公司向金融机构及类金融企业申请贷款的同</w:t>
      </w:r>
      <w:r>
        <w:rPr>
          <w:spacing w:val="-8"/>
        </w:rPr>
        <w:t> </w:t>
      </w:r>
      <w:r>
        <w:rPr>
          <w:spacing w:val="-8"/>
        </w:rPr>
      </w:r>
      <w:r>
        <w:rPr/>
        <w:t>时，公司为其提供财务资助，使用综合授信额度和财务资助合计额度不超过 </w:t>
      </w:r>
      <w:r>
        <w:rPr>
          <w:rFonts w:ascii="宋体" w:hAnsi="宋体" w:cs="宋体" w:eastAsia="宋体" w:hint="default"/>
        </w:rPr>
        <w:t>131,500</w:t>
      </w:r>
      <w:r>
        <w:rPr>
          <w:rFonts w:ascii="宋体" w:hAnsi="宋体" w:cs="宋体" w:eastAsia="宋体" w:hint="default"/>
          <w:spacing w:val="6"/>
        </w:rPr>
        <w:t> </w:t>
      </w:r>
      <w:r>
        <w:rPr/>
        <w:t>万元。</w:t>
      </w:r>
    </w:p>
    <w:p>
      <w:pPr>
        <w:pStyle w:val="BodyText"/>
        <w:spacing w:line="273" w:lineRule="auto"/>
        <w:ind w:right="1112" w:firstLine="422"/>
        <w:jc w:val="left"/>
      </w:pP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27</w:t>
      </w:r>
      <w:r>
        <w:rPr/>
        <w:t>日，公司第四届董事会第二十六次会议审议通过《关于 </w:t>
      </w:r>
      <w:r>
        <w:rPr>
          <w:rFonts w:ascii="宋体" w:hAnsi="宋体" w:cs="宋体" w:eastAsia="宋体" w:hint="default"/>
        </w:rPr>
        <w:t>2019</w:t>
      </w:r>
      <w:r>
        <w:rPr>
          <w:rFonts w:ascii="宋体" w:hAnsi="宋体" w:cs="宋体" w:eastAsia="宋体" w:hint="default"/>
          <w:spacing w:val="2"/>
        </w:rPr>
        <w:t> </w:t>
      </w:r>
      <w:r>
        <w:rPr/>
        <w:t>年度为子公司提供担保额</w:t>
      </w:r>
      <w:r>
        <w:rPr>
          <w:w w:val="100"/>
        </w:rPr>
        <w:t> </w:t>
      </w:r>
      <w:r>
        <w:rPr>
          <w:spacing w:val="-4"/>
          <w:w w:val="100"/>
        </w:rPr>
        <w:t>度的议案》。公司及合并报表范围内子公司</w:t>
      </w:r>
      <w:r>
        <w:rPr>
          <w:rFonts w:ascii="宋体" w:hAnsi="宋体" w:cs="宋体" w:eastAsia="宋体" w:hint="default"/>
          <w:spacing w:val="-4"/>
          <w:w w:val="100"/>
        </w:rPr>
        <w:t>2019</w:t>
      </w:r>
      <w:r>
        <w:rPr>
          <w:spacing w:val="-4"/>
          <w:w w:val="100"/>
        </w:rPr>
        <w:t>年度拟向金融机构及类金融企业申请使用综合授信额度最</w:t>
      </w:r>
      <w:r>
        <w:rPr>
          <w:spacing w:val="-74"/>
          <w:w w:val="100"/>
        </w:rPr>
        <w:t> </w:t>
      </w:r>
      <w:r>
        <w:rPr>
          <w:spacing w:val="-74"/>
          <w:w w:val="100"/>
        </w:rPr>
      </w:r>
      <w:r>
        <w:rPr/>
        <w:t>高不超过人民币 </w:t>
      </w:r>
      <w:r>
        <w:rPr>
          <w:rFonts w:ascii="宋体" w:hAnsi="宋体" w:cs="宋体" w:eastAsia="宋体" w:hint="default"/>
        </w:rPr>
        <w:t>20 </w:t>
      </w:r>
      <w:r>
        <w:rPr>
          <w:spacing w:val="-3"/>
        </w:rPr>
        <w:t>亿元。为保证公司 </w:t>
      </w:r>
      <w:r>
        <w:rPr>
          <w:rFonts w:ascii="宋体" w:hAnsi="宋体" w:cs="宋体" w:eastAsia="宋体" w:hint="default"/>
        </w:rPr>
        <w:t>2019</w:t>
      </w:r>
      <w:r>
        <w:rPr>
          <w:rFonts w:ascii="宋体" w:hAnsi="宋体" w:cs="宋体" w:eastAsia="宋体" w:hint="default"/>
          <w:spacing w:val="6"/>
        </w:rPr>
        <w:t> </w:t>
      </w:r>
      <w:r>
        <w:rPr/>
        <w:t>年度融资计划的实施，公司拟为全资子公司合肥天源迪科信</w:t>
      </w:r>
      <w:r>
        <w:rPr>
          <w:w w:val="100"/>
        </w:rPr>
        <w:t> </w:t>
      </w:r>
      <w:r>
        <w:rPr>
          <w:spacing w:val="-2"/>
        </w:rPr>
        <w:t>息技术有限公司、全资子公司上海天源迪科信息技术有限公司、控股子公司深圳市金华威数码科技有限公</w:t>
      </w:r>
      <w:r>
        <w:rPr>
          <w:spacing w:val="-33"/>
        </w:rPr>
        <w:t> </w:t>
      </w:r>
      <w:r>
        <w:rPr>
          <w:spacing w:val="-33"/>
        </w:rPr>
      </w:r>
      <w:r>
        <w:rPr>
          <w:spacing w:val="-2"/>
        </w:rPr>
        <w:t>司、控股子公司维恩贝特科技有限公司，在本年度拟向金融机构及类金融企业申请使用综合授信额度时提</w:t>
      </w:r>
    </w:p>
    <w:p>
      <w:pPr>
        <w:spacing w:after="0" w:line="273"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73" w:lineRule="auto" w:before="36"/>
        <w:ind w:left="535" w:right="1007" w:hanging="423"/>
        <w:jc w:val="left"/>
      </w:pPr>
      <w:r>
        <w:rPr/>
        <w:t>供担保，实际向金融机构及类金融企业使用担保额度最高不超过人民币 </w:t>
      </w:r>
      <w:r>
        <w:rPr>
          <w:rFonts w:ascii="宋体" w:hAnsi="宋体" w:cs="宋体" w:eastAsia="宋体" w:hint="default"/>
        </w:rPr>
        <w:t>148,000</w:t>
      </w:r>
      <w:r>
        <w:rPr>
          <w:rFonts w:ascii="宋体" w:hAnsi="宋体" w:cs="宋体" w:eastAsia="宋体" w:hint="default"/>
          <w:spacing w:val="4"/>
        </w:rPr>
        <w:t> </w:t>
      </w:r>
      <w:r>
        <w:rPr/>
        <w:t>万元。</w:t>
      </w:r>
      <w:r>
        <w:rPr>
          <w:w w:val="100"/>
        </w:rPr>
        <w:t> </w:t>
      </w:r>
      <w:r>
        <w:rPr>
          <w:rFonts w:ascii="宋体" w:hAnsi="宋体" w:cs="宋体" w:eastAsia="宋体" w:hint="default"/>
          <w:spacing w:val="-2"/>
        </w:rPr>
        <w:t>2019</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15</w:t>
      </w:r>
      <w:r>
        <w:rPr>
          <w:spacing w:val="-2"/>
        </w:rPr>
        <w:t>日，公司第五届董事会第三次会议审议通过《关于对控股子公司金华威增加财务资助和</w:t>
      </w:r>
    </w:p>
    <w:p>
      <w:pPr>
        <w:pStyle w:val="BodyText"/>
        <w:spacing w:line="273" w:lineRule="auto"/>
        <w:ind w:right="1117"/>
        <w:jc w:val="left"/>
      </w:pPr>
      <w:r>
        <w:rPr>
          <w:spacing w:val="-4"/>
          <w:w w:val="100"/>
        </w:rPr>
        <w:t>担保额度的议案》，根据深圳金华威业务发展需要，公司拟将对深圳金华威的财务资助额度从</w:t>
      </w:r>
      <w:r>
        <w:rPr>
          <w:w w:val="100"/>
        </w:rPr>
        <w:t> </w:t>
      </w:r>
      <w:r>
        <w:rPr>
          <w:rFonts w:ascii="宋体" w:hAnsi="宋体" w:cs="宋体" w:eastAsia="宋体" w:hint="default"/>
          <w:spacing w:val="-1"/>
          <w:w w:val="100"/>
        </w:rPr>
        <w:t>130,000</w:t>
      </w:r>
      <w:r>
        <w:rPr>
          <w:spacing w:val="-1"/>
          <w:w w:val="100"/>
        </w:rPr>
        <w:t>万</w:t>
      </w:r>
      <w:r>
        <w:rPr>
          <w:spacing w:val="-92"/>
          <w:w w:val="100"/>
        </w:rPr>
        <w:t> </w:t>
      </w:r>
      <w:r>
        <w:rPr/>
        <w:t>元调整为 </w:t>
      </w:r>
      <w:r>
        <w:rPr>
          <w:rFonts w:ascii="宋体" w:hAnsi="宋体" w:cs="宋体" w:eastAsia="宋体" w:hint="default"/>
        </w:rPr>
        <w:t>150,000 </w:t>
      </w:r>
      <w:r>
        <w:rPr>
          <w:spacing w:val="-3"/>
        </w:rPr>
        <w:t>万元，公司对外提供担保合计额度从 </w:t>
      </w:r>
      <w:r>
        <w:rPr>
          <w:rFonts w:ascii="宋体" w:hAnsi="宋体" w:cs="宋体" w:eastAsia="宋体" w:hint="default"/>
        </w:rPr>
        <w:t>148,000</w:t>
      </w:r>
      <w:r>
        <w:rPr/>
        <w:t>万元调整为 </w:t>
      </w:r>
      <w:r>
        <w:rPr>
          <w:rFonts w:ascii="宋体" w:hAnsi="宋体" w:cs="宋体" w:eastAsia="宋体" w:hint="default"/>
        </w:rPr>
        <w:t>168,000</w:t>
      </w:r>
      <w:r>
        <w:rPr>
          <w:rFonts w:ascii="宋体" w:hAnsi="宋体" w:cs="宋体" w:eastAsia="宋体" w:hint="default"/>
          <w:spacing w:val="57"/>
        </w:rPr>
        <w:t> </w:t>
      </w:r>
      <w:r>
        <w:rPr>
          <w:spacing w:val="-4"/>
        </w:rPr>
        <w:t>万元。深圳金华威</w:t>
      </w:r>
      <w:r>
        <w:rPr>
          <w:w w:val="100"/>
        </w:rPr>
        <w:t> </w:t>
      </w:r>
      <w:r>
        <w:rPr/>
        <w:t>的财务资助额度与担保额度为共有额度，深圳金华威财务资助额度和使用担保额度合计最高额不超过</w:t>
      </w:r>
      <w:r>
        <w:rPr>
          <w:spacing w:val="-103"/>
        </w:rPr>
        <w:t> </w:t>
      </w:r>
      <w:r>
        <w:rPr>
          <w:spacing w:val="-103"/>
        </w:rPr>
      </w:r>
      <w:r>
        <w:rPr>
          <w:rFonts w:ascii="宋体" w:hAnsi="宋体" w:cs="宋体" w:eastAsia="宋体" w:hint="default"/>
        </w:rPr>
        <w:t>150,000</w:t>
      </w:r>
      <w:r>
        <w:rPr>
          <w:rFonts w:ascii="宋体" w:hAnsi="宋体" w:cs="宋体" w:eastAsia="宋体" w:hint="default"/>
          <w:spacing w:val="3"/>
        </w:rPr>
        <w:t> </w:t>
      </w:r>
      <w:r>
        <w:rPr/>
        <w:t>万元。</w:t>
      </w:r>
    </w:p>
    <w:p>
      <w:pPr>
        <w:pStyle w:val="BodyText"/>
        <w:spacing w:line="273" w:lineRule="auto"/>
        <w:ind w:right="1011" w:firstLine="422"/>
        <w:jc w:val="left"/>
      </w:pP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17</w:t>
      </w:r>
      <w:r>
        <w:rPr/>
        <w:t>日，公司第五届董事会第五次会议审议通过《关于对全资子公司合肥天源迪科增加担保</w:t>
      </w:r>
      <w:r>
        <w:rPr>
          <w:w w:val="100"/>
        </w:rPr>
        <w:t> </w:t>
      </w:r>
      <w:r>
        <w:rPr>
          <w:spacing w:val="-4"/>
          <w:w w:val="100"/>
        </w:rPr>
        <w:t>额度的议案》，因天源迪科合肥研发基地二期项目建设的资金需要，公司拟将对合肥天源迪科的使用担保</w:t>
      </w:r>
      <w:r>
        <w:rPr>
          <w:spacing w:val="-82"/>
          <w:w w:val="100"/>
        </w:rPr>
        <w:t> </w:t>
      </w:r>
      <w:r>
        <w:rPr>
          <w:spacing w:val="-82"/>
          <w:w w:val="100"/>
        </w:rPr>
      </w:r>
      <w:r>
        <w:rPr/>
        <w:t>额度从 </w:t>
      </w:r>
      <w:r>
        <w:rPr>
          <w:rFonts w:ascii="宋体" w:hAnsi="宋体" w:cs="宋体" w:eastAsia="宋体" w:hint="default"/>
        </w:rPr>
        <w:t>10,000</w:t>
      </w:r>
      <w:r>
        <w:rPr/>
        <w:t>万元调整为 </w:t>
      </w:r>
      <w:r>
        <w:rPr>
          <w:rFonts w:ascii="宋体" w:hAnsi="宋体" w:cs="宋体" w:eastAsia="宋体" w:hint="default"/>
          <w:spacing w:val="-4"/>
        </w:rPr>
        <w:t>40,000</w:t>
      </w:r>
      <w:r>
        <w:rPr>
          <w:spacing w:val="-4"/>
        </w:rPr>
        <w:t>万元，其中使用流动资金担保额度 </w:t>
      </w:r>
      <w:r>
        <w:rPr>
          <w:rFonts w:ascii="宋体" w:hAnsi="宋体" w:cs="宋体" w:eastAsia="宋体" w:hint="default"/>
          <w:spacing w:val="-5"/>
        </w:rPr>
        <w:t>10,000</w:t>
      </w:r>
      <w:r>
        <w:rPr>
          <w:spacing w:val="-5"/>
        </w:rPr>
        <w:t>万元，担保期限 </w:t>
      </w:r>
      <w:r>
        <w:rPr>
          <w:rFonts w:ascii="宋体" w:hAnsi="宋体" w:cs="宋体" w:eastAsia="宋体" w:hint="default"/>
        </w:rPr>
        <w:t>2</w:t>
      </w:r>
      <w:r>
        <w:rPr>
          <w:rFonts w:ascii="宋体" w:hAnsi="宋体" w:cs="宋体" w:eastAsia="宋体" w:hint="default"/>
          <w:spacing w:val="78"/>
        </w:rPr>
        <w:t> </w:t>
      </w:r>
      <w:r>
        <w:rPr>
          <w:spacing w:val="-10"/>
        </w:rPr>
        <w:t>年；同时，</w:t>
      </w:r>
      <w:r>
        <w:rPr>
          <w:w w:val="100"/>
        </w:rPr>
        <w:t> </w:t>
      </w:r>
      <w:r>
        <w:rPr/>
        <w:t>公司拟以合肥研发基地抵押，对合肥天源迪科二期基建贷款不超过 </w:t>
      </w:r>
      <w:r>
        <w:rPr>
          <w:rFonts w:ascii="宋体" w:hAnsi="宋体" w:cs="宋体" w:eastAsia="宋体" w:hint="default"/>
        </w:rPr>
        <w:t>30,000</w:t>
      </w:r>
      <w:r>
        <w:rPr>
          <w:rFonts w:ascii="宋体" w:hAnsi="宋体" w:cs="宋体" w:eastAsia="宋体" w:hint="default"/>
          <w:spacing w:val="-19"/>
        </w:rPr>
        <w:t> </w:t>
      </w:r>
      <w:r>
        <w:rPr/>
        <w:t>万元提供担保，担保期限不超</w:t>
      </w:r>
    </w:p>
    <w:p>
      <w:pPr>
        <w:pStyle w:val="BodyText"/>
        <w:spacing w:line="240" w:lineRule="auto"/>
        <w:ind w:right="1764"/>
        <w:jc w:val="left"/>
      </w:pPr>
      <w:r>
        <w:rPr/>
        <w:t>过 </w:t>
      </w:r>
      <w:r>
        <w:rPr>
          <w:rFonts w:ascii="宋体" w:hAnsi="宋体" w:cs="宋体" w:eastAsia="宋体" w:hint="default"/>
        </w:rPr>
        <w:t>10 </w:t>
      </w:r>
      <w:r>
        <w:rPr/>
        <w:t>年。公司对外提供使用担保合计额度从 </w:t>
      </w:r>
      <w:r>
        <w:rPr>
          <w:rFonts w:ascii="宋体" w:hAnsi="宋体" w:cs="宋体" w:eastAsia="宋体" w:hint="default"/>
        </w:rPr>
        <w:t>168,000 </w:t>
      </w:r>
      <w:r>
        <w:rPr/>
        <w:t>万元调整为 </w:t>
      </w:r>
      <w:r>
        <w:rPr>
          <w:rFonts w:ascii="宋体" w:hAnsi="宋体" w:cs="宋体" w:eastAsia="宋体" w:hint="default"/>
        </w:rPr>
        <w:t>198,000 </w:t>
      </w:r>
      <w:r>
        <w:rPr/>
        <w:t>万元。</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spacing w:line="484" w:lineRule="auto" w:before="0"/>
        <w:ind w:left="113" w:right="8748" w:firstLine="0"/>
        <w:jc w:val="left"/>
        <w:rPr>
          <w:rFonts w:ascii="宋体" w:hAnsi="宋体" w:cs="宋体" w:eastAsia="宋体" w:hint="default"/>
          <w:sz w:val="21"/>
          <w:szCs w:val="21"/>
        </w:rPr>
      </w:pPr>
      <w:bookmarkStart w:name="8、其他" w:id="492"/>
      <w:bookmarkEnd w:id="492"/>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三、股份支付" w:id="493"/>
      <w:bookmarkEnd w:id="493"/>
      <w:r>
        <w:rPr>
          <w:rFonts w:ascii="宋体" w:hAnsi="宋体" w:cs="宋体" w:eastAsia="宋体" w:hint="default"/>
          <w:b/>
          <w:bCs/>
          <w:w w:val="100"/>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94"/>
      <w:bookmarkEnd w:id="49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16"/>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5455"/>
        <w:gridCol w:w="4115"/>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公司本期授予的各项权益工具总额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公司本期行权的各项权益工具总额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3,866,408.00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公司本期失效的各项权益工具总额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638,552.00</w:t>
            </w:r>
          </w:p>
        </w:tc>
      </w:tr>
    </w:tbl>
    <w:p>
      <w:pPr>
        <w:spacing w:before="54"/>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12"/>
          <w:szCs w:val="12"/>
        </w:rPr>
      </w:pPr>
    </w:p>
    <w:p>
      <w:pPr>
        <w:spacing w:line="273" w:lineRule="auto" w:before="0"/>
        <w:ind w:left="896" w:right="1007" w:hanging="783"/>
        <w:jc w:val="left"/>
        <w:rPr>
          <w:rFonts w:ascii="宋体" w:hAnsi="宋体" w:cs="宋体" w:eastAsia="宋体" w:hint="default"/>
          <w:sz w:val="21"/>
          <w:szCs w:val="21"/>
        </w:rPr>
      </w:pPr>
      <w:r>
        <w:rPr>
          <w:rFonts w:ascii="宋体" w:hAnsi="宋体" w:cs="宋体" w:eastAsia="宋体" w:hint="default"/>
          <w:b/>
          <w:bCs/>
          <w:sz w:val="21"/>
          <w:szCs w:val="21"/>
        </w:rPr>
        <w:t>股票期权激励计划的基本情况</w:t>
      </w:r>
      <w:r>
        <w:rPr>
          <w:rFonts w:ascii="宋体" w:hAnsi="宋体" w:cs="宋体" w:eastAsia="宋体" w:hint="default"/>
          <w:b/>
          <w:bCs/>
          <w:spacing w:val="-101"/>
          <w:sz w:val="21"/>
          <w:szCs w:val="21"/>
        </w:rPr>
        <w:t> </w:t>
      </w:r>
      <w:r>
        <w:rPr>
          <w:rFonts w:ascii="宋体" w:hAnsi="宋体" w:cs="宋体" w:eastAsia="宋体" w:hint="default"/>
          <w:spacing w:val="-4"/>
          <w:w w:val="100"/>
          <w:sz w:val="21"/>
          <w:szCs w:val="21"/>
        </w:rPr>
        <w:t>根据</w:t>
      </w:r>
      <w:r>
        <w:rPr>
          <w:rFonts w:ascii="宋体" w:hAnsi="宋体" w:cs="宋体" w:eastAsia="宋体" w:hint="default"/>
          <w:spacing w:val="-4"/>
          <w:w w:val="100"/>
          <w:sz w:val="21"/>
          <w:szCs w:val="21"/>
        </w:rPr>
        <w:t>2016</w:t>
      </w:r>
      <w:r>
        <w:rPr>
          <w:rFonts w:ascii="宋体" w:hAnsi="宋体" w:cs="宋体" w:eastAsia="宋体" w:hint="default"/>
          <w:spacing w:val="-4"/>
          <w:w w:val="100"/>
          <w:sz w:val="21"/>
          <w:szCs w:val="21"/>
        </w:rPr>
        <w:t>年度第二次临时股东大会审议通过的《</w:t>
      </w:r>
      <w:r>
        <w:rPr>
          <w:rFonts w:ascii="宋体" w:hAnsi="宋体" w:cs="宋体" w:eastAsia="宋体" w:hint="default"/>
          <w:spacing w:val="-4"/>
          <w:w w:val="100"/>
          <w:sz w:val="21"/>
          <w:szCs w:val="21"/>
        </w:rPr>
        <w:t>2016</w:t>
      </w:r>
      <w:r>
        <w:rPr>
          <w:rFonts w:ascii="宋体" w:hAnsi="宋体" w:cs="宋体" w:eastAsia="宋体" w:hint="default"/>
          <w:spacing w:val="-4"/>
          <w:w w:val="100"/>
          <w:sz w:val="21"/>
          <w:szCs w:val="21"/>
        </w:rPr>
        <w:t>年限制性股票激励计划（草案）》及</w:t>
      </w:r>
      <w:r>
        <w:rPr>
          <w:rFonts w:ascii="宋体" w:hAnsi="宋体" w:cs="宋体" w:eastAsia="宋体" w:hint="default"/>
          <w:spacing w:val="-4"/>
          <w:w w:val="100"/>
          <w:sz w:val="21"/>
          <w:szCs w:val="21"/>
        </w:rPr>
        <w:t>2016</w:t>
      </w:r>
      <w:r>
        <w:rPr>
          <w:rFonts w:ascii="宋体" w:hAnsi="宋体" w:cs="宋体" w:eastAsia="宋体" w:hint="default"/>
          <w:spacing w:val="-4"/>
          <w:w w:val="100"/>
          <w:sz w:val="21"/>
          <w:szCs w:val="21"/>
        </w:rPr>
        <w:t>年</w:t>
      </w:r>
      <w:r>
        <w:rPr>
          <w:rFonts w:ascii="宋体" w:hAnsi="宋体" w:cs="宋体" w:eastAsia="宋体" w:hint="default"/>
          <w:spacing w:val="-4"/>
          <w:w w:val="100"/>
          <w:sz w:val="21"/>
          <w:szCs w:val="21"/>
        </w:rPr>
        <w:t>2</w:t>
      </w:r>
    </w:p>
    <w:p>
      <w:pPr>
        <w:pStyle w:val="BodyText"/>
        <w:spacing w:line="273" w:lineRule="auto"/>
        <w:ind w:left="473" w:right="1128"/>
        <w:jc w:val="both"/>
      </w:pPr>
      <w:r>
        <w:rPr>
          <w:spacing w:val="-3"/>
        </w:rPr>
        <w:t>月</w:t>
      </w:r>
      <w:r>
        <w:rPr>
          <w:rFonts w:ascii="宋体" w:hAnsi="宋体" w:cs="宋体" w:eastAsia="宋体" w:hint="default"/>
          <w:spacing w:val="-3"/>
        </w:rPr>
        <w:t>16</w:t>
      </w:r>
      <w:r>
        <w:rPr>
          <w:spacing w:val="-3"/>
        </w:rPr>
        <w:t>日召开的第三届董事会第二十三次会议决议，公司以</w:t>
      </w:r>
      <w:r>
        <w:rPr>
          <w:rFonts w:ascii="宋体" w:hAnsi="宋体" w:cs="宋体" w:eastAsia="宋体" w:hint="default"/>
          <w:spacing w:val="-3"/>
        </w:rPr>
        <w:t>2016</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21</w:t>
      </w:r>
      <w:r>
        <w:rPr>
          <w:spacing w:val="-3"/>
        </w:rPr>
        <w:t>日为授予日，通过定向增发的形</w:t>
      </w:r>
      <w:r>
        <w:rPr>
          <w:spacing w:val="-27"/>
        </w:rPr>
        <w:t> </w:t>
      </w:r>
      <w:r>
        <w:rPr>
          <w:spacing w:val="-27"/>
        </w:rPr>
      </w:r>
      <w:r>
        <w:rPr>
          <w:spacing w:val="-2"/>
        </w:rPr>
        <w:t>式对公司的部分董事、高级管理人员以及公司董事会认为需要进行激励的中层管理人员、核心技术及</w:t>
      </w:r>
      <w:r>
        <w:rPr>
          <w:spacing w:val="-15"/>
        </w:rPr>
        <w:t> </w:t>
      </w:r>
      <w:r>
        <w:rPr>
          <w:spacing w:val="-15"/>
        </w:rPr>
      </w:r>
      <w:r>
        <w:rPr/>
        <w:t>业务人员共</w:t>
      </w:r>
      <w:r>
        <w:rPr>
          <w:rFonts w:ascii="宋体" w:hAnsi="宋体" w:cs="宋体" w:eastAsia="宋体" w:hint="default"/>
        </w:rPr>
        <w:t>459</w:t>
      </w:r>
      <w:r>
        <w:rPr/>
        <w:t>位人员授予限制性股票</w:t>
      </w:r>
      <w:r>
        <w:rPr>
          <w:rFonts w:ascii="宋体" w:hAnsi="宋体" w:cs="宋体" w:eastAsia="宋体" w:hint="default"/>
        </w:rPr>
        <w:t>12,630,000</w:t>
      </w:r>
      <w:r>
        <w:rPr/>
        <w:t>股。实际认购</w:t>
      </w:r>
      <w:r>
        <w:rPr>
          <w:rFonts w:ascii="宋体" w:hAnsi="宋体" w:cs="宋体" w:eastAsia="宋体" w:hint="default"/>
        </w:rPr>
        <w:t>12,589,000</w:t>
      </w:r>
      <w:r>
        <w:rPr/>
        <w:t>股。</w:t>
      </w:r>
    </w:p>
    <w:p>
      <w:pPr>
        <w:pStyle w:val="BodyText"/>
        <w:spacing w:line="273" w:lineRule="auto"/>
        <w:ind w:left="473" w:right="1125" w:firstLine="422"/>
        <w:jc w:val="both"/>
      </w:pPr>
      <w:r>
        <w:rPr>
          <w:rFonts w:ascii="宋体" w:hAnsi="宋体" w:cs="宋体" w:eastAsia="宋体" w:hint="default"/>
          <w:spacing w:val="-3"/>
        </w:rPr>
        <w:t>2016</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31</w:t>
      </w:r>
      <w:r>
        <w:rPr>
          <w:spacing w:val="-3"/>
        </w:rPr>
        <w:t>日，公司第四届董事会第二次会议、第四届监事会第二次会议审议通过了《关于调整</w:t>
      </w:r>
      <w:r>
        <w:rPr>
          <w:w w:val="100"/>
        </w:rPr>
        <w:t> </w:t>
      </w:r>
      <w:r>
        <w:rPr>
          <w:spacing w:val="-6"/>
          <w:w w:val="100"/>
        </w:rPr>
        <w:t>限制性股票授予价格的议案》，根据《限制性股票激励计划（草案）》的规定，公司对本次授予的限制</w:t>
      </w:r>
      <w:r>
        <w:rPr>
          <w:spacing w:val="-103"/>
          <w:w w:val="100"/>
        </w:rPr>
        <w:t> </w:t>
      </w:r>
      <w:r>
        <w:rPr>
          <w:spacing w:val="-103"/>
          <w:w w:val="100"/>
        </w:rPr>
      </w:r>
      <w:r>
        <w:rPr/>
        <w:t>性股票的授予价格由</w:t>
      </w:r>
      <w:r>
        <w:rPr>
          <w:rFonts w:ascii="宋体" w:hAnsi="宋体" w:cs="宋体" w:eastAsia="宋体" w:hint="default"/>
        </w:rPr>
        <w:t>8.68</w:t>
      </w:r>
      <w:r>
        <w:rPr/>
        <w:t>元</w:t>
      </w:r>
      <w:r>
        <w:rPr>
          <w:rFonts w:ascii="宋体" w:hAnsi="宋体" w:cs="宋体" w:eastAsia="宋体" w:hint="default"/>
        </w:rPr>
        <w:t>/</w:t>
      </w:r>
      <w:r>
        <w:rPr/>
        <w:t>股调整为</w:t>
      </w:r>
      <w:r>
        <w:rPr>
          <w:rFonts w:ascii="宋体" w:hAnsi="宋体" w:cs="宋体" w:eastAsia="宋体" w:hint="default"/>
        </w:rPr>
        <w:t>8.66</w:t>
      </w:r>
      <w:r>
        <w:rPr/>
        <w:t>元</w:t>
      </w:r>
      <w:r>
        <w:rPr>
          <w:rFonts w:ascii="宋体" w:hAnsi="宋体" w:cs="宋体" w:eastAsia="宋体" w:hint="default"/>
        </w:rPr>
        <w:t>/</w:t>
      </w:r>
      <w:r>
        <w:rPr/>
        <w:t>股。</w:t>
      </w:r>
    </w:p>
    <w:p>
      <w:pPr>
        <w:pStyle w:val="BodyText"/>
        <w:spacing w:line="273" w:lineRule="auto"/>
        <w:ind w:left="473" w:right="1123" w:firstLine="422"/>
        <w:jc w:val="both"/>
      </w:pPr>
      <w:r>
        <w:rPr>
          <w:rFonts w:ascii="宋体" w:hAnsi="宋体" w:cs="宋体" w:eastAsia="宋体" w:hint="default"/>
          <w:spacing w:val="-3"/>
        </w:rPr>
        <w:t>2017</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29</w:t>
      </w:r>
      <w:r>
        <w:rPr>
          <w:spacing w:val="-3"/>
        </w:rPr>
        <w:t>日，公司第四届董事会第十次会议、第四届监事会第七次会议决议，公司回购注销已</w:t>
      </w:r>
      <w:r>
        <w:rPr>
          <w:w w:val="100"/>
        </w:rPr>
        <w:t> </w:t>
      </w:r>
      <w:r>
        <w:rPr>
          <w:spacing w:val="-3"/>
        </w:rPr>
        <w:t>不符合激励条件的激励对象已获授但尚未解锁的限制性股票</w:t>
      </w:r>
      <w:r>
        <w:rPr>
          <w:rFonts w:ascii="宋体" w:hAnsi="宋体" w:cs="宋体" w:eastAsia="宋体" w:hint="default"/>
          <w:spacing w:val="-3"/>
        </w:rPr>
        <w:t>220,000</w:t>
      </w:r>
      <w:r>
        <w:rPr>
          <w:spacing w:val="-3"/>
        </w:rPr>
        <w:t>股，回购价格为原授予价格即每股</w:t>
      </w:r>
      <w:r>
        <w:rPr>
          <w:spacing w:val="-24"/>
        </w:rPr>
        <w:t> </w:t>
      </w:r>
      <w:r>
        <w:rPr>
          <w:spacing w:val="-24"/>
        </w:rPr>
      </w:r>
      <w:r>
        <w:rPr>
          <w:rFonts w:ascii="宋体" w:hAnsi="宋体" w:cs="宋体" w:eastAsia="宋体" w:hint="default"/>
        </w:rPr>
        <w:t>8.66</w:t>
      </w:r>
      <w:r>
        <w:rPr/>
        <w:t>元，公司已于</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21</w:t>
      </w:r>
      <w:r>
        <w:rPr/>
        <w:t>日完成回购注销。</w:t>
      </w:r>
    </w:p>
    <w:p>
      <w:pPr>
        <w:pStyle w:val="BodyText"/>
        <w:spacing w:line="273" w:lineRule="auto"/>
        <w:ind w:left="473" w:right="1123" w:firstLine="422"/>
        <w:jc w:val="both"/>
      </w:pPr>
      <w:r>
        <w:rPr>
          <w:rFonts w:ascii="宋体" w:hAnsi="宋体" w:cs="宋体" w:eastAsia="宋体" w:hint="default"/>
          <w:spacing w:val="-3"/>
        </w:rPr>
        <w:t>2017</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19</w:t>
      </w:r>
      <w:r>
        <w:rPr>
          <w:spacing w:val="-3"/>
        </w:rPr>
        <w:t>日，公司第四届董事会第十三次会议、第四届监事会第十次会议决议，公司回购注销</w:t>
      </w:r>
      <w:r>
        <w:rPr>
          <w:w w:val="100"/>
        </w:rPr>
        <w:t> </w:t>
      </w:r>
      <w:r>
        <w:rPr>
          <w:spacing w:val="-3"/>
        </w:rPr>
        <w:t>已不符合激励条件的激励对象已获授但尚未解锁的限制性股票</w:t>
      </w:r>
      <w:r>
        <w:rPr>
          <w:rFonts w:ascii="宋体" w:hAnsi="宋体" w:cs="宋体" w:eastAsia="宋体" w:hint="default"/>
          <w:spacing w:val="-3"/>
        </w:rPr>
        <w:t>147,300</w:t>
      </w:r>
      <w:r>
        <w:rPr>
          <w:spacing w:val="-3"/>
        </w:rPr>
        <w:t>股，回购价格为原授予价格即每</w:t>
      </w:r>
      <w:r>
        <w:rPr>
          <w:spacing w:val="-23"/>
        </w:rPr>
        <w:t> </w:t>
      </w:r>
      <w:r>
        <w:rPr>
          <w:spacing w:val="-23"/>
        </w:rPr>
      </w:r>
      <w:r>
        <w:rPr/>
        <w:t>股</w:t>
      </w:r>
      <w:r>
        <w:rPr>
          <w:rFonts w:ascii="宋体" w:hAnsi="宋体" w:cs="宋体" w:eastAsia="宋体" w:hint="default"/>
        </w:rPr>
        <w:t>8.66</w:t>
      </w:r>
      <w:r>
        <w:rPr/>
        <w:t>元。</w:t>
      </w:r>
    </w:p>
    <w:p>
      <w:pPr>
        <w:pStyle w:val="BodyText"/>
        <w:spacing w:line="273" w:lineRule="auto" w:before="8"/>
        <w:ind w:left="473" w:right="1007" w:firstLine="422"/>
        <w:jc w:val="left"/>
      </w:pPr>
      <w:r>
        <w:rPr>
          <w:rFonts w:ascii="宋体" w:hAnsi="宋体" w:cs="宋体" w:eastAsia="宋体" w:hint="default"/>
          <w:spacing w:val="-5"/>
        </w:rPr>
        <w:t>2017</w:t>
      </w:r>
      <w:r>
        <w:rPr>
          <w:spacing w:val="-5"/>
        </w:rPr>
        <w:t>年</w:t>
      </w:r>
      <w:r>
        <w:rPr>
          <w:rFonts w:ascii="宋体" w:hAnsi="宋体" w:cs="宋体" w:eastAsia="宋体" w:hint="default"/>
          <w:spacing w:val="-5"/>
        </w:rPr>
        <w:t>6</w:t>
      </w:r>
      <w:r>
        <w:rPr>
          <w:spacing w:val="-5"/>
        </w:rPr>
        <w:t>月</w:t>
      </w:r>
      <w:r>
        <w:rPr>
          <w:rFonts w:ascii="宋体" w:hAnsi="宋体" w:cs="宋体" w:eastAsia="宋体" w:hint="default"/>
          <w:spacing w:val="-5"/>
        </w:rPr>
        <w:t>19</w:t>
      </w:r>
      <w:r>
        <w:rPr>
          <w:spacing w:val="-5"/>
        </w:rPr>
        <w:t>日，公司第四届董事会第十五次会议、第四届监事会第十二次会议决议通过，同意</w:t>
      </w:r>
      <w:r>
        <w:rPr>
          <w:rFonts w:ascii="宋体" w:hAnsi="宋体" w:cs="宋体" w:eastAsia="宋体" w:hint="default"/>
          <w:spacing w:val="-5"/>
        </w:rPr>
        <w:t>402</w:t>
      </w:r>
      <w:r>
        <w:rPr>
          <w:rFonts w:ascii="宋体" w:hAnsi="宋体" w:cs="宋体" w:eastAsia="宋体" w:hint="default"/>
          <w:w w:val="100"/>
        </w:rPr>
        <w:t> </w:t>
      </w:r>
      <w:r>
        <w:rPr/>
        <w:t>名激励对象在限制性股票激励计划第一个解锁期共计解锁</w:t>
      </w:r>
      <w:r>
        <w:rPr>
          <w:rFonts w:ascii="宋体" w:hAnsi="宋体" w:cs="宋体" w:eastAsia="宋体" w:hint="default"/>
        </w:rPr>
        <w:t>3,665,910</w:t>
      </w:r>
      <w:r>
        <w:rPr/>
        <w:t>股限制性股票，占公司股本总额</w:t>
      </w:r>
      <w:r>
        <w:rPr>
          <w:spacing w:val="-101"/>
        </w:rPr>
        <w:t> </w:t>
      </w:r>
      <w:r>
        <w:rPr>
          <w:spacing w:val="-101"/>
        </w:rPr>
      </w:r>
      <w:r>
        <w:rPr>
          <w:rFonts w:ascii="宋体" w:hAnsi="宋体" w:cs="宋体" w:eastAsia="宋体" w:hint="default"/>
        </w:rPr>
        <w:t>1.02%</w:t>
      </w:r>
      <w:r>
        <w:rPr/>
        <w:t>，实际可上市流通</w:t>
      </w:r>
      <w:r>
        <w:rPr>
          <w:rFonts w:ascii="宋体" w:hAnsi="宋体" w:cs="宋体" w:eastAsia="宋体" w:hint="default"/>
        </w:rPr>
        <w:t>3,491,085</w:t>
      </w:r>
      <w:r>
        <w:rPr/>
        <w:t>股，占公司股本总数的</w:t>
      </w:r>
      <w:r>
        <w:rPr>
          <w:rFonts w:ascii="宋体" w:hAnsi="宋体" w:cs="宋体" w:eastAsia="宋体" w:hint="default"/>
        </w:rPr>
        <w:t>0.98%</w:t>
      </w:r>
      <w:r>
        <w:rPr/>
        <w:t>。</w:t>
      </w:r>
    </w:p>
    <w:p>
      <w:pPr>
        <w:pStyle w:val="BodyText"/>
        <w:spacing w:line="240" w:lineRule="auto"/>
        <w:ind w:left="896" w:right="1764"/>
        <w:jc w:val="left"/>
      </w:pP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29</w:t>
      </w:r>
      <w:r>
        <w:rPr/>
        <w:t>日，第一个解锁期解锁的</w:t>
      </w:r>
      <w:r>
        <w:rPr>
          <w:rFonts w:ascii="宋体" w:hAnsi="宋体" w:cs="宋体" w:eastAsia="宋体" w:hint="default"/>
        </w:rPr>
        <w:t>3,665,910</w:t>
      </w:r>
      <w:r>
        <w:rPr/>
        <w:t>股限制性股票上市流通。</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73" w:lineRule="auto" w:before="36"/>
        <w:ind w:left="473" w:right="1122" w:firstLine="422"/>
        <w:jc w:val="both"/>
      </w:pPr>
      <w:r>
        <w:rPr>
          <w:rFonts w:ascii="宋体" w:hAnsi="宋体" w:cs="宋体" w:eastAsia="宋体" w:hint="default"/>
          <w:spacing w:val="-2"/>
        </w:rPr>
        <w:t>2017</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9</w:t>
      </w:r>
      <w:r>
        <w:rPr>
          <w:spacing w:val="-2"/>
        </w:rPr>
        <w:t>日第四届董事会第十六次会议、第四届监事会第十三次会议决议，公司回购注销已不</w:t>
      </w:r>
      <w:r>
        <w:rPr>
          <w:w w:val="100"/>
        </w:rPr>
        <w:t> </w:t>
      </w:r>
      <w:r>
        <w:rPr>
          <w:spacing w:val="-3"/>
        </w:rPr>
        <w:t>符合激励条件的激励对象已获授但尚未解锁的限制性股票</w:t>
      </w:r>
      <w:r>
        <w:rPr>
          <w:rFonts w:ascii="宋体" w:hAnsi="宋体" w:cs="宋体" w:eastAsia="宋体" w:hint="default"/>
          <w:spacing w:val="-3"/>
        </w:rPr>
        <w:t>62,510</w:t>
      </w:r>
      <w:r>
        <w:rPr>
          <w:spacing w:val="-3"/>
        </w:rPr>
        <w:t>股，回购价格为每股</w:t>
      </w:r>
      <w:r>
        <w:rPr>
          <w:rFonts w:ascii="宋体" w:hAnsi="宋体" w:cs="宋体" w:eastAsia="宋体" w:hint="default"/>
          <w:spacing w:val="-3"/>
        </w:rPr>
        <w:t>8.6249783</w:t>
      </w:r>
      <w:r>
        <w:rPr>
          <w:spacing w:val="-3"/>
        </w:rPr>
        <w:t>元（因</w:t>
      </w:r>
      <w:r>
        <w:rPr>
          <w:spacing w:val="-12"/>
        </w:rPr>
        <w:t> </w:t>
      </w:r>
      <w:r>
        <w:rPr>
          <w:spacing w:val="-12"/>
        </w:rPr>
      </w:r>
      <w:r>
        <w:rPr>
          <w:rFonts w:ascii="宋体" w:hAnsi="宋体" w:cs="宋体" w:eastAsia="宋体" w:hint="default"/>
          <w:spacing w:val="-4"/>
          <w:w w:val="100"/>
        </w:rPr>
        <w:t>2016</w:t>
      </w:r>
      <w:r>
        <w:rPr>
          <w:spacing w:val="-4"/>
          <w:w w:val="100"/>
        </w:rPr>
        <w:t>年度利润分配为派发现金红利每股</w:t>
      </w:r>
      <w:r>
        <w:rPr>
          <w:rFonts w:ascii="宋体" w:hAnsi="宋体" w:cs="宋体" w:eastAsia="宋体" w:hint="default"/>
          <w:spacing w:val="-4"/>
          <w:w w:val="100"/>
        </w:rPr>
        <w:t>0.0350217</w:t>
      </w:r>
      <w:r>
        <w:rPr>
          <w:spacing w:val="-4"/>
          <w:w w:val="100"/>
        </w:rPr>
        <w:t>元，故对回购价格进行调整）。</w:t>
      </w:r>
    </w:p>
    <w:p>
      <w:pPr>
        <w:pStyle w:val="BodyText"/>
        <w:spacing w:line="273" w:lineRule="auto" w:before="8"/>
        <w:ind w:left="473" w:right="1055" w:firstLine="422"/>
        <w:jc w:val="both"/>
      </w:pP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27</w:t>
      </w:r>
      <w:r>
        <w:rPr/>
        <w:t>日第四届董事会第十七次会议、第四届监事会第十四次会议决议，公司回购注销已</w:t>
      </w:r>
      <w:r>
        <w:rPr>
          <w:w w:val="100"/>
        </w:rPr>
        <w:t> </w:t>
      </w:r>
      <w:r>
        <w:rPr>
          <w:spacing w:val="-1"/>
        </w:rPr>
        <w:t>不符合激励条件的激励对象已获授但尚未解锁的限制性股票</w:t>
      </w:r>
      <w:r>
        <w:rPr>
          <w:rFonts w:ascii="宋体" w:hAnsi="宋体" w:cs="宋体" w:eastAsia="宋体" w:hint="default"/>
          <w:spacing w:val="-1"/>
        </w:rPr>
        <w:t>95,620</w:t>
      </w:r>
      <w:r>
        <w:rPr>
          <w:spacing w:val="-1"/>
        </w:rPr>
        <w:t>股，回购价格为每股</w:t>
      </w:r>
      <w:r>
        <w:rPr>
          <w:rFonts w:ascii="宋体" w:hAnsi="宋体" w:cs="宋体" w:eastAsia="宋体" w:hint="default"/>
          <w:spacing w:val="-1"/>
        </w:rPr>
        <w:t>8.6249783</w:t>
      </w:r>
      <w:r>
        <w:rPr>
          <w:spacing w:val="-1"/>
        </w:rPr>
        <w:t>元。</w:t>
      </w:r>
    </w:p>
    <w:p>
      <w:pPr>
        <w:pStyle w:val="BodyText"/>
        <w:spacing w:line="273" w:lineRule="auto"/>
        <w:ind w:left="473" w:right="1125" w:firstLine="422"/>
        <w:jc w:val="right"/>
      </w:pPr>
      <w:r>
        <w:rPr>
          <w:rFonts w:ascii="宋体" w:hAnsi="宋体" w:cs="宋体" w:eastAsia="宋体" w:hint="default"/>
          <w:spacing w:val="-3"/>
        </w:rPr>
        <w:t>2018</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26</w:t>
      </w:r>
      <w:r>
        <w:rPr>
          <w:spacing w:val="-3"/>
        </w:rPr>
        <w:t>日第四届董事会第十九次会议、第四届监事会第十六次会议决议，公司回购注销已不</w:t>
      </w:r>
      <w:r>
        <w:rPr>
          <w:w w:val="100"/>
        </w:rPr>
        <w:t> </w:t>
      </w:r>
      <w:r>
        <w:rPr>
          <w:spacing w:val="-1"/>
        </w:rPr>
        <w:t>符合激励条件的激励对象已获授但尚未解锁的限制性股票</w:t>
      </w:r>
      <w:r>
        <w:rPr>
          <w:rFonts w:ascii="宋体" w:hAnsi="宋体" w:cs="宋体" w:eastAsia="宋体" w:hint="default"/>
          <w:spacing w:val="-1"/>
        </w:rPr>
        <w:t>347,980</w:t>
      </w:r>
      <w:r>
        <w:rPr>
          <w:spacing w:val="-1"/>
        </w:rPr>
        <w:t>股，回购价格为每股</w:t>
      </w:r>
      <w:r>
        <w:rPr>
          <w:rFonts w:ascii="宋体" w:hAnsi="宋体" w:cs="宋体" w:eastAsia="宋体" w:hint="default"/>
          <w:spacing w:val="-1"/>
        </w:rPr>
        <w:t>8.6249783</w:t>
      </w:r>
      <w:r>
        <w:rPr>
          <w:spacing w:val="-1"/>
        </w:rPr>
        <w:t>元。</w:t>
      </w:r>
      <w:r>
        <w:rPr>
          <w:spacing w:val="-96"/>
        </w:rPr>
        <w:t> </w:t>
      </w:r>
      <w:r>
        <w:rPr>
          <w:rFonts w:ascii="宋体" w:hAnsi="宋体" w:cs="宋体" w:eastAsia="宋体" w:hint="default"/>
          <w:spacing w:val="-3"/>
        </w:rPr>
        <w:t>2018</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15</w:t>
      </w:r>
      <w:r>
        <w:rPr>
          <w:spacing w:val="-3"/>
        </w:rPr>
        <w:t>日第四届董事会第二十一次会议、第四届监事会第十八次会议决议，公司回购注销已</w:t>
      </w:r>
    </w:p>
    <w:p>
      <w:pPr>
        <w:pStyle w:val="BodyText"/>
        <w:spacing w:line="273" w:lineRule="auto"/>
        <w:ind w:left="896" w:right="1007" w:hanging="423"/>
        <w:jc w:val="left"/>
      </w:pPr>
      <w:r>
        <w:rPr>
          <w:spacing w:val="-1"/>
        </w:rPr>
        <w:t>不符合激励条件的激励对象已获授但尚未解锁的限制性股票</w:t>
      </w:r>
      <w:r>
        <w:rPr>
          <w:rFonts w:ascii="宋体" w:hAnsi="宋体" w:cs="宋体" w:eastAsia="宋体" w:hint="default"/>
          <w:spacing w:val="-1"/>
        </w:rPr>
        <w:t>81,480</w:t>
      </w:r>
      <w:r>
        <w:rPr>
          <w:spacing w:val="-1"/>
        </w:rPr>
        <w:t>股，回购价格为每股</w:t>
      </w:r>
      <w:r>
        <w:rPr>
          <w:rFonts w:ascii="宋体" w:hAnsi="宋体" w:cs="宋体" w:eastAsia="宋体" w:hint="default"/>
          <w:spacing w:val="-1"/>
        </w:rPr>
        <w:t>8.5849129</w:t>
      </w:r>
      <w:r>
        <w:rPr>
          <w:spacing w:val="-1"/>
        </w:rPr>
        <w:t>元。</w:t>
      </w:r>
      <w:r>
        <w:rPr>
          <w:spacing w:val="-47"/>
        </w:rPr>
        <w:t> </w:t>
      </w:r>
      <w:r>
        <w:rPr>
          <w:rFonts w:ascii="宋体" w:hAnsi="宋体" w:cs="宋体" w:eastAsia="宋体" w:hint="default"/>
          <w:spacing w:val="-3"/>
        </w:rPr>
        <w:t>2018</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15</w:t>
      </w:r>
      <w:r>
        <w:rPr>
          <w:spacing w:val="-3"/>
        </w:rPr>
        <w:t>日，第四届董事会第二十一次会议和第四届监事会第十八次会议审议通过了《关于限</w:t>
      </w:r>
    </w:p>
    <w:p>
      <w:pPr>
        <w:pStyle w:val="BodyText"/>
        <w:spacing w:line="273" w:lineRule="auto"/>
        <w:ind w:left="473" w:right="1007"/>
        <w:jc w:val="left"/>
      </w:pPr>
      <w:r>
        <w:rPr>
          <w:spacing w:val="-4"/>
          <w:w w:val="100"/>
        </w:rPr>
        <w:t>制性股票激励计划第二个解锁期解锁条件成就的议案》，同意</w:t>
      </w:r>
      <w:r>
        <w:rPr>
          <w:rFonts w:ascii="宋体" w:hAnsi="宋体" w:cs="宋体" w:eastAsia="宋体" w:hint="default"/>
          <w:spacing w:val="-4"/>
          <w:w w:val="100"/>
        </w:rPr>
        <w:t>365</w:t>
      </w:r>
      <w:r>
        <w:rPr>
          <w:spacing w:val="-4"/>
          <w:w w:val="100"/>
        </w:rPr>
        <w:t>名激励对象在限制性股票激励计划第</w:t>
      </w:r>
      <w:r>
        <w:rPr>
          <w:spacing w:val="-76"/>
          <w:w w:val="100"/>
        </w:rPr>
        <w:t> </w:t>
      </w:r>
      <w:r>
        <w:rPr>
          <w:spacing w:val="-76"/>
          <w:w w:val="100"/>
        </w:rPr>
      </w:r>
      <w:r>
        <w:rPr/>
        <w:t>二个解锁期解锁限制性股票</w:t>
      </w:r>
      <w:r>
        <w:rPr>
          <w:rFonts w:ascii="宋体" w:hAnsi="宋体" w:cs="宋体" w:eastAsia="宋体" w:hint="default"/>
        </w:rPr>
        <w:t>3,391,800</w:t>
      </w:r>
      <w:r>
        <w:rPr/>
        <w:t>股。</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29</w:t>
      </w:r>
      <w:r>
        <w:rPr/>
        <w:t>日，第二个解锁期解锁的限制性股票数量为</w:t>
      </w:r>
      <w:r>
        <w:rPr>
          <w:spacing w:val="-103"/>
        </w:rPr>
        <w:t> </w:t>
      </w:r>
      <w:r>
        <w:rPr>
          <w:spacing w:val="-103"/>
        </w:rPr>
      </w:r>
      <w:r>
        <w:rPr>
          <w:rFonts w:ascii="宋体" w:hAnsi="宋体" w:cs="宋体" w:eastAsia="宋体" w:hint="default"/>
        </w:rPr>
        <w:t>3,391,800</w:t>
      </w:r>
      <w:r>
        <w:rPr/>
        <w:t>股，实际可上市流通数量为</w:t>
      </w:r>
      <w:r>
        <w:rPr>
          <w:rFonts w:ascii="宋体" w:hAnsi="宋体" w:cs="宋体" w:eastAsia="宋体" w:hint="default"/>
        </w:rPr>
        <w:t>3,179,325</w:t>
      </w:r>
      <w:r>
        <w:rPr/>
        <w:t>股。</w:t>
      </w:r>
    </w:p>
    <w:p>
      <w:pPr>
        <w:pStyle w:val="BodyText"/>
        <w:spacing w:line="273" w:lineRule="auto"/>
        <w:ind w:left="473" w:right="1122" w:firstLine="422"/>
        <w:jc w:val="both"/>
      </w:pPr>
      <w:r>
        <w:rPr>
          <w:rFonts w:ascii="宋体" w:hAnsi="宋体" w:cs="宋体" w:eastAsia="宋体" w:hint="default"/>
          <w:spacing w:val="-2"/>
        </w:rPr>
        <w:t>2018</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22</w:t>
      </w:r>
      <w:r>
        <w:rPr>
          <w:spacing w:val="-2"/>
        </w:rPr>
        <w:t>日第四届董事会第二十四次会议、第四届监事会第二十一次会议决议，公司回购注</w:t>
      </w:r>
      <w:r>
        <w:rPr>
          <w:w w:val="100"/>
        </w:rPr>
        <w:t> </w:t>
      </w:r>
      <w:r>
        <w:rPr>
          <w:spacing w:val="-3"/>
        </w:rPr>
        <w:t>销已不符合激励条件的激励对象已获授但尚未解锁的限制性股票</w:t>
      </w:r>
      <w:r>
        <w:rPr>
          <w:rFonts w:ascii="宋体" w:hAnsi="宋体" w:cs="宋体" w:eastAsia="宋体" w:hint="default"/>
          <w:spacing w:val="-3"/>
        </w:rPr>
        <w:t>69,440</w:t>
      </w:r>
      <w:r>
        <w:rPr>
          <w:spacing w:val="-3"/>
        </w:rPr>
        <w:t>股，回购价格为每股</w:t>
      </w:r>
      <w:r>
        <w:rPr>
          <w:rFonts w:ascii="宋体" w:hAnsi="宋体" w:cs="宋体" w:eastAsia="宋体" w:hint="default"/>
          <w:spacing w:val="-3"/>
        </w:rPr>
        <w:t>8.5849129</w:t>
      </w:r>
      <w:r>
        <w:rPr>
          <w:rFonts w:ascii="宋体" w:hAnsi="宋体" w:cs="宋体" w:eastAsia="宋体" w:hint="default"/>
          <w:spacing w:val="-11"/>
        </w:rPr>
        <w:t> </w:t>
      </w:r>
      <w:r>
        <w:rPr>
          <w:rFonts w:ascii="宋体" w:hAnsi="宋体" w:cs="宋体" w:eastAsia="宋体" w:hint="default"/>
          <w:spacing w:val="-11"/>
        </w:rPr>
      </w:r>
      <w:r>
        <w:rPr/>
        <w:t>元。</w:t>
      </w:r>
    </w:p>
    <w:p>
      <w:pPr>
        <w:pStyle w:val="BodyText"/>
        <w:spacing w:line="273" w:lineRule="auto"/>
        <w:ind w:left="473" w:right="1122" w:firstLine="422"/>
        <w:jc w:val="both"/>
      </w:pPr>
      <w:r>
        <w:rPr>
          <w:rFonts w:ascii="宋体" w:hAnsi="宋体" w:cs="宋体" w:eastAsia="宋体" w:hint="default"/>
          <w:spacing w:val="-3"/>
        </w:rPr>
        <w:t>2019</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27</w:t>
      </w:r>
      <w:r>
        <w:rPr>
          <w:spacing w:val="-3"/>
        </w:rPr>
        <w:t>日第四届董事会第二十六次会议、第四届监事会第二十三次会议决议，公司回购注销</w:t>
      </w:r>
      <w:r>
        <w:rPr>
          <w:w w:val="100"/>
        </w:rPr>
        <w:t> </w:t>
      </w:r>
      <w:r>
        <w:rPr>
          <w:spacing w:val="-1"/>
        </w:rPr>
        <w:t>已不符合激励条件的激励对象已获授但尚未解锁的限制性股票</w:t>
      </w:r>
      <w:r>
        <w:rPr>
          <w:rFonts w:ascii="宋体" w:hAnsi="宋体" w:cs="宋体" w:eastAsia="宋体" w:hint="default"/>
          <w:spacing w:val="-1"/>
        </w:rPr>
        <w:t>136,880</w:t>
      </w:r>
      <w:r>
        <w:rPr>
          <w:spacing w:val="-1"/>
        </w:rPr>
        <w:t>股，回购价格为每股</w:t>
      </w:r>
      <w:r>
        <w:rPr>
          <w:rFonts w:ascii="宋体" w:hAnsi="宋体" w:cs="宋体" w:eastAsia="宋体" w:hint="default"/>
          <w:spacing w:val="-1"/>
        </w:rPr>
        <w:t>8.5849129</w:t>
      </w:r>
      <w:r>
        <w:rPr>
          <w:rFonts w:ascii="宋体" w:hAnsi="宋体" w:cs="宋体" w:eastAsia="宋体" w:hint="default"/>
          <w:spacing w:val="-48"/>
        </w:rPr>
        <w:t> </w:t>
      </w:r>
      <w:r>
        <w:rPr>
          <w:rFonts w:ascii="宋体" w:hAnsi="宋体" w:cs="宋体" w:eastAsia="宋体" w:hint="default"/>
          <w:spacing w:val="-48"/>
        </w:rPr>
      </w:r>
      <w:r>
        <w:rPr/>
        <w:t>元。</w:t>
      </w:r>
    </w:p>
    <w:p>
      <w:pPr>
        <w:pStyle w:val="BodyText"/>
        <w:spacing w:line="273" w:lineRule="auto" w:before="8"/>
        <w:ind w:left="473" w:right="1125" w:firstLine="422"/>
        <w:jc w:val="both"/>
      </w:pPr>
      <w:r>
        <w:rPr>
          <w:rFonts w:ascii="宋体" w:hAnsi="宋体" w:cs="宋体" w:eastAsia="宋体" w:hint="default"/>
          <w:spacing w:val="-3"/>
        </w:rPr>
        <w:t>2019</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26</w:t>
      </w:r>
      <w:r>
        <w:rPr>
          <w:spacing w:val="-3"/>
        </w:rPr>
        <w:t>日第五届董事会第一次会议、第五届监事会第一次会议决议，公司回购注销已不符合</w:t>
      </w:r>
      <w:r>
        <w:rPr>
          <w:w w:val="100"/>
        </w:rPr>
        <w:t> </w:t>
      </w:r>
      <w:r>
        <w:rPr/>
        <w:t>激励条件的激励对象已获授但尚未解锁的限制性股票</w:t>
      </w:r>
      <w:r>
        <w:rPr>
          <w:rFonts w:ascii="宋体" w:hAnsi="宋体" w:cs="宋体" w:eastAsia="宋体" w:hint="default"/>
        </w:rPr>
        <w:t>501,672</w:t>
      </w:r>
      <w:r>
        <w:rPr/>
        <w:t>股，回购价格为每股</w:t>
      </w:r>
      <w:r>
        <w:rPr>
          <w:rFonts w:ascii="宋体" w:hAnsi="宋体" w:cs="宋体" w:eastAsia="宋体" w:hint="default"/>
        </w:rPr>
        <w:t>8.5849129</w:t>
      </w:r>
      <w:r>
        <w:rPr/>
        <w:t>元。</w:t>
      </w:r>
    </w:p>
    <w:p>
      <w:pPr>
        <w:pStyle w:val="BodyText"/>
        <w:spacing w:line="273" w:lineRule="auto"/>
        <w:ind w:left="473" w:right="1125" w:firstLine="422"/>
        <w:jc w:val="both"/>
      </w:pPr>
      <w:r>
        <w:rPr>
          <w:rFonts w:ascii="宋体" w:hAnsi="宋体" w:cs="宋体" w:eastAsia="宋体" w:hint="default"/>
          <w:spacing w:val="-3"/>
        </w:rPr>
        <w:t>2019</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26</w:t>
      </w:r>
      <w:r>
        <w:rPr>
          <w:spacing w:val="-3"/>
        </w:rPr>
        <w:t>日，第五届董事会第一次会议、第五届监事会第一次会议审议通过了《关于第三期限</w:t>
      </w:r>
      <w:r>
        <w:rPr>
          <w:w w:val="100"/>
        </w:rPr>
        <w:t> </w:t>
      </w:r>
      <w:r>
        <w:rPr>
          <w:spacing w:val="-4"/>
          <w:w w:val="100"/>
        </w:rPr>
        <w:t>制性股票解锁条件具备的议案》，同意</w:t>
      </w:r>
      <w:r>
        <w:rPr>
          <w:rFonts w:ascii="宋体" w:hAnsi="宋体" w:cs="宋体" w:eastAsia="宋体" w:hint="default"/>
          <w:spacing w:val="-4"/>
          <w:w w:val="100"/>
        </w:rPr>
        <w:t>348</w:t>
      </w:r>
      <w:r>
        <w:rPr>
          <w:spacing w:val="-4"/>
          <w:w w:val="100"/>
        </w:rPr>
        <w:t>名激励对象在限制性股票激励计划第三个解锁期解锁限制性</w:t>
      </w:r>
      <w:r>
        <w:rPr>
          <w:spacing w:val="-77"/>
          <w:w w:val="100"/>
        </w:rPr>
        <w:t> </w:t>
      </w:r>
      <w:r>
        <w:rPr>
          <w:spacing w:val="-77"/>
          <w:w w:val="100"/>
        </w:rPr>
      </w:r>
      <w:r>
        <w:rPr>
          <w:spacing w:val="-1"/>
        </w:rPr>
        <w:t>股票</w:t>
      </w:r>
      <w:r>
        <w:rPr>
          <w:rFonts w:ascii="宋体" w:hAnsi="宋体" w:cs="宋体" w:eastAsia="宋体" w:hint="default"/>
          <w:spacing w:val="-1"/>
        </w:rPr>
        <w:t>3,866,408</w:t>
      </w:r>
      <w:r>
        <w:rPr>
          <w:spacing w:val="-1"/>
        </w:rPr>
        <w:t>股。</w:t>
      </w:r>
      <w:r>
        <w:rPr>
          <w:rFonts w:ascii="宋体" w:hAnsi="宋体" w:cs="宋体" w:eastAsia="宋体" w:hint="default"/>
          <w:spacing w:val="-1"/>
        </w:rPr>
        <w:t>2019</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1</w:t>
      </w:r>
      <w:r>
        <w:rPr>
          <w:spacing w:val="-1"/>
        </w:rPr>
        <w:t>日，第三个解锁期解锁的限制性股票数量为</w:t>
      </w:r>
      <w:r>
        <w:rPr>
          <w:rFonts w:ascii="宋体" w:hAnsi="宋体" w:cs="宋体" w:eastAsia="宋体" w:hint="default"/>
          <w:spacing w:val="-1"/>
        </w:rPr>
        <w:t>6,190,850</w:t>
      </w:r>
      <w:r>
        <w:rPr>
          <w:spacing w:val="-1"/>
        </w:rPr>
        <w:t>股，实际可上市</w:t>
      </w:r>
      <w:r>
        <w:rPr>
          <w:spacing w:val="-50"/>
        </w:rPr>
        <w:t> </w:t>
      </w:r>
      <w:r>
        <w:rPr>
          <w:spacing w:val="-50"/>
        </w:rPr>
      </w:r>
      <w:r>
        <w:rPr/>
        <w:t>流通数量为</w:t>
      </w:r>
      <w:r>
        <w:rPr>
          <w:rFonts w:ascii="宋体" w:hAnsi="宋体" w:cs="宋体" w:eastAsia="宋体" w:hint="default"/>
        </w:rPr>
        <w:t>5,787,351</w:t>
      </w:r>
      <w:r>
        <w:rPr/>
        <w:t>股。</w:t>
      </w:r>
    </w:p>
    <w:p>
      <w:pPr>
        <w:pStyle w:val="Heading3"/>
        <w:spacing w:line="240" w:lineRule="auto" w:before="128"/>
        <w:ind w:right="1764"/>
        <w:jc w:val="left"/>
        <w:rPr>
          <w:b w:val="0"/>
          <w:bCs w:val="0"/>
        </w:rPr>
      </w:pPr>
      <w:r>
        <w:rPr/>
        <w:t>其他情况</w:t>
      </w:r>
      <w:r>
        <w:rPr>
          <w:b w:val="0"/>
          <w:bCs w:val="0"/>
        </w:rPr>
      </w:r>
    </w:p>
    <w:p>
      <w:pPr>
        <w:pStyle w:val="BodyText"/>
        <w:spacing w:line="273" w:lineRule="auto" w:before="37"/>
        <w:ind w:left="535" w:right="1007"/>
        <w:jc w:val="left"/>
        <w:rPr>
          <w:rFonts w:ascii="宋体" w:hAnsi="宋体" w:cs="宋体" w:eastAsia="宋体" w:hint="default"/>
        </w:rPr>
      </w:pPr>
      <w:r>
        <w:rPr/>
        <w:t>（</w:t>
      </w:r>
      <w:r>
        <w:rPr>
          <w:rFonts w:ascii="宋体" w:hAnsi="宋体" w:cs="宋体" w:eastAsia="宋体" w:hint="default"/>
        </w:rPr>
        <w:t>1</w:t>
      </w:r>
      <w:r>
        <w:rPr/>
        <w:t>）主要行权条件</w:t>
      </w:r>
      <w:r>
        <w:rPr>
          <w:spacing w:val="-100"/>
        </w:rPr>
        <w:t> </w:t>
      </w:r>
      <w:r>
        <w:rPr>
          <w:spacing w:val="-100"/>
        </w:rPr>
      </w:r>
      <w:r>
        <w:rPr>
          <w:spacing w:val="-1"/>
        </w:rPr>
        <w:t>考核期内，各会计年度归属于上市公司股东扣除非经常性损益后的净利润需满足</w:t>
      </w:r>
      <w:r>
        <w:rPr>
          <w:rFonts w:ascii="宋体" w:hAnsi="宋体" w:cs="宋体" w:eastAsia="宋体" w:hint="default"/>
          <w:spacing w:val="-1"/>
        </w:rPr>
        <w:t>2016</w:t>
      </w:r>
      <w:r>
        <w:rPr>
          <w:spacing w:val="-1"/>
        </w:rPr>
        <w:t>年不低于</w:t>
      </w:r>
      <w:r>
        <w:rPr>
          <w:rFonts w:ascii="宋体" w:hAnsi="宋体" w:cs="宋体" w:eastAsia="宋体" w:hint="default"/>
          <w:spacing w:val="-1"/>
        </w:rPr>
        <w:t>9,000</w:t>
      </w:r>
    </w:p>
    <w:p>
      <w:pPr>
        <w:pStyle w:val="BodyText"/>
        <w:spacing w:line="273" w:lineRule="auto"/>
        <w:ind w:right="1007"/>
        <w:jc w:val="left"/>
      </w:pPr>
      <w:r>
        <w:rPr>
          <w:spacing w:val="-2"/>
        </w:rPr>
        <w:t>万元，</w:t>
      </w:r>
      <w:r>
        <w:rPr>
          <w:rFonts w:ascii="宋体" w:hAnsi="宋体" w:cs="宋体" w:eastAsia="宋体" w:hint="default"/>
          <w:spacing w:val="-2"/>
        </w:rPr>
        <w:t>2017</w:t>
      </w:r>
      <w:r>
        <w:rPr>
          <w:spacing w:val="-2"/>
        </w:rPr>
        <w:t>年不低于</w:t>
      </w:r>
      <w:r>
        <w:rPr>
          <w:rFonts w:ascii="宋体" w:hAnsi="宋体" w:cs="宋体" w:eastAsia="宋体" w:hint="default"/>
          <w:spacing w:val="-2"/>
        </w:rPr>
        <w:t>13,000</w:t>
      </w:r>
      <w:r>
        <w:rPr>
          <w:spacing w:val="-2"/>
        </w:rPr>
        <w:t>万元，</w:t>
      </w:r>
      <w:r>
        <w:rPr>
          <w:rFonts w:ascii="宋体" w:hAnsi="宋体" w:cs="宋体" w:eastAsia="宋体" w:hint="default"/>
          <w:spacing w:val="-2"/>
        </w:rPr>
        <w:t>2018</w:t>
      </w:r>
      <w:r>
        <w:rPr>
          <w:spacing w:val="-2"/>
        </w:rPr>
        <w:t>年不低于</w:t>
      </w:r>
      <w:r>
        <w:rPr>
          <w:rFonts w:ascii="宋体" w:hAnsi="宋体" w:cs="宋体" w:eastAsia="宋体" w:hint="default"/>
          <w:spacing w:val="-2"/>
        </w:rPr>
        <w:t>18,500</w:t>
      </w:r>
      <w:r>
        <w:rPr>
          <w:spacing w:val="-2"/>
        </w:rPr>
        <w:t>万元。限制性股票锁定期内，各会计年度归属于上</w:t>
      </w:r>
      <w:r>
        <w:rPr>
          <w:spacing w:val="-13"/>
        </w:rPr>
        <w:t> </w:t>
      </w:r>
      <w:r>
        <w:rPr>
          <w:spacing w:val="-13"/>
        </w:rPr>
      </w:r>
      <w:r>
        <w:rPr/>
        <w:t>市公司股东的净利润及归属于上市公司股东扣除非经常性损益后的净利润均不得低于授予日前最近三个</w:t>
      </w:r>
      <w:r>
        <w:rPr>
          <w:w w:val="100"/>
        </w:rPr>
        <w:t> </w:t>
      </w:r>
      <w:r>
        <w:rPr/>
        <w:t>会计年度的平均水平且不得为负。</w:t>
      </w:r>
    </w:p>
    <w:p>
      <w:pPr>
        <w:pStyle w:val="BodyText"/>
        <w:spacing w:line="256" w:lineRule="auto"/>
        <w:ind w:left="535" w:right="1007"/>
        <w:jc w:val="left"/>
      </w:pPr>
      <w:r>
        <w:rPr/>
        <w:t>（</w:t>
      </w:r>
      <w:r>
        <w:rPr>
          <w:rFonts w:ascii="Times New Roman" w:hAnsi="Times New Roman" w:cs="Times New Roman" w:eastAsia="Times New Roman" w:hint="default"/>
        </w:rPr>
        <w:t>2</w:t>
      </w:r>
      <w:r>
        <w:rPr/>
        <w:t>）期权价值的计算方法</w:t>
      </w:r>
      <w:r>
        <w:rPr>
          <w:spacing w:val="-102"/>
        </w:rPr>
        <w:t> </w:t>
      </w:r>
      <w:r>
        <w:rPr>
          <w:spacing w:val="-102"/>
        </w:rPr>
      </w:r>
      <w:r>
        <w:rPr>
          <w:spacing w:val="-2"/>
        </w:rPr>
        <w:t>根据《企业会计准则第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金融工具确认和计量》中关于公允价值确定的相关规定，需要选择适</w:t>
      </w:r>
    </w:p>
    <w:p>
      <w:pPr>
        <w:pStyle w:val="BodyText"/>
        <w:spacing w:line="273" w:lineRule="auto" w:before="5"/>
        <w:ind w:right="1125"/>
        <w:jc w:val="both"/>
      </w:pPr>
      <w:r>
        <w:rPr>
          <w:spacing w:val="-2"/>
        </w:rPr>
        <w:t>当的估值模型对股票期权的公允价值进行计算。股票期权的价值指的是股票期权价格中反映行权价格与市</w:t>
      </w:r>
      <w:r>
        <w:rPr>
          <w:spacing w:val="-33"/>
        </w:rPr>
        <w:t> </w:t>
      </w:r>
      <w:r>
        <w:rPr>
          <w:spacing w:val="-33"/>
        </w:rPr>
      </w:r>
      <w:r>
        <w:rPr>
          <w:spacing w:val="-2"/>
        </w:rPr>
        <w:t>场价格之间的关系的那部分价值，即一定时期内股票价格波动因素与期权收益的内在联系。公司采用国际</w:t>
      </w:r>
      <w:r>
        <w:rPr>
          <w:spacing w:val="-33"/>
        </w:rPr>
        <w:t> </w:t>
      </w:r>
      <w:r>
        <w:rPr>
          <w:spacing w:val="-33"/>
        </w:rPr>
      </w:r>
      <w:r>
        <w:rPr/>
        <w:t>通行的</w:t>
      </w:r>
      <w:r>
        <w:rPr>
          <w:rFonts w:ascii="Times New Roman" w:hAnsi="Times New Roman" w:cs="Times New Roman" w:eastAsia="Times New Roman" w:hint="default"/>
        </w:rPr>
        <w:t>Black-Scholes</w:t>
      </w:r>
      <w:r>
        <w:rPr/>
        <w:t>模型计算公司股票期权的价值，具体计算公式如下：</w:t>
      </w:r>
    </w:p>
    <w:p>
      <w:pPr>
        <w:spacing w:line="240" w:lineRule="auto" w:before="13"/>
        <w:rPr>
          <w:rFonts w:ascii="宋体" w:hAnsi="宋体" w:cs="宋体" w:eastAsia="宋体" w:hint="default"/>
          <w:sz w:val="22"/>
          <w:szCs w:val="22"/>
        </w:rPr>
      </w:pPr>
    </w:p>
    <w:p>
      <w:pPr>
        <w:pStyle w:val="BodyText"/>
        <w:spacing w:line="256" w:lineRule="auto" w:before="0"/>
        <w:ind w:right="1007" w:firstLine="422"/>
        <w:jc w:val="left"/>
      </w:pPr>
      <w:r>
        <w:rPr>
          <w:rFonts w:ascii="Times New Roman" w:hAnsi="Times New Roman" w:cs="Times New Roman" w:eastAsia="Times New Roman" w:hint="default"/>
        </w:rPr>
        <w:t>C</w:t>
      </w:r>
      <w:r>
        <w:rPr/>
        <w:t>为期权的理论价值；</w:t>
      </w:r>
      <w:r>
        <w:rPr>
          <w:rFonts w:ascii="Times New Roman" w:hAnsi="Times New Roman" w:cs="Times New Roman" w:eastAsia="Times New Roman" w:hint="default"/>
        </w:rPr>
        <w:t>S</w:t>
      </w:r>
      <w:r>
        <w:rPr/>
        <w:t>为标的股票目前的价格；</w:t>
      </w:r>
      <w:r>
        <w:rPr>
          <w:rFonts w:ascii="Times New Roman" w:hAnsi="Times New Roman" w:cs="Times New Roman" w:eastAsia="Times New Roman" w:hint="default"/>
        </w:rPr>
        <w:t>K</w:t>
      </w:r>
      <w:r>
        <w:rPr/>
        <w:t>为期权的行权价格；</w:t>
      </w:r>
      <w:r>
        <w:rPr>
          <w:rFonts w:ascii="Times New Roman" w:hAnsi="Times New Roman" w:cs="Times New Roman" w:eastAsia="Times New Roman" w:hint="default"/>
        </w:rPr>
        <w:t>Rf</w:t>
      </w:r>
      <w:r>
        <w:rPr/>
        <w:t>为无风险收益率的连续复利</w:t>
      </w:r>
      <w:r>
        <w:rPr>
          <w:w w:val="100"/>
        </w:rPr>
        <w:t> </w:t>
      </w:r>
      <w:r>
        <w:rPr>
          <w:spacing w:val="-4"/>
        </w:rPr>
        <w:t>率；</w:t>
      </w:r>
      <w:r>
        <w:rPr>
          <w:rFonts w:ascii="Times New Roman" w:hAnsi="Times New Roman" w:cs="Times New Roman" w:eastAsia="Times New Roman" w:hint="default"/>
          <w:spacing w:val="-4"/>
        </w:rPr>
        <w:t>T</w:t>
      </w:r>
      <w:r>
        <w:rPr>
          <w:spacing w:val="-4"/>
        </w:rPr>
        <w:t>为期权的有效期；</w:t>
      </w:r>
      <w:r>
        <w:rPr>
          <w:rFonts w:ascii="Times New Roman" w:hAnsi="Times New Roman" w:cs="Times New Roman" w:eastAsia="Times New Roman" w:hint="default"/>
          <w:spacing w:val="-4"/>
        </w:rPr>
        <w:t>σ</w:t>
      </w:r>
      <w:r>
        <w:rPr>
          <w:spacing w:val="-4"/>
        </w:rPr>
        <w:t>为期权标的股票价格的波动率；</w:t>
      </w:r>
      <w:r>
        <w:rPr>
          <w:rFonts w:ascii="Times New Roman" w:hAnsi="Times New Roman" w:cs="Times New Roman" w:eastAsia="Times New Roman" w:hint="default"/>
          <w:spacing w:val="-4"/>
        </w:rPr>
        <w:t>N(..)</w:t>
      </w:r>
      <w:r>
        <w:rPr>
          <w:spacing w:val="-4"/>
        </w:rPr>
        <w:t>是累计正态分布函数；</w:t>
      </w:r>
      <w:r>
        <w:rPr>
          <w:rFonts w:ascii="Times New Roman" w:hAnsi="Times New Roman" w:cs="Times New Roman" w:eastAsia="Times New Roman" w:hint="default"/>
          <w:spacing w:val="-4"/>
        </w:rPr>
        <w:t>In(..)</w:t>
      </w:r>
      <w:r>
        <w:rPr>
          <w:spacing w:val="-4"/>
        </w:rPr>
        <w:t>是自然对数函数。</w:t>
      </w:r>
    </w:p>
    <w:p>
      <w:pPr>
        <w:pStyle w:val="BodyText"/>
        <w:spacing w:line="240" w:lineRule="auto" w:before="5"/>
        <w:ind w:left="535" w:right="1764"/>
        <w:jc w:val="left"/>
      </w:pPr>
      <w:r>
        <w:rPr>
          <w:rFonts w:ascii="Times New Roman" w:hAnsi="Times New Roman" w:cs="Times New Roman" w:eastAsia="Times New Roman" w:hint="default"/>
        </w:rPr>
        <w:t>(3)</w:t>
      </w:r>
      <w:r>
        <w:rPr/>
        <w:t>股份支付费用的估算及分摊</w:t>
      </w:r>
    </w:p>
    <w:p>
      <w:pPr>
        <w:pStyle w:val="BodyText"/>
        <w:spacing w:line="266" w:lineRule="auto" w:before="21"/>
        <w:ind w:right="1125" w:firstLine="422"/>
        <w:jc w:val="both"/>
      </w:pPr>
      <w:r>
        <w:rPr>
          <w:spacing w:val="-4"/>
        </w:rPr>
        <w:t>根据《企业会计准则第</w:t>
      </w:r>
      <w:r>
        <w:rPr>
          <w:rFonts w:ascii="Times New Roman" w:hAnsi="Times New Roman" w:cs="Times New Roman" w:eastAsia="Times New Roman" w:hint="default"/>
          <w:spacing w:val="-4"/>
        </w:rPr>
        <w:t>11</w:t>
      </w:r>
      <w:r>
        <w:rPr>
          <w:spacing w:val="-4"/>
        </w:rPr>
        <w:t>号</w:t>
      </w:r>
      <w:r>
        <w:rPr>
          <w:rFonts w:ascii="Times New Roman" w:hAnsi="Times New Roman" w:cs="Times New Roman" w:eastAsia="Times New Roman" w:hint="default"/>
          <w:spacing w:val="-4"/>
        </w:rPr>
        <w:t>-</w:t>
      </w:r>
      <w:r>
        <w:rPr>
          <w:spacing w:val="-4"/>
        </w:rPr>
        <w:t>股份支付》的有关规定，公司将在等待期的每个资产负债表日，根据最新</w:t>
      </w:r>
      <w:r>
        <w:rPr>
          <w:w w:val="100"/>
        </w:rPr>
        <w:t> </w:t>
      </w:r>
      <w:r>
        <w:rPr>
          <w:spacing w:val="-2"/>
        </w:rPr>
        <w:t>取得的可行权人数变动、业绩指标完成情况等后续信息，修正预计可行权的股票期权数量，并按照股票期</w:t>
      </w:r>
      <w:r>
        <w:rPr>
          <w:spacing w:val="-33"/>
        </w:rPr>
        <w:t> </w:t>
      </w:r>
      <w:r>
        <w:rPr>
          <w:spacing w:val="-33"/>
        </w:rPr>
      </w:r>
      <w:r>
        <w:rPr/>
        <w:t>权授权日的公允价值，将当期取得的服务计入相关成本或费用和资本公积。</w:t>
      </w:r>
    </w:p>
    <w:p>
      <w:pPr>
        <w:pStyle w:val="BodyText"/>
        <w:spacing w:line="240" w:lineRule="auto" w:before="14"/>
        <w:ind w:left="535" w:right="1007"/>
        <w:jc w:val="left"/>
      </w:pPr>
      <w:r>
        <w:rPr>
          <w:spacing w:val="-5"/>
        </w:rPr>
        <w:t>基于第一个行权期实际的可行权人数和期权份数的变动、实际行权情况，以及行权价格的调整等信息，</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73" w:lineRule="auto" w:before="36"/>
        <w:ind w:right="1007"/>
        <w:jc w:val="left"/>
      </w:pPr>
      <w:r>
        <w:rPr>
          <w:spacing w:val="-2"/>
        </w:rPr>
        <w:t>并假设全部有效激励对象均符合本计划规定的行权条件且在剩余行权期内全部行权，以经修正计算的每份</w:t>
      </w:r>
      <w:r>
        <w:rPr>
          <w:spacing w:val="-33"/>
        </w:rPr>
        <w:t> </w:t>
      </w:r>
      <w:r>
        <w:rPr>
          <w:spacing w:val="-33"/>
        </w:rPr>
      </w:r>
      <w:r>
        <w:rPr/>
        <w:t>期权价值进行测算，得出本次股权激励在各行权期内的费用估算如下：</w:t>
      </w:r>
    </w:p>
    <w:p>
      <w:pPr>
        <w:pStyle w:val="BodyText"/>
        <w:spacing w:line="273" w:lineRule="auto"/>
        <w:ind w:left="953" w:right="5762" w:hanging="419"/>
        <w:jc w:val="left"/>
      </w:pPr>
      <w:r>
        <w:rPr/>
        <w:pict>
          <v:shape style="position:absolute;margin-left:77.783997pt;margin-top:19.123665pt;width:21.12pt;height:10.56pt;mso-position-horizontal-relative:page;mso-position-vertical-relative:paragraph;z-index:-1185520" type="#_x0000_t75" stroked="false">
            <v:imagedata r:id="rId35" o:title=""/>
          </v:shape>
        </w:pict>
      </w:r>
      <w:r>
        <w:rPr/>
        <w:pict>
          <v:shape style="position:absolute;margin-left:77.783997pt;margin-top:34.723663pt;width:21.12pt;height:10.56pt;mso-position-horizontal-relative:page;mso-position-vertical-relative:paragraph;z-index:-1185496" type="#_x0000_t75" stroked="false">
            <v:imagedata r:id="rId35" o:title=""/>
          </v:shape>
        </w:pict>
      </w:r>
      <w:r>
        <w:rPr/>
        <w:pict>
          <v:shape style="position:absolute;margin-left:77.783997pt;margin-top:50.323666pt;width:21.12pt;height:10.56pt;mso-position-horizontal-relative:page;mso-position-vertical-relative:paragraph;z-index:-1185472" type="#_x0000_t75" stroked="false">
            <v:imagedata r:id="rId35" o:title=""/>
          </v:shape>
        </w:pict>
      </w:r>
      <w:r>
        <w:rPr/>
        <w:t>计算过程说明如下：</w:t>
      </w:r>
      <w:r>
        <w:rPr>
          <w:spacing w:val="-100"/>
        </w:rPr>
        <w:t> </w:t>
      </w:r>
      <w:r>
        <w:rPr>
          <w:spacing w:val="-100"/>
        </w:rPr>
      </w:r>
      <w:r>
        <w:rPr>
          <w:spacing w:val="-1"/>
        </w:rPr>
        <w:t>历史波动率：</w:t>
      </w:r>
      <w:r>
        <w:rPr>
          <w:rFonts w:ascii="宋体" w:hAnsi="宋体" w:cs="宋体" w:eastAsia="宋体" w:hint="default"/>
          <w:spacing w:val="-1"/>
        </w:rPr>
        <w:t>83.55%</w:t>
      </w:r>
      <w:r>
        <w:rPr>
          <w:spacing w:val="-1"/>
        </w:rPr>
        <w:t>、</w:t>
      </w:r>
      <w:r>
        <w:rPr>
          <w:rFonts w:ascii="宋体" w:hAnsi="宋体" w:cs="宋体" w:eastAsia="宋体" w:hint="default"/>
          <w:spacing w:val="-1"/>
        </w:rPr>
        <w:t>67.28%</w:t>
      </w:r>
      <w:r>
        <w:rPr>
          <w:spacing w:val="-1"/>
        </w:rPr>
        <w:t>、</w:t>
      </w:r>
      <w:r>
        <w:rPr>
          <w:rFonts w:ascii="宋体" w:hAnsi="宋体" w:cs="宋体" w:eastAsia="宋体" w:hint="default"/>
          <w:spacing w:val="-1"/>
        </w:rPr>
        <w:t>62.74%</w:t>
      </w:r>
      <w:r>
        <w:rPr>
          <w:rFonts w:ascii="宋体" w:hAnsi="宋体" w:cs="宋体" w:eastAsia="宋体" w:hint="default"/>
          <w:w w:val="100"/>
        </w:rPr>
        <w:t> </w:t>
      </w:r>
      <w:r>
        <w:rPr/>
        <w:t>无风险利率：</w:t>
      </w:r>
      <w:r>
        <w:rPr>
          <w:rFonts w:ascii="宋体" w:hAnsi="宋体" w:cs="宋体" w:eastAsia="宋体" w:hint="default"/>
        </w:rPr>
        <w:t>1.5%</w:t>
      </w:r>
      <w:r>
        <w:rPr/>
        <w:t>、</w:t>
      </w:r>
      <w:r>
        <w:rPr>
          <w:rFonts w:ascii="宋体" w:hAnsi="宋体" w:cs="宋体" w:eastAsia="宋体" w:hint="default"/>
        </w:rPr>
        <w:t>2.1%</w:t>
      </w:r>
      <w:r>
        <w:rPr/>
        <w:t>、</w:t>
      </w:r>
      <w:r>
        <w:rPr>
          <w:rFonts w:ascii="宋体" w:hAnsi="宋体" w:cs="宋体" w:eastAsia="宋体" w:hint="default"/>
        </w:rPr>
        <w:t>2.75%</w:t>
      </w:r>
      <w:r>
        <w:rPr>
          <w:rFonts w:ascii="宋体" w:hAnsi="宋体" w:cs="宋体" w:eastAsia="宋体" w:hint="default"/>
          <w:w w:val="100"/>
        </w:rPr>
        <w:t> </w:t>
      </w:r>
      <w:r>
        <w:rPr/>
        <w:t>有效期限：</w:t>
      </w:r>
      <w:r>
        <w:rPr>
          <w:rFonts w:ascii="宋体" w:hAnsi="宋体" w:cs="宋体" w:eastAsia="宋体" w:hint="default"/>
        </w:rPr>
        <w:t>3</w:t>
      </w:r>
      <w:r>
        <w:rPr/>
        <w:t>年</w:t>
      </w:r>
    </w:p>
    <w:p>
      <w:pPr>
        <w:pStyle w:val="BodyText"/>
        <w:spacing w:line="273" w:lineRule="auto"/>
        <w:ind w:left="953" w:right="5762"/>
        <w:jc w:val="left"/>
      </w:pPr>
      <w:r>
        <w:rPr/>
        <w:pict>
          <v:shape style="position:absolute;margin-left:77.783997pt;margin-top:3.493672pt;width:21.12pt;height:10.56pt;mso-position-horizontal-relative:page;mso-position-vertical-relative:paragraph;z-index:-1185448" type="#_x0000_t75" stroked="false">
            <v:imagedata r:id="rId35" o:title=""/>
          </v:shape>
        </w:pict>
      </w:r>
      <w:r>
        <w:rPr/>
        <w:pict>
          <v:shape style="position:absolute;margin-left:77.783997pt;margin-top:19.093672pt;width:21.12pt;height:10.56pt;mso-position-horizontal-relative:page;mso-position-vertical-relative:paragraph;z-index:-1185424" type="#_x0000_t75" stroked="false">
            <v:imagedata r:id="rId35" o:title=""/>
          </v:shape>
        </w:pict>
      </w:r>
      <w:r>
        <w:rPr/>
        <w:t>市场股价：</w:t>
      </w:r>
      <w:r>
        <w:rPr>
          <w:rFonts w:ascii="宋体" w:hAnsi="宋体" w:cs="宋体" w:eastAsia="宋体" w:hint="default"/>
        </w:rPr>
        <w:t>17.01</w:t>
      </w:r>
      <w:r>
        <w:rPr/>
        <w:t>元</w:t>
      </w:r>
      <w:r>
        <w:rPr>
          <w:spacing w:val="-100"/>
        </w:rPr>
        <w:t> </w:t>
      </w:r>
      <w:r>
        <w:rPr>
          <w:spacing w:val="-1"/>
        </w:rPr>
        <w:t>修正后的授予价格：</w:t>
      </w:r>
      <w:r>
        <w:rPr>
          <w:rFonts w:ascii="宋体" w:hAnsi="宋体" w:cs="宋体" w:eastAsia="宋体" w:hint="default"/>
          <w:spacing w:val="-1"/>
        </w:rPr>
        <w:t>8.66</w:t>
      </w:r>
      <w:r>
        <w:rPr>
          <w:spacing w:val="-1"/>
        </w:rPr>
        <w:t>元</w:t>
      </w:r>
    </w:p>
    <w:p>
      <w:pPr>
        <w:pStyle w:val="BodyText"/>
        <w:spacing w:line="240" w:lineRule="auto"/>
        <w:ind w:left="535" w:right="1764"/>
        <w:jc w:val="left"/>
      </w:pPr>
      <w:r>
        <w:rPr/>
        <w:t>通过以上数据测算，修正后的每份股票期权价值为</w:t>
      </w:r>
      <w:r>
        <w:rPr>
          <w:rFonts w:ascii="宋体" w:hAnsi="宋体" w:cs="宋体" w:eastAsia="宋体" w:hint="default"/>
        </w:rPr>
        <w:t>1.408</w:t>
      </w:r>
      <w:r>
        <w:rPr/>
        <w:t>元。</w:t>
      </w:r>
    </w:p>
    <w:p>
      <w:pPr>
        <w:spacing w:line="240" w:lineRule="auto" w:before="0"/>
        <w:rPr>
          <w:rFonts w:ascii="宋体" w:hAnsi="宋体" w:cs="宋体" w:eastAsia="宋体"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1220"/>
        <w:gridCol w:w="1220"/>
        <w:gridCol w:w="1220"/>
        <w:gridCol w:w="1215"/>
        <w:gridCol w:w="1220"/>
        <w:gridCol w:w="1220"/>
        <w:gridCol w:w="2259"/>
      </w:tblGrid>
      <w:tr>
        <w:trPr>
          <w:trHeight w:val="665" w:hRule="exact"/>
        </w:trPr>
        <w:tc>
          <w:tcPr>
            <w:tcW w:w="12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44" w:right="0"/>
              <w:jc w:val="left"/>
              <w:rPr>
                <w:rFonts w:ascii="宋体" w:hAnsi="宋体" w:cs="宋体" w:eastAsia="宋体" w:hint="default"/>
                <w:sz w:val="18"/>
                <w:szCs w:val="18"/>
              </w:rPr>
            </w:pPr>
            <w:r>
              <w:rPr>
                <w:rFonts w:ascii="宋体" w:hAnsi="宋体" w:cs="宋体" w:eastAsia="宋体" w:hint="default"/>
                <w:sz w:val="18"/>
                <w:szCs w:val="18"/>
              </w:rPr>
              <w:t>期权份额</w:t>
            </w:r>
          </w:p>
          <w:p>
            <w:pPr>
              <w:pStyle w:val="TableParagraph"/>
              <w:spacing w:line="240" w:lineRule="auto" w:before="76"/>
              <w:ind w:left="335" w:right="0"/>
              <w:jc w:val="left"/>
              <w:rPr>
                <w:rFonts w:ascii="宋体" w:hAnsi="宋体" w:cs="宋体" w:eastAsia="宋体" w:hint="default"/>
                <w:sz w:val="18"/>
                <w:szCs w:val="18"/>
              </w:rPr>
            </w:pPr>
            <w:r>
              <w:rPr>
                <w:rFonts w:ascii="宋体" w:hAnsi="宋体" w:cs="宋体" w:eastAsia="宋体" w:hint="default"/>
                <w:sz w:val="18"/>
                <w:szCs w:val="18"/>
              </w:rPr>
              <w:t>（份）</w:t>
            </w:r>
          </w:p>
        </w:tc>
        <w:tc>
          <w:tcPr>
            <w:tcW w:w="12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期权价值（元</w:t>
            </w:r>
          </w:p>
        </w:tc>
        <w:tc>
          <w:tcPr>
            <w:tcW w:w="12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30"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z w:val="18"/>
                <w:szCs w:val="18"/>
              </w:rPr>
              <w:t>期权成本</w:t>
            </w:r>
          </w:p>
          <w:p>
            <w:pPr>
              <w:pStyle w:val="TableParagraph"/>
              <w:spacing w:line="240" w:lineRule="auto" w:before="76"/>
              <w:ind w:left="24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36"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p>
          <w:p>
            <w:pPr>
              <w:pStyle w:val="TableParagraph"/>
              <w:spacing w:line="240" w:lineRule="auto" w:before="76"/>
              <w:ind w:left="24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4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p>
          <w:p>
            <w:pPr>
              <w:pStyle w:val="TableParagraph"/>
              <w:spacing w:line="240" w:lineRule="auto" w:before="76"/>
              <w:ind w:left="24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4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p>
          <w:p>
            <w:pPr>
              <w:pStyle w:val="TableParagraph"/>
              <w:spacing w:line="240" w:lineRule="auto" w:before="76"/>
              <w:ind w:left="24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225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r>
      <w:tr>
        <w:trPr>
          <w:trHeight w:val="355" w:hRule="exact"/>
        </w:trPr>
        <w:tc>
          <w:tcPr>
            <w:tcW w:w="1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307" w:right="-5"/>
              <w:jc w:val="left"/>
              <w:rPr>
                <w:rFonts w:ascii="宋体" w:hAnsi="宋体" w:cs="宋体" w:eastAsia="宋体" w:hint="default"/>
                <w:sz w:val="18"/>
                <w:szCs w:val="18"/>
              </w:rPr>
            </w:pPr>
            <w:r>
              <w:rPr>
                <w:rFonts w:ascii="宋体"/>
                <w:sz w:val="18"/>
              </w:rPr>
              <w:t>10,924,118</w:t>
            </w:r>
          </w:p>
        </w:tc>
        <w:tc>
          <w:tcPr>
            <w:tcW w:w="1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753" w:right="-5"/>
              <w:jc w:val="left"/>
              <w:rPr>
                <w:rFonts w:ascii="宋体" w:hAnsi="宋体" w:cs="宋体" w:eastAsia="宋体" w:hint="default"/>
                <w:sz w:val="18"/>
                <w:szCs w:val="18"/>
              </w:rPr>
            </w:pPr>
            <w:r>
              <w:rPr>
                <w:rFonts w:ascii="宋体"/>
                <w:sz w:val="18"/>
              </w:rPr>
              <w:t>1.408</w:t>
            </w:r>
          </w:p>
        </w:tc>
        <w:tc>
          <w:tcPr>
            <w:tcW w:w="1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484" w:right="-5"/>
              <w:jc w:val="left"/>
              <w:rPr>
                <w:rFonts w:ascii="宋体" w:hAnsi="宋体" w:cs="宋体" w:eastAsia="宋体" w:hint="default"/>
                <w:sz w:val="18"/>
                <w:szCs w:val="18"/>
              </w:rPr>
            </w:pPr>
            <w:r>
              <w:rPr>
                <w:rFonts w:ascii="宋体"/>
                <w:sz w:val="18"/>
              </w:rPr>
              <w:t>1,538.12</w:t>
            </w:r>
          </w:p>
        </w:tc>
        <w:tc>
          <w:tcPr>
            <w:tcW w:w="12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667" w:right="-10"/>
              <w:jc w:val="left"/>
              <w:rPr>
                <w:rFonts w:ascii="宋体" w:hAnsi="宋体" w:cs="宋体" w:eastAsia="宋体" w:hint="default"/>
                <w:sz w:val="18"/>
                <w:szCs w:val="18"/>
              </w:rPr>
            </w:pPr>
            <w:r>
              <w:rPr>
                <w:rFonts w:ascii="宋体"/>
                <w:sz w:val="18"/>
              </w:rPr>
              <w:t>689.32</w:t>
            </w:r>
          </w:p>
        </w:tc>
        <w:tc>
          <w:tcPr>
            <w:tcW w:w="1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671" w:right="-10"/>
              <w:jc w:val="left"/>
              <w:rPr>
                <w:rFonts w:ascii="宋体" w:hAnsi="宋体" w:cs="宋体" w:eastAsia="宋体" w:hint="default"/>
                <w:sz w:val="18"/>
                <w:szCs w:val="18"/>
              </w:rPr>
            </w:pPr>
            <w:r>
              <w:rPr>
                <w:rFonts w:ascii="宋体"/>
                <w:sz w:val="18"/>
              </w:rPr>
              <w:t>639.31</w:t>
            </w:r>
          </w:p>
        </w:tc>
        <w:tc>
          <w:tcPr>
            <w:tcW w:w="12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left="671" w:right="-10"/>
              <w:jc w:val="left"/>
              <w:rPr>
                <w:rFonts w:ascii="宋体" w:hAnsi="宋体" w:cs="宋体" w:eastAsia="宋体" w:hint="default"/>
                <w:sz w:val="18"/>
                <w:szCs w:val="18"/>
              </w:rPr>
            </w:pPr>
            <w:r>
              <w:rPr>
                <w:rFonts w:ascii="宋体"/>
                <w:sz w:val="18"/>
              </w:rPr>
              <w:t>228.91</w:t>
            </w:r>
          </w:p>
        </w:tc>
        <w:tc>
          <w:tcPr>
            <w:tcW w:w="22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5"/>
              <w:ind w:right="2"/>
              <w:jc w:val="right"/>
              <w:rPr>
                <w:rFonts w:ascii="宋体" w:hAnsi="宋体" w:cs="宋体" w:eastAsia="宋体" w:hint="default"/>
                <w:sz w:val="18"/>
                <w:szCs w:val="18"/>
              </w:rPr>
            </w:pPr>
            <w:r>
              <w:rPr>
                <w:rFonts w:ascii="宋体"/>
                <w:spacing w:val="-1"/>
                <w:sz w:val="18"/>
              </w:rPr>
              <w:t>-19.42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96"/>
        <w:ind w:right="1764"/>
        <w:jc w:val="left"/>
        <w:rPr>
          <w:b w:val="0"/>
          <w:bCs w:val="0"/>
        </w:rPr>
      </w:pPr>
      <w:bookmarkStart w:name="2、以权益结算的股份支付情况" w:id="495"/>
      <w:bookmarkEnd w:id="495"/>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2"/>
        <w:rPr>
          <w:rFonts w:ascii="宋体" w:hAnsi="宋体" w:cs="宋体" w:eastAsia="宋体" w:hint="default"/>
          <w:b/>
          <w:bCs/>
          <w:sz w:val="23"/>
          <w:szCs w:val="23"/>
        </w:rPr>
      </w:pPr>
    </w:p>
    <w:p>
      <w:pPr>
        <w:spacing w:before="46"/>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984"/>
        <w:gridCol w:w="4585"/>
      </w:tblGrid>
      <w:tr>
        <w:trPr>
          <w:trHeight w:val="2276"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股票期权的授予价格修正为 </w:t>
            </w:r>
            <w:r>
              <w:rPr>
                <w:rFonts w:ascii="Times New Roman" w:hAnsi="Times New Roman" w:cs="Times New Roman" w:eastAsia="Times New Roman" w:hint="default"/>
                <w:sz w:val="18"/>
                <w:szCs w:val="18"/>
              </w:rPr>
              <w:t>8.66</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元</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股，确定方法是根据</w:t>
            </w:r>
          </w:p>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5"/>
                <w:sz w:val="18"/>
                <w:szCs w:val="18"/>
              </w:rPr>
              <w:t>本激励计划（草案）摘要首次公告日前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个交易日公司</w:t>
            </w:r>
          </w:p>
          <w:p>
            <w:pPr>
              <w:pStyle w:val="TableParagraph"/>
              <w:spacing w:line="307" w:lineRule="auto" w:before="63"/>
              <w:ind w:left="105" w:right="2"/>
              <w:jc w:val="left"/>
              <w:rPr>
                <w:rFonts w:ascii="宋体" w:hAnsi="宋体" w:cs="宋体" w:eastAsia="宋体" w:hint="default"/>
                <w:sz w:val="18"/>
                <w:szCs w:val="18"/>
              </w:rPr>
            </w:pPr>
            <w:r>
              <w:rPr>
                <w:rFonts w:ascii="宋体" w:hAnsi="宋体" w:cs="宋体" w:eastAsia="宋体" w:hint="default"/>
                <w:sz w:val="18"/>
                <w:szCs w:val="18"/>
              </w:rPr>
              <w:t>股票均价（前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个交易日股票交易总额</w:t>
            </w:r>
            <w:r>
              <w:rPr>
                <w:rFonts w:ascii="Times New Roman" w:hAnsi="Times New Roman" w:cs="Times New Roman" w:eastAsia="Times New Roman" w:hint="default"/>
                <w:sz w:val="18"/>
                <w:szCs w:val="18"/>
              </w:rPr>
              <w:t>/</w:t>
            </w: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个交易日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股票交易总量）的</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50%</w:t>
            </w:r>
            <w:r>
              <w:rPr>
                <w:rFonts w:ascii="宋体" w:hAnsi="宋体" w:cs="宋体" w:eastAsia="宋体" w:hint="default"/>
                <w:spacing w:val="-3"/>
                <w:sz w:val="18"/>
                <w:szCs w:val="18"/>
              </w:rPr>
              <w:t>确定，即授予价格＝定价基准日</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w w:val="101"/>
                <w:sz w:val="18"/>
                <w:szCs w:val="18"/>
              </w:rPr>
              <w:t>前</w:t>
            </w:r>
            <w:r>
              <w:rPr>
                <w:rFonts w:ascii="宋体" w:hAnsi="宋体" w:cs="宋体" w:eastAsia="宋体" w:hint="default"/>
                <w:spacing w:val="-54"/>
                <w:w w:val="101"/>
                <w:sz w:val="18"/>
                <w:szCs w:val="18"/>
              </w:rPr>
              <w:t> </w:t>
            </w:r>
            <w:r>
              <w:rPr>
                <w:rFonts w:ascii="Times New Roman" w:hAnsi="Times New Roman" w:cs="Times New Roman" w:eastAsia="Times New Roman" w:hint="default"/>
                <w:w w:val="101"/>
                <w:sz w:val="18"/>
                <w:szCs w:val="18"/>
              </w:rPr>
              <w:t>20</w:t>
            </w:r>
            <w:r>
              <w:rPr>
                <w:rFonts w:ascii="Times New Roman" w:hAnsi="Times New Roman" w:cs="Times New Roman" w:eastAsia="Times New Roman" w:hint="default"/>
                <w:spacing w:val="-9"/>
                <w:w w:val="101"/>
                <w:sz w:val="18"/>
                <w:szCs w:val="18"/>
              </w:rPr>
              <w:t> </w:t>
            </w:r>
            <w:r>
              <w:rPr>
                <w:rFonts w:ascii="宋体" w:hAnsi="宋体" w:cs="宋体" w:eastAsia="宋体" w:hint="default"/>
                <w:spacing w:val="-6"/>
                <w:w w:val="101"/>
                <w:sz w:val="18"/>
                <w:szCs w:val="18"/>
              </w:rPr>
              <w:t>个交易日公司股票均价×</w:t>
            </w:r>
            <w:r>
              <w:rPr>
                <w:rFonts w:ascii="Times New Roman" w:hAnsi="Times New Roman" w:cs="Times New Roman" w:eastAsia="Times New Roman" w:hint="default"/>
                <w:spacing w:val="-6"/>
                <w:w w:val="101"/>
                <w:sz w:val="18"/>
                <w:szCs w:val="18"/>
              </w:rPr>
              <w:t>50%</w:t>
            </w:r>
            <w:r>
              <w:rPr>
                <w:rFonts w:ascii="宋体" w:hAnsi="宋体" w:cs="宋体" w:eastAsia="宋体" w:hint="default"/>
                <w:spacing w:val="-6"/>
                <w:w w:val="101"/>
                <w:sz w:val="18"/>
                <w:szCs w:val="18"/>
              </w:rPr>
              <w:t>。若在行权前有派息、</w:t>
            </w:r>
            <w:r>
              <w:rPr>
                <w:rFonts w:ascii="宋体" w:hAnsi="宋体" w:cs="宋体" w:eastAsia="宋体" w:hint="default"/>
                <w:w w:val="101"/>
                <w:sz w:val="18"/>
                <w:szCs w:val="18"/>
              </w:rPr>
              <w:t> </w:t>
            </w:r>
            <w:r>
              <w:rPr>
                <w:rFonts w:ascii="宋体" w:hAnsi="宋体" w:cs="宋体" w:eastAsia="宋体" w:hint="default"/>
                <w:spacing w:val="-3"/>
                <w:sz w:val="18"/>
                <w:szCs w:val="18"/>
              </w:rPr>
              <w:t>资本公积转增股本、派送股票红利、股票拆细、配股或</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缩股等事项，应对行权价格进行相应的调整。</w:t>
            </w:r>
          </w:p>
        </w:tc>
      </w:tr>
      <w:tr>
        <w:trPr>
          <w:trHeight w:val="102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pacing w:val="-3"/>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42"/>
              <w:jc w:val="both"/>
              <w:rPr>
                <w:rFonts w:ascii="宋体" w:hAnsi="宋体" w:cs="宋体" w:eastAsia="宋体" w:hint="default"/>
                <w:sz w:val="18"/>
                <w:szCs w:val="18"/>
              </w:rPr>
            </w:pPr>
            <w:r>
              <w:rPr>
                <w:rFonts w:ascii="宋体" w:hAnsi="宋体" w:cs="宋体" w:eastAsia="宋体" w:hint="default"/>
                <w:spacing w:val="-3"/>
                <w:sz w:val="18"/>
                <w:szCs w:val="18"/>
              </w:rPr>
              <w:t>按各解锁期的业绩条件估计，并根据最新取得的可行权</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职工人数变动等后续信息作出最佳估计，修正预计可行</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权的权益工具数量。</w:t>
            </w:r>
          </w:p>
        </w:tc>
      </w:tr>
      <w:tr>
        <w:trPr>
          <w:trHeight w:val="716"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105" w:right="142"/>
              <w:jc w:val="left"/>
              <w:rPr>
                <w:rFonts w:ascii="宋体" w:hAnsi="宋体" w:cs="宋体" w:eastAsia="宋体" w:hint="default"/>
                <w:sz w:val="18"/>
                <w:szCs w:val="18"/>
              </w:rPr>
            </w:pPr>
            <w:r>
              <w:rPr>
                <w:rFonts w:ascii="宋体" w:hAnsi="宋体" w:cs="宋体" w:eastAsia="宋体" w:hint="default"/>
                <w:spacing w:val="-3"/>
                <w:sz w:val="18"/>
                <w:szCs w:val="18"/>
              </w:rPr>
              <w:t>股票激励对象人数及对应的期权份额调减，以及行权价</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格调整所致。</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15,381,158.14</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-194,186.72</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3、以现金结算的股份支付情况" w:id="496"/>
      <w:bookmarkEnd w:id="496"/>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1"/>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6"/>
          <w:szCs w:val="26"/>
        </w:rPr>
      </w:pPr>
    </w:p>
    <w:p>
      <w:pPr>
        <w:pStyle w:val="Heading3"/>
        <w:spacing w:line="240" w:lineRule="auto"/>
        <w:ind w:right="1764"/>
        <w:jc w:val="left"/>
        <w:rPr>
          <w:b w:val="0"/>
          <w:bCs w:val="0"/>
        </w:rPr>
      </w:pPr>
      <w:bookmarkStart w:name="4、股份支付的修改、终止情况" w:id="497"/>
      <w:bookmarkEnd w:id="497"/>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5"/>
        <w:rPr>
          <w:rFonts w:ascii="宋体" w:hAnsi="宋体" w:cs="宋体" w:eastAsia="宋体" w:hint="default"/>
          <w:b/>
          <w:bCs/>
          <w:sz w:val="26"/>
          <w:szCs w:val="26"/>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spacing w:line="484" w:lineRule="auto" w:before="36"/>
        <w:ind w:left="113" w:right="8341" w:firstLine="0"/>
        <w:jc w:val="left"/>
        <w:rPr>
          <w:rFonts w:ascii="宋体" w:hAnsi="宋体" w:cs="宋体" w:eastAsia="宋体" w:hint="default"/>
          <w:sz w:val="21"/>
          <w:szCs w:val="21"/>
        </w:rPr>
      </w:pPr>
      <w:bookmarkStart w:name="5、其他" w:id="498"/>
      <w:bookmarkEnd w:id="49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四、承诺及或有事项" w:id="499"/>
      <w:bookmarkEnd w:id="499"/>
      <w:r>
        <w:rPr>
          <w:rFonts w:ascii="宋体" w:hAnsi="宋体" w:cs="宋体" w:eastAsia="宋体" w:hint="default"/>
          <w:b/>
          <w:bCs/>
          <w:w w:val="100"/>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500"/>
      <w:bookmarkEnd w:id="50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12"/>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资产负债表日存在的重要承诺</w:t>
      </w:r>
    </w:p>
    <w:p>
      <w:pPr>
        <w:pStyle w:val="BodyText"/>
        <w:spacing w:line="240" w:lineRule="auto" w:before="89"/>
        <w:ind w:left="833" w:right="1764"/>
        <w:jc w:val="left"/>
      </w:pPr>
      <w:r>
        <w:rPr/>
        <w:t>本公司开具的保函金额如下：</w:t>
      </w: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949"/>
        <w:gridCol w:w="860"/>
        <w:gridCol w:w="1561"/>
        <w:gridCol w:w="1268"/>
        <w:gridCol w:w="2123"/>
        <w:gridCol w:w="1280"/>
      </w:tblGrid>
      <w:tr>
        <w:trPr>
          <w:trHeight w:val="353" w:hRule="exact"/>
        </w:trPr>
        <w:tc>
          <w:tcPr>
            <w:tcW w:w="1949"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547" w:right="0"/>
              <w:jc w:val="left"/>
              <w:rPr>
                <w:rFonts w:ascii="宋体" w:hAnsi="宋体" w:cs="宋体" w:eastAsia="宋体" w:hint="default"/>
                <w:sz w:val="21"/>
                <w:szCs w:val="21"/>
              </w:rPr>
            </w:pPr>
            <w:r>
              <w:rPr>
                <w:rFonts w:ascii="宋体" w:hAnsi="宋体" w:cs="宋体" w:eastAsia="宋体" w:hint="default"/>
                <w:sz w:val="21"/>
                <w:szCs w:val="21"/>
              </w:rPr>
              <w:t>开立银行</w:t>
            </w:r>
          </w:p>
        </w:tc>
        <w:tc>
          <w:tcPr>
            <w:tcW w:w="860"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204"/>
              <w:jc w:val="right"/>
              <w:rPr>
                <w:rFonts w:ascii="宋体" w:hAnsi="宋体" w:cs="宋体" w:eastAsia="宋体" w:hint="default"/>
                <w:sz w:val="21"/>
                <w:szCs w:val="21"/>
              </w:rPr>
            </w:pPr>
            <w:r>
              <w:rPr>
                <w:rFonts w:ascii="宋体" w:hAnsi="宋体" w:cs="宋体" w:eastAsia="宋体" w:hint="default"/>
                <w:sz w:val="21"/>
                <w:szCs w:val="21"/>
              </w:rPr>
              <w:t>主体</w:t>
            </w:r>
          </w:p>
        </w:tc>
        <w:tc>
          <w:tcPr>
            <w:tcW w:w="1561"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保函编号</w:t>
            </w:r>
          </w:p>
        </w:tc>
        <w:tc>
          <w:tcPr>
            <w:tcW w:w="1268"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206" w:right="0"/>
              <w:jc w:val="left"/>
              <w:rPr>
                <w:rFonts w:ascii="宋体" w:hAnsi="宋体" w:cs="宋体" w:eastAsia="宋体" w:hint="default"/>
                <w:sz w:val="21"/>
                <w:szCs w:val="21"/>
              </w:rPr>
            </w:pPr>
            <w:r>
              <w:rPr>
                <w:rFonts w:ascii="宋体" w:hAnsi="宋体" w:cs="宋体" w:eastAsia="宋体" w:hint="default"/>
                <w:sz w:val="21"/>
                <w:szCs w:val="21"/>
              </w:rPr>
              <w:t>保函金额</w:t>
            </w:r>
          </w:p>
        </w:tc>
        <w:tc>
          <w:tcPr>
            <w:tcW w:w="2123"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638"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1280" w:type="dxa"/>
            <w:tcBorders>
              <w:top w:val="single" w:sz="6" w:space="0" w:color="000000"/>
              <w:left w:val="single" w:sz="6" w:space="0" w:color="000000"/>
              <w:bottom w:val="single" w:sz="12" w:space="0" w:color="000000"/>
              <w:right w:val="nil" w:sz="6" w:space="0" w:color="auto"/>
            </w:tcBorders>
          </w:tcPr>
          <w:p>
            <w:pPr>
              <w:pStyle w:val="TableParagraph"/>
              <w:spacing w:line="270" w:lineRule="exact"/>
              <w:ind w:left="110" w:right="0"/>
              <w:jc w:val="left"/>
              <w:rPr>
                <w:rFonts w:ascii="宋体" w:hAnsi="宋体" w:cs="宋体" w:eastAsia="宋体" w:hint="default"/>
                <w:sz w:val="21"/>
                <w:szCs w:val="21"/>
              </w:rPr>
            </w:pPr>
            <w:r>
              <w:rPr>
                <w:rFonts w:ascii="宋体" w:hAnsi="宋体" w:cs="宋体" w:eastAsia="宋体" w:hint="default"/>
                <w:sz w:val="21"/>
                <w:szCs w:val="21"/>
              </w:rPr>
              <w:t>保函到期日</w:t>
            </w:r>
          </w:p>
        </w:tc>
      </w:tr>
      <w:tr>
        <w:trPr>
          <w:trHeight w:val="662" w:hRule="exact"/>
        </w:trPr>
        <w:tc>
          <w:tcPr>
            <w:tcW w:w="194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广发银行华富支行</w:t>
            </w:r>
          </w:p>
        </w:tc>
        <w:tc>
          <w:tcPr>
            <w:tcW w:w="8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201"/>
              <w:jc w:val="right"/>
              <w:rPr>
                <w:rFonts w:ascii="宋体" w:hAnsi="宋体" w:cs="宋体" w:eastAsia="宋体" w:hint="default"/>
                <w:sz w:val="21"/>
                <w:szCs w:val="21"/>
              </w:rPr>
            </w:pPr>
            <w:r>
              <w:rPr>
                <w:rFonts w:ascii="宋体" w:hAnsi="宋体" w:cs="宋体" w:eastAsia="宋体" w:hint="default"/>
                <w:sz w:val="21"/>
                <w:szCs w:val="21"/>
              </w:rPr>
              <w:t>本公司</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sz w:val="21"/>
              </w:rPr>
              <w:t>CGBSZHFLGN1000</w:t>
            </w:r>
          </w:p>
          <w:p>
            <w:pPr>
              <w:pStyle w:val="TableParagraph"/>
              <w:spacing w:line="240" w:lineRule="auto" w:before="37"/>
              <w:ind w:left="4" w:right="0"/>
              <w:jc w:val="left"/>
              <w:rPr>
                <w:rFonts w:ascii="宋体" w:hAnsi="宋体" w:cs="宋体" w:eastAsia="宋体" w:hint="default"/>
                <w:sz w:val="21"/>
                <w:szCs w:val="21"/>
              </w:rPr>
            </w:pPr>
            <w:r>
              <w:rPr>
                <w:rFonts w:ascii="宋体"/>
                <w:sz w:val="21"/>
              </w:rPr>
              <w:t>0015</w:t>
            </w:r>
          </w:p>
        </w:tc>
        <w:tc>
          <w:tcPr>
            <w:tcW w:w="126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5"/>
              <w:jc w:val="right"/>
              <w:rPr>
                <w:rFonts w:ascii="宋体" w:hAnsi="宋体" w:cs="宋体" w:eastAsia="宋体" w:hint="default"/>
                <w:sz w:val="21"/>
                <w:szCs w:val="21"/>
              </w:rPr>
            </w:pPr>
            <w:r>
              <w:rPr>
                <w:rFonts w:ascii="宋体"/>
                <w:sz w:val="21"/>
              </w:rPr>
              <w:t>295,000.00</w:t>
            </w:r>
          </w:p>
        </w:tc>
        <w:tc>
          <w:tcPr>
            <w:tcW w:w="212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9" w:right="-4"/>
              <w:jc w:val="left"/>
              <w:rPr>
                <w:rFonts w:ascii="宋体" w:hAnsi="宋体" w:cs="宋体" w:eastAsia="宋体" w:hint="default"/>
                <w:sz w:val="21"/>
                <w:szCs w:val="21"/>
              </w:rPr>
            </w:pPr>
            <w:r>
              <w:rPr>
                <w:rFonts w:ascii="宋体" w:hAnsi="宋体" w:cs="宋体" w:eastAsia="宋体" w:hint="default"/>
                <w:sz w:val="21"/>
                <w:szCs w:val="21"/>
              </w:rPr>
              <w:t>广西壮族自治区粮食局</w:t>
            </w:r>
          </w:p>
        </w:tc>
        <w:tc>
          <w:tcPr>
            <w:tcW w:w="1280"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0"/>
              <w:jc w:val="right"/>
              <w:rPr>
                <w:rFonts w:ascii="宋体" w:hAnsi="宋体" w:cs="宋体" w:eastAsia="宋体" w:hint="default"/>
                <w:sz w:val="21"/>
                <w:szCs w:val="21"/>
              </w:rPr>
            </w:pPr>
            <w:r>
              <w:rPr>
                <w:rFonts w:ascii="宋体"/>
                <w:sz w:val="21"/>
              </w:rPr>
              <w:t>2019-12-31</w:t>
            </w:r>
          </w:p>
        </w:tc>
      </w:tr>
      <w:tr>
        <w:trPr>
          <w:trHeight w:val="667" w:hRule="exact"/>
        </w:trPr>
        <w:tc>
          <w:tcPr>
            <w:tcW w:w="1949"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广发银行华富支行</w:t>
            </w:r>
          </w:p>
        </w:tc>
        <w:tc>
          <w:tcPr>
            <w:tcW w:w="860"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201"/>
              <w:jc w:val="right"/>
              <w:rPr>
                <w:rFonts w:ascii="宋体" w:hAnsi="宋体" w:cs="宋体" w:eastAsia="宋体" w:hint="default"/>
                <w:sz w:val="21"/>
                <w:szCs w:val="21"/>
              </w:rPr>
            </w:pPr>
            <w:r>
              <w:rPr>
                <w:rFonts w:ascii="宋体" w:hAnsi="宋体" w:cs="宋体" w:eastAsia="宋体" w:hint="default"/>
                <w:sz w:val="21"/>
                <w:szCs w:val="21"/>
              </w:rPr>
              <w:t>本公司</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65"/>
              <w:jc w:val="left"/>
              <w:rPr>
                <w:rFonts w:ascii="宋体" w:hAnsi="宋体" w:cs="宋体" w:eastAsia="宋体" w:hint="default"/>
                <w:sz w:val="21"/>
                <w:szCs w:val="21"/>
              </w:rPr>
            </w:pPr>
            <w:r>
              <w:rPr>
                <w:rFonts w:ascii="宋体"/>
                <w:sz w:val="21"/>
              </w:rPr>
              <w:t>CGBSZHFLGN1700</w:t>
            </w:r>
            <w:r>
              <w:rPr>
                <w:rFonts w:ascii="宋体"/>
                <w:spacing w:val="-102"/>
                <w:sz w:val="21"/>
              </w:rPr>
              <w:t> </w:t>
            </w:r>
            <w:r>
              <w:rPr>
                <w:rFonts w:ascii="宋体"/>
                <w:spacing w:val="-102"/>
                <w:sz w:val="21"/>
              </w:rPr>
            </w:r>
            <w:r>
              <w:rPr>
                <w:rFonts w:ascii="宋体"/>
                <w:sz w:val="21"/>
              </w:rPr>
              <w:t>0002</w:t>
            </w:r>
          </w:p>
        </w:tc>
        <w:tc>
          <w:tcPr>
            <w:tcW w:w="1268"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z w:val="21"/>
              </w:rPr>
              <w:t>157,569.00</w:t>
            </w:r>
          </w:p>
        </w:tc>
        <w:tc>
          <w:tcPr>
            <w:tcW w:w="2123"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9" w:right="-4"/>
              <w:jc w:val="left"/>
              <w:rPr>
                <w:rFonts w:ascii="宋体" w:hAnsi="宋体" w:cs="宋体" w:eastAsia="宋体" w:hint="default"/>
                <w:sz w:val="21"/>
                <w:szCs w:val="21"/>
              </w:rPr>
            </w:pPr>
            <w:r>
              <w:rPr>
                <w:rFonts w:ascii="宋体" w:hAnsi="宋体" w:cs="宋体" w:eastAsia="宋体" w:hint="default"/>
                <w:sz w:val="21"/>
                <w:szCs w:val="21"/>
              </w:rPr>
              <w:t>联通系统集成有限公司</w:t>
            </w:r>
            <w:r>
              <w:rPr>
                <w:rFonts w:ascii="宋体" w:hAnsi="宋体" w:cs="宋体" w:eastAsia="宋体" w:hint="default"/>
                <w:w w:val="100"/>
                <w:sz w:val="21"/>
                <w:szCs w:val="21"/>
              </w:rPr>
              <w:t> </w:t>
            </w:r>
            <w:r>
              <w:rPr>
                <w:rFonts w:ascii="宋体" w:hAnsi="宋体" w:cs="宋体" w:eastAsia="宋体" w:hint="default"/>
                <w:sz w:val="21"/>
                <w:szCs w:val="21"/>
              </w:rPr>
              <w:t>广东省分公司</w:t>
            </w:r>
          </w:p>
        </w:tc>
        <w:tc>
          <w:tcPr>
            <w:tcW w:w="1280"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0"/>
              <w:jc w:val="right"/>
              <w:rPr>
                <w:rFonts w:ascii="宋体" w:hAnsi="宋体" w:cs="宋体" w:eastAsia="宋体" w:hint="default"/>
                <w:sz w:val="21"/>
                <w:szCs w:val="21"/>
              </w:rPr>
            </w:pPr>
            <w:r>
              <w:rPr>
                <w:rFonts w:ascii="宋体"/>
                <w:sz w:val="21"/>
              </w:rPr>
              <w:t>2020-08-02</w:t>
            </w:r>
          </w:p>
        </w:tc>
      </w:tr>
      <w:tr>
        <w:trPr>
          <w:trHeight w:val="663" w:hRule="exact"/>
        </w:trPr>
        <w:tc>
          <w:tcPr>
            <w:tcW w:w="194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广发银行华富支行</w:t>
            </w:r>
          </w:p>
        </w:tc>
        <w:tc>
          <w:tcPr>
            <w:tcW w:w="8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201"/>
              <w:jc w:val="right"/>
              <w:rPr>
                <w:rFonts w:ascii="宋体" w:hAnsi="宋体" w:cs="宋体" w:eastAsia="宋体" w:hint="default"/>
                <w:sz w:val="21"/>
                <w:szCs w:val="21"/>
              </w:rPr>
            </w:pPr>
            <w:r>
              <w:rPr>
                <w:rFonts w:ascii="宋体" w:hAnsi="宋体" w:cs="宋体" w:eastAsia="宋体" w:hint="default"/>
                <w:sz w:val="21"/>
                <w:szCs w:val="21"/>
              </w:rPr>
              <w:t>本公司</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sz w:val="21"/>
              </w:rPr>
              <w:t>CGBSZHFLGN1000</w:t>
            </w:r>
          </w:p>
          <w:p>
            <w:pPr>
              <w:pStyle w:val="TableParagraph"/>
              <w:spacing w:line="240" w:lineRule="auto" w:before="37"/>
              <w:ind w:left="4" w:right="0"/>
              <w:jc w:val="left"/>
              <w:rPr>
                <w:rFonts w:ascii="宋体" w:hAnsi="宋体" w:cs="宋体" w:eastAsia="宋体" w:hint="default"/>
                <w:sz w:val="21"/>
                <w:szCs w:val="21"/>
              </w:rPr>
            </w:pPr>
            <w:r>
              <w:rPr>
                <w:rFonts w:ascii="宋体"/>
                <w:sz w:val="21"/>
              </w:rPr>
              <w:t>001</w:t>
            </w:r>
          </w:p>
        </w:tc>
        <w:tc>
          <w:tcPr>
            <w:tcW w:w="126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5"/>
              <w:jc w:val="right"/>
              <w:rPr>
                <w:rFonts w:ascii="宋体" w:hAnsi="宋体" w:cs="宋体" w:eastAsia="宋体" w:hint="default"/>
                <w:sz w:val="21"/>
                <w:szCs w:val="21"/>
              </w:rPr>
            </w:pPr>
            <w:r>
              <w:rPr>
                <w:rFonts w:ascii="宋体"/>
                <w:sz w:val="21"/>
              </w:rPr>
              <w:t>5,377,500.0</w:t>
            </w:r>
          </w:p>
          <w:p>
            <w:pPr>
              <w:pStyle w:val="TableParagraph"/>
              <w:spacing w:line="240" w:lineRule="auto" w:before="37"/>
              <w:ind w:right="-1"/>
              <w:jc w:val="right"/>
              <w:rPr>
                <w:rFonts w:ascii="宋体" w:hAnsi="宋体" w:cs="宋体" w:eastAsia="宋体" w:hint="default"/>
                <w:sz w:val="21"/>
                <w:szCs w:val="21"/>
              </w:rPr>
            </w:pPr>
            <w:r>
              <w:rPr>
                <w:rFonts w:ascii="宋体"/>
                <w:w w:val="100"/>
                <w:sz w:val="21"/>
              </w:rPr>
              <w:t>0</w:t>
            </w:r>
          </w:p>
        </w:tc>
        <w:tc>
          <w:tcPr>
            <w:tcW w:w="212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中山市公安局</w:t>
            </w:r>
          </w:p>
        </w:tc>
        <w:tc>
          <w:tcPr>
            <w:tcW w:w="1280"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0"/>
              <w:jc w:val="right"/>
              <w:rPr>
                <w:rFonts w:ascii="宋体" w:hAnsi="宋体" w:cs="宋体" w:eastAsia="宋体" w:hint="default"/>
                <w:sz w:val="21"/>
                <w:szCs w:val="21"/>
              </w:rPr>
            </w:pPr>
            <w:r>
              <w:rPr>
                <w:rFonts w:ascii="宋体"/>
                <w:sz w:val="21"/>
              </w:rPr>
              <w:t>2020-06-28</w:t>
            </w:r>
          </w:p>
        </w:tc>
      </w:tr>
      <w:tr>
        <w:trPr>
          <w:trHeight w:val="662" w:hRule="exact"/>
        </w:trPr>
        <w:tc>
          <w:tcPr>
            <w:tcW w:w="194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广发银行华富支行</w:t>
            </w:r>
          </w:p>
        </w:tc>
        <w:tc>
          <w:tcPr>
            <w:tcW w:w="8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201"/>
              <w:jc w:val="right"/>
              <w:rPr>
                <w:rFonts w:ascii="宋体" w:hAnsi="宋体" w:cs="宋体" w:eastAsia="宋体" w:hint="default"/>
                <w:sz w:val="21"/>
                <w:szCs w:val="21"/>
              </w:rPr>
            </w:pPr>
            <w:r>
              <w:rPr>
                <w:rFonts w:ascii="宋体" w:hAnsi="宋体" w:cs="宋体" w:eastAsia="宋体" w:hint="default"/>
                <w:sz w:val="21"/>
                <w:szCs w:val="21"/>
              </w:rPr>
              <w:t>本公司</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sz w:val="21"/>
              </w:rPr>
              <w:t>CGBSZHFLGN1000</w:t>
            </w:r>
          </w:p>
          <w:p>
            <w:pPr>
              <w:pStyle w:val="TableParagraph"/>
              <w:spacing w:line="240" w:lineRule="auto" w:before="37"/>
              <w:ind w:left="4" w:right="0"/>
              <w:jc w:val="left"/>
              <w:rPr>
                <w:rFonts w:ascii="宋体" w:hAnsi="宋体" w:cs="宋体" w:eastAsia="宋体" w:hint="default"/>
                <w:sz w:val="21"/>
                <w:szCs w:val="21"/>
              </w:rPr>
            </w:pPr>
            <w:r>
              <w:rPr>
                <w:rFonts w:ascii="宋体"/>
                <w:sz w:val="21"/>
              </w:rPr>
              <w:t>002</w:t>
            </w:r>
          </w:p>
        </w:tc>
        <w:tc>
          <w:tcPr>
            <w:tcW w:w="126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5"/>
              <w:jc w:val="right"/>
              <w:rPr>
                <w:rFonts w:ascii="宋体" w:hAnsi="宋体" w:cs="宋体" w:eastAsia="宋体" w:hint="default"/>
                <w:sz w:val="21"/>
                <w:szCs w:val="21"/>
              </w:rPr>
            </w:pPr>
            <w:r>
              <w:rPr>
                <w:rFonts w:ascii="宋体"/>
                <w:sz w:val="21"/>
              </w:rPr>
              <w:t>38,160.00</w:t>
            </w:r>
          </w:p>
        </w:tc>
        <w:tc>
          <w:tcPr>
            <w:tcW w:w="212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9" w:right="-4"/>
              <w:jc w:val="left"/>
              <w:rPr>
                <w:rFonts w:ascii="宋体" w:hAnsi="宋体" w:cs="宋体" w:eastAsia="宋体" w:hint="default"/>
                <w:sz w:val="21"/>
                <w:szCs w:val="21"/>
              </w:rPr>
            </w:pPr>
            <w:r>
              <w:rPr>
                <w:rFonts w:ascii="宋体" w:hAnsi="宋体" w:cs="宋体" w:eastAsia="宋体" w:hint="default"/>
                <w:sz w:val="21"/>
                <w:szCs w:val="21"/>
              </w:rPr>
              <w:t>中国联合网络通信有限</w:t>
            </w:r>
          </w:p>
          <w:p>
            <w:pPr>
              <w:pStyle w:val="TableParagraph"/>
              <w:spacing w:line="240" w:lineRule="auto" w:before="37"/>
              <w:ind w:left="9" w:right="0"/>
              <w:jc w:val="left"/>
              <w:rPr>
                <w:rFonts w:ascii="宋体" w:hAnsi="宋体" w:cs="宋体" w:eastAsia="宋体" w:hint="default"/>
                <w:sz w:val="21"/>
                <w:szCs w:val="21"/>
              </w:rPr>
            </w:pPr>
            <w:r>
              <w:rPr>
                <w:rFonts w:ascii="宋体" w:hAnsi="宋体" w:cs="宋体" w:eastAsia="宋体" w:hint="default"/>
                <w:sz w:val="21"/>
                <w:szCs w:val="21"/>
              </w:rPr>
              <w:t>公司安徽省分公司</w:t>
            </w:r>
          </w:p>
        </w:tc>
        <w:tc>
          <w:tcPr>
            <w:tcW w:w="1280"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0"/>
              <w:jc w:val="right"/>
              <w:rPr>
                <w:rFonts w:ascii="宋体" w:hAnsi="宋体" w:cs="宋体" w:eastAsia="宋体" w:hint="default"/>
                <w:sz w:val="21"/>
                <w:szCs w:val="21"/>
              </w:rPr>
            </w:pPr>
            <w:r>
              <w:rPr>
                <w:rFonts w:ascii="宋体"/>
                <w:sz w:val="21"/>
              </w:rPr>
              <w:t>2020-12-31</w:t>
            </w:r>
          </w:p>
        </w:tc>
      </w:tr>
      <w:tr>
        <w:trPr>
          <w:trHeight w:val="668" w:hRule="exact"/>
        </w:trPr>
        <w:tc>
          <w:tcPr>
            <w:tcW w:w="1949"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广发银行华富支行</w:t>
            </w:r>
          </w:p>
        </w:tc>
        <w:tc>
          <w:tcPr>
            <w:tcW w:w="860"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201"/>
              <w:jc w:val="right"/>
              <w:rPr>
                <w:rFonts w:ascii="宋体" w:hAnsi="宋体" w:cs="宋体" w:eastAsia="宋体" w:hint="default"/>
                <w:sz w:val="21"/>
                <w:szCs w:val="21"/>
              </w:rPr>
            </w:pPr>
            <w:r>
              <w:rPr>
                <w:rFonts w:ascii="宋体" w:hAnsi="宋体" w:cs="宋体" w:eastAsia="宋体" w:hint="default"/>
                <w:sz w:val="21"/>
                <w:szCs w:val="21"/>
              </w:rPr>
              <w:t>本公司</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65"/>
              <w:jc w:val="left"/>
              <w:rPr>
                <w:rFonts w:ascii="宋体" w:hAnsi="宋体" w:cs="宋体" w:eastAsia="宋体" w:hint="default"/>
                <w:sz w:val="21"/>
                <w:szCs w:val="21"/>
              </w:rPr>
            </w:pPr>
            <w:r>
              <w:rPr>
                <w:rFonts w:ascii="宋体"/>
                <w:sz w:val="21"/>
              </w:rPr>
              <w:t>CGBSZHFLGN1000</w:t>
            </w:r>
            <w:r>
              <w:rPr>
                <w:rFonts w:ascii="宋体"/>
                <w:spacing w:val="-102"/>
                <w:sz w:val="21"/>
              </w:rPr>
              <w:t> </w:t>
            </w:r>
            <w:r>
              <w:rPr>
                <w:rFonts w:ascii="宋体"/>
                <w:spacing w:val="-102"/>
                <w:sz w:val="21"/>
              </w:rPr>
            </w:r>
            <w:r>
              <w:rPr>
                <w:rFonts w:ascii="宋体"/>
                <w:sz w:val="21"/>
              </w:rPr>
              <w:t>004</w:t>
            </w:r>
          </w:p>
        </w:tc>
        <w:tc>
          <w:tcPr>
            <w:tcW w:w="1268"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z w:val="21"/>
              </w:rPr>
              <w:t>556,753.40</w:t>
            </w:r>
          </w:p>
        </w:tc>
        <w:tc>
          <w:tcPr>
            <w:tcW w:w="2123"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9" w:right="-4"/>
              <w:jc w:val="left"/>
              <w:rPr>
                <w:rFonts w:ascii="宋体" w:hAnsi="宋体" w:cs="宋体" w:eastAsia="宋体" w:hint="default"/>
                <w:sz w:val="21"/>
                <w:szCs w:val="21"/>
              </w:rPr>
            </w:pPr>
            <w:r>
              <w:rPr>
                <w:rFonts w:ascii="宋体" w:hAnsi="宋体" w:cs="宋体" w:eastAsia="宋体" w:hint="default"/>
                <w:sz w:val="21"/>
                <w:szCs w:val="21"/>
              </w:rPr>
              <w:t>中国电信股份有限公司</w:t>
            </w:r>
          </w:p>
        </w:tc>
        <w:tc>
          <w:tcPr>
            <w:tcW w:w="1280"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0"/>
              <w:jc w:val="right"/>
              <w:rPr>
                <w:rFonts w:ascii="宋体" w:hAnsi="宋体" w:cs="宋体" w:eastAsia="宋体" w:hint="default"/>
                <w:sz w:val="21"/>
                <w:szCs w:val="21"/>
              </w:rPr>
            </w:pPr>
            <w:r>
              <w:rPr>
                <w:rFonts w:ascii="宋体"/>
                <w:sz w:val="21"/>
              </w:rPr>
              <w:t>2020-03-08</w:t>
            </w:r>
          </w:p>
        </w:tc>
      </w:tr>
      <w:tr>
        <w:trPr>
          <w:trHeight w:val="662" w:hRule="exact"/>
        </w:trPr>
        <w:tc>
          <w:tcPr>
            <w:tcW w:w="194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广发银行华富支行</w:t>
            </w:r>
          </w:p>
        </w:tc>
        <w:tc>
          <w:tcPr>
            <w:tcW w:w="8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201"/>
              <w:jc w:val="right"/>
              <w:rPr>
                <w:rFonts w:ascii="宋体" w:hAnsi="宋体" w:cs="宋体" w:eastAsia="宋体" w:hint="default"/>
                <w:sz w:val="21"/>
                <w:szCs w:val="21"/>
              </w:rPr>
            </w:pPr>
            <w:r>
              <w:rPr>
                <w:rFonts w:ascii="宋体" w:hAnsi="宋体" w:cs="宋体" w:eastAsia="宋体" w:hint="default"/>
                <w:sz w:val="21"/>
                <w:szCs w:val="21"/>
              </w:rPr>
              <w:t>本公司</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sz w:val="21"/>
              </w:rPr>
              <w:t>CGBSZHFLGN1000</w:t>
            </w:r>
          </w:p>
          <w:p>
            <w:pPr>
              <w:pStyle w:val="TableParagraph"/>
              <w:spacing w:line="240" w:lineRule="auto" w:before="37"/>
              <w:ind w:left="4" w:right="0"/>
              <w:jc w:val="left"/>
              <w:rPr>
                <w:rFonts w:ascii="宋体" w:hAnsi="宋体" w:cs="宋体" w:eastAsia="宋体" w:hint="default"/>
                <w:sz w:val="21"/>
                <w:szCs w:val="21"/>
              </w:rPr>
            </w:pPr>
            <w:r>
              <w:rPr>
                <w:rFonts w:ascii="宋体"/>
                <w:sz w:val="21"/>
              </w:rPr>
              <w:t>007</w:t>
            </w:r>
          </w:p>
        </w:tc>
        <w:tc>
          <w:tcPr>
            <w:tcW w:w="126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5"/>
              <w:jc w:val="right"/>
              <w:rPr>
                <w:rFonts w:ascii="宋体" w:hAnsi="宋体" w:cs="宋体" w:eastAsia="宋体" w:hint="default"/>
                <w:sz w:val="21"/>
                <w:szCs w:val="21"/>
              </w:rPr>
            </w:pPr>
            <w:r>
              <w:rPr>
                <w:rFonts w:ascii="宋体"/>
                <w:sz w:val="21"/>
              </w:rPr>
              <w:t>179,860.00</w:t>
            </w:r>
          </w:p>
        </w:tc>
        <w:tc>
          <w:tcPr>
            <w:tcW w:w="212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9" w:right="-4"/>
              <w:jc w:val="left"/>
              <w:rPr>
                <w:rFonts w:ascii="宋体" w:hAnsi="宋体" w:cs="宋体" w:eastAsia="宋体" w:hint="default"/>
                <w:sz w:val="21"/>
                <w:szCs w:val="21"/>
              </w:rPr>
            </w:pPr>
            <w:r>
              <w:rPr>
                <w:rFonts w:ascii="宋体" w:hAnsi="宋体" w:cs="宋体" w:eastAsia="宋体" w:hint="default"/>
                <w:sz w:val="21"/>
                <w:szCs w:val="21"/>
              </w:rPr>
              <w:t>航天新商务信息科技有</w:t>
            </w:r>
          </w:p>
          <w:p>
            <w:pPr>
              <w:pStyle w:val="TableParagraph"/>
              <w:spacing w:line="240" w:lineRule="auto" w:before="37"/>
              <w:ind w:left="9"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80"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0"/>
              <w:jc w:val="right"/>
              <w:rPr>
                <w:rFonts w:ascii="宋体" w:hAnsi="宋体" w:cs="宋体" w:eastAsia="宋体" w:hint="default"/>
                <w:sz w:val="21"/>
                <w:szCs w:val="21"/>
              </w:rPr>
            </w:pPr>
            <w:r>
              <w:rPr>
                <w:rFonts w:ascii="宋体"/>
                <w:sz w:val="21"/>
              </w:rPr>
              <w:t>2020-12-31</w:t>
            </w:r>
          </w:p>
        </w:tc>
      </w:tr>
      <w:tr>
        <w:trPr>
          <w:trHeight w:val="662" w:hRule="exact"/>
        </w:trPr>
        <w:tc>
          <w:tcPr>
            <w:tcW w:w="194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广发银行华富支行</w:t>
            </w:r>
          </w:p>
        </w:tc>
        <w:tc>
          <w:tcPr>
            <w:tcW w:w="8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201"/>
              <w:jc w:val="right"/>
              <w:rPr>
                <w:rFonts w:ascii="宋体" w:hAnsi="宋体" w:cs="宋体" w:eastAsia="宋体" w:hint="default"/>
                <w:sz w:val="21"/>
                <w:szCs w:val="21"/>
              </w:rPr>
            </w:pPr>
            <w:r>
              <w:rPr>
                <w:rFonts w:ascii="宋体" w:hAnsi="宋体" w:cs="宋体" w:eastAsia="宋体" w:hint="default"/>
                <w:sz w:val="21"/>
                <w:szCs w:val="21"/>
              </w:rPr>
              <w:t>本公司</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sz w:val="21"/>
              </w:rPr>
              <w:t>CGBSZHFLGN1000</w:t>
            </w:r>
          </w:p>
          <w:p>
            <w:pPr>
              <w:pStyle w:val="TableParagraph"/>
              <w:spacing w:line="240" w:lineRule="auto" w:before="37"/>
              <w:ind w:left="4" w:right="0"/>
              <w:jc w:val="left"/>
              <w:rPr>
                <w:rFonts w:ascii="宋体" w:hAnsi="宋体" w:cs="宋体" w:eastAsia="宋体" w:hint="default"/>
                <w:sz w:val="21"/>
                <w:szCs w:val="21"/>
              </w:rPr>
            </w:pPr>
            <w:r>
              <w:rPr>
                <w:rFonts w:ascii="宋体"/>
                <w:sz w:val="21"/>
              </w:rPr>
              <w:t>0010</w:t>
            </w:r>
          </w:p>
        </w:tc>
        <w:tc>
          <w:tcPr>
            <w:tcW w:w="126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5"/>
              <w:jc w:val="right"/>
              <w:rPr>
                <w:rFonts w:ascii="宋体" w:hAnsi="宋体" w:cs="宋体" w:eastAsia="宋体" w:hint="default"/>
                <w:sz w:val="21"/>
                <w:szCs w:val="21"/>
              </w:rPr>
            </w:pPr>
            <w:r>
              <w:rPr>
                <w:rFonts w:ascii="宋体"/>
                <w:sz w:val="21"/>
              </w:rPr>
              <w:t>838,646.90</w:t>
            </w:r>
          </w:p>
        </w:tc>
        <w:tc>
          <w:tcPr>
            <w:tcW w:w="212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9" w:right="-4"/>
              <w:jc w:val="left"/>
              <w:rPr>
                <w:rFonts w:ascii="宋体" w:hAnsi="宋体" w:cs="宋体" w:eastAsia="宋体" w:hint="default"/>
                <w:sz w:val="21"/>
                <w:szCs w:val="21"/>
              </w:rPr>
            </w:pPr>
            <w:r>
              <w:rPr>
                <w:rFonts w:ascii="宋体" w:hAnsi="宋体" w:cs="宋体" w:eastAsia="宋体" w:hint="default"/>
                <w:sz w:val="21"/>
                <w:szCs w:val="21"/>
              </w:rPr>
              <w:t>中国电信股份有限公司</w:t>
            </w:r>
          </w:p>
        </w:tc>
        <w:tc>
          <w:tcPr>
            <w:tcW w:w="1280"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0"/>
              <w:jc w:val="right"/>
              <w:rPr>
                <w:rFonts w:ascii="宋体" w:hAnsi="宋体" w:cs="宋体" w:eastAsia="宋体" w:hint="default"/>
                <w:sz w:val="21"/>
                <w:szCs w:val="21"/>
              </w:rPr>
            </w:pPr>
            <w:r>
              <w:rPr>
                <w:rFonts w:ascii="宋体"/>
                <w:sz w:val="21"/>
              </w:rPr>
              <w:t>2020-08-07</w:t>
            </w:r>
          </w:p>
        </w:tc>
      </w:tr>
      <w:tr>
        <w:trPr>
          <w:trHeight w:val="668" w:hRule="exact"/>
        </w:trPr>
        <w:tc>
          <w:tcPr>
            <w:tcW w:w="1949"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广发银行华富支行</w:t>
            </w:r>
          </w:p>
        </w:tc>
        <w:tc>
          <w:tcPr>
            <w:tcW w:w="860"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201"/>
              <w:jc w:val="right"/>
              <w:rPr>
                <w:rFonts w:ascii="宋体" w:hAnsi="宋体" w:cs="宋体" w:eastAsia="宋体" w:hint="default"/>
                <w:sz w:val="21"/>
                <w:szCs w:val="21"/>
              </w:rPr>
            </w:pPr>
            <w:r>
              <w:rPr>
                <w:rFonts w:ascii="宋体" w:hAnsi="宋体" w:cs="宋体" w:eastAsia="宋体" w:hint="default"/>
                <w:sz w:val="21"/>
                <w:szCs w:val="21"/>
              </w:rPr>
              <w:t>本公司</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65"/>
              <w:jc w:val="left"/>
              <w:rPr>
                <w:rFonts w:ascii="宋体" w:hAnsi="宋体" w:cs="宋体" w:eastAsia="宋体" w:hint="default"/>
                <w:sz w:val="21"/>
                <w:szCs w:val="21"/>
              </w:rPr>
            </w:pPr>
            <w:r>
              <w:rPr>
                <w:rFonts w:ascii="宋体"/>
                <w:sz w:val="21"/>
              </w:rPr>
              <w:t>CGBSZHFLGN1000</w:t>
            </w:r>
            <w:r>
              <w:rPr>
                <w:rFonts w:ascii="宋体"/>
                <w:spacing w:val="-102"/>
                <w:sz w:val="21"/>
              </w:rPr>
              <w:t> </w:t>
            </w:r>
            <w:r>
              <w:rPr>
                <w:rFonts w:ascii="宋体"/>
                <w:spacing w:val="-102"/>
                <w:sz w:val="21"/>
              </w:rPr>
            </w:r>
            <w:r>
              <w:rPr>
                <w:rFonts w:ascii="宋体"/>
                <w:sz w:val="21"/>
              </w:rPr>
              <w:t>0011</w:t>
            </w:r>
          </w:p>
        </w:tc>
        <w:tc>
          <w:tcPr>
            <w:tcW w:w="1268"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z w:val="21"/>
              </w:rPr>
              <w:t>1,201,536.7</w:t>
            </w:r>
          </w:p>
          <w:p>
            <w:pPr>
              <w:pStyle w:val="TableParagraph"/>
              <w:spacing w:line="240" w:lineRule="auto" w:before="37"/>
              <w:ind w:right="-1"/>
              <w:jc w:val="right"/>
              <w:rPr>
                <w:rFonts w:ascii="宋体" w:hAnsi="宋体" w:cs="宋体" w:eastAsia="宋体" w:hint="default"/>
                <w:sz w:val="21"/>
                <w:szCs w:val="21"/>
              </w:rPr>
            </w:pPr>
            <w:r>
              <w:rPr>
                <w:rFonts w:ascii="宋体"/>
                <w:w w:val="100"/>
                <w:sz w:val="21"/>
              </w:rPr>
              <w:t>0</w:t>
            </w:r>
          </w:p>
        </w:tc>
        <w:tc>
          <w:tcPr>
            <w:tcW w:w="2123"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9" w:right="-4"/>
              <w:jc w:val="left"/>
              <w:rPr>
                <w:rFonts w:ascii="宋体" w:hAnsi="宋体" w:cs="宋体" w:eastAsia="宋体" w:hint="default"/>
                <w:sz w:val="21"/>
                <w:szCs w:val="21"/>
              </w:rPr>
            </w:pPr>
            <w:r>
              <w:rPr>
                <w:rFonts w:ascii="宋体" w:hAnsi="宋体" w:cs="宋体" w:eastAsia="宋体" w:hint="default"/>
                <w:sz w:val="21"/>
                <w:szCs w:val="21"/>
              </w:rPr>
              <w:t>中国电信股份有限公司</w:t>
            </w:r>
          </w:p>
        </w:tc>
        <w:tc>
          <w:tcPr>
            <w:tcW w:w="1280"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0"/>
              <w:jc w:val="right"/>
              <w:rPr>
                <w:rFonts w:ascii="宋体" w:hAnsi="宋体" w:cs="宋体" w:eastAsia="宋体" w:hint="default"/>
                <w:sz w:val="21"/>
                <w:szCs w:val="21"/>
              </w:rPr>
            </w:pPr>
            <w:r>
              <w:rPr>
                <w:rFonts w:ascii="宋体"/>
                <w:sz w:val="21"/>
              </w:rPr>
              <w:t>2020-08-06</w:t>
            </w:r>
          </w:p>
        </w:tc>
      </w:tr>
      <w:tr>
        <w:trPr>
          <w:trHeight w:val="662" w:hRule="exact"/>
        </w:trPr>
        <w:tc>
          <w:tcPr>
            <w:tcW w:w="194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宁波银行科技园支行</w:t>
            </w:r>
          </w:p>
        </w:tc>
        <w:tc>
          <w:tcPr>
            <w:tcW w:w="8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201"/>
              <w:jc w:val="right"/>
              <w:rPr>
                <w:rFonts w:ascii="宋体" w:hAnsi="宋体" w:cs="宋体" w:eastAsia="宋体" w:hint="default"/>
                <w:sz w:val="21"/>
                <w:szCs w:val="21"/>
              </w:rPr>
            </w:pPr>
            <w:r>
              <w:rPr>
                <w:rFonts w:ascii="宋体" w:hAnsi="宋体" w:cs="宋体" w:eastAsia="宋体" w:hint="default"/>
                <w:sz w:val="21"/>
                <w:szCs w:val="21"/>
              </w:rPr>
              <w:t>本公司</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sz w:val="21"/>
              </w:rPr>
              <w:t>07300BH2018824</w:t>
            </w:r>
          </w:p>
          <w:p>
            <w:pPr>
              <w:pStyle w:val="TableParagraph"/>
              <w:spacing w:line="240" w:lineRule="auto" w:before="37"/>
              <w:ind w:left="4" w:right="0"/>
              <w:jc w:val="left"/>
              <w:rPr>
                <w:rFonts w:ascii="宋体" w:hAnsi="宋体" w:cs="宋体" w:eastAsia="宋体" w:hint="default"/>
                <w:sz w:val="21"/>
                <w:szCs w:val="21"/>
              </w:rPr>
            </w:pPr>
            <w:r>
              <w:rPr>
                <w:rFonts w:ascii="宋体"/>
                <w:w w:val="100"/>
                <w:sz w:val="21"/>
              </w:rPr>
              <w:t>9</w:t>
            </w:r>
          </w:p>
        </w:tc>
        <w:tc>
          <w:tcPr>
            <w:tcW w:w="126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5"/>
              <w:jc w:val="right"/>
              <w:rPr>
                <w:rFonts w:ascii="宋体" w:hAnsi="宋体" w:cs="宋体" w:eastAsia="宋体" w:hint="default"/>
                <w:sz w:val="21"/>
                <w:szCs w:val="21"/>
              </w:rPr>
            </w:pPr>
            <w:r>
              <w:rPr>
                <w:rFonts w:ascii="宋体"/>
                <w:sz w:val="21"/>
              </w:rPr>
              <w:t>123,000.00</w:t>
            </w:r>
          </w:p>
        </w:tc>
        <w:tc>
          <w:tcPr>
            <w:tcW w:w="212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广州市公安局</w:t>
            </w:r>
          </w:p>
        </w:tc>
        <w:tc>
          <w:tcPr>
            <w:tcW w:w="1280"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0"/>
              <w:jc w:val="right"/>
              <w:rPr>
                <w:rFonts w:ascii="宋体" w:hAnsi="宋体" w:cs="宋体" w:eastAsia="宋体" w:hint="default"/>
                <w:sz w:val="21"/>
                <w:szCs w:val="21"/>
              </w:rPr>
            </w:pPr>
            <w:r>
              <w:rPr>
                <w:rFonts w:ascii="宋体"/>
                <w:sz w:val="21"/>
              </w:rPr>
              <w:t>2020-12-26</w:t>
            </w:r>
          </w:p>
        </w:tc>
      </w:tr>
      <w:tr>
        <w:trPr>
          <w:trHeight w:val="663" w:hRule="exact"/>
        </w:trPr>
        <w:tc>
          <w:tcPr>
            <w:tcW w:w="194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交通银行科技园支行</w:t>
            </w:r>
          </w:p>
        </w:tc>
        <w:tc>
          <w:tcPr>
            <w:tcW w:w="8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201"/>
              <w:jc w:val="right"/>
              <w:rPr>
                <w:rFonts w:ascii="宋体" w:hAnsi="宋体" w:cs="宋体" w:eastAsia="宋体" w:hint="default"/>
                <w:sz w:val="21"/>
                <w:szCs w:val="21"/>
              </w:rPr>
            </w:pPr>
            <w:r>
              <w:rPr>
                <w:rFonts w:ascii="宋体" w:hAnsi="宋体" w:cs="宋体" w:eastAsia="宋体" w:hint="default"/>
                <w:sz w:val="21"/>
                <w:szCs w:val="21"/>
              </w:rPr>
              <w:t>本公司</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sz w:val="21"/>
              </w:rPr>
              <w:t>44320180000164</w:t>
            </w:r>
          </w:p>
          <w:p>
            <w:pPr>
              <w:pStyle w:val="TableParagraph"/>
              <w:spacing w:line="240" w:lineRule="auto" w:before="37"/>
              <w:ind w:left="4" w:right="0"/>
              <w:jc w:val="left"/>
              <w:rPr>
                <w:rFonts w:ascii="宋体" w:hAnsi="宋体" w:cs="宋体" w:eastAsia="宋体" w:hint="default"/>
                <w:sz w:val="21"/>
                <w:szCs w:val="21"/>
              </w:rPr>
            </w:pPr>
            <w:r>
              <w:rPr>
                <w:rFonts w:ascii="宋体"/>
                <w:sz w:val="21"/>
              </w:rPr>
              <w:t>82</w:t>
            </w:r>
          </w:p>
        </w:tc>
        <w:tc>
          <w:tcPr>
            <w:tcW w:w="126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5"/>
              <w:jc w:val="right"/>
              <w:rPr>
                <w:rFonts w:ascii="宋体" w:hAnsi="宋体" w:cs="宋体" w:eastAsia="宋体" w:hint="default"/>
                <w:sz w:val="21"/>
                <w:szCs w:val="21"/>
              </w:rPr>
            </w:pPr>
            <w:r>
              <w:rPr>
                <w:rFonts w:ascii="宋体"/>
                <w:sz w:val="21"/>
              </w:rPr>
              <w:t>320,067.00</w:t>
            </w:r>
          </w:p>
        </w:tc>
        <w:tc>
          <w:tcPr>
            <w:tcW w:w="212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9" w:right="-4"/>
              <w:jc w:val="left"/>
              <w:rPr>
                <w:rFonts w:ascii="宋体" w:hAnsi="宋体" w:cs="宋体" w:eastAsia="宋体" w:hint="default"/>
                <w:sz w:val="21"/>
                <w:szCs w:val="21"/>
              </w:rPr>
            </w:pPr>
            <w:r>
              <w:rPr>
                <w:rFonts w:ascii="宋体" w:hAnsi="宋体" w:cs="宋体" w:eastAsia="宋体" w:hint="default"/>
                <w:sz w:val="21"/>
                <w:szCs w:val="21"/>
              </w:rPr>
              <w:t>深圳市前海信息通信发</w:t>
            </w:r>
          </w:p>
          <w:p>
            <w:pPr>
              <w:pStyle w:val="TableParagraph"/>
              <w:spacing w:line="240" w:lineRule="auto" w:before="37"/>
              <w:ind w:left="9"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1280"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0"/>
              <w:jc w:val="right"/>
              <w:rPr>
                <w:rFonts w:ascii="宋体" w:hAnsi="宋体" w:cs="宋体" w:eastAsia="宋体" w:hint="default"/>
                <w:sz w:val="21"/>
                <w:szCs w:val="21"/>
              </w:rPr>
            </w:pPr>
            <w:r>
              <w:rPr>
                <w:rFonts w:ascii="宋体"/>
                <w:sz w:val="21"/>
              </w:rPr>
              <w:t>2021-10-18</w:t>
            </w:r>
          </w:p>
        </w:tc>
      </w:tr>
      <w:tr>
        <w:trPr>
          <w:trHeight w:val="667" w:hRule="exact"/>
        </w:trPr>
        <w:tc>
          <w:tcPr>
            <w:tcW w:w="1949"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交通银行科技园支行</w:t>
            </w:r>
          </w:p>
        </w:tc>
        <w:tc>
          <w:tcPr>
            <w:tcW w:w="860"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201"/>
              <w:jc w:val="right"/>
              <w:rPr>
                <w:rFonts w:ascii="宋体" w:hAnsi="宋体" w:cs="宋体" w:eastAsia="宋体" w:hint="default"/>
                <w:sz w:val="21"/>
                <w:szCs w:val="21"/>
              </w:rPr>
            </w:pPr>
            <w:r>
              <w:rPr>
                <w:rFonts w:ascii="宋体" w:hAnsi="宋体" w:cs="宋体" w:eastAsia="宋体" w:hint="default"/>
                <w:sz w:val="21"/>
                <w:szCs w:val="21"/>
              </w:rPr>
              <w:t>本公司</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sz w:val="21"/>
              </w:rPr>
              <w:t>44320180000180</w:t>
            </w:r>
          </w:p>
          <w:p>
            <w:pPr>
              <w:pStyle w:val="TableParagraph"/>
              <w:spacing w:line="240" w:lineRule="auto" w:before="37"/>
              <w:ind w:left="4" w:right="0"/>
              <w:jc w:val="left"/>
              <w:rPr>
                <w:rFonts w:ascii="宋体" w:hAnsi="宋体" w:cs="宋体" w:eastAsia="宋体" w:hint="default"/>
                <w:sz w:val="21"/>
                <w:szCs w:val="21"/>
              </w:rPr>
            </w:pPr>
            <w:r>
              <w:rPr>
                <w:rFonts w:ascii="宋体"/>
                <w:sz w:val="21"/>
              </w:rPr>
              <w:t>88</w:t>
            </w:r>
          </w:p>
        </w:tc>
        <w:tc>
          <w:tcPr>
            <w:tcW w:w="1268"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z w:val="21"/>
              </w:rPr>
              <w:t>737,099.30</w:t>
            </w:r>
          </w:p>
        </w:tc>
        <w:tc>
          <w:tcPr>
            <w:tcW w:w="2123"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9" w:right="-4"/>
              <w:jc w:val="left"/>
              <w:rPr>
                <w:rFonts w:ascii="宋体" w:hAnsi="宋体" w:cs="宋体" w:eastAsia="宋体" w:hint="default"/>
                <w:sz w:val="21"/>
                <w:szCs w:val="21"/>
              </w:rPr>
            </w:pPr>
            <w:r>
              <w:rPr>
                <w:rFonts w:ascii="宋体" w:hAnsi="宋体" w:cs="宋体" w:eastAsia="宋体" w:hint="default"/>
                <w:sz w:val="21"/>
                <w:szCs w:val="21"/>
              </w:rPr>
              <w:t>中国电信股份有限公司</w:t>
            </w:r>
          </w:p>
        </w:tc>
        <w:tc>
          <w:tcPr>
            <w:tcW w:w="1280"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0"/>
              <w:jc w:val="right"/>
              <w:rPr>
                <w:rFonts w:ascii="宋体" w:hAnsi="宋体" w:cs="宋体" w:eastAsia="宋体" w:hint="default"/>
                <w:sz w:val="21"/>
                <w:szCs w:val="21"/>
              </w:rPr>
            </w:pPr>
            <w:r>
              <w:rPr>
                <w:rFonts w:ascii="宋体"/>
                <w:sz w:val="21"/>
              </w:rPr>
              <w:t>2020-10-22</w:t>
            </w:r>
          </w:p>
        </w:tc>
      </w:tr>
      <w:tr>
        <w:trPr>
          <w:trHeight w:val="662" w:hRule="exact"/>
        </w:trPr>
        <w:tc>
          <w:tcPr>
            <w:tcW w:w="194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交通银行科技园支行</w:t>
            </w:r>
          </w:p>
        </w:tc>
        <w:tc>
          <w:tcPr>
            <w:tcW w:w="8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201"/>
              <w:jc w:val="right"/>
              <w:rPr>
                <w:rFonts w:ascii="宋体" w:hAnsi="宋体" w:cs="宋体" w:eastAsia="宋体" w:hint="default"/>
                <w:sz w:val="21"/>
                <w:szCs w:val="21"/>
              </w:rPr>
            </w:pPr>
            <w:r>
              <w:rPr>
                <w:rFonts w:ascii="宋体" w:hAnsi="宋体" w:cs="宋体" w:eastAsia="宋体" w:hint="default"/>
                <w:sz w:val="21"/>
                <w:szCs w:val="21"/>
              </w:rPr>
              <w:t>本公司</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sz w:val="21"/>
              </w:rPr>
              <w:t>44320180000182</w:t>
            </w:r>
          </w:p>
          <w:p>
            <w:pPr>
              <w:pStyle w:val="TableParagraph"/>
              <w:spacing w:line="240" w:lineRule="auto" w:before="37"/>
              <w:ind w:left="4" w:right="0"/>
              <w:jc w:val="left"/>
              <w:rPr>
                <w:rFonts w:ascii="宋体" w:hAnsi="宋体" w:cs="宋体" w:eastAsia="宋体" w:hint="default"/>
                <w:sz w:val="21"/>
                <w:szCs w:val="21"/>
              </w:rPr>
            </w:pPr>
            <w:r>
              <w:rPr>
                <w:rFonts w:ascii="宋体"/>
                <w:sz w:val="21"/>
              </w:rPr>
              <w:t>45</w:t>
            </w:r>
          </w:p>
        </w:tc>
        <w:tc>
          <w:tcPr>
            <w:tcW w:w="126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5"/>
              <w:jc w:val="right"/>
              <w:rPr>
                <w:rFonts w:ascii="宋体" w:hAnsi="宋体" w:cs="宋体" w:eastAsia="宋体" w:hint="default"/>
                <w:sz w:val="21"/>
                <w:szCs w:val="21"/>
              </w:rPr>
            </w:pPr>
            <w:r>
              <w:rPr>
                <w:rFonts w:ascii="宋体"/>
                <w:sz w:val="21"/>
              </w:rPr>
              <w:t>373,660.00</w:t>
            </w:r>
          </w:p>
        </w:tc>
        <w:tc>
          <w:tcPr>
            <w:tcW w:w="212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9" w:right="-4"/>
              <w:jc w:val="left"/>
              <w:rPr>
                <w:rFonts w:ascii="宋体" w:hAnsi="宋体" w:cs="宋体" w:eastAsia="宋体" w:hint="default"/>
                <w:sz w:val="21"/>
                <w:szCs w:val="21"/>
              </w:rPr>
            </w:pPr>
            <w:r>
              <w:rPr>
                <w:rFonts w:ascii="宋体" w:hAnsi="宋体" w:cs="宋体" w:eastAsia="宋体" w:hint="default"/>
                <w:sz w:val="21"/>
                <w:szCs w:val="21"/>
              </w:rPr>
              <w:t>中国电信股份有限公司</w:t>
            </w:r>
          </w:p>
        </w:tc>
        <w:tc>
          <w:tcPr>
            <w:tcW w:w="1280"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0"/>
              <w:jc w:val="right"/>
              <w:rPr>
                <w:rFonts w:ascii="宋体" w:hAnsi="宋体" w:cs="宋体" w:eastAsia="宋体" w:hint="default"/>
                <w:sz w:val="21"/>
                <w:szCs w:val="21"/>
              </w:rPr>
            </w:pPr>
            <w:r>
              <w:rPr>
                <w:rFonts w:ascii="宋体"/>
                <w:sz w:val="21"/>
              </w:rPr>
              <w:t>2020-10-22</w:t>
            </w:r>
          </w:p>
        </w:tc>
      </w:tr>
      <w:tr>
        <w:trPr>
          <w:trHeight w:val="663" w:hRule="exact"/>
        </w:trPr>
        <w:tc>
          <w:tcPr>
            <w:tcW w:w="194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建设银行建设路支行</w:t>
            </w:r>
          </w:p>
        </w:tc>
        <w:tc>
          <w:tcPr>
            <w:tcW w:w="8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201"/>
              <w:jc w:val="right"/>
              <w:rPr>
                <w:rFonts w:ascii="宋体" w:hAnsi="宋体" w:cs="宋体" w:eastAsia="宋体" w:hint="default"/>
                <w:sz w:val="21"/>
                <w:szCs w:val="21"/>
              </w:rPr>
            </w:pPr>
            <w:r>
              <w:rPr>
                <w:rFonts w:ascii="宋体" w:hAnsi="宋体" w:cs="宋体" w:eastAsia="宋体" w:hint="default"/>
                <w:sz w:val="21"/>
                <w:szCs w:val="21"/>
              </w:rPr>
              <w:t>本公司</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sz w:val="21"/>
              </w:rPr>
              <w:t>19442008028054</w:t>
            </w:r>
          </w:p>
          <w:p>
            <w:pPr>
              <w:pStyle w:val="TableParagraph"/>
              <w:spacing w:line="240" w:lineRule="auto" w:before="37"/>
              <w:ind w:left="4" w:right="0"/>
              <w:jc w:val="left"/>
              <w:rPr>
                <w:rFonts w:ascii="宋体" w:hAnsi="宋体" w:cs="宋体" w:eastAsia="宋体" w:hint="default"/>
                <w:sz w:val="21"/>
                <w:szCs w:val="21"/>
              </w:rPr>
            </w:pPr>
            <w:r>
              <w:rPr>
                <w:rFonts w:ascii="宋体"/>
                <w:w w:val="100"/>
                <w:sz w:val="21"/>
              </w:rPr>
              <w:t>7</w:t>
            </w:r>
          </w:p>
        </w:tc>
        <w:tc>
          <w:tcPr>
            <w:tcW w:w="126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5"/>
              <w:jc w:val="right"/>
              <w:rPr>
                <w:rFonts w:ascii="宋体" w:hAnsi="宋体" w:cs="宋体" w:eastAsia="宋体" w:hint="default"/>
                <w:sz w:val="21"/>
                <w:szCs w:val="21"/>
              </w:rPr>
            </w:pPr>
            <w:r>
              <w:rPr>
                <w:rFonts w:ascii="宋体"/>
                <w:sz w:val="21"/>
              </w:rPr>
              <w:t>100,975.60</w:t>
            </w:r>
          </w:p>
        </w:tc>
        <w:tc>
          <w:tcPr>
            <w:tcW w:w="212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9" w:right="-4"/>
              <w:jc w:val="left"/>
              <w:rPr>
                <w:rFonts w:ascii="宋体" w:hAnsi="宋体" w:cs="宋体" w:eastAsia="宋体" w:hint="default"/>
                <w:sz w:val="21"/>
                <w:szCs w:val="21"/>
              </w:rPr>
            </w:pPr>
            <w:r>
              <w:rPr>
                <w:rFonts w:ascii="宋体" w:hAnsi="宋体" w:cs="宋体" w:eastAsia="宋体" w:hint="default"/>
                <w:sz w:val="21"/>
                <w:szCs w:val="21"/>
              </w:rPr>
              <w:t>中国电信股份有限公司</w:t>
            </w:r>
          </w:p>
        </w:tc>
        <w:tc>
          <w:tcPr>
            <w:tcW w:w="1280"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0"/>
              <w:jc w:val="right"/>
              <w:rPr>
                <w:rFonts w:ascii="宋体" w:hAnsi="宋体" w:cs="宋体" w:eastAsia="宋体" w:hint="default"/>
                <w:sz w:val="21"/>
                <w:szCs w:val="21"/>
              </w:rPr>
            </w:pPr>
            <w:r>
              <w:rPr>
                <w:rFonts w:ascii="宋体"/>
                <w:sz w:val="21"/>
              </w:rPr>
              <w:t>2020-11-01</w:t>
            </w:r>
          </w:p>
        </w:tc>
      </w:tr>
      <w:tr>
        <w:trPr>
          <w:trHeight w:val="667" w:hRule="exact"/>
        </w:trPr>
        <w:tc>
          <w:tcPr>
            <w:tcW w:w="1949"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建设银行建设路支行</w:t>
            </w:r>
          </w:p>
        </w:tc>
        <w:tc>
          <w:tcPr>
            <w:tcW w:w="860"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201"/>
              <w:jc w:val="right"/>
              <w:rPr>
                <w:rFonts w:ascii="宋体" w:hAnsi="宋体" w:cs="宋体" w:eastAsia="宋体" w:hint="default"/>
                <w:sz w:val="21"/>
                <w:szCs w:val="21"/>
              </w:rPr>
            </w:pPr>
            <w:r>
              <w:rPr>
                <w:rFonts w:ascii="宋体" w:hAnsi="宋体" w:cs="宋体" w:eastAsia="宋体" w:hint="default"/>
                <w:sz w:val="21"/>
                <w:szCs w:val="21"/>
              </w:rPr>
              <w:t>本公司</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sz w:val="21"/>
              </w:rPr>
              <w:t>19442008028062</w:t>
            </w:r>
          </w:p>
          <w:p>
            <w:pPr>
              <w:pStyle w:val="TableParagraph"/>
              <w:spacing w:line="240" w:lineRule="auto" w:before="32"/>
              <w:ind w:left="4" w:right="0"/>
              <w:jc w:val="left"/>
              <w:rPr>
                <w:rFonts w:ascii="宋体" w:hAnsi="宋体" w:cs="宋体" w:eastAsia="宋体" w:hint="default"/>
                <w:sz w:val="21"/>
                <w:szCs w:val="21"/>
              </w:rPr>
            </w:pPr>
            <w:r>
              <w:rPr>
                <w:rFonts w:ascii="宋体"/>
                <w:w w:val="100"/>
                <w:sz w:val="21"/>
              </w:rPr>
              <w:t>0</w:t>
            </w:r>
          </w:p>
        </w:tc>
        <w:tc>
          <w:tcPr>
            <w:tcW w:w="1268"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z w:val="21"/>
              </w:rPr>
              <w:t>147,695.10</w:t>
            </w:r>
          </w:p>
        </w:tc>
        <w:tc>
          <w:tcPr>
            <w:tcW w:w="2123" w:type="dxa"/>
            <w:tcBorders>
              <w:top w:val="single" w:sz="12" w:space="0" w:color="000000"/>
              <w:left w:val="single" w:sz="6" w:space="0" w:color="000000"/>
              <w:bottom w:val="single" w:sz="12" w:space="0" w:color="000000"/>
              <w:right w:val="single" w:sz="6" w:space="0" w:color="000000"/>
            </w:tcBorders>
          </w:tcPr>
          <w:p>
            <w:pPr>
              <w:pStyle w:val="TableParagraph"/>
              <w:spacing w:line="268" w:lineRule="auto"/>
              <w:ind w:left="9" w:right="-4"/>
              <w:jc w:val="left"/>
              <w:rPr>
                <w:rFonts w:ascii="宋体" w:hAnsi="宋体" w:cs="宋体" w:eastAsia="宋体" w:hint="default"/>
                <w:sz w:val="21"/>
                <w:szCs w:val="21"/>
              </w:rPr>
            </w:pPr>
            <w:r>
              <w:rPr>
                <w:rFonts w:ascii="宋体" w:hAnsi="宋体" w:cs="宋体" w:eastAsia="宋体" w:hint="default"/>
                <w:sz w:val="21"/>
                <w:szCs w:val="21"/>
              </w:rPr>
              <w:t>中国电信股份有限公司</w:t>
            </w:r>
            <w:r>
              <w:rPr>
                <w:rFonts w:ascii="宋体" w:hAnsi="宋体" w:cs="宋体" w:eastAsia="宋体" w:hint="default"/>
                <w:w w:val="100"/>
                <w:sz w:val="21"/>
                <w:szCs w:val="21"/>
              </w:rPr>
              <w:t> </w:t>
            </w:r>
            <w:r>
              <w:rPr>
                <w:rFonts w:ascii="宋体" w:hAnsi="宋体" w:cs="宋体" w:eastAsia="宋体" w:hint="default"/>
                <w:sz w:val="21"/>
                <w:szCs w:val="21"/>
              </w:rPr>
              <w:t>元计算分公司</w:t>
            </w:r>
          </w:p>
        </w:tc>
        <w:tc>
          <w:tcPr>
            <w:tcW w:w="1280"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0"/>
              <w:jc w:val="right"/>
              <w:rPr>
                <w:rFonts w:ascii="宋体" w:hAnsi="宋体" w:cs="宋体" w:eastAsia="宋体" w:hint="default"/>
                <w:sz w:val="21"/>
                <w:szCs w:val="21"/>
              </w:rPr>
            </w:pPr>
            <w:r>
              <w:rPr>
                <w:rFonts w:ascii="宋体"/>
                <w:sz w:val="21"/>
              </w:rPr>
              <w:t>2020-12-09</w:t>
            </w:r>
          </w:p>
        </w:tc>
      </w:tr>
      <w:tr>
        <w:trPr>
          <w:trHeight w:val="662" w:hRule="exact"/>
        </w:trPr>
        <w:tc>
          <w:tcPr>
            <w:tcW w:w="194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建设银行建设路支行</w:t>
            </w:r>
          </w:p>
        </w:tc>
        <w:tc>
          <w:tcPr>
            <w:tcW w:w="8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201"/>
              <w:jc w:val="right"/>
              <w:rPr>
                <w:rFonts w:ascii="宋体" w:hAnsi="宋体" w:cs="宋体" w:eastAsia="宋体" w:hint="default"/>
                <w:sz w:val="21"/>
                <w:szCs w:val="21"/>
              </w:rPr>
            </w:pPr>
            <w:r>
              <w:rPr>
                <w:rFonts w:ascii="宋体" w:hAnsi="宋体" w:cs="宋体" w:eastAsia="宋体" w:hint="default"/>
                <w:sz w:val="21"/>
                <w:szCs w:val="21"/>
              </w:rPr>
              <w:t>本公司</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sz w:val="21"/>
              </w:rPr>
              <w:t>19442008028062</w:t>
            </w:r>
          </w:p>
          <w:p>
            <w:pPr>
              <w:pStyle w:val="TableParagraph"/>
              <w:spacing w:line="240" w:lineRule="auto" w:before="37"/>
              <w:ind w:left="4" w:right="0"/>
              <w:jc w:val="left"/>
              <w:rPr>
                <w:rFonts w:ascii="宋体" w:hAnsi="宋体" w:cs="宋体" w:eastAsia="宋体" w:hint="default"/>
                <w:sz w:val="21"/>
                <w:szCs w:val="21"/>
              </w:rPr>
            </w:pPr>
            <w:r>
              <w:rPr>
                <w:rFonts w:ascii="宋体"/>
                <w:w w:val="100"/>
                <w:sz w:val="21"/>
              </w:rPr>
              <w:t>2</w:t>
            </w:r>
          </w:p>
        </w:tc>
        <w:tc>
          <w:tcPr>
            <w:tcW w:w="126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5"/>
              <w:jc w:val="right"/>
              <w:rPr>
                <w:rFonts w:ascii="宋体" w:hAnsi="宋体" w:cs="宋体" w:eastAsia="宋体" w:hint="default"/>
                <w:sz w:val="21"/>
                <w:szCs w:val="21"/>
              </w:rPr>
            </w:pPr>
            <w:r>
              <w:rPr>
                <w:rFonts w:ascii="宋体"/>
                <w:sz w:val="21"/>
              </w:rPr>
              <w:t>56,763.00</w:t>
            </w:r>
          </w:p>
        </w:tc>
        <w:tc>
          <w:tcPr>
            <w:tcW w:w="212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9" w:right="-4"/>
              <w:jc w:val="left"/>
              <w:rPr>
                <w:rFonts w:ascii="宋体" w:hAnsi="宋体" w:cs="宋体" w:eastAsia="宋体" w:hint="default"/>
                <w:sz w:val="21"/>
                <w:szCs w:val="21"/>
              </w:rPr>
            </w:pPr>
            <w:r>
              <w:rPr>
                <w:rFonts w:ascii="宋体" w:hAnsi="宋体" w:cs="宋体" w:eastAsia="宋体" w:hint="default"/>
                <w:sz w:val="21"/>
                <w:szCs w:val="21"/>
              </w:rPr>
              <w:t>中国电信股份有限公司</w:t>
            </w:r>
          </w:p>
          <w:p>
            <w:pPr>
              <w:pStyle w:val="TableParagraph"/>
              <w:spacing w:line="240" w:lineRule="auto" w:before="37"/>
              <w:ind w:left="9" w:right="0"/>
              <w:jc w:val="left"/>
              <w:rPr>
                <w:rFonts w:ascii="宋体" w:hAnsi="宋体" w:cs="宋体" w:eastAsia="宋体" w:hint="default"/>
                <w:sz w:val="21"/>
                <w:szCs w:val="21"/>
              </w:rPr>
            </w:pPr>
            <w:r>
              <w:rPr>
                <w:rFonts w:ascii="宋体" w:hAnsi="宋体" w:cs="宋体" w:eastAsia="宋体" w:hint="default"/>
                <w:sz w:val="21"/>
                <w:szCs w:val="21"/>
              </w:rPr>
              <w:t>元计算分公司</w:t>
            </w:r>
          </w:p>
        </w:tc>
        <w:tc>
          <w:tcPr>
            <w:tcW w:w="1280"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0"/>
              <w:jc w:val="right"/>
              <w:rPr>
                <w:rFonts w:ascii="宋体" w:hAnsi="宋体" w:cs="宋体" w:eastAsia="宋体" w:hint="default"/>
                <w:sz w:val="21"/>
                <w:szCs w:val="21"/>
              </w:rPr>
            </w:pPr>
            <w:r>
              <w:rPr>
                <w:rFonts w:ascii="宋体"/>
                <w:sz w:val="21"/>
              </w:rPr>
              <w:t>2020-12-09</w:t>
            </w:r>
          </w:p>
        </w:tc>
      </w:tr>
      <w:tr>
        <w:trPr>
          <w:trHeight w:val="663" w:hRule="exact"/>
        </w:trPr>
        <w:tc>
          <w:tcPr>
            <w:tcW w:w="1949" w:type="dxa"/>
            <w:tcBorders>
              <w:top w:val="single" w:sz="12" w:space="0" w:color="000000"/>
              <w:left w:val="single" w:sz="6" w:space="0" w:color="000000"/>
              <w:bottom w:val="single" w:sz="12" w:space="0" w:color="000000"/>
              <w:right w:val="single" w:sz="6" w:space="0" w:color="000000"/>
            </w:tcBorders>
          </w:tcPr>
          <w:p>
            <w:pPr>
              <w:pStyle w:val="TableParagraph"/>
              <w:spacing w:line="261" w:lineRule="exact"/>
              <w:ind w:left="4" w:right="0"/>
              <w:jc w:val="left"/>
              <w:rPr>
                <w:rFonts w:ascii="宋体" w:hAnsi="宋体" w:cs="宋体" w:eastAsia="宋体" w:hint="default"/>
                <w:sz w:val="21"/>
                <w:szCs w:val="21"/>
              </w:rPr>
            </w:pPr>
            <w:r>
              <w:rPr>
                <w:rFonts w:ascii="宋体" w:hAnsi="宋体" w:cs="宋体" w:eastAsia="宋体" w:hint="default"/>
                <w:sz w:val="21"/>
                <w:szCs w:val="21"/>
              </w:rPr>
              <w:t>长沙银行广州分行</w:t>
            </w:r>
          </w:p>
        </w:tc>
        <w:tc>
          <w:tcPr>
            <w:tcW w:w="860" w:type="dxa"/>
            <w:tcBorders>
              <w:top w:val="single" w:sz="12" w:space="0" w:color="000000"/>
              <w:left w:val="single" w:sz="6" w:space="0" w:color="000000"/>
              <w:bottom w:val="single" w:sz="12" w:space="0" w:color="000000"/>
              <w:right w:val="single" w:sz="6" w:space="0" w:color="000000"/>
            </w:tcBorders>
          </w:tcPr>
          <w:p>
            <w:pPr>
              <w:pStyle w:val="TableParagraph"/>
              <w:spacing w:line="261" w:lineRule="exact"/>
              <w:ind w:right="201"/>
              <w:jc w:val="right"/>
              <w:rPr>
                <w:rFonts w:ascii="宋体" w:hAnsi="宋体" w:cs="宋体" w:eastAsia="宋体" w:hint="default"/>
                <w:sz w:val="21"/>
                <w:szCs w:val="21"/>
              </w:rPr>
            </w:pPr>
            <w:r>
              <w:rPr>
                <w:rFonts w:ascii="宋体" w:hAnsi="宋体" w:cs="宋体" w:eastAsia="宋体" w:hint="default"/>
                <w:sz w:val="21"/>
                <w:szCs w:val="21"/>
              </w:rPr>
              <w:t>本公司</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61" w:lineRule="exact"/>
              <w:ind w:left="4" w:right="-5"/>
              <w:jc w:val="left"/>
              <w:rPr>
                <w:rFonts w:ascii="宋体" w:hAnsi="宋体" w:cs="宋体" w:eastAsia="宋体" w:hint="default"/>
                <w:sz w:val="21"/>
                <w:szCs w:val="21"/>
              </w:rPr>
            </w:pPr>
            <w:r>
              <w:rPr>
                <w:rFonts w:ascii="宋体" w:hAnsi="宋体" w:cs="宋体" w:eastAsia="宋体" w:hint="default"/>
                <w:sz w:val="21"/>
                <w:szCs w:val="21"/>
              </w:rPr>
              <w:t>长银（广）保函</w:t>
            </w:r>
          </w:p>
          <w:p>
            <w:pPr>
              <w:pStyle w:val="TableParagraph"/>
              <w:spacing w:line="240" w:lineRule="auto" w:before="37"/>
              <w:ind w:left="4" w:right="-5"/>
              <w:jc w:val="left"/>
              <w:rPr>
                <w:rFonts w:ascii="宋体" w:hAnsi="宋体" w:cs="宋体" w:eastAsia="宋体" w:hint="default"/>
                <w:sz w:val="21"/>
                <w:szCs w:val="21"/>
              </w:rPr>
            </w:pPr>
            <w:r>
              <w:rPr>
                <w:rFonts w:ascii="宋体" w:hAnsi="宋体" w:cs="宋体" w:eastAsia="宋体" w:hint="default"/>
                <w:spacing w:val="-4"/>
                <w:sz w:val="21"/>
                <w:szCs w:val="21"/>
              </w:rPr>
              <w:t>字（</w:t>
            </w:r>
            <w:r>
              <w:rPr>
                <w:rFonts w:ascii="宋体" w:hAnsi="宋体" w:cs="宋体" w:eastAsia="宋体" w:hint="default"/>
                <w:spacing w:val="-4"/>
                <w:sz w:val="21"/>
                <w:szCs w:val="21"/>
              </w:rPr>
              <w:t>2019</w:t>
            </w:r>
            <w:r>
              <w:rPr>
                <w:rFonts w:ascii="宋体" w:hAnsi="宋体" w:cs="宋体" w:eastAsia="宋体" w:hint="default"/>
                <w:spacing w:val="-4"/>
                <w:sz w:val="21"/>
                <w:szCs w:val="21"/>
              </w:rPr>
              <w:t>）</w:t>
            </w:r>
            <w:r>
              <w:rPr>
                <w:rFonts w:ascii="宋体" w:hAnsi="宋体" w:cs="宋体" w:eastAsia="宋体" w:hint="default"/>
                <w:spacing w:val="-4"/>
                <w:sz w:val="21"/>
                <w:szCs w:val="21"/>
              </w:rPr>
              <w:t>004</w:t>
            </w:r>
            <w:r>
              <w:rPr>
                <w:rFonts w:ascii="宋体" w:hAnsi="宋体" w:cs="宋体" w:eastAsia="宋体" w:hint="default"/>
                <w:spacing w:val="-4"/>
                <w:sz w:val="21"/>
                <w:szCs w:val="21"/>
              </w:rPr>
              <w:t>号</w:t>
            </w:r>
          </w:p>
        </w:tc>
        <w:tc>
          <w:tcPr>
            <w:tcW w:w="1268" w:type="dxa"/>
            <w:tcBorders>
              <w:top w:val="single" w:sz="12" w:space="0" w:color="000000"/>
              <w:left w:val="single" w:sz="6" w:space="0" w:color="000000"/>
              <w:bottom w:val="single" w:sz="12"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sz w:val="21"/>
              </w:rPr>
              <w:t>335,000.00</w:t>
            </w:r>
          </w:p>
        </w:tc>
        <w:tc>
          <w:tcPr>
            <w:tcW w:w="2123" w:type="dxa"/>
            <w:tcBorders>
              <w:top w:val="single" w:sz="12" w:space="0" w:color="000000"/>
              <w:left w:val="single" w:sz="6" w:space="0" w:color="000000"/>
              <w:bottom w:val="single" w:sz="12" w:space="0" w:color="000000"/>
              <w:right w:val="single" w:sz="6" w:space="0" w:color="000000"/>
            </w:tcBorders>
          </w:tcPr>
          <w:p>
            <w:pPr>
              <w:pStyle w:val="TableParagraph"/>
              <w:spacing w:line="261" w:lineRule="exact"/>
              <w:ind w:left="9" w:right="0"/>
              <w:jc w:val="left"/>
              <w:rPr>
                <w:rFonts w:ascii="宋体" w:hAnsi="宋体" w:cs="宋体" w:eastAsia="宋体" w:hint="default"/>
                <w:sz w:val="21"/>
                <w:szCs w:val="21"/>
              </w:rPr>
            </w:pPr>
            <w:r>
              <w:rPr>
                <w:rFonts w:ascii="宋体" w:hAnsi="宋体" w:cs="宋体" w:eastAsia="宋体" w:hint="default"/>
                <w:sz w:val="21"/>
                <w:szCs w:val="21"/>
              </w:rPr>
              <w:t>广东市公安局</w:t>
            </w:r>
          </w:p>
        </w:tc>
        <w:tc>
          <w:tcPr>
            <w:tcW w:w="1280" w:type="dxa"/>
            <w:tcBorders>
              <w:top w:val="single" w:sz="12" w:space="0" w:color="000000"/>
              <w:left w:val="single" w:sz="6" w:space="0" w:color="000000"/>
              <w:bottom w:val="single" w:sz="12" w:space="0" w:color="000000"/>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z w:val="21"/>
              </w:rPr>
              <w:t>2020-05-31</w:t>
            </w:r>
          </w:p>
        </w:tc>
      </w:tr>
      <w:tr>
        <w:trPr>
          <w:trHeight w:val="355" w:hRule="exact"/>
        </w:trPr>
        <w:tc>
          <w:tcPr>
            <w:tcW w:w="194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建设银行建设路支行</w:t>
            </w:r>
          </w:p>
        </w:tc>
        <w:tc>
          <w:tcPr>
            <w:tcW w:w="8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201"/>
              <w:jc w:val="right"/>
              <w:rPr>
                <w:rFonts w:ascii="宋体" w:hAnsi="宋体" w:cs="宋体" w:eastAsia="宋体" w:hint="default"/>
                <w:sz w:val="21"/>
                <w:szCs w:val="21"/>
              </w:rPr>
            </w:pPr>
            <w:r>
              <w:rPr>
                <w:rFonts w:ascii="宋体" w:hAnsi="宋体" w:cs="宋体" w:eastAsia="宋体" w:hint="default"/>
                <w:sz w:val="21"/>
                <w:szCs w:val="21"/>
              </w:rPr>
              <w:t>本公司</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61"/>
              <w:jc w:val="center"/>
              <w:rPr>
                <w:rFonts w:ascii="宋体" w:hAnsi="宋体" w:cs="宋体" w:eastAsia="宋体" w:hint="default"/>
                <w:sz w:val="21"/>
                <w:szCs w:val="21"/>
              </w:rPr>
            </w:pPr>
            <w:r>
              <w:rPr>
                <w:rFonts w:ascii="宋体"/>
                <w:sz w:val="21"/>
              </w:rPr>
              <w:t>19442008028107</w:t>
            </w:r>
          </w:p>
        </w:tc>
        <w:tc>
          <w:tcPr>
            <w:tcW w:w="126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5"/>
              <w:jc w:val="right"/>
              <w:rPr>
                <w:rFonts w:ascii="宋体" w:hAnsi="宋体" w:cs="宋体" w:eastAsia="宋体" w:hint="default"/>
                <w:sz w:val="21"/>
                <w:szCs w:val="21"/>
              </w:rPr>
            </w:pPr>
            <w:r>
              <w:rPr>
                <w:rFonts w:ascii="宋体"/>
                <w:sz w:val="21"/>
              </w:rPr>
              <w:t>477,510.55</w:t>
            </w:r>
          </w:p>
        </w:tc>
        <w:tc>
          <w:tcPr>
            <w:tcW w:w="212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9" w:right="-4"/>
              <w:jc w:val="left"/>
              <w:rPr>
                <w:rFonts w:ascii="宋体" w:hAnsi="宋体" w:cs="宋体" w:eastAsia="宋体" w:hint="default"/>
                <w:sz w:val="21"/>
                <w:szCs w:val="21"/>
              </w:rPr>
            </w:pPr>
            <w:r>
              <w:rPr>
                <w:rFonts w:ascii="宋体" w:hAnsi="宋体" w:cs="宋体" w:eastAsia="宋体" w:hint="default"/>
                <w:sz w:val="21"/>
                <w:szCs w:val="21"/>
              </w:rPr>
              <w:t>中国电信股份有限公司</w:t>
            </w:r>
          </w:p>
        </w:tc>
        <w:tc>
          <w:tcPr>
            <w:tcW w:w="1280"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0"/>
              <w:jc w:val="right"/>
              <w:rPr>
                <w:rFonts w:ascii="宋体" w:hAnsi="宋体" w:cs="宋体" w:eastAsia="宋体" w:hint="default"/>
                <w:sz w:val="21"/>
                <w:szCs w:val="21"/>
              </w:rPr>
            </w:pPr>
            <w:r>
              <w:rPr>
                <w:rFonts w:ascii="宋体"/>
                <w:sz w:val="21"/>
              </w:rPr>
              <w:t>2021-03-03</w:t>
            </w:r>
          </w:p>
        </w:tc>
      </w:tr>
    </w:tbl>
    <w:p>
      <w:pPr>
        <w:spacing w:after="0" w:line="260" w:lineRule="exact"/>
        <w:jc w:val="right"/>
        <w:rPr>
          <w:rFonts w:ascii="宋体" w:hAnsi="宋体" w:cs="宋体" w:eastAsia="宋体" w:hint="default"/>
          <w:sz w:val="21"/>
          <w:szCs w:val="21"/>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1949"/>
        <w:gridCol w:w="860"/>
        <w:gridCol w:w="1561"/>
        <w:gridCol w:w="1268"/>
        <w:gridCol w:w="2123"/>
        <w:gridCol w:w="1280"/>
      </w:tblGrid>
      <w:tr>
        <w:trPr>
          <w:trHeight w:val="353" w:hRule="exact"/>
        </w:trPr>
        <w:tc>
          <w:tcPr>
            <w:tcW w:w="1949" w:type="dxa"/>
            <w:tcBorders>
              <w:top w:val="single" w:sz="6" w:space="0" w:color="000000"/>
              <w:left w:val="single" w:sz="6" w:space="0" w:color="000000"/>
              <w:bottom w:val="single" w:sz="12" w:space="0" w:color="000000"/>
              <w:right w:val="single" w:sz="6" w:space="0" w:color="000000"/>
            </w:tcBorders>
          </w:tcPr>
          <w:p>
            <w:pPr/>
          </w:p>
        </w:tc>
        <w:tc>
          <w:tcPr>
            <w:tcW w:w="860" w:type="dxa"/>
            <w:tcBorders>
              <w:top w:val="single" w:sz="6" w:space="0" w:color="000000"/>
              <w:left w:val="single" w:sz="6" w:space="0" w:color="000000"/>
              <w:bottom w:val="single" w:sz="12" w:space="0" w:color="000000"/>
              <w:right w:val="single" w:sz="6" w:space="0" w:color="000000"/>
            </w:tcBorders>
          </w:tcPr>
          <w:p>
            <w:pPr/>
          </w:p>
        </w:tc>
        <w:tc>
          <w:tcPr>
            <w:tcW w:w="1561"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w w:val="100"/>
                <w:sz w:val="21"/>
              </w:rPr>
              <w:t>8</w:t>
            </w:r>
          </w:p>
        </w:tc>
        <w:tc>
          <w:tcPr>
            <w:tcW w:w="1268" w:type="dxa"/>
            <w:tcBorders>
              <w:top w:val="single" w:sz="6" w:space="0" w:color="000000"/>
              <w:left w:val="single" w:sz="6" w:space="0" w:color="000000"/>
              <w:bottom w:val="single" w:sz="12" w:space="0" w:color="000000"/>
              <w:right w:val="single" w:sz="6" w:space="0" w:color="000000"/>
            </w:tcBorders>
          </w:tcPr>
          <w:p>
            <w:pPr/>
          </w:p>
        </w:tc>
        <w:tc>
          <w:tcPr>
            <w:tcW w:w="2123" w:type="dxa"/>
            <w:tcBorders>
              <w:top w:val="single" w:sz="6" w:space="0" w:color="000000"/>
              <w:left w:val="single" w:sz="6" w:space="0" w:color="000000"/>
              <w:bottom w:val="single" w:sz="12" w:space="0" w:color="000000"/>
              <w:right w:val="single" w:sz="6" w:space="0" w:color="000000"/>
            </w:tcBorders>
          </w:tcPr>
          <w:p>
            <w:pPr/>
          </w:p>
        </w:tc>
        <w:tc>
          <w:tcPr>
            <w:tcW w:w="1280" w:type="dxa"/>
            <w:tcBorders>
              <w:top w:val="single" w:sz="6" w:space="0" w:color="000000"/>
              <w:left w:val="single" w:sz="6" w:space="0" w:color="000000"/>
              <w:bottom w:val="single" w:sz="12" w:space="0" w:color="000000"/>
              <w:right w:val="nil" w:sz="6" w:space="0" w:color="auto"/>
            </w:tcBorders>
          </w:tcPr>
          <w:p>
            <w:pPr/>
          </w:p>
        </w:tc>
      </w:tr>
      <w:tr>
        <w:trPr>
          <w:trHeight w:val="667" w:hRule="exact"/>
        </w:trPr>
        <w:tc>
          <w:tcPr>
            <w:tcW w:w="1949"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建设银行建设路支行</w:t>
            </w:r>
          </w:p>
        </w:tc>
        <w:tc>
          <w:tcPr>
            <w:tcW w:w="860"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sz w:val="21"/>
              </w:rPr>
              <w:t>19442008028119</w:t>
            </w:r>
          </w:p>
          <w:p>
            <w:pPr>
              <w:pStyle w:val="TableParagraph"/>
              <w:spacing w:line="240" w:lineRule="auto" w:before="37"/>
              <w:ind w:left="4" w:right="0"/>
              <w:jc w:val="left"/>
              <w:rPr>
                <w:rFonts w:ascii="宋体" w:hAnsi="宋体" w:cs="宋体" w:eastAsia="宋体" w:hint="default"/>
                <w:sz w:val="21"/>
                <w:szCs w:val="21"/>
              </w:rPr>
            </w:pPr>
            <w:r>
              <w:rPr>
                <w:rFonts w:ascii="宋体"/>
                <w:w w:val="100"/>
                <w:sz w:val="21"/>
              </w:rPr>
              <w:t>6</w:t>
            </w:r>
          </w:p>
        </w:tc>
        <w:tc>
          <w:tcPr>
            <w:tcW w:w="1268"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z w:val="21"/>
              </w:rPr>
              <w:t>89,400.00</w:t>
            </w:r>
          </w:p>
        </w:tc>
        <w:tc>
          <w:tcPr>
            <w:tcW w:w="2123"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9" w:right="-4"/>
              <w:jc w:val="left"/>
              <w:rPr>
                <w:rFonts w:ascii="宋体" w:hAnsi="宋体" w:cs="宋体" w:eastAsia="宋体" w:hint="default"/>
                <w:sz w:val="21"/>
                <w:szCs w:val="21"/>
              </w:rPr>
            </w:pPr>
            <w:r>
              <w:rPr>
                <w:rFonts w:ascii="宋体" w:hAnsi="宋体" w:cs="宋体" w:eastAsia="宋体" w:hint="default"/>
                <w:sz w:val="21"/>
                <w:szCs w:val="21"/>
              </w:rPr>
              <w:t>深圳市公安局交通警察</w:t>
            </w:r>
            <w:r>
              <w:rPr>
                <w:rFonts w:ascii="宋体" w:hAnsi="宋体" w:cs="宋体" w:eastAsia="宋体" w:hint="default"/>
                <w:w w:val="100"/>
                <w:sz w:val="21"/>
                <w:szCs w:val="21"/>
              </w:rPr>
              <w:t> </w:t>
            </w:r>
            <w:r>
              <w:rPr>
                <w:rFonts w:ascii="宋体" w:hAnsi="宋体" w:cs="宋体" w:eastAsia="宋体" w:hint="default"/>
                <w:sz w:val="21"/>
                <w:szCs w:val="21"/>
              </w:rPr>
              <w:t>局</w:t>
            </w:r>
          </w:p>
        </w:tc>
        <w:tc>
          <w:tcPr>
            <w:tcW w:w="1280"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0"/>
              <w:jc w:val="right"/>
              <w:rPr>
                <w:rFonts w:ascii="宋体" w:hAnsi="宋体" w:cs="宋体" w:eastAsia="宋体" w:hint="default"/>
                <w:sz w:val="21"/>
                <w:szCs w:val="21"/>
              </w:rPr>
            </w:pPr>
            <w:r>
              <w:rPr>
                <w:rFonts w:ascii="宋体"/>
                <w:sz w:val="21"/>
              </w:rPr>
              <w:t>2020-01-21</w:t>
            </w:r>
          </w:p>
        </w:tc>
      </w:tr>
      <w:tr>
        <w:trPr>
          <w:trHeight w:val="663" w:hRule="exact"/>
        </w:trPr>
        <w:tc>
          <w:tcPr>
            <w:tcW w:w="1949" w:type="dxa"/>
            <w:tcBorders>
              <w:top w:val="single" w:sz="12" w:space="0" w:color="000000"/>
              <w:left w:val="single" w:sz="6" w:space="0" w:color="000000"/>
              <w:bottom w:val="single" w:sz="12" w:space="0" w:color="000000"/>
              <w:right w:val="single" w:sz="6" w:space="0" w:color="000000"/>
            </w:tcBorders>
          </w:tcPr>
          <w:p>
            <w:pPr>
              <w:pStyle w:val="TableParagraph"/>
              <w:spacing w:line="261" w:lineRule="exact"/>
              <w:ind w:left="4" w:right="0"/>
              <w:jc w:val="left"/>
              <w:rPr>
                <w:rFonts w:ascii="宋体" w:hAnsi="宋体" w:cs="宋体" w:eastAsia="宋体" w:hint="default"/>
                <w:sz w:val="21"/>
                <w:szCs w:val="21"/>
              </w:rPr>
            </w:pPr>
            <w:r>
              <w:rPr>
                <w:rFonts w:ascii="宋体" w:hAnsi="宋体" w:cs="宋体" w:eastAsia="宋体" w:hint="default"/>
                <w:sz w:val="21"/>
                <w:szCs w:val="21"/>
              </w:rPr>
              <w:t>广发银行华富支行</w:t>
            </w:r>
          </w:p>
        </w:tc>
        <w:tc>
          <w:tcPr>
            <w:tcW w:w="860" w:type="dxa"/>
            <w:tcBorders>
              <w:top w:val="single" w:sz="12" w:space="0" w:color="000000"/>
              <w:left w:val="single" w:sz="6" w:space="0" w:color="000000"/>
              <w:bottom w:val="single" w:sz="12" w:space="0" w:color="000000"/>
              <w:right w:val="single" w:sz="6" w:space="0" w:color="000000"/>
            </w:tcBorders>
          </w:tcPr>
          <w:p>
            <w:pPr>
              <w:pStyle w:val="TableParagraph"/>
              <w:spacing w:line="261" w:lineRule="exact"/>
              <w:ind w:left="9"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61" w:lineRule="exact"/>
              <w:ind w:left="4" w:right="0"/>
              <w:jc w:val="left"/>
              <w:rPr>
                <w:rFonts w:ascii="宋体" w:hAnsi="宋体" w:cs="宋体" w:eastAsia="宋体" w:hint="default"/>
                <w:sz w:val="21"/>
                <w:szCs w:val="21"/>
              </w:rPr>
            </w:pPr>
            <w:r>
              <w:rPr>
                <w:rFonts w:ascii="宋体"/>
                <w:sz w:val="21"/>
              </w:rPr>
              <w:t>CGBSZFLGN19000</w:t>
            </w:r>
          </w:p>
          <w:p>
            <w:pPr>
              <w:pStyle w:val="TableParagraph"/>
              <w:spacing w:line="240" w:lineRule="auto" w:before="37"/>
              <w:ind w:left="4" w:right="0"/>
              <w:jc w:val="left"/>
              <w:rPr>
                <w:rFonts w:ascii="宋体" w:hAnsi="宋体" w:cs="宋体" w:eastAsia="宋体" w:hint="default"/>
                <w:sz w:val="21"/>
                <w:szCs w:val="21"/>
              </w:rPr>
            </w:pPr>
            <w:r>
              <w:rPr>
                <w:rFonts w:ascii="宋体"/>
                <w:sz w:val="21"/>
              </w:rPr>
              <w:t>11</w:t>
            </w:r>
          </w:p>
        </w:tc>
        <w:tc>
          <w:tcPr>
            <w:tcW w:w="1268" w:type="dxa"/>
            <w:tcBorders>
              <w:top w:val="single" w:sz="12" w:space="0" w:color="000000"/>
              <w:left w:val="single" w:sz="6" w:space="0" w:color="000000"/>
              <w:bottom w:val="single" w:sz="12"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sz w:val="21"/>
              </w:rPr>
              <w:t>167,952.74</w:t>
            </w:r>
          </w:p>
        </w:tc>
        <w:tc>
          <w:tcPr>
            <w:tcW w:w="2123" w:type="dxa"/>
            <w:tcBorders>
              <w:top w:val="single" w:sz="12" w:space="0" w:color="000000"/>
              <w:left w:val="single" w:sz="6" w:space="0" w:color="000000"/>
              <w:bottom w:val="single" w:sz="12" w:space="0" w:color="000000"/>
              <w:right w:val="single" w:sz="6" w:space="0" w:color="000000"/>
            </w:tcBorders>
          </w:tcPr>
          <w:p>
            <w:pPr>
              <w:pStyle w:val="TableParagraph"/>
              <w:spacing w:line="261" w:lineRule="exact"/>
              <w:ind w:left="9" w:right="-4"/>
              <w:jc w:val="left"/>
              <w:rPr>
                <w:rFonts w:ascii="宋体" w:hAnsi="宋体" w:cs="宋体" w:eastAsia="宋体" w:hint="default"/>
                <w:sz w:val="21"/>
                <w:szCs w:val="21"/>
              </w:rPr>
            </w:pPr>
            <w:r>
              <w:rPr>
                <w:rFonts w:ascii="宋体" w:hAnsi="宋体" w:cs="宋体" w:eastAsia="宋体" w:hint="default"/>
                <w:sz w:val="21"/>
                <w:szCs w:val="21"/>
              </w:rPr>
              <w:t>中移全通系统集成有限</w:t>
            </w:r>
          </w:p>
          <w:p>
            <w:pPr>
              <w:pStyle w:val="TableParagraph"/>
              <w:spacing w:line="240" w:lineRule="auto" w:before="37"/>
              <w:ind w:left="9"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80" w:type="dxa"/>
            <w:tcBorders>
              <w:top w:val="single" w:sz="12" w:space="0" w:color="000000"/>
              <w:left w:val="single" w:sz="6" w:space="0" w:color="000000"/>
              <w:bottom w:val="single" w:sz="12" w:space="0" w:color="000000"/>
              <w:right w:val="nil" w:sz="6" w:space="0" w:color="auto"/>
            </w:tcBorders>
          </w:tcPr>
          <w:p>
            <w:pPr>
              <w:pStyle w:val="TableParagraph"/>
              <w:spacing w:line="261" w:lineRule="exact"/>
              <w:ind w:right="0"/>
              <w:jc w:val="right"/>
              <w:rPr>
                <w:rFonts w:ascii="宋体" w:hAnsi="宋体" w:cs="宋体" w:eastAsia="宋体" w:hint="default"/>
                <w:sz w:val="21"/>
                <w:szCs w:val="21"/>
              </w:rPr>
            </w:pPr>
            <w:r>
              <w:rPr>
                <w:rFonts w:ascii="宋体"/>
                <w:sz w:val="21"/>
              </w:rPr>
              <w:t>2021-09-30</w:t>
            </w:r>
          </w:p>
        </w:tc>
      </w:tr>
      <w:tr>
        <w:trPr>
          <w:trHeight w:val="662" w:hRule="exact"/>
        </w:trPr>
        <w:tc>
          <w:tcPr>
            <w:tcW w:w="194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广发银行华富支行</w:t>
            </w:r>
          </w:p>
        </w:tc>
        <w:tc>
          <w:tcPr>
            <w:tcW w:w="8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sz w:val="21"/>
              </w:rPr>
              <w:t>CGBSZFLGN19000</w:t>
            </w:r>
          </w:p>
          <w:p>
            <w:pPr>
              <w:pStyle w:val="TableParagraph"/>
              <w:spacing w:line="240" w:lineRule="auto" w:before="37"/>
              <w:ind w:left="4" w:right="0"/>
              <w:jc w:val="left"/>
              <w:rPr>
                <w:rFonts w:ascii="宋体" w:hAnsi="宋体" w:cs="宋体" w:eastAsia="宋体" w:hint="default"/>
                <w:sz w:val="21"/>
                <w:szCs w:val="21"/>
              </w:rPr>
            </w:pPr>
            <w:r>
              <w:rPr>
                <w:rFonts w:ascii="宋体"/>
                <w:sz w:val="21"/>
              </w:rPr>
              <w:t>12</w:t>
            </w:r>
          </w:p>
        </w:tc>
        <w:tc>
          <w:tcPr>
            <w:tcW w:w="126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5"/>
              <w:jc w:val="right"/>
              <w:rPr>
                <w:rFonts w:ascii="宋体" w:hAnsi="宋体" w:cs="宋体" w:eastAsia="宋体" w:hint="default"/>
                <w:sz w:val="21"/>
                <w:szCs w:val="21"/>
              </w:rPr>
            </w:pPr>
            <w:r>
              <w:rPr>
                <w:rFonts w:ascii="宋体"/>
                <w:sz w:val="21"/>
              </w:rPr>
              <w:t>258,675.24</w:t>
            </w:r>
          </w:p>
        </w:tc>
        <w:tc>
          <w:tcPr>
            <w:tcW w:w="212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9" w:right="-4"/>
              <w:jc w:val="left"/>
              <w:rPr>
                <w:rFonts w:ascii="宋体" w:hAnsi="宋体" w:cs="宋体" w:eastAsia="宋体" w:hint="default"/>
                <w:sz w:val="21"/>
                <w:szCs w:val="21"/>
              </w:rPr>
            </w:pPr>
            <w:r>
              <w:rPr>
                <w:rFonts w:ascii="宋体" w:hAnsi="宋体" w:cs="宋体" w:eastAsia="宋体" w:hint="default"/>
                <w:sz w:val="21"/>
                <w:szCs w:val="21"/>
              </w:rPr>
              <w:t>中移全通系统集成有限</w:t>
            </w:r>
          </w:p>
          <w:p>
            <w:pPr>
              <w:pStyle w:val="TableParagraph"/>
              <w:spacing w:line="240" w:lineRule="auto" w:before="37"/>
              <w:ind w:left="9"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80"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0"/>
              <w:jc w:val="right"/>
              <w:rPr>
                <w:rFonts w:ascii="宋体" w:hAnsi="宋体" w:cs="宋体" w:eastAsia="宋体" w:hint="default"/>
                <w:sz w:val="21"/>
                <w:szCs w:val="21"/>
              </w:rPr>
            </w:pPr>
            <w:r>
              <w:rPr>
                <w:rFonts w:ascii="宋体"/>
                <w:sz w:val="21"/>
              </w:rPr>
              <w:t>2021-09-30</w:t>
            </w:r>
          </w:p>
        </w:tc>
      </w:tr>
      <w:tr>
        <w:trPr>
          <w:trHeight w:val="668" w:hRule="exact"/>
        </w:trPr>
        <w:tc>
          <w:tcPr>
            <w:tcW w:w="1949"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交通银行科技园支行</w:t>
            </w:r>
          </w:p>
        </w:tc>
        <w:tc>
          <w:tcPr>
            <w:tcW w:w="860"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sz w:val="21"/>
              </w:rPr>
              <w:t>44320190000213</w:t>
            </w:r>
          </w:p>
          <w:p>
            <w:pPr>
              <w:pStyle w:val="TableParagraph"/>
              <w:spacing w:line="240" w:lineRule="auto" w:before="37"/>
              <w:ind w:left="4" w:right="0"/>
              <w:jc w:val="left"/>
              <w:rPr>
                <w:rFonts w:ascii="宋体" w:hAnsi="宋体" w:cs="宋体" w:eastAsia="宋体" w:hint="default"/>
                <w:sz w:val="21"/>
                <w:szCs w:val="21"/>
              </w:rPr>
            </w:pPr>
            <w:r>
              <w:rPr>
                <w:rFonts w:ascii="宋体"/>
                <w:sz w:val="21"/>
              </w:rPr>
              <w:t>57</w:t>
            </w:r>
          </w:p>
        </w:tc>
        <w:tc>
          <w:tcPr>
            <w:tcW w:w="1268"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z w:val="21"/>
              </w:rPr>
              <w:t>1,799,860.0</w:t>
            </w:r>
          </w:p>
          <w:p>
            <w:pPr>
              <w:pStyle w:val="TableParagraph"/>
              <w:spacing w:line="240" w:lineRule="auto" w:before="37"/>
              <w:ind w:right="-1"/>
              <w:jc w:val="right"/>
              <w:rPr>
                <w:rFonts w:ascii="宋体" w:hAnsi="宋体" w:cs="宋体" w:eastAsia="宋体" w:hint="default"/>
                <w:sz w:val="21"/>
                <w:szCs w:val="21"/>
              </w:rPr>
            </w:pPr>
            <w:r>
              <w:rPr>
                <w:rFonts w:ascii="宋体"/>
                <w:w w:val="100"/>
                <w:sz w:val="21"/>
              </w:rPr>
              <w:t>0</w:t>
            </w:r>
          </w:p>
        </w:tc>
        <w:tc>
          <w:tcPr>
            <w:tcW w:w="2123"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9" w:right="-4"/>
              <w:jc w:val="left"/>
              <w:rPr>
                <w:rFonts w:ascii="宋体" w:hAnsi="宋体" w:cs="宋体" w:eastAsia="宋体" w:hint="default"/>
                <w:sz w:val="21"/>
                <w:szCs w:val="21"/>
              </w:rPr>
            </w:pPr>
            <w:r>
              <w:rPr>
                <w:rFonts w:ascii="宋体" w:hAnsi="宋体" w:cs="宋体" w:eastAsia="宋体" w:hint="default"/>
                <w:sz w:val="21"/>
                <w:szCs w:val="21"/>
              </w:rPr>
              <w:t>六安市城市管理行政执</w:t>
            </w:r>
            <w:r>
              <w:rPr>
                <w:rFonts w:ascii="宋体" w:hAnsi="宋体" w:cs="宋体" w:eastAsia="宋体" w:hint="default"/>
                <w:w w:val="100"/>
                <w:sz w:val="21"/>
                <w:szCs w:val="21"/>
              </w:rPr>
              <w:t> </w:t>
            </w:r>
            <w:r>
              <w:rPr>
                <w:rFonts w:ascii="宋体" w:hAnsi="宋体" w:cs="宋体" w:eastAsia="宋体" w:hint="default"/>
                <w:sz w:val="21"/>
                <w:szCs w:val="21"/>
              </w:rPr>
              <w:t>法局</w:t>
            </w:r>
          </w:p>
        </w:tc>
        <w:tc>
          <w:tcPr>
            <w:tcW w:w="1280"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0"/>
              <w:jc w:val="right"/>
              <w:rPr>
                <w:rFonts w:ascii="宋体" w:hAnsi="宋体" w:cs="宋体" w:eastAsia="宋体" w:hint="default"/>
                <w:sz w:val="21"/>
                <w:szCs w:val="21"/>
              </w:rPr>
            </w:pPr>
            <w:r>
              <w:rPr>
                <w:rFonts w:ascii="宋体"/>
                <w:sz w:val="21"/>
              </w:rPr>
              <w:t>2020-12-31</w:t>
            </w:r>
          </w:p>
        </w:tc>
      </w:tr>
      <w:tr>
        <w:trPr>
          <w:trHeight w:val="662" w:hRule="exact"/>
        </w:trPr>
        <w:tc>
          <w:tcPr>
            <w:tcW w:w="194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广发银行新洲支行</w:t>
            </w:r>
          </w:p>
        </w:tc>
        <w:tc>
          <w:tcPr>
            <w:tcW w:w="8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sz w:val="21"/>
              </w:rPr>
              <w:t>CGBSZXZDG19000</w:t>
            </w:r>
          </w:p>
          <w:p>
            <w:pPr>
              <w:pStyle w:val="TableParagraph"/>
              <w:spacing w:line="240" w:lineRule="auto" w:before="37"/>
              <w:ind w:left="4" w:right="0"/>
              <w:jc w:val="left"/>
              <w:rPr>
                <w:rFonts w:ascii="宋体" w:hAnsi="宋体" w:cs="宋体" w:eastAsia="宋体" w:hint="default"/>
                <w:sz w:val="21"/>
                <w:szCs w:val="21"/>
              </w:rPr>
            </w:pPr>
            <w:r>
              <w:rPr>
                <w:rFonts w:ascii="宋体"/>
                <w:sz w:val="21"/>
              </w:rPr>
              <w:t>16</w:t>
            </w:r>
          </w:p>
        </w:tc>
        <w:tc>
          <w:tcPr>
            <w:tcW w:w="126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5"/>
              <w:jc w:val="right"/>
              <w:rPr>
                <w:rFonts w:ascii="宋体" w:hAnsi="宋体" w:cs="宋体" w:eastAsia="宋体" w:hint="default"/>
                <w:sz w:val="21"/>
                <w:szCs w:val="21"/>
              </w:rPr>
            </w:pPr>
            <w:r>
              <w:rPr>
                <w:rFonts w:ascii="宋体"/>
                <w:sz w:val="21"/>
              </w:rPr>
              <w:t>294,000.00</w:t>
            </w:r>
          </w:p>
        </w:tc>
        <w:tc>
          <w:tcPr>
            <w:tcW w:w="212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9" w:right="-4"/>
              <w:jc w:val="left"/>
              <w:rPr>
                <w:rFonts w:ascii="宋体" w:hAnsi="宋体" w:cs="宋体" w:eastAsia="宋体" w:hint="default"/>
                <w:sz w:val="21"/>
                <w:szCs w:val="21"/>
              </w:rPr>
            </w:pPr>
            <w:r>
              <w:rPr>
                <w:rFonts w:ascii="宋体" w:hAnsi="宋体" w:cs="宋体" w:eastAsia="宋体" w:hint="default"/>
                <w:sz w:val="21"/>
                <w:szCs w:val="21"/>
              </w:rPr>
              <w:t>中移全通系统集成有限</w:t>
            </w:r>
          </w:p>
          <w:p>
            <w:pPr>
              <w:pStyle w:val="TableParagraph"/>
              <w:spacing w:line="240" w:lineRule="auto" w:before="37"/>
              <w:ind w:left="9"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80"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0"/>
              <w:jc w:val="right"/>
              <w:rPr>
                <w:rFonts w:ascii="宋体" w:hAnsi="宋体" w:cs="宋体" w:eastAsia="宋体" w:hint="default"/>
                <w:sz w:val="21"/>
                <w:szCs w:val="21"/>
              </w:rPr>
            </w:pPr>
            <w:r>
              <w:rPr>
                <w:rFonts w:ascii="宋体"/>
                <w:sz w:val="21"/>
              </w:rPr>
              <w:t>2021-01-31</w:t>
            </w:r>
          </w:p>
        </w:tc>
      </w:tr>
      <w:tr>
        <w:trPr>
          <w:trHeight w:val="662" w:hRule="exact"/>
        </w:trPr>
        <w:tc>
          <w:tcPr>
            <w:tcW w:w="194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广发银行新洲支行</w:t>
            </w:r>
          </w:p>
        </w:tc>
        <w:tc>
          <w:tcPr>
            <w:tcW w:w="8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sz w:val="21"/>
              </w:rPr>
              <w:t>CGBSZXZDG19000</w:t>
            </w:r>
          </w:p>
          <w:p>
            <w:pPr>
              <w:pStyle w:val="TableParagraph"/>
              <w:spacing w:line="240" w:lineRule="auto" w:before="37"/>
              <w:ind w:left="4" w:right="0"/>
              <w:jc w:val="left"/>
              <w:rPr>
                <w:rFonts w:ascii="宋体" w:hAnsi="宋体" w:cs="宋体" w:eastAsia="宋体" w:hint="default"/>
                <w:sz w:val="21"/>
                <w:szCs w:val="21"/>
              </w:rPr>
            </w:pPr>
            <w:r>
              <w:rPr>
                <w:rFonts w:ascii="宋体"/>
                <w:sz w:val="21"/>
              </w:rPr>
              <w:t>17</w:t>
            </w:r>
          </w:p>
        </w:tc>
        <w:tc>
          <w:tcPr>
            <w:tcW w:w="126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5"/>
              <w:jc w:val="right"/>
              <w:rPr>
                <w:rFonts w:ascii="宋体" w:hAnsi="宋体" w:cs="宋体" w:eastAsia="宋体" w:hint="default"/>
                <w:sz w:val="21"/>
                <w:szCs w:val="21"/>
              </w:rPr>
            </w:pPr>
            <w:r>
              <w:rPr>
                <w:rFonts w:ascii="宋体"/>
                <w:sz w:val="21"/>
              </w:rPr>
              <w:t>1,370,359.0</w:t>
            </w:r>
          </w:p>
          <w:p>
            <w:pPr>
              <w:pStyle w:val="TableParagraph"/>
              <w:spacing w:line="240" w:lineRule="auto" w:before="37"/>
              <w:ind w:right="-1"/>
              <w:jc w:val="right"/>
              <w:rPr>
                <w:rFonts w:ascii="宋体" w:hAnsi="宋体" w:cs="宋体" w:eastAsia="宋体" w:hint="default"/>
                <w:sz w:val="21"/>
                <w:szCs w:val="21"/>
              </w:rPr>
            </w:pPr>
            <w:r>
              <w:rPr>
                <w:rFonts w:ascii="宋体"/>
                <w:w w:val="100"/>
                <w:sz w:val="21"/>
              </w:rPr>
              <w:t>0</w:t>
            </w:r>
          </w:p>
        </w:tc>
        <w:tc>
          <w:tcPr>
            <w:tcW w:w="212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9" w:right="-4"/>
              <w:jc w:val="left"/>
              <w:rPr>
                <w:rFonts w:ascii="宋体" w:hAnsi="宋体" w:cs="宋体" w:eastAsia="宋体" w:hint="default"/>
                <w:sz w:val="21"/>
                <w:szCs w:val="21"/>
              </w:rPr>
            </w:pPr>
            <w:r>
              <w:rPr>
                <w:rFonts w:ascii="宋体" w:hAnsi="宋体" w:cs="宋体" w:eastAsia="宋体" w:hint="default"/>
                <w:sz w:val="21"/>
                <w:szCs w:val="21"/>
              </w:rPr>
              <w:t>深圳市公安局交通警察</w:t>
            </w:r>
          </w:p>
          <w:p>
            <w:pPr>
              <w:pStyle w:val="TableParagraph"/>
              <w:spacing w:line="240" w:lineRule="auto" w:before="37"/>
              <w:ind w:left="9" w:right="0"/>
              <w:jc w:val="left"/>
              <w:rPr>
                <w:rFonts w:ascii="宋体" w:hAnsi="宋体" w:cs="宋体" w:eastAsia="宋体" w:hint="default"/>
                <w:sz w:val="21"/>
                <w:szCs w:val="21"/>
              </w:rPr>
            </w:pPr>
            <w:r>
              <w:rPr>
                <w:rFonts w:ascii="宋体" w:hAnsi="宋体" w:cs="宋体" w:eastAsia="宋体" w:hint="default"/>
                <w:w w:val="100"/>
                <w:sz w:val="21"/>
                <w:szCs w:val="21"/>
              </w:rPr>
              <w:t>局</w:t>
            </w:r>
          </w:p>
        </w:tc>
        <w:tc>
          <w:tcPr>
            <w:tcW w:w="1280"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0"/>
              <w:jc w:val="right"/>
              <w:rPr>
                <w:rFonts w:ascii="宋体" w:hAnsi="宋体" w:cs="宋体" w:eastAsia="宋体" w:hint="default"/>
                <w:sz w:val="21"/>
                <w:szCs w:val="21"/>
              </w:rPr>
            </w:pPr>
            <w:r>
              <w:rPr>
                <w:rFonts w:ascii="宋体"/>
                <w:sz w:val="21"/>
              </w:rPr>
              <w:t>2020-11-30</w:t>
            </w:r>
          </w:p>
        </w:tc>
      </w:tr>
      <w:tr>
        <w:trPr>
          <w:trHeight w:val="668" w:hRule="exact"/>
        </w:trPr>
        <w:tc>
          <w:tcPr>
            <w:tcW w:w="1949"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广发银行新洲支行</w:t>
            </w:r>
          </w:p>
        </w:tc>
        <w:tc>
          <w:tcPr>
            <w:tcW w:w="860"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65"/>
              <w:jc w:val="left"/>
              <w:rPr>
                <w:rFonts w:ascii="宋体" w:hAnsi="宋体" w:cs="宋体" w:eastAsia="宋体" w:hint="default"/>
                <w:sz w:val="21"/>
                <w:szCs w:val="21"/>
              </w:rPr>
            </w:pPr>
            <w:r>
              <w:rPr>
                <w:rFonts w:ascii="宋体"/>
                <w:sz w:val="21"/>
              </w:rPr>
              <w:t>CGBSZXZDG19000</w:t>
            </w:r>
            <w:r>
              <w:rPr>
                <w:rFonts w:ascii="宋体"/>
                <w:spacing w:val="-102"/>
                <w:sz w:val="21"/>
              </w:rPr>
              <w:t> </w:t>
            </w:r>
            <w:r>
              <w:rPr>
                <w:rFonts w:ascii="宋体"/>
                <w:spacing w:val="-102"/>
                <w:sz w:val="21"/>
              </w:rPr>
            </w:r>
            <w:r>
              <w:rPr>
                <w:rFonts w:ascii="宋体"/>
                <w:sz w:val="21"/>
              </w:rPr>
              <w:t>21</w:t>
            </w:r>
          </w:p>
        </w:tc>
        <w:tc>
          <w:tcPr>
            <w:tcW w:w="1268"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z w:val="21"/>
              </w:rPr>
              <w:t>397,250.00</w:t>
            </w:r>
          </w:p>
        </w:tc>
        <w:tc>
          <w:tcPr>
            <w:tcW w:w="2123"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广东省公安厅</w:t>
            </w:r>
          </w:p>
        </w:tc>
        <w:tc>
          <w:tcPr>
            <w:tcW w:w="1280"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0"/>
              <w:jc w:val="right"/>
              <w:rPr>
                <w:rFonts w:ascii="宋体" w:hAnsi="宋体" w:cs="宋体" w:eastAsia="宋体" w:hint="default"/>
                <w:sz w:val="21"/>
                <w:szCs w:val="21"/>
              </w:rPr>
            </w:pPr>
            <w:r>
              <w:rPr>
                <w:rFonts w:ascii="宋体"/>
                <w:sz w:val="21"/>
              </w:rPr>
              <w:t>2022-12-10</w:t>
            </w:r>
          </w:p>
        </w:tc>
      </w:tr>
      <w:tr>
        <w:trPr>
          <w:trHeight w:val="662" w:hRule="exact"/>
        </w:trPr>
        <w:tc>
          <w:tcPr>
            <w:tcW w:w="194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广发银行新洲支行</w:t>
            </w:r>
          </w:p>
        </w:tc>
        <w:tc>
          <w:tcPr>
            <w:tcW w:w="8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sz w:val="21"/>
              </w:rPr>
              <w:t>CGBSZXZDG19000</w:t>
            </w:r>
          </w:p>
          <w:p>
            <w:pPr>
              <w:pStyle w:val="TableParagraph"/>
              <w:spacing w:line="240" w:lineRule="auto" w:before="37"/>
              <w:ind w:left="4" w:right="0"/>
              <w:jc w:val="left"/>
              <w:rPr>
                <w:rFonts w:ascii="宋体" w:hAnsi="宋体" w:cs="宋体" w:eastAsia="宋体" w:hint="default"/>
                <w:sz w:val="21"/>
                <w:szCs w:val="21"/>
              </w:rPr>
            </w:pPr>
            <w:r>
              <w:rPr>
                <w:rFonts w:ascii="宋体"/>
                <w:sz w:val="21"/>
              </w:rPr>
              <w:t>23</w:t>
            </w:r>
          </w:p>
        </w:tc>
        <w:tc>
          <w:tcPr>
            <w:tcW w:w="126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5"/>
              <w:jc w:val="right"/>
              <w:rPr>
                <w:rFonts w:ascii="宋体" w:hAnsi="宋体" w:cs="宋体" w:eastAsia="宋体" w:hint="default"/>
                <w:sz w:val="21"/>
                <w:szCs w:val="21"/>
              </w:rPr>
            </w:pPr>
            <w:r>
              <w:rPr>
                <w:rFonts w:ascii="宋体"/>
                <w:sz w:val="21"/>
              </w:rPr>
              <w:t>358,603.70</w:t>
            </w:r>
          </w:p>
        </w:tc>
        <w:tc>
          <w:tcPr>
            <w:tcW w:w="212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9" w:right="-4"/>
              <w:jc w:val="left"/>
              <w:rPr>
                <w:rFonts w:ascii="宋体" w:hAnsi="宋体" w:cs="宋体" w:eastAsia="宋体" w:hint="default"/>
                <w:sz w:val="21"/>
                <w:szCs w:val="21"/>
              </w:rPr>
            </w:pPr>
            <w:r>
              <w:rPr>
                <w:rFonts w:ascii="宋体" w:hAnsi="宋体" w:cs="宋体" w:eastAsia="宋体" w:hint="default"/>
                <w:sz w:val="21"/>
                <w:szCs w:val="21"/>
              </w:rPr>
              <w:t>中国电信股份有限公司</w:t>
            </w:r>
          </w:p>
        </w:tc>
        <w:tc>
          <w:tcPr>
            <w:tcW w:w="1280"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0"/>
              <w:jc w:val="right"/>
              <w:rPr>
                <w:rFonts w:ascii="宋体" w:hAnsi="宋体" w:cs="宋体" w:eastAsia="宋体" w:hint="default"/>
                <w:sz w:val="21"/>
                <w:szCs w:val="21"/>
              </w:rPr>
            </w:pPr>
            <w:r>
              <w:rPr>
                <w:rFonts w:ascii="宋体"/>
                <w:sz w:val="21"/>
              </w:rPr>
              <w:t>2021-11-08</w:t>
            </w:r>
          </w:p>
        </w:tc>
      </w:tr>
      <w:tr>
        <w:trPr>
          <w:trHeight w:val="663" w:hRule="exact"/>
        </w:trPr>
        <w:tc>
          <w:tcPr>
            <w:tcW w:w="194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广发银行新洲支行</w:t>
            </w:r>
          </w:p>
        </w:tc>
        <w:tc>
          <w:tcPr>
            <w:tcW w:w="8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sz w:val="21"/>
              </w:rPr>
              <w:t>CGBSZXZDG19000</w:t>
            </w:r>
          </w:p>
          <w:p>
            <w:pPr>
              <w:pStyle w:val="TableParagraph"/>
              <w:spacing w:line="240" w:lineRule="auto" w:before="37"/>
              <w:ind w:left="4" w:right="0"/>
              <w:jc w:val="left"/>
              <w:rPr>
                <w:rFonts w:ascii="宋体" w:hAnsi="宋体" w:cs="宋体" w:eastAsia="宋体" w:hint="default"/>
                <w:sz w:val="21"/>
                <w:szCs w:val="21"/>
              </w:rPr>
            </w:pPr>
            <w:r>
              <w:rPr>
                <w:rFonts w:ascii="宋体"/>
                <w:sz w:val="21"/>
              </w:rPr>
              <w:t>24</w:t>
            </w:r>
          </w:p>
        </w:tc>
        <w:tc>
          <w:tcPr>
            <w:tcW w:w="126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5"/>
              <w:jc w:val="right"/>
              <w:rPr>
                <w:rFonts w:ascii="宋体" w:hAnsi="宋体" w:cs="宋体" w:eastAsia="宋体" w:hint="default"/>
                <w:sz w:val="21"/>
                <w:szCs w:val="21"/>
              </w:rPr>
            </w:pPr>
            <w:r>
              <w:rPr>
                <w:rFonts w:ascii="宋体"/>
                <w:sz w:val="21"/>
              </w:rPr>
              <w:t>807,545.20</w:t>
            </w:r>
          </w:p>
        </w:tc>
        <w:tc>
          <w:tcPr>
            <w:tcW w:w="212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9" w:right="-4"/>
              <w:jc w:val="left"/>
              <w:rPr>
                <w:rFonts w:ascii="宋体" w:hAnsi="宋体" w:cs="宋体" w:eastAsia="宋体" w:hint="default"/>
                <w:sz w:val="21"/>
                <w:szCs w:val="21"/>
              </w:rPr>
            </w:pPr>
            <w:r>
              <w:rPr>
                <w:rFonts w:ascii="宋体" w:hAnsi="宋体" w:cs="宋体" w:eastAsia="宋体" w:hint="default"/>
                <w:sz w:val="21"/>
                <w:szCs w:val="21"/>
              </w:rPr>
              <w:t>中国电信股份有限公司</w:t>
            </w:r>
          </w:p>
        </w:tc>
        <w:tc>
          <w:tcPr>
            <w:tcW w:w="1280"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0"/>
              <w:jc w:val="right"/>
              <w:rPr>
                <w:rFonts w:ascii="宋体" w:hAnsi="宋体" w:cs="宋体" w:eastAsia="宋体" w:hint="default"/>
                <w:sz w:val="21"/>
                <w:szCs w:val="21"/>
              </w:rPr>
            </w:pPr>
            <w:r>
              <w:rPr>
                <w:rFonts w:ascii="宋体"/>
                <w:sz w:val="21"/>
              </w:rPr>
              <w:t>2021-11-08</w:t>
            </w:r>
          </w:p>
        </w:tc>
      </w:tr>
      <w:tr>
        <w:trPr>
          <w:trHeight w:val="667" w:hRule="exact"/>
        </w:trPr>
        <w:tc>
          <w:tcPr>
            <w:tcW w:w="1949"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32"/>
              <w:jc w:val="left"/>
              <w:rPr>
                <w:rFonts w:ascii="宋体" w:hAnsi="宋体" w:cs="宋体" w:eastAsia="宋体" w:hint="default"/>
                <w:sz w:val="21"/>
                <w:szCs w:val="21"/>
              </w:rPr>
            </w:pPr>
            <w:r>
              <w:rPr>
                <w:rFonts w:ascii="宋体" w:hAnsi="宋体" w:cs="宋体" w:eastAsia="宋体" w:hint="default"/>
                <w:sz w:val="21"/>
                <w:szCs w:val="21"/>
              </w:rPr>
              <w:t>招商银行上海杨思支</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行</w:t>
            </w:r>
          </w:p>
        </w:tc>
        <w:tc>
          <w:tcPr>
            <w:tcW w:w="860"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9" w:right="201"/>
              <w:jc w:val="left"/>
              <w:rPr>
                <w:rFonts w:ascii="宋体" w:hAnsi="宋体" w:cs="宋体" w:eastAsia="宋体" w:hint="default"/>
                <w:sz w:val="21"/>
                <w:szCs w:val="21"/>
              </w:rPr>
            </w:pPr>
            <w:r>
              <w:rPr>
                <w:rFonts w:ascii="宋体" w:hAnsi="宋体" w:cs="宋体" w:eastAsia="宋体" w:hint="default"/>
                <w:sz w:val="21"/>
                <w:szCs w:val="21"/>
              </w:rPr>
              <w:t>上海天</w:t>
            </w:r>
            <w:r>
              <w:rPr>
                <w:rFonts w:ascii="宋体" w:hAnsi="宋体" w:cs="宋体" w:eastAsia="宋体" w:hint="default"/>
                <w:spacing w:val="-102"/>
                <w:sz w:val="21"/>
                <w:szCs w:val="21"/>
              </w:rPr>
              <w:t> </w:t>
            </w:r>
            <w:r>
              <w:rPr>
                <w:rFonts w:ascii="宋体" w:hAnsi="宋体" w:cs="宋体" w:eastAsia="宋体" w:hint="default"/>
                <w:sz w:val="21"/>
                <w:szCs w:val="21"/>
              </w:rPr>
              <w:t>源迪科</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65"/>
              <w:jc w:val="left"/>
              <w:rPr>
                <w:rFonts w:ascii="宋体" w:hAnsi="宋体" w:cs="宋体" w:eastAsia="宋体" w:hint="default"/>
                <w:sz w:val="21"/>
                <w:szCs w:val="21"/>
              </w:rPr>
            </w:pPr>
            <w:r>
              <w:rPr>
                <w:rFonts w:ascii="宋体"/>
                <w:sz w:val="21"/>
              </w:rPr>
              <w:t>SHDIC20190910G</w:t>
            </w:r>
            <w:r>
              <w:rPr>
                <w:rFonts w:ascii="宋体"/>
                <w:spacing w:val="-102"/>
                <w:sz w:val="21"/>
              </w:rPr>
              <w:t> </w:t>
            </w:r>
            <w:r>
              <w:rPr>
                <w:rFonts w:ascii="宋体"/>
                <w:spacing w:val="-102"/>
                <w:sz w:val="21"/>
              </w:rPr>
            </w:r>
            <w:r>
              <w:rPr>
                <w:rFonts w:ascii="宋体"/>
                <w:sz w:val="21"/>
              </w:rPr>
              <w:t>A</w:t>
            </w:r>
          </w:p>
        </w:tc>
        <w:tc>
          <w:tcPr>
            <w:tcW w:w="1268"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z w:val="21"/>
              </w:rPr>
              <w:t>126,900.00</w:t>
            </w:r>
          </w:p>
        </w:tc>
        <w:tc>
          <w:tcPr>
            <w:tcW w:w="2123"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9" w:right="-4"/>
              <w:jc w:val="left"/>
              <w:rPr>
                <w:rFonts w:ascii="宋体" w:hAnsi="宋体" w:cs="宋体" w:eastAsia="宋体" w:hint="default"/>
                <w:sz w:val="21"/>
                <w:szCs w:val="21"/>
              </w:rPr>
            </w:pPr>
            <w:r>
              <w:rPr>
                <w:rFonts w:ascii="宋体" w:hAnsi="宋体" w:cs="宋体" w:eastAsia="宋体" w:hint="default"/>
                <w:sz w:val="21"/>
                <w:szCs w:val="21"/>
              </w:rPr>
              <w:t>上海市公安局出入境管</w:t>
            </w:r>
            <w:r>
              <w:rPr>
                <w:rFonts w:ascii="宋体" w:hAnsi="宋体" w:cs="宋体" w:eastAsia="宋体" w:hint="default"/>
                <w:w w:val="100"/>
                <w:sz w:val="21"/>
                <w:szCs w:val="21"/>
              </w:rPr>
              <w:t> </w:t>
            </w:r>
            <w:r>
              <w:rPr>
                <w:rFonts w:ascii="宋体" w:hAnsi="宋体" w:cs="宋体" w:eastAsia="宋体" w:hint="default"/>
                <w:sz w:val="21"/>
                <w:szCs w:val="21"/>
              </w:rPr>
              <w:t>理局</w:t>
            </w:r>
          </w:p>
        </w:tc>
        <w:tc>
          <w:tcPr>
            <w:tcW w:w="1280"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0"/>
              <w:jc w:val="right"/>
              <w:rPr>
                <w:rFonts w:ascii="宋体" w:hAnsi="宋体" w:cs="宋体" w:eastAsia="宋体" w:hint="default"/>
                <w:sz w:val="21"/>
                <w:szCs w:val="21"/>
              </w:rPr>
            </w:pPr>
            <w:r>
              <w:rPr>
                <w:rFonts w:ascii="宋体"/>
                <w:sz w:val="21"/>
              </w:rPr>
              <w:t>2019/12/31</w:t>
            </w:r>
          </w:p>
        </w:tc>
      </w:tr>
      <w:tr>
        <w:trPr>
          <w:trHeight w:val="662" w:hRule="exact"/>
        </w:trPr>
        <w:tc>
          <w:tcPr>
            <w:tcW w:w="194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宁波银行深圳科技园</w:t>
            </w:r>
          </w:p>
          <w:p>
            <w:pPr>
              <w:pStyle w:val="TableParagraph"/>
              <w:spacing w:line="240" w:lineRule="auto" w:before="37"/>
              <w:ind w:left="4" w:right="0"/>
              <w:jc w:val="left"/>
              <w:rPr>
                <w:rFonts w:ascii="宋体" w:hAnsi="宋体" w:cs="宋体" w:eastAsia="宋体" w:hint="default"/>
                <w:sz w:val="21"/>
                <w:szCs w:val="21"/>
              </w:rPr>
            </w:pPr>
            <w:r>
              <w:rPr>
                <w:rFonts w:ascii="宋体" w:hAnsi="宋体" w:cs="宋体" w:eastAsia="宋体" w:hint="default"/>
                <w:sz w:val="21"/>
                <w:szCs w:val="21"/>
              </w:rPr>
              <w:t>支行</w:t>
            </w:r>
          </w:p>
        </w:tc>
        <w:tc>
          <w:tcPr>
            <w:tcW w:w="8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维恩贝</w:t>
            </w:r>
          </w:p>
          <w:p>
            <w:pPr>
              <w:pStyle w:val="TableParagraph"/>
              <w:spacing w:line="240" w:lineRule="auto" w:before="37"/>
              <w:ind w:left="9" w:right="0"/>
              <w:jc w:val="left"/>
              <w:rPr>
                <w:rFonts w:ascii="宋体" w:hAnsi="宋体" w:cs="宋体" w:eastAsia="宋体" w:hint="default"/>
                <w:sz w:val="21"/>
                <w:szCs w:val="21"/>
              </w:rPr>
            </w:pPr>
            <w:r>
              <w:rPr>
                <w:rFonts w:ascii="宋体" w:hAnsi="宋体" w:cs="宋体" w:eastAsia="宋体" w:hint="default"/>
                <w:w w:val="100"/>
                <w:sz w:val="21"/>
                <w:szCs w:val="21"/>
              </w:rPr>
              <w:t>特</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sz w:val="21"/>
              </w:rPr>
              <w:t>07300BH199I0I7</w:t>
            </w:r>
          </w:p>
          <w:p>
            <w:pPr>
              <w:pStyle w:val="TableParagraph"/>
              <w:spacing w:line="240" w:lineRule="auto" w:before="37"/>
              <w:ind w:left="4" w:right="0"/>
              <w:jc w:val="left"/>
              <w:rPr>
                <w:rFonts w:ascii="宋体" w:hAnsi="宋体" w:cs="宋体" w:eastAsia="宋体" w:hint="default"/>
                <w:sz w:val="21"/>
                <w:szCs w:val="21"/>
              </w:rPr>
            </w:pPr>
            <w:r>
              <w:rPr>
                <w:rFonts w:ascii="宋体"/>
                <w:w w:val="100"/>
                <w:sz w:val="21"/>
              </w:rPr>
              <w:t>7</w:t>
            </w:r>
          </w:p>
        </w:tc>
        <w:tc>
          <w:tcPr>
            <w:tcW w:w="126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5"/>
              <w:jc w:val="right"/>
              <w:rPr>
                <w:rFonts w:ascii="宋体" w:hAnsi="宋体" w:cs="宋体" w:eastAsia="宋体" w:hint="default"/>
                <w:sz w:val="21"/>
                <w:szCs w:val="21"/>
              </w:rPr>
            </w:pPr>
            <w:r>
              <w:rPr>
                <w:rFonts w:ascii="宋体"/>
                <w:sz w:val="21"/>
              </w:rPr>
              <w:t>4,460,000.0</w:t>
            </w:r>
          </w:p>
          <w:p>
            <w:pPr>
              <w:pStyle w:val="TableParagraph"/>
              <w:spacing w:line="240" w:lineRule="auto" w:before="37"/>
              <w:ind w:right="-1"/>
              <w:jc w:val="right"/>
              <w:rPr>
                <w:rFonts w:ascii="宋体" w:hAnsi="宋体" w:cs="宋体" w:eastAsia="宋体" w:hint="default"/>
                <w:sz w:val="21"/>
                <w:szCs w:val="21"/>
              </w:rPr>
            </w:pPr>
            <w:r>
              <w:rPr>
                <w:rFonts w:ascii="宋体"/>
                <w:w w:val="100"/>
                <w:sz w:val="21"/>
              </w:rPr>
              <w:t>0</w:t>
            </w:r>
          </w:p>
        </w:tc>
        <w:tc>
          <w:tcPr>
            <w:tcW w:w="212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9" w:right="-4"/>
              <w:jc w:val="left"/>
              <w:rPr>
                <w:rFonts w:ascii="宋体" w:hAnsi="宋体" w:cs="宋体" w:eastAsia="宋体" w:hint="default"/>
                <w:sz w:val="21"/>
                <w:szCs w:val="21"/>
              </w:rPr>
            </w:pPr>
            <w:r>
              <w:rPr>
                <w:rFonts w:ascii="宋体" w:hAnsi="宋体" w:cs="宋体" w:eastAsia="宋体" w:hint="default"/>
                <w:sz w:val="21"/>
                <w:szCs w:val="21"/>
              </w:rPr>
              <w:t>中国电子科技集团公司</w:t>
            </w:r>
          </w:p>
          <w:p>
            <w:pPr>
              <w:pStyle w:val="TableParagraph"/>
              <w:spacing w:line="240" w:lineRule="auto" w:before="37"/>
              <w:ind w:left="9" w:right="0"/>
              <w:jc w:val="left"/>
              <w:rPr>
                <w:rFonts w:ascii="宋体" w:hAnsi="宋体" w:cs="宋体" w:eastAsia="宋体" w:hint="default"/>
                <w:sz w:val="21"/>
                <w:szCs w:val="21"/>
              </w:rPr>
            </w:pPr>
            <w:r>
              <w:rPr>
                <w:rFonts w:ascii="宋体" w:hAnsi="宋体" w:cs="宋体" w:eastAsia="宋体" w:hint="default"/>
                <w:sz w:val="21"/>
                <w:szCs w:val="21"/>
              </w:rPr>
              <w:t>第十五研究所</w:t>
            </w:r>
          </w:p>
        </w:tc>
        <w:tc>
          <w:tcPr>
            <w:tcW w:w="1280"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0"/>
              <w:jc w:val="right"/>
              <w:rPr>
                <w:rFonts w:ascii="宋体" w:hAnsi="宋体" w:cs="宋体" w:eastAsia="宋体" w:hint="default"/>
                <w:sz w:val="21"/>
                <w:szCs w:val="21"/>
              </w:rPr>
            </w:pPr>
            <w:r>
              <w:rPr>
                <w:rFonts w:ascii="宋体"/>
                <w:sz w:val="21"/>
              </w:rPr>
              <w:t>2023/3/20</w:t>
            </w:r>
          </w:p>
        </w:tc>
      </w:tr>
      <w:tr>
        <w:trPr>
          <w:trHeight w:val="663" w:hRule="exact"/>
        </w:trPr>
        <w:tc>
          <w:tcPr>
            <w:tcW w:w="194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宁波银行深圳科技园</w:t>
            </w:r>
          </w:p>
          <w:p>
            <w:pPr>
              <w:pStyle w:val="TableParagraph"/>
              <w:spacing w:line="240" w:lineRule="auto" w:before="37"/>
              <w:ind w:left="4" w:right="0"/>
              <w:jc w:val="left"/>
              <w:rPr>
                <w:rFonts w:ascii="宋体" w:hAnsi="宋体" w:cs="宋体" w:eastAsia="宋体" w:hint="default"/>
                <w:sz w:val="21"/>
                <w:szCs w:val="21"/>
              </w:rPr>
            </w:pPr>
            <w:r>
              <w:rPr>
                <w:rFonts w:ascii="宋体" w:hAnsi="宋体" w:cs="宋体" w:eastAsia="宋体" w:hint="default"/>
                <w:sz w:val="21"/>
                <w:szCs w:val="21"/>
              </w:rPr>
              <w:t>支行</w:t>
            </w:r>
          </w:p>
        </w:tc>
        <w:tc>
          <w:tcPr>
            <w:tcW w:w="8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维恩贝</w:t>
            </w:r>
          </w:p>
          <w:p>
            <w:pPr>
              <w:pStyle w:val="TableParagraph"/>
              <w:spacing w:line="240" w:lineRule="auto" w:before="37"/>
              <w:ind w:left="9" w:right="0"/>
              <w:jc w:val="left"/>
              <w:rPr>
                <w:rFonts w:ascii="宋体" w:hAnsi="宋体" w:cs="宋体" w:eastAsia="宋体" w:hint="default"/>
                <w:sz w:val="21"/>
                <w:szCs w:val="21"/>
              </w:rPr>
            </w:pPr>
            <w:r>
              <w:rPr>
                <w:rFonts w:ascii="宋体" w:hAnsi="宋体" w:cs="宋体" w:eastAsia="宋体" w:hint="default"/>
                <w:w w:val="100"/>
                <w:sz w:val="21"/>
                <w:szCs w:val="21"/>
              </w:rPr>
              <w:t>特</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sz w:val="21"/>
              </w:rPr>
              <w:t>07300BH199HKGM</w:t>
            </w:r>
          </w:p>
          <w:p>
            <w:pPr>
              <w:pStyle w:val="TableParagraph"/>
              <w:spacing w:line="240" w:lineRule="auto" w:before="37"/>
              <w:ind w:left="4" w:right="0"/>
              <w:jc w:val="left"/>
              <w:rPr>
                <w:rFonts w:ascii="宋体" w:hAnsi="宋体" w:cs="宋体" w:eastAsia="宋体" w:hint="default"/>
                <w:sz w:val="21"/>
                <w:szCs w:val="21"/>
              </w:rPr>
            </w:pPr>
            <w:r>
              <w:rPr>
                <w:rFonts w:ascii="宋体"/>
                <w:w w:val="100"/>
                <w:sz w:val="21"/>
              </w:rPr>
              <w:t>K</w:t>
            </w:r>
          </w:p>
        </w:tc>
        <w:tc>
          <w:tcPr>
            <w:tcW w:w="126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5"/>
              <w:jc w:val="right"/>
              <w:rPr>
                <w:rFonts w:ascii="宋体" w:hAnsi="宋体" w:cs="宋体" w:eastAsia="宋体" w:hint="default"/>
                <w:sz w:val="21"/>
                <w:szCs w:val="21"/>
              </w:rPr>
            </w:pPr>
            <w:r>
              <w:rPr>
                <w:rFonts w:ascii="宋体"/>
                <w:sz w:val="21"/>
              </w:rPr>
              <w:t>432,960.00</w:t>
            </w:r>
          </w:p>
        </w:tc>
        <w:tc>
          <w:tcPr>
            <w:tcW w:w="212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9" w:right="-4"/>
              <w:jc w:val="left"/>
              <w:rPr>
                <w:rFonts w:ascii="宋体" w:hAnsi="宋体" w:cs="宋体" w:eastAsia="宋体" w:hint="default"/>
                <w:sz w:val="21"/>
                <w:szCs w:val="21"/>
              </w:rPr>
            </w:pPr>
            <w:r>
              <w:rPr>
                <w:rFonts w:ascii="宋体" w:hAnsi="宋体" w:cs="宋体" w:eastAsia="宋体" w:hint="default"/>
                <w:sz w:val="21"/>
                <w:szCs w:val="21"/>
              </w:rPr>
              <w:t>中国邮政储蓄银行股份</w:t>
            </w:r>
          </w:p>
          <w:p>
            <w:pPr>
              <w:pStyle w:val="TableParagraph"/>
              <w:spacing w:line="240" w:lineRule="auto" w:before="37"/>
              <w:ind w:left="9"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80"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0"/>
              <w:jc w:val="right"/>
              <w:rPr>
                <w:rFonts w:ascii="宋体" w:hAnsi="宋体" w:cs="宋体" w:eastAsia="宋体" w:hint="default"/>
                <w:sz w:val="21"/>
                <w:szCs w:val="21"/>
              </w:rPr>
            </w:pPr>
            <w:r>
              <w:rPr>
                <w:rFonts w:ascii="宋体"/>
                <w:sz w:val="21"/>
              </w:rPr>
              <w:t>2021/6/30</w:t>
            </w:r>
          </w:p>
        </w:tc>
      </w:tr>
      <w:tr>
        <w:trPr>
          <w:trHeight w:val="667" w:hRule="exact"/>
        </w:trPr>
        <w:tc>
          <w:tcPr>
            <w:tcW w:w="1949"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32"/>
              <w:jc w:val="left"/>
              <w:rPr>
                <w:rFonts w:ascii="宋体" w:hAnsi="宋体" w:cs="宋体" w:eastAsia="宋体" w:hint="default"/>
                <w:sz w:val="21"/>
                <w:szCs w:val="21"/>
              </w:rPr>
            </w:pPr>
            <w:r>
              <w:rPr>
                <w:rFonts w:ascii="宋体" w:hAnsi="宋体" w:cs="宋体" w:eastAsia="宋体" w:hint="default"/>
                <w:sz w:val="21"/>
                <w:szCs w:val="21"/>
              </w:rPr>
              <w:t>宁波银行深圳科技园</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支行</w:t>
            </w:r>
          </w:p>
        </w:tc>
        <w:tc>
          <w:tcPr>
            <w:tcW w:w="860"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9" w:right="201"/>
              <w:jc w:val="left"/>
              <w:rPr>
                <w:rFonts w:ascii="宋体" w:hAnsi="宋体" w:cs="宋体" w:eastAsia="宋体" w:hint="default"/>
                <w:sz w:val="21"/>
                <w:szCs w:val="21"/>
              </w:rPr>
            </w:pPr>
            <w:r>
              <w:rPr>
                <w:rFonts w:ascii="宋体" w:hAnsi="宋体" w:cs="宋体" w:eastAsia="宋体" w:hint="default"/>
                <w:sz w:val="21"/>
                <w:szCs w:val="21"/>
              </w:rPr>
              <w:t>维恩贝</w:t>
            </w:r>
            <w:r>
              <w:rPr>
                <w:rFonts w:ascii="宋体" w:hAnsi="宋体" w:cs="宋体" w:eastAsia="宋体" w:hint="default"/>
                <w:spacing w:val="-102"/>
                <w:sz w:val="21"/>
                <w:szCs w:val="21"/>
              </w:rPr>
              <w:t> </w:t>
            </w:r>
            <w:r>
              <w:rPr>
                <w:rFonts w:ascii="宋体" w:hAnsi="宋体" w:cs="宋体" w:eastAsia="宋体" w:hint="default"/>
                <w:sz w:val="21"/>
                <w:szCs w:val="21"/>
              </w:rPr>
              <w:t>特</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sz w:val="21"/>
              </w:rPr>
              <w:t>0733BH199HKKG5</w:t>
            </w:r>
          </w:p>
        </w:tc>
        <w:tc>
          <w:tcPr>
            <w:tcW w:w="1268"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5"/>
              <w:jc w:val="right"/>
              <w:rPr>
                <w:rFonts w:ascii="宋体" w:hAnsi="宋体" w:cs="宋体" w:eastAsia="宋体" w:hint="default"/>
                <w:sz w:val="21"/>
                <w:szCs w:val="21"/>
              </w:rPr>
            </w:pPr>
            <w:r>
              <w:rPr>
                <w:rFonts w:ascii="宋体"/>
                <w:sz w:val="21"/>
              </w:rPr>
              <w:t>426,900.00</w:t>
            </w:r>
          </w:p>
        </w:tc>
        <w:tc>
          <w:tcPr>
            <w:tcW w:w="2123"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9" w:right="-4"/>
              <w:jc w:val="left"/>
              <w:rPr>
                <w:rFonts w:ascii="宋体" w:hAnsi="宋体" w:cs="宋体" w:eastAsia="宋体" w:hint="default"/>
                <w:sz w:val="21"/>
                <w:szCs w:val="21"/>
              </w:rPr>
            </w:pPr>
            <w:r>
              <w:rPr>
                <w:rFonts w:ascii="宋体" w:hAnsi="宋体" w:cs="宋体" w:eastAsia="宋体" w:hint="default"/>
                <w:sz w:val="21"/>
                <w:szCs w:val="21"/>
              </w:rPr>
              <w:t>中国邮政储蓄银行股份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0"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0"/>
              <w:jc w:val="right"/>
              <w:rPr>
                <w:rFonts w:ascii="宋体" w:hAnsi="宋体" w:cs="宋体" w:eastAsia="宋体" w:hint="default"/>
                <w:sz w:val="21"/>
                <w:szCs w:val="21"/>
              </w:rPr>
            </w:pPr>
            <w:r>
              <w:rPr>
                <w:rFonts w:ascii="宋体"/>
                <w:sz w:val="21"/>
              </w:rPr>
              <w:t>2021/6/30</w:t>
            </w:r>
          </w:p>
        </w:tc>
      </w:tr>
      <w:tr>
        <w:trPr>
          <w:trHeight w:val="663" w:hRule="exact"/>
        </w:trPr>
        <w:tc>
          <w:tcPr>
            <w:tcW w:w="194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大丰银行股份有限公</w:t>
            </w:r>
          </w:p>
          <w:p>
            <w:pPr>
              <w:pStyle w:val="TableParagraph"/>
              <w:spacing w:line="240" w:lineRule="auto" w:before="37"/>
              <w:ind w:left="4"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860"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9" w:right="0"/>
              <w:jc w:val="left"/>
              <w:rPr>
                <w:rFonts w:ascii="宋体" w:hAnsi="宋体" w:cs="宋体" w:eastAsia="宋体" w:hint="default"/>
                <w:sz w:val="21"/>
                <w:szCs w:val="21"/>
              </w:rPr>
            </w:pPr>
            <w:r>
              <w:rPr>
                <w:rFonts w:ascii="宋体" w:hAnsi="宋体" w:cs="宋体" w:eastAsia="宋体" w:hint="default"/>
                <w:sz w:val="21"/>
                <w:szCs w:val="21"/>
              </w:rPr>
              <w:t>澳门维</w:t>
            </w:r>
          </w:p>
          <w:p>
            <w:pPr>
              <w:pStyle w:val="TableParagraph"/>
              <w:spacing w:line="240" w:lineRule="auto" w:before="37"/>
              <w:ind w:left="9" w:right="0"/>
              <w:jc w:val="left"/>
              <w:rPr>
                <w:rFonts w:ascii="宋体" w:hAnsi="宋体" w:cs="宋体" w:eastAsia="宋体" w:hint="default"/>
                <w:sz w:val="21"/>
                <w:szCs w:val="21"/>
              </w:rPr>
            </w:pPr>
            <w:r>
              <w:rPr>
                <w:rFonts w:ascii="宋体" w:hAnsi="宋体" w:cs="宋体" w:eastAsia="宋体" w:hint="default"/>
                <w:sz w:val="21"/>
                <w:szCs w:val="21"/>
              </w:rPr>
              <w:t>恩贝特</w:t>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4" w:right="0"/>
              <w:jc w:val="left"/>
              <w:rPr>
                <w:rFonts w:ascii="宋体" w:hAnsi="宋体" w:cs="宋体" w:eastAsia="宋体" w:hint="default"/>
                <w:sz w:val="21"/>
                <w:szCs w:val="21"/>
              </w:rPr>
            </w:pPr>
            <w:r>
              <w:rPr>
                <w:rFonts w:ascii="宋体"/>
                <w:sz w:val="21"/>
              </w:rPr>
              <w:t>BG190041501N</w:t>
            </w:r>
          </w:p>
        </w:tc>
        <w:tc>
          <w:tcPr>
            <w:tcW w:w="126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5"/>
              <w:jc w:val="right"/>
              <w:rPr>
                <w:rFonts w:ascii="宋体" w:hAnsi="宋体" w:cs="宋体" w:eastAsia="宋体" w:hint="default"/>
                <w:sz w:val="21"/>
                <w:szCs w:val="21"/>
              </w:rPr>
            </w:pPr>
            <w:r>
              <w:rPr>
                <w:rFonts w:ascii="宋体"/>
                <w:sz w:val="21"/>
              </w:rPr>
              <w:t>72,993.80</w:t>
            </w:r>
          </w:p>
        </w:tc>
        <w:tc>
          <w:tcPr>
            <w:tcW w:w="2123"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9" w:right="-4"/>
              <w:jc w:val="left"/>
              <w:rPr>
                <w:rFonts w:ascii="宋体" w:hAnsi="宋体" w:cs="宋体" w:eastAsia="宋体" w:hint="default"/>
                <w:sz w:val="21"/>
                <w:szCs w:val="21"/>
              </w:rPr>
            </w:pPr>
            <w:r>
              <w:rPr>
                <w:rFonts w:ascii="宋体" w:hAnsi="宋体" w:cs="宋体" w:eastAsia="宋体" w:hint="default"/>
                <w:sz w:val="21"/>
                <w:szCs w:val="21"/>
              </w:rPr>
              <w:t>澳门特别行政区政府交</w:t>
            </w:r>
          </w:p>
          <w:p>
            <w:pPr>
              <w:pStyle w:val="TableParagraph"/>
              <w:spacing w:line="240" w:lineRule="auto" w:before="37"/>
              <w:ind w:left="9" w:right="0"/>
              <w:jc w:val="left"/>
              <w:rPr>
                <w:rFonts w:ascii="宋体" w:hAnsi="宋体" w:cs="宋体" w:eastAsia="宋体" w:hint="default"/>
                <w:sz w:val="21"/>
                <w:szCs w:val="21"/>
              </w:rPr>
            </w:pPr>
            <w:r>
              <w:rPr>
                <w:rFonts w:ascii="宋体" w:hAnsi="宋体" w:cs="宋体" w:eastAsia="宋体" w:hint="default"/>
                <w:sz w:val="21"/>
                <w:szCs w:val="21"/>
              </w:rPr>
              <w:t>通事务局</w:t>
            </w:r>
          </w:p>
        </w:tc>
        <w:tc>
          <w:tcPr>
            <w:tcW w:w="1280"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0"/>
              <w:jc w:val="right"/>
              <w:rPr>
                <w:rFonts w:ascii="宋体" w:hAnsi="宋体" w:cs="宋体" w:eastAsia="宋体" w:hint="default"/>
                <w:sz w:val="21"/>
                <w:szCs w:val="21"/>
              </w:rPr>
            </w:pPr>
            <w:r>
              <w:rPr>
                <w:rFonts w:ascii="宋体" w:hAnsi="宋体" w:cs="宋体" w:eastAsia="宋体" w:hint="default"/>
                <w:sz w:val="21"/>
                <w:szCs w:val="21"/>
              </w:rPr>
              <w:t>未明确约定</w:t>
            </w:r>
          </w:p>
        </w:tc>
      </w:tr>
      <w:tr>
        <w:trPr>
          <w:trHeight w:val="667" w:hRule="exact"/>
        </w:trPr>
        <w:tc>
          <w:tcPr>
            <w:tcW w:w="1949"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860" w:type="dxa"/>
            <w:tcBorders>
              <w:top w:val="single" w:sz="12" w:space="0" w:color="000000"/>
              <w:left w:val="single" w:sz="6" w:space="0" w:color="000000"/>
              <w:bottom w:val="single" w:sz="12" w:space="0" w:color="000000"/>
              <w:right w:val="single" w:sz="6" w:space="0" w:color="000000"/>
            </w:tcBorders>
          </w:tcPr>
          <w:p>
            <w:pPr/>
          </w:p>
        </w:tc>
        <w:tc>
          <w:tcPr>
            <w:tcW w:w="1561" w:type="dxa"/>
            <w:tcBorders>
              <w:top w:val="single" w:sz="12" w:space="0" w:color="000000"/>
              <w:left w:val="single" w:sz="6" w:space="0" w:color="000000"/>
              <w:bottom w:val="single" w:sz="12" w:space="0" w:color="000000"/>
              <w:right w:val="single" w:sz="6" w:space="0" w:color="000000"/>
            </w:tcBorders>
          </w:tcPr>
          <w:p>
            <w:pPr/>
          </w:p>
        </w:tc>
        <w:tc>
          <w:tcPr>
            <w:tcW w:w="126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5"/>
              <w:jc w:val="right"/>
              <w:rPr>
                <w:rFonts w:ascii="宋体" w:hAnsi="宋体" w:cs="宋体" w:eastAsia="宋体" w:hint="default"/>
                <w:sz w:val="21"/>
                <w:szCs w:val="21"/>
              </w:rPr>
            </w:pPr>
            <w:r>
              <w:rPr>
                <w:rFonts w:ascii="宋体"/>
                <w:sz w:val="21"/>
              </w:rPr>
              <w:t>22,380,196.</w:t>
            </w:r>
          </w:p>
          <w:p>
            <w:pPr>
              <w:pStyle w:val="TableParagraph"/>
              <w:spacing w:line="240" w:lineRule="auto" w:before="37"/>
              <w:ind w:right="-1"/>
              <w:jc w:val="right"/>
              <w:rPr>
                <w:rFonts w:ascii="宋体" w:hAnsi="宋体" w:cs="宋体" w:eastAsia="宋体" w:hint="default"/>
                <w:sz w:val="21"/>
                <w:szCs w:val="21"/>
              </w:rPr>
            </w:pPr>
            <w:r>
              <w:rPr>
                <w:rFonts w:ascii="宋体"/>
                <w:sz w:val="21"/>
              </w:rPr>
              <w:t>23</w:t>
            </w:r>
          </w:p>
        </w:tc>
        <w:tc>
          <w:tcPr>
            <w:tcW w:w="2123" w:type="dxa"/>
            <w:tcBorders>
              <w:top w:val="single" w:sz="12" w:space="0" w:color="000000"/>
              <w:left w:val="single" w:sz="6" w:space="0" w:color="000000"/>
              <w:bottom w:val="single" w:sz="12" w:space="0" w:color="000000"/>
              <w:right w:val="single" w:sz="6" w:space="0" w:color="000000"/>
            </w:tcBorders>
          </w:tcPr>
          <w:p>
            <w:pPr/>
          </w:p>
        </w:tc>
        <w:tc>
          <w:tcPr>
            <w:tcW w:w="1280"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764"/>
        <w:jc w:val="left"/>
        <w:rPr>
          <w:b w:val="0"/>
          <w:bCs w:val="0"/>
        </w:rPr>
      </w:pPr>
      <w:bookmarkStart w:name="2、或有事项" w:id="501"/>
      <w:bookmarkEnd w:id="501"/>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764"/>
        <w:jc w:val="left"/>
        <w:rPr>
          <w:b w:val="0"/>
          <w:bCs w:val="0"/>
        </w:rPr>
      </w:pPr>
      <w:bookmarkStart w:name="（1）资产负债表日存在的重要或有事项" w:id="502"/>
      <w:bookmarkEnd w:id="502"/>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9"/>
        <w:rPr>
          <w:rFonts w:ascii="宋体" w:hAnsi="宋体" w:cs="宋体" w:eastAsia="宋体" w:hint="default"/>
          <w:b/>
          <w:bCs/>
          <w:sz w:val="26"/>
          <w:szCs w:val="26"/>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p>
    <w:p>
      <w:pPr>
        <w:pStyle w:val="Heading3"/>
        <w:spacing w:line="240" w:lineRule="auto" w:before="118"/>
        <w:ind w:right="1764"/>
        <w:jc w:val="left"/>
        <w:rPr>
          <w:b w:val="0"/>
          <w:bCs w:val="0"/>
        </w:rPr>
      </w:pPr>
      <w:bookmarkStart w:name="（2）公司没有需要披露的重要或有事项，也应予以说明" w:id="503"/>
      <w:bookmarkEnd w:id="503"/>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9"/>
        <w:rPr>
          <w:rFonts w:ascii="宋体" w:hAnsi="宋体" w:cs="宋体" w:eastAsia="宋体" w:hint="default"/>
          <w:b/>
          <w:bCs/>
          <w:sz w:val="26"/>
          <w:szCs w:val="26"/>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公司不存在需要披露的重要或有事项。</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spacing w:line="487" w:lineRule="auto" w:before="36"/>
        <w:ind w:left="113" w:right="7859" w:firstLine="0"/>
        <w:jc w:val="left"/>
        <w:rPr>
          <w:rFonts w:ascii="宋体" w:hAnsi="宋体" w:cs="宋体" w:eastAsia="宋体" w:hint="default"/>
          <w:sz w:val="21"/>
          <w:szCs w:val="21"/>
        </w:rPr>
      </w:pPr>
      <w:bookmarkStart w:name="3、其他" w:id="504"/>
      <w:bookmarkEnd w:id="50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五、资产负债表日后事项" w:id="505"/>
      <w:bookmarkEnd w:id="505"/>
      <w:r>
        <w:rPr>
          <w:rFonts w:ascii="宋体" w:hAnsi="宋体" w:cs="宋体" w:eastAsia="宋体" w:hint="default"/>
          <w:b/>
          <w:bCs/>
          <w:w w:val="100"/>
          <w:sz w:val="21"/>
          <w:szCs w:val="21"/>
        </w:rPr>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bookmarkStart w:name="1、重要的非调整事项" w:id="506"/>
      <w:bookmarkEnd w:id="50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0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492"/>
        <w:gridCol w:w="2300"/>
        <w:gridCol w:w="2387"/>
        <w:gridCol w:w="2391"/>
      </w:tblGrid>
      <w:tr>
        <w:trPr>
          <w:trHeight w:val="711" w:hRule="exact"/>
        </w:trPr>
        <w:tc>
          <w:tcPr>
            <w:tcW w:w="2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08" w:right="104" w:hanging="903"/>
              <w:jc w:val="left"/>
              <w:rPr>
                <w:rFonts w:ascii="宋体" w:hAnsi="宋体" w:cs="宋体" w:eastAsia="宋体" w:hint="default"/>
                <w:sz w:val="18"/>
                <w:szCs w:val="18"/>
              </w:rPr>
            </w:pPr>
            <w:r>
              <w:rPr>
                <w:rFonts w:ascii="宋体" w:hAnsi="宋体" w:cs="宋体" w:eastAsia="宋体" w:hint="default"/>
                <w:spacing w:val="-3"/>
                <w:sz w:val="18"/>
                <w:szCs w:val="18"/>
              </w:rPr>
              <w:t>对财务状况和经营成果的影</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2、利润分配情况" w:id="507"/>
      <w:bookmarkEnd w:id="507"/>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7"/>
        <w:rPr>
          <w:rFonts w:ascii="宋体" w:hAnsi="宋体" w:cs="宋体" w:eastAsia="宋体" w:hint="default"/>
          <w:sz w:val="23"/>
          <w:szCs w:val="23"/>
        </w:rPr>
      </w:pPr>
    </w:p>
    <w:p>
      <w:pPr>
        <w:pStyle w:val="Heading3"/>
        <w:spacing w:line="240" w:lineRule="auto" w:before="36"/>
        <w:ind w:right="1764"/>
        <w:jc w:val="left"/>
        <w:rPr>
          <w:b w:val="0"/>
          <w:bCs w:val="0"/>
        </w:rPr>
      </w:pPr>
      <w:bookmarkStart w:name="3、销售退回" w:id="508"/>
      <w:bookmarkEnd w:id="508"/>
      <w:r>
        <w:rPr>
          <w:b w:val="0"/>
          <w:bCs w:val="0"/>
        </w:rPr>
      </w:r>
      <w:r>
        <w:rPr>
          <w:rFonts w:ascii="Times New Roman" w:hAnsi="Times New Roman" w:cs="Times New Roman" w:eastAsia="Times New Roman" w:hint="default"/>
        </w:rPr>
        <w:t>3</w:t>
      </w:r>
      <w:r>
        <w:rPr/>
        <w:t>、销售退回</w:t>
      </w:r>
      <w:r>
        <w:rPr>
          <w:b w:val="0"/>
          <w:bCs w:val="0"/>
        </w:rPr>
      </w:r>
    </w:p>
    <w:p>
      <w:pPr>
        <w:pStyle w:val="Heading3"/>
        <w:spacing w:line="600" w:lineRule="atLeast" w:before="14"/>
        <w:ind w:left="953" w:right="7695" w:hanging="841"/>
        <w:jc w:val="left"/>
        <w:rPr>
          <w:b w:val="0"/>
          <w:bCs w:val="0"/>
        </w:rPr>
      </w:pPr>
      <w:bookmarkStart w:name="4、其他资产负债表日后事项说明" w:id="509"/>
      <w:bookmarkEnd w:id="509"/>
      <w:r>
        <w:rPr>
          <w:b w:val="0"/>
          <w:bCs w:val="0"/>
        </w:rPr>
      </w:r>
      <w:r>
        <w:rPr>
          <w:rFonts w:ascii="Times New Roman" w:hAnsi="Times New Roman" w:cs="Times New Roman" w:eastAsia="Times New Roman" w:hint="default"/>
        </w:rPr>
        <w:t>4</w:t>
      </w:r>
      <w:r>
        <w:rPr/>
        <w:t>、其他资产负债表日后事项说明</w:t>
      </w:r>
      <w:r>
        <w:rPr>
          <w:spacing w:val="-100"/>
        </w:rPr>
        <w:t> </w:t>
      </w:r>
      <w:r>
        <w:rPr/>
        <w:t>重要的非调整事项</w:t>
      </w:r>
      <w:r>
        <w:rPr>
          <w:b w:val="0"/>
          <w:bCs w:val="0"/>
        </w:rPr>
      </w:r>
    </w:p>
    <w:p>
      <w:pPr>
        <w:pStyle w:val="BodyText"/>
        <w:spacing w:line="273" w:lineRule="auto" w:before="37"/>
        <w:ind w:left="473" w:right="1161" w:firstLine="422"/>
        <w:jc w:val="both"/>
      </w:pPr>
      <w:r>
        <w:rPr>
          <w:rFonts w:ascii="宋体" w:hAnsi="宋体" w:cs="宋体" w:eastAsia="宋体" w:hint="default"/>
          <w:spacing w:val="-2"/>
        </w:rPr>
        <w:t>1</w:t>
      </w:r>
      <w:r>
        <w:rPr>
          <w:spacing w:val="-2"/>
        </w:rPr>
        <w:t>、新型冠状病毒感染的肺炎疫情于</w:t>
      </w:r>
      <w:r>
        <w:rPr>
          <w:rFonts w:ascii="宋体" w:hAnsi="宋体" w:cs="宋体" w:eastAsia="宋体" w:hint="default"/>
          <w:spacing w:val="-2"/>
        </w:rPr>
        <w:t>2020</w:t>
      </w:r>
      <w:r>
        <w:rPr>
          <w:spacing w:val="-2"/>
        </w:rPr>
        <w:t>年</w:t>
      </w:r>
      <w:r>
        <w:rPr>
          <w:rFonts w:ascii="宋体" w:hAnsi="宋体" w:cs="宋体" w:eastAsia="宋体" w:hint="default"/>
          <w:spacing w:val="-2"/>
        </w:rPr>
        <w:t>1</w:t>
      </w:r>
      <w:r>
        <w:rPr>
          <w:spacing w:val="-2"/>
        </w:rPr>
        <w:t>月在全国爆发以来，对疫情的防控工作正在全国范围</w:t>
      </w:r>
      <w:r>
        <w:rPr>
          <w:w w:val="100"/>
        </w:rPr>
        <w:t> </w:t>
      </w:r>
      <w:r>
        <w:rPr>
          <w:spacing w:val="-2"/>
        </w:rPr>
        <w:t>内持续进行，本公司将切实贯彻落实防控工作的各项要求，强化对疫情防控工作的的支持。公司作为</w:t>
      </w:r>
      <w:r>
        <w:rPr>
          <w:spacing w:val="-12"/>
        </w:rPr>
        <w:t> </w:t>
      </w:r>
      <w:r>
        <w:rPr>
          <w:spacing w:val="-12"/>
        </w:rPr>
      </w:r>
      <w:r>
        <w:rPr>
          <w:spacing w:val="-2"/>
        </w:rPr>
        <w:t>软件定制开发和服务的劳动密集型企业，大部分项目不能现场交付和现场沟通立项，但仍需要支付职</w:t>
      </w:r>
      <w:r>
        <w:rPr>
          <w:spacing w:val="-15"/>
        </w:rPr>
        <w:t> </w:t>
      </w:r>
      <w:r>
        <w:rPr>
          <w:spacing w:val="-15"/>
        </w:rPr>
      </w:r>
      <w:r>
        <w:rPr>
          <w:spacing w:val="-2"/>
        </w:rPr>
        <w:t>工薪酬，</w:t>
      </w:r>
      <w:r>
        <w:rPr>
          <w:rFonts w:ascii="宋体" w:hAnsi="宋体" w:cs="宋体" w:eastAsia="宋体" w:hint="default"/>
          <w:spacing w:val="-2"/>
        </w:rPr>
        <w:t>2020</w:t>
      </w:r>
      <w:r>
        <w:rPr>
          <w:spacing w:val="-2"/>
        </w:rPr>
        <w:t>年一季度业绩预计将受到一定程度影响，但未对整体经营情况产生重大不利影响。公司</w:t>
      </w:r>
      <w:r>
        <w:rPr>
          <w:spacing w:val="-11"/>
        </w:rPr>
        <w:t> </w:t>
      </w:r>
      <w:r>
        <w:rPr>
          <w:spacing w:val="-11"/>
        </w:rPr>
      </w:r>
      <w:r>
        <w:rPr/>
        <w:t>将密切关注本次疫情发展情况，积极应对其可能对公司财务状况、经营成果等方面的影响。</w:t>
      </w:r>
    </w:p>
    <w:p>
      <w:pPr>
        <w:pStyle w:val="BodyText"/>
        <w:spacing w:line="273" w:lineRule="auto"/>
        <w:ind w:left="473" w:right="1125" w:firstLine="422"/>
        <w:jc w:val="both"/>
      </w:pPr>
      <w:r>
        <w:rPr>
          <w:rFonts w:ascii="宋体" w:hAnsi="宋体" w:cs="宋体" w:eastAsia="宋体" w:hint="default"/>
          <w:spacing w:val="-8"/>
          <w:w w:val="100"/>
        </w:rPr>
        <w:t>2</w:t>
      </w:r>
      <w:r>
        <w:rPr>
          <w:spacing w:val="-8"/>
          <w:w w:val="100"/>
        </w:rPr>
        <w:t>、截止报告出具日，本公司持有的两份由立得空间信息技术股份有限公司开具的商业承兑汇票（票</w:t>
      </w:r>
      <w:r>
        <w:rPr>
          <w:w w:val="100"/>
        </w:rPr>
        <w:t> </w:t>
      </w:r>
      <w:r>
        <w:rPr/>
        <w:t>据号分别为</w:t>
      </w:r>
      <w:r>
        <w:rPr>
          <w:rFonts w:ascii="宋体" w:hAnsi="宋体" w:cs="宋体" w:eastAsia="宋体" w:hint="default"/>
        </w:rPr>
        <w:t>230252103829020190929487846839</w:t>
      </w:r>
      <w:r>
        <w:rPr/>
        <w:t>、</w:t>
      </w:r>
      <w:r>
        <w:rPr>
          <w:rFonts w:ascii="宋体" w:hAnsi="宋体" w:cs="宋体" w:eastAsia="宋体" w:hint="default"/>
        </w:rPr>
        <w:t>230252103829020190929487847591</w:t>
      </w:r>
      <w:r>
        <w:rPr/>
        <w:t>）金额共计</w:t>
      </w:r>
    </w:p>
    <w:p>
      <w:pPr>
        <w:pStyle w:val="BodyText"/>
        <w:spacing w:line="240" w:lineRule="auto"/>
        <w:ind w:left="473" w:right="0"/>
        <w:jc w:val="both"/>
      </w:pPr>
      <w:r>
        <w:rPr>
          <w:rFonts w:ascii="宋体" w:hAnsi="宋体" w:cs="宋体" w:eastAsia="宋体" w:hint="default"/>
        </w:rPr>
        <w:t>10,047,292.00</w:t>
      </w:r>
      <w:r>
        <w:rPr/>
        <w:t>元，到期日为</w:t>
      </w:r>
      <w:r>
        <w:rPr>
          <w:rFonts w:ascii="宋体" w:hAnsi="宋体" w:cs="宋体" w:eastAsia="宋体" w:hint="default"/>
        </w:rPr>
        <w:t>2020/1/29</w:t>
      </w:r>
      <w:r>
        <w:rPr/>
        <w:t>，由于客户位于武汉，受疫情影响该票据逾期未支付。</w:t>
      </w:r>
    </w:p>
    <w:p>
      <w:pPr>
        <w:pStyle w:val="BodyText"/>
        <w:spacing w:line="273" w:lineRule="auto" w:before="37"/>
        <w:ind w:left="473" w:right="1148" w:firstLine="422"/>
        <w:jc w:val="left"/>
      </w:pPr>
      <w:r>
        <w:rPr>
          <w:rFonts w:ascii="宋体" w:hAnsi="宋体" w:cs="宋体" w:eastAsia="宋体" w:hint="default"/>
          <w:spacing w:val="-2"/>
        </w:rPr>
        <w:t>3</w:t>
      </w:r>
      <w:r>
        <w:rPr>
          <w:spacing w:val="-2"/>
        </w:rPr>
        <w:t>、</w:t>
      </w:r>
      <w:r>
        <w:rPr>
          <w:rFonts w:ascii="宋体" w:hAnsi="宋体" w:cs="宋体" w:eastAsia="宋体" w:hint="default"/>
          <w:spacing w:val="-2"/>
        </w:rPr>
        <w:t>2020</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20</w:t>
      </w:r>
      <w:r>
        <w:rPr>
          <w:spacing w:val="-2"/>
        </w:rPr>
        <w:t>日，公司第五届董事会第六次会议审议通过《关于申请使用集团综合授信额度的</w:t>
      </w:r>
      <w:r>
        <w:rPr>
          <w:w w:val="100"/>
        </w:rPr>
        <w:t> </w:t>
      </w:r>
      <w:r>
        <w:rPr>
          <w:spacing w:val="-4"/>
          <w:w w:val="100"/>
        </w:rPr>
        <w:t>议案》。为满足公司业务发展需要，公司拟向金融机构及类金融企业申请使用综合授信额度不超过</w:t>
      </w:r>
      <w:r>
        <w:rPr>
          <w:spacing w:val="-90"/>
          <w:w w:val="100"/>
        </w:rPr>
        <w:t> </w:t>
      </w:r>
      <w:r>
        <w:rPr>
          <w:spacing w:val="-90"/>
          <w:w w:val="100"/>
        </w:rPr>
      </w:r>
      <w:r>
        <w:rPr>
          <w:rFonts w:ascii="宋体" w:hAnsi="宋体" w:cs="宋体" w:eastAsia="宋体" w:hint="default"/>
        </w:rPr>
        <w:t>250,000</w:t>
      </w:r>
      <w:r>
        <w:rPr>
          <w:rFonts w:ascii="宋体" w:hAnsi="宋体" w:cs="宋体" w:eastAsia="宋体" w:hint="default"/>
          <w:spacing w:val="3"/>
        </w:rPr>
        <w:t> </w:t>
      </w:r>
      <w:r>
        <w:rPr/>
        <w:t>万元。其中合肥天源迪科信息技术有限公司、上海天源迪科信息技术有限公司、深圳市金华</w:t>
      </w:r>
      <w:r>
        <w:rPr>
          <w:w w:val="100"/>
        </w:rPr>
        <w:t> </w:t>
      </w:r>
      <w:r>
        <w:rPr>
          <w:spacing w:val="-2"/>
        </w:rPr>
        <w:t>威数码科技有限公司、维恩贝特科技有限公司、深圳市宝贝团信息技术有限公司向金融机构及类金融</w:t>
      </w:r>
      <w:r>
        <w:rPr>
          <w:spacing w:val="-15"/>
        </w:rPr>
        <w:t> </w:t>
      </w:r>
      <w:r>
        <w:rPr>
          <w:spacing w:val="-15"/>
        </w:rPr>
      </w:r>
      <w:r>
        <w:rPr/>
        <w:t>企业申请使用综合授信额度合计不超过 </w:t>
      </w:r>
      <w:r>
        <w:rPr>
          <w:rFonts w:ascii="宋体" w:hAnsi="宋体" w:cs="宋体" w:eastAsia="宋体" w:hint="default"/>
        </w:rPr>
        <w:t>220,000 </w:t>
      </w:r>
      <w:r>
        <w:rPr/>
        <w:t>万元。</w:t>
      </w:r>
    </w:p>
    <w:p>
      <w:pPr>
        <w:pStyle w:val="BodyText"/>
        <w:spacing w:line="273" w:lineRule="auto"/>
        <w:ind w:left="473" w:right="1122" w:firstLine="422"/>
        <w:jc w:val="both"/>
      </w:pPr>
      <w:r>
        <w:rPr>
          <w:rFonts w:ascii="宋体" w:hAnsi="宋体" w:cs="宋体" w:eastAsia="宋体" w:hint="default"/>
          <w:spacing w:val="-3"/>
        </w:rPr>
        <w:t>4</w:t>
      </w:r>
      <w:r>
        <w:rPr>
          <w:spacing w:val="-3"/>
        </w:rPr>
        <w:t>、</w:t>
      </w:r>
      <w:r>
        <w:rPr>
          <w:rFonts w:ascii="宋体" w:hAnsi="宋体" w:cs="宋体" w:eastAsia="宋体" w:hint="default"/>
          <w:spacing w:val="-3"/>
        </w:rPr>
        <w:t>2020</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20</w:t>
      </w:r>
      <w:r>
        <w:rPr>
          <w:spacing w:val="-3"/>
        </w:rPr>
        <w:t>日，公司第五届董事会第六次会议审议通过《关于</w:t>
      </w:r>
      <w:r>
        <w:rPr>
          <w:spacing w:val="28"/>
        </w:rPr>
        <w:t> </w:t>
      </w:r>
      <w:r>
        <w:rPr>
          <w:rFonts w:ascii="宋体" w:hAnsi="宋体" w:cs="宋体" w:eastAsia="宋体" w:hint="default"/>
        </w:rPr>
        <w:t>2020</w:t>
      </w:r>
      <w:r>
        <w:rPr/>
        <w:t>年度为子公司提供财务资</w:t>
      </w:r>
      <w:r>
        <w:rPr>
          <w:w w:val="100"/>
        </w:rPr>
        <w:t> </w:t>
      </w:r>
      <w:r>
        <w:rPr>
          <w:spacing w:val="-5"/>
          <w:w w:val="100"/>
        </w:rPr>
        <w:t>助额度的议案》。公司的控股子公司深圳金华威、控股子公司合肥英泽、控股子公司广西驿途、控股子</w:t>
      </w:r>
      <w:r>
        <w:rPr>
          <w:w w:val="100"/>
        </w:rPr>
        <w:t> </w:t>
      </w:r>
      <w:r>
        <w:rPr/>
        <w:t>公司北京迪科云起因日常经营资金需求，</w:t>
      </w:r>
      <w:r>
        <w:rPr>
          <w:rFonts w:ascii="宋体" w:hAnsi="宋体" w:cs="宋体" w:eastAsia="宋体" w:hint="default"/>
        </w:rPr>
        <w:t>2020 </w:t>
      </w:r>
      <w:r>
        <w:rPr/>
        <w:t>年度计划需要使用流动资金 </w:t>
      </w:r>
      <w:r>
        <w:rPr>
          <w:rFonts w:ascii="宋体" w:hAnsi="宋体" w:cs="宋体" w:eastAsia="宋体" w:hint="default"/>
        </w:rPr>
        <w:t>102,000</w:t>
      </w:r>
      <w:r>
        <w:rPr>
          <w:rFonts w:ascii="宋体" w:hAnsi="宋体" w:cs="宋体" w:eastAsia="宋体" w:hint="default"/>
          <w:spacing w:val="-2"/>
        </w:rPr>
        <w:t> </w:t>
      </w:r>
      <w:r>
        <w:rPr/>
        <w:t>万元。为降低融</w:t>
      </w:r>
      <w:r>
        <w:rPr>
          <w:w w:val="100"/>
        </w:rPr>
        <w:t> </w:t>
      </w:r>
      <w:r>
        <w:rPr>
          <w:spacing w:val="-2"/>
        </w:rPr>
        <w:t>资成本，同时保证资金需求，上述子公司向金融机构及类金融企业申请贷款的同时，公司为其提供财</w:t>
      </w:r>
      <w:r>
        <w:rPr>
          <w:spacing w:val="-15"/>
        </w:rPr>
        <w:t> </w:t>
      </w:r>
      <w:r>
        <w:rPr>
          <w:spacing w:val="-15"/>
        </w:rPr>
      </w:r>
      <w:r>
        <w:rPr/>
        <w:t>务资助，使用综合授信额度和财务资助合计额度不超过 </w:t>
      </w:r>
      <w:r>
        <w:rPr>
          <w:rFonts w:ascii="宋体" w:hAnsi="宋体" w:cs="宋体" w:eastAsia="宋体" w:hint="default"/>
        </w:rPr>
        <w:t>102,000</w:t>
      </w:r>
      <w:r>
        <w:rPr>
          <w:rFonts w:ascii="宋体" w:hAnsi="宋体" w:cs="宋体" w:eastAsia="宋体" w:hint="default"/>
          <w:spacing w:val="4"/>
        </w:rPr>
        <w:t> </w:t>
      </w:r>
      <w:r>
        <w:rPr/>
        <w:t>万元。</w:t>
      </w:r>
    </w:p>
    <w:p>
      <w:pPr>
        <w:pStyle w:val="BodyText"/>
        <w:spacing w:line="240" w:lineRule="auto"/>
        <w:ind w:left="896" w:right="1007"/>
        <w:jc w:val="left"/>
      </w:pPr>
      <w:r>
        <w:rPr>
          <w:rFonts w:ascii="宋体" w:hAnsi="宋体" w:cs="宋体" w:eastAsia="宋体" w:hint="default"/>
        </w:rPr>
        <w:t>5</w:t>
      </w:r>
      <w:r>
        <w:rPr/>
        <w:t>、</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20</w:t>
      </w:r>
      <w:r>
        <w:rPr/>
        <w:t>日，公司第五届董事会第六次会议审议通过《关于 </w:t>
      </w:r>
      <w:r>
        <w:rPr>
          <w:rFonts w:ascii="宋体" w:hAnsi="宋体" w:cs="宋体" w:eastAsia="宋体" w:hint="default"/>
        </w:rPr>
        <w:t>2020</w:t>
      </w:r>
      <w:r>
        <w:rPr>
          <w:rFonts w:ascii="宋体" w:hAnsi="宋体" w:cs="宋体" w:eastAsia="宋体" w:hint="default"/>
          <w:spacing w:val="2"/>
        </w:rPr>
        <w:t> </w:t>
      </w:r>
      <w:r>
        <w:rPr/>
        <w:t>年度为子公司提供担保</w:t>
      </w:r>
    </w:p>
    <w:p>
      <w:pPr>
        <w:pStyle w:val="BodyText"/>
        <w:spacing w:line="240" w:lineRule="auto" w:before="37"/>
        <w:ind w:left="473" w:right="0"/>
        <w:jc w:val="both"/>
      </w:pPr>
      <w:r>
        <w:rPr>
          <w:w w:val="100"/>
        </w:rPr>
        <w:t>额度的议案</w:t>
      </w:r>
      <w:r>
        <w:rPr>
          <w:spacing w:val="-111"/>
          <w:w w:val="100"/>
        </w:rPr>
        <w:t>》</w:t>
      </w:r>
      <w:r>
        <w:rPr>
          <w:spacing w:val="-68"/>
          <w:w w:val="100"/>
        </w:rPr>
        <w:t>。</w:t>
      </w:r>
      <w:r>
        <w:rPr>
          <w:w w:val="100"/>
        </w:rPr>
        <w:t>公司</w:t>
      </w:r>
      <w:r>
        <w:rPr>
          <w:spacing w:val="-5"/>
          <w:w w:val="100"/>
        </w:rPr>
        <w:t>及</w:t>
      </w:r>
      <w:r>
        <w:rPr>
          <w:w w:val="100"/>
        </w:rPr>
        <w:t>合并报</w:t>
      </w:r>
      <w:r>
        <w:rPr>
          <w:spacing w:val="-5"/>
          <w:w w:val="100"/>
        </w:rPr>
        <w:t>表</w:t>
      </w:r>
      <w:r>
        <w:rPr>
          <w:w w:val="100"/>
        </w:rPr>
        <w:t>范围内</w:t>
      </w:r>
      <w:r>
        <w:rPr>
          <w:spacing w:val="-5"/>
          <w:w w:val="100"/>
        </w:rPr>
        <w:t>子</w:t>
      </w:r>
      <w:r>
        <w:rPr>
          <w:w w:val="100"/>
        </w:rPr>
        <w:t>公司</w:t>
      </w:r>
      <w:r>
        <w:rPr>
          <w:spacing w:val="2"/>
        </w:rPr>
        <w:t> </w:t>
      </w:r>
      <w:r>
        <w:rPr>
          <w:rFonts w:ascii="宋体" w:hAnsi="宋体" w:cs="宋体" w:eastAsia="宋体" w:hint="default"/>
          <w:w w:val="100"/>
        </w:rPr>
        <w:t>20</w:t>
      </w:r>
      <w:r>
        <w:rPr>
          <w:rFonts w:ascii="宋体" w:hAnsi="宋体" w:cs="宋体" w:eastAsia="宋体" w:hint="default"/>
          <w:spacing w:val="-5"/>
          <w:w w:val="100"/>
        </w:rPr>
        <w:t>2</w:t>
      </w:r>
      <w:r>
        <w:rPr>
          <w:rFonts w:ascii="宋体" w:hAnsi="宋体" w:cs="宋体" w:eastAsia="宋体" w:hint="default"/>
          <w:w w:val="100"/>
        </w:rPr>
        <w:t>0</w:t>
      </w:r>
      <w:r>
        <w:rPr>
          <w:rFonts w:ascii="宋体" w:hAnsi="宋体" w:cs="宋体" w:eastAsia="宋体" w:hint="default"/>
          <w:spacing w:val="1"/>
        </w:rPr>
        <w:t> </w:t>
      </w:r>
      <w:r>
        <w:rPr>
          <w:spacing w:val="-5"/>
          <w:w w:val="100"/>
        </w:rPr>
        <w:t>年</w:t>
      </w:r>
      <w:r>
        <w:rPr>
          <w:w w:val="100"/>
        </w:rPr>
        <w:t>度拟向金</w:t>
      </w:r>
      <w:r>
        <w:rPr>
          <w:spacing w:val="-5"/>
          <w:w w:val="100"/>
        </w:rPr>
        <w:t>融</w:t>
      </w:r>
      <w:r>
        <w:rPr>
          <w:w w:val="100"/>
        </w:rPr>
        <w:t>机构及</w:t>
      </w:r>
      <w:r>
        <w:rPr>
          <w:spacing w:val="-5"/>
          <w:w w:val="100"/>
        </w:rPr>
        <w:t>类</w:t>
      </w:r>
      <w:r>
        <w:rPr>
          <w:w w:val="100"/>
        </w:rPr>
        <w:t>金融企</w:t>
      </w:r>
      <w:r>
        <w:rPr>
          <w:spacing w:val="-5"/>
          <w:w w:val="100"/>
        </w:rPr>
        <w:t>业</w:t>
      </w:r>
      <w:r>
        <w:rPr>
          <w:w w:val="100"/>
        </w:rPr>
        <w:t>申请使</w:t>
      </w:r>
      <w:r>
        <w:rPr>
          <w:spacing w:val="-5"/>
          <w:w w:val="100"/>
        </w:rPr>
        <w:t>用</w:t>
      </w:r>
      <w:r>
        <w:rPr>
          <w:w w:val="100"/>
        </w:rPr>
        <w:t>综合授信</w:t>
      </w:r>
    </w:p>
    <w:p>
      <w:pPr>
        <w:pStyle w:val="BodyText"/>
        <w:spacing w:line="273" w:lineRule="auto" w:before="37"/>
        <w:ind w:left="473" w:right="1123"/>
        <w:jc w:val="both"/>
      </w:pPr>
      <w:r>
        <w:rPr>
          <w:spacing w:val="-3"/>
        </w:rPr>
        <w:t>额度最高不超过人民币</w:t>
      </w:r>
      <w:r>
        <w:rPr>
          <w:rFonts w:ascii="宋体" w:hAnsi="宋体" w:cs="宋体" w:eastAsia="宋体" w:hint="default"/>
          <w:spacing w:val="-3"/>
        </w:rPr>
        <w:t>250,000</w:t>
      </w:r>
      <w:r>
        <w:rPr>
          <w:spacing w:val="-3"/>
        </w:rPr>
        <w:t>万元。为保证公司</w:t>
      </w:r>
      <w:r>
        <w:rPr>
          <w:spacing w:val="34"/>
        </w:rPr>
        <w:t> </w:t>
      </w:r>
      <w:r>
        <w:rPr>
          <w:rFonts w:ascii="宋体" w:hAnsi="宋体" w:cs="宋体" w:eastAsia="宋体" w:hint="default"/>
        </w:rPr>
        <w:t>2020</w:t>
      </w:r>
      <w:r>
        <w:rPr>
          <w:rFonts w:ascii="宋体" w:hAnsi="宋体" w:cs="宋体" w:eastAsia="宋体" w:hint="default"/>
          <w:spacing w:val="32"/>
        </w:rPr>
        <w:t> </w:t>
      </w:r>
      <w:r>
        <w:rPr>
          <w:spacing w:val="-3"/>
        </w:rPr>
        <w:t>年度融资计划的实施，公司拟为控股子公司深</w:t>
      </w:r>
      <w:r>
        <w:rPr>
          <w:spacing w:val="-101"/>
        </w:rPr>
        <w:t> </w:t>
      </w:r>
      <w:r>
        <w:rPr>
          <w:spacing w:val="-101"/>
        </w:rPr>
      </w:r>
      <w:r>
        <w:rPr>
          <w:spacing w:val="-2"/>
        </w:rPr>
        <w:t>圳金华威、全资子公司合肥天源迪科、控股子公司维恩贝特、全资子公司上海天源迪科、控股子公司</w:t>
      </w:r>
      <w:r>
        <w:rPr>
          <w:spacing w:val="-15"/>
        </w:rPr>
        <w:t> </w:t>
      </w:r>
      <w:r>
        <w:rPr>
          <w:spacing w:val="-15"/>
        </w:rPr>
      </w:r>
      <w:r>
        <w:rPr>
          <w:spacing w:val="-2"/>
        </w:rPr>
        <w:t>深圳宝贝团，在本年度拟向金融机构及类金融企业申请使用综合授信额度时提供担保，实际向金融机</w:t>
      </w:r>
      <w:r>
        <w:rPr>
          <w:spacing w:val="-15"/>
        </w:rPr>
        <w:t> </w:t>
      </w:r>
      <w:r>
        <w:rPr>
          <w:spacing w:val="-15"/>
        </w:rPr>
      </w:r>
      <w:r>
        <w:rPr/>
        <w:t>构及类金融企业使用担保额度最高不超过人民币</w:t>
      </w:r>
      <w:r>
        <w:rPr>
          <w:rFonts w:ascii="宋体" w:hAnsi="宋体" w:cs="宋体" w:eastAsia="宋体" w:hint="default"/>
        </w:rPr>
        <w:t>220,000</w:t>
      </w:r>
      <w:r>
        <w:rPr/>
        <w:t>万元。</w:t>
      </w:r>
    </w:p>
    <w:p>
      <w:pPr>
        <w:pStyle w:val="BodyText"/>
        <w:spacing w:line="240" w:lineRule="auto"/>
        <w:ind w:left="896" w:right="1007"/>
        <w:jc w:val="left"/>
      </w:pPr>
      <w:r>
        <w:rPr>
          <w:rFonts w:ascii="宋体" w:hAnsi="宋体" w:cs="宋体" w:eastAsia="宋体" w:hint="default"/>
        </w:rPr>
        <w:t>6</w:t>
      </w:r>
      <w:r>
        <w:rPr/>
        <w:t>、</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20</w:t>
      </w:r>
      <w:r>
        <w:rPr/>
        <w:t>日，公司第五届董事会第六次会议审议通过《关于拟使用闲置自有资金购买理财</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40" w:lineRule="auto" w:before="36"/>
        <w:ind w:left="473" w:right="1007"/>
        <w:jc w:val="left"/>
      </w:pPr>
      <w:r>
        <w:rPr>
          <w:w w:val="100"/>
        </w:rPr>
        <w:t>产品的议案</w:t>
      </w:r>
      <w:r>
        <w:rPr>
          <w:spacing w:val="-106"/>
          <w:w w:val="100"/>
        </w:rPr>
        <w:t>》</w:t>
      </w:r>
      <w:r>
        <w:rPr>
          <w:spacing w:val="-20"/>
          <w:w w:val="100"/>
        </w:rPr>
        <w:t>。</w:t>
      </w:r>
      <w:r>
        <w:rPr>
          <w:w w:val="100"/>
        </w:rPr>
        <w:t>为提高</w:t>
      </w:r>
      <w:r>
        <w:rPr>
          <w:spacing w:val="-5"/>
          <w:w w:val="100"/>
        </w:rPr>
        <w:t>资</w:t>
      </w:r>
      <w:r>
        <w:rPr>
          <w:w w:val="100"/>
        </w:rPr>
        <w:t>金使</w:t>
      </w:r>
      <w:r>
        <w:rPr>
          <w:spacing w:val="-5"/>
          <w:w w:val="100"/>
        </w:rPr>
        <w:t>用</w:t>
      </w:r>
      <w:r>
        <w:rPr>
          <w:w w:val="100"/>
        </w:rPr>
        <w:t>效率</w:t>
      </w:r>
      <w:r>
        <w:rPr>
          <w:spacing w:val="-15"/>
          <w:w w:val="100"/>
        </w:rPr>
        <w:t>，</w:t>
      </w:r>
      <w:r>
        <w:rPr>
          <w:w w:val="100"/>
        </w:rPr>
        <w:t>合</w:t>
      </w:r>
      <w:r>
        <w:rPr>
          <w:spacing w:val="-5"/>
          <w:w w:val="100"/>
        </w:rPr>
        <w:t>理</w:t>
      </w:r>
      <w:r>
        <w:rPr>
          <w:w w:val="100"/>
        </w:rPr>
        <w:t>利用闲</w:t>
      </w:r>
      <w:r>
        <w:rPr>
          <w:spacing w:val="-5"/>
          <w:w w:val="100"/>
        </w:rPr>
        <w:t>置资</w:t>
      </w:r>
      <w:r>
        <w:rPr>
          <w:w w:val="100"/>
        </w:rPr>
        <w:t>金</w:t>
      </w:r>
      <w:r>
        <w:rPr>
          <w:spacing w:val="-15"/>
          <w:w w:val="100"/>
        </w:rPr>
        <w:t>，</w:t>
      </w:r>
      <w:r>
        <w:rPr>
          <w:w w:val="100"/>
        </w:rPr>
        <w:t>公司在</w:t>
      </w:r>
      <w:r>
        <w:rPr>
          <w:spacing w:val="3"/>
        </w:rPr>
        <w:t> </w:t>
      </w:r>
      <w:r>
        <w:rPr>
          <w:rFonts w:ascii="宋体" w:hAnsi="宋体" w:cs="宋体" w:eastAsia="宋体" w:hint="default"/>
          <w:w w:val="100"/>
        </w:rPr>
        <w:t>2</w:t>
      </w:r>
      <w:r>
        <w:rPr>
          <w:rFonts w:ascii="宋体" w:hAnsi="宋体" w:cs="宋体" w:eastAsia="宋体" w:hint="default"/>
          <w:spacing w:val="-5"/>
          <w:w w:val="100"/>
        </w:rPr>
        <w:t>0</w:t>
      </w:r>
      <w:r>
        <w:rPr>
          <w:rFonts w:ascii="宋体" w:hAnsi="宋体" w:cs="宋体" w:eastAsia="宋体" w:hint="default"/>
          <w:w w:val="100"/>
        </w:rPr>
        <w:t>20</w:t>
      </w:r>
      <w:r>
        <w:rPr>
          <w:rFonts w:ascii="宋体" w:hAnsi="宋体" w:cs="宋体" w:eastAsia="宋体" w:hint="default"/>
        </w:rPr>
        <w:t> </w:t>
      </w:r>
      <w:r>
        <w:rPr>
          <w:w w:val="100"/>
        </w:rPr>
        <w:t>年</w:t>
      </w:r>
      <w:r>
        <w:rPr>
          <w:spacing w:val="-5"/>
          <w:w w:val="100"/>
        </w:rPr>
        <w:t>度</w:t>
      </w:r>
      <w:r>
        <w:rPr>
          <w:w w:val="100"/>
        </w:rPr>
        <w:t>计划使</w:t>
      </w:r>
      <w:r>
        <w:rPr>
          <w:spacing w:val="-5"/>
          <w:w w:val="100"/>
        </w:rPr>
        <w:t>用</w:t>
      </w:r>
      <w:r>
        <w:rPr>
          <w:w w:val="100"/>
        </w:rPr>
        <w:t>不超</w:t>
      </w:r>
      <w:r>
        <w:rPr>
          <w:spacing w:val="-15"/>
          <w:w w:val="100"/>
        </w:rPr>
        <w:t>过</w:t>
      </w:r>
      <w:r>
        <w:rPr>
          <w:w w:val="100"/>
        </w:rPr>
        <w:t>（</w:t>
      </w:r>
      <w:r>
        <w:rPr>
          <w:spacing w:val="-5"/>
          <w:w w:val="100"/>
        </w:rPr>
        <w:t>含</w:t>
      </w:r>
      <w:r>
        <w:rPr>
          <w:spacing w:val="-15"/>
          <w:w w:val="100"/>
        </w:rPr>
        <w:t>）</w:t>
      </w:r>
      <w:r>
        <w:rPr>
          <w:w w:val="100"/>
        </w:rPr>
        <w:t>人</w:t>
      </w:r>
    </w:p>
    <w:p>
      <w:pPr>
        <w:pStyle w:val="BodyText"/>
        <w:spacing w:line="273" w:lineRule="auto" w:before="37"/>
        <w:ind w:left="896" w:right="1147" w:hanging="423"/>
        <w:jc w:val="left"/>
      </w:pPr>
      <w:r>
        <w:rPr/>
        <w:t>民币 </w:t>
      </w:r>
      <w:r>
        <w:rPr>
          <w:rFonts w:ascii="宋体" w:hAnsi="宋体" w:cs="宋体" w:eastAsia="宋体" w:hint="default"/>
        </w:rPr>
        <w:t>3 </w:t>
      </w:r>
      <w:r>
        <w:rPr/>
        <w:t>亿元的闲置自有资金购买低风险、流动性高的金融机构理财产品，有限期限为 </w:t>
      </w:r>
      <w:r>
        <w:rPr>
          <w:rFonts w:ascii="宋体" w:hAnsi="宋体" w:cs="宋体" w:eastAsia="宋体" w:hint="default"/>
        </w:rPr>
        <w:t>12 </w:t>
      </w:r>
      <w:r>
        <w:rPr/>
        <w:t>个月。</w:t>
      </w:r>
      <w:r>
        <w:rPr>
          <w:w w:val="100"/>
        </w:rPr>
        <w:t> </w:t>
      </w:r>
      <w:r>
        <w:rPr>
          <w:rFonts w:ascii="宋体" w:hAnsi="宋体" w:cs="宋体" w:eastAsia="宋体" w:hint="default"/>
        </w:rPr>
        <w:t>7</w:t>
      </w:r>
      <w:r>
        <w:rPr/>
        <w:t>、</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20</w:t>
      </w:r>
      <w:r>
        <w:rPr/>
        <w:t>日，公司第五届董事会第六次会议审议通过《关于变更公司注册地址及修订</w:t>
      </w:r>
      <w:r>
        <w:rPr>
          <w:rFonts w:ascii="宋体" w:hAnsi="宋体" w:cs="宋体" w:eastAsia="宋体" w:hint="default"/>
        </w:rPr>
        <w:t>&lt;</w:t>
      </w:r>
      <w:r>
        <w:rPr>
          <w:rFonts w:ascii="宋体" w:hAnsi="宋体" w:cs="宋体" w:eastAsia="宋体" w:hint="default"/>
          <w:spacing w:val="1"/>
        </w:rPr>
        <w:t> </w:t>
      </w:r>
      <w:r>
        <w:rPr/>
        <w:t>公</w:t>
      </w:r>
    </w:p>
    <w:p>
      <w:pPr>
        <w:pStyle w:val="BodyText"/>
        <w:spacing w:line="273" w:lineRule="auto" w:before="8"/>
        <w:ind w:left="473" w:right="1049"/>
        <w:jc w:val="left"/>
      </w:pPr>
      <w:r>
        <w:rPr>
          <w:w w:val="100"/>
        </w:rPr>
        <w:t>司章程</w:t>
      </w:r>
      <w:r>
        <w:rPr>
          <w:rFonts w:ascii="宋体" w:hAnsi="宋体" w:cs="宋体" w:eastAsia="宋体" w:hint="default"/>
          <w:w w:val="100"/>
        </w:rPr>
        <w:t>&gt;</w:t>
      </w:r>
      <w:r>
        <w:rPr>
          <w:rFonts w:ascii="宋体" w:hAnsi="宋体" w:cs="宋体" w:eastAsia="宋体" w:hint="default"/>
          <w:spacing w:val="2"/>
          <w:w w:val="100"/>
        </w:rPr>
        <w:t> </w:t>
      </w:r>
      <w:r>
        <w:rPr>
          <w:spacing w:val="-4"/>
          <w:w w:val="100"/>
        </w:rPr>
        <w:t>的议案》。根据公司经营发展需要，现拟将公司注册地址进行变更，具体情况如下：变更前：</w:t>
      </w:r>
      <w:r>
        <w:rPr>
          <w:w w:val="100"/>
        </w:rPr>
        <w:t> </w:t>
      </w:r>
      <w:r>
        <w:rPr/>
        <w:t>深圳市南山区粤海街道高新区南区市高新技术工业村 </w:t>
      </w:r>
      <w:r>
        <w:rPr>
          <w:rFonts w:ascii="宋体" w:hAnsi="宋体" w:cs="宋体" w:eastAsia="宋体" w:hint="default"/>
        </w:rPr>
        <w:t>T3 </w:t>
      </w:r>
      <w:r>
        <w:rPr/>
        <w:t>栋 </w:t>
      </w:r>
      <w:r>
        <w:rPr>
          <w:rFonts w:ascii="宋体" w:hAnsi="宋体" w:cs="宋体" w:eastAsia="宋体" w:hint="default"/>
        </w:rPr>
        <w:t>B3 </w:t>
      </w:r>
      <w:r>
        <w:rPr/>
        <w:t>楼；变更后：深圳市福田区保税区广</w:t>
      </w:r>
      <w:r>
        <w:rPr>
          <w:spacing w:val="-101"/>
        </w:rPr>
        <w:t> </w:t>
      </w:r>
      <w:r>
        <w:rPr>
          <w:spacing w:val="-101"/>
        </w:rPr>
      </w:r>
      <w:r>
        <w:rPr/>
        <w:t>兰道 </w:t>
      </w:r>
      <w:r>
        <w:rPr>
          <w:rFonts w:ascii="宋体" w:hAnsi="宋体" w:cs="宋体" w:eastAsia="宋体" w:hint="default"/>
        </w:rPr>
        <w:t>6 </w:t>
      </w:r>
      <w:r>
        <w:rPr/>
        <w:t>号深装总大厦 </w:t>
      </w:r>
      <w:r>
        <w:rPr>
          <w:rFonts w:ascii="宋体" w:hAnsi="宋体" w:cs="宋体" w:eastAsia="宋体" w:hint="default"/>
        </w:rPr>
        <w:t>A </w:t>
      </w:r>
      <w:r>
        <w:rPr/>
        <w:t>座 </w:t>
      </w:r>
      <w:r>
        <w:rPr>
          <w:rFonts w:ascii="宋体" w:hAnsi="宋体" w:cs="宋体" w:eastAsia="宋体" w:hint="default"/>
        </w:rPr>
        <w:t>309</w:t>
      </w:r>
      <w:r>
        <w:rPr/>
        <w:t>。本次变更注册地址最终以工商登记机关核准的内容为准。根据公司</w:t>
      </w:r>
      <w:r>
        <w:rPr>
          <w:w w:val="100"/>
        </w:rPr>
        <w:t> </w:t>
      </w:r>
      <w:r>
        <w:rPr/>
        <w:t>上述注册地址的变更情况，公司拟修订《公司章程》中的相应条款。</w:t>
      </w:r>
    </w:p>
    <w:p>
      <w:pPr>
        <w:pStyle w:val="BodyText"/>
        <w:spacing w:line="273" w:lineRule="auto" w:before="127"/>
        <w:ind w:left="535" w:right="1007" w:firstLine="57"/>
        <w:jc w:val="left"/>
      </w:pPr>
      <w:r>
        <w:rPr>
          <w:rFonts w:ascii="宋体" w:hAnsi="宋体" w:cs="宋体" w:eastAsia="宋体" w:hint="default"/>
          <w:b/>
          <w:bCs/>
        </w:rPr>
        <w:t>利润分配情况</w:t>
      </w:r>
      <w:r>
        <w:rPr>
          <w:rFonts w:ascii="宋体" w:hAnsi="宋体" w:cs="宋体" w:eastAsia="宋体" w:hint="default"/>
          <w:b/>
          <w:bCs/>
          <w:w w:val="100"/>
        </w:rPr>
        <w:t> </w:t>
      </w:r>
      <w:r>
        <w:rPr>
          <w:rFonts w:ascii="宋体" w:hAnsi="宋体" w:cs="宋体" w:eastAsia="宋体" w:hint="default"/>
          <w:spacing w:val="-4"/>
          <w:w w:val="100"/>
        </w:rPr>
        <w:t>2020</w:t>
      </w:r>
      <w:r>
        <w:rPr>
          <w:spacing w:val="-4"/>
          <w:w w:val="100"/>
        </w:rPr>
        <w:t>年</w:t>
      </w:r>
      <w:r>
        <w:rPr>
          <w:rFonts w:ascii="宋体" w:hAnsi="宋体" w:cs="宋体" w:eastAsia="宋体" w:hint="default"/>
          <w:spacing w:val="-4"/>
          <w:w w:val="100"/>
        </w:rPr>
        <w:t>4</w:t>
      </w:r>
      <w:r>
        <w:rPr>
          <w:spacing w:val="-4"/>
          <w:w w:val="100"/>
        </w:rPr>
        <w:t>月</w:t>
      </w:r>
      <w:r>
        <w:rPr>
          <w:rFonts w:ascii="宋体" w:hAnsi="宋体" w:cs="宋体" w:eastAsia="宋体" w:hint="default"/>
          <w:spacing w:val="-4"/>
          <w:w w:val="100"/>
        </w:rPr>
        <w:t>20</w:t>
      </w:r>
      <w:r>
        <w:rPr>
          <w:spacing w:val="-4"/>
          <w:w w:val="100"/>
        </w:rPr>
        <w:t>日，公司第五届董事会第六次会议审议通过《</w:t>
      </w:r>
      <w:r>
        <w:rPr>
          <w:rFonts w:ascii="宋体" w:hAnsi="宋体" w:cs="宋体" w:eastAsia="宋体" w:hint="default"/>
          <w:spacing w:val="-4"/>
          <w:w w:val="100"/>
        </w:rPr>
        <w:t>2019</w:t>
      </w:r>
      <w:r>
        <w:rPr>
          <w:spacing w:val="-4"/>
          <w:w w:val="100"/>
        </w:rPr>
        <w:t>年度利润分配方案》，以总股本</w:t>
      </w:r>
    </w:p>
    <w:p>
      <w:pPr>
        <w:pStyle w:val="BodyText"/>
        <w:spacing w:line="273" w:lineRule="auto"/>
        <w:ind w:right="1196"/>
        <w:jc w:val="left"/>
      </w:pPr>
      <w:r>
        <w:rPr>
          <w:rFonts w:ascii="宋体" w:hAnsi="宋体" w:cs="宋体" w:eastAsia="宋体" w:hint="default"/>
          <w:w w:val="100"/>
        </w:rPr>
        <w:t>637,744,672 </w:t>
      </w:r>
      <w:r>
        <w:rPr>
          <w:spacing w:val="-1"/>
          <w:w w:val="100"/>
        </w:rPr>
        <w:t>为基数，向全体股东每</w:t>
      </w:r>
      <w:r>
        <w:rPr>
          <w:w w:val="100"/>
        </w:rPr>
        <w:t> </w:t>
      </w:r>
      <w:r>
        <w:rPr>
          <w:rFonts w:ascii="宋体" w:hAnsi="宋体" w:cs="宋体" w:eastAsia="宋体" w:hint="default"/>
          <w:w w:val="100"/>
        </w:rPr>
        <w:t>10 </w:t>
      </w:r>
      <w:r>
        <w:rPr>
          <w:spacing w:val="-2"/>
          <w:w w:val="100"/>
        </w:rPr>
        <w:t>股派发现金红利</w:t>
      </w:r>
      <w:r>
        <w:rPr>
          <w:w w:val="100"/>
        </w:rPr>
        <w:t> </w:t>
      </w:r>
      <w:r>
        <w:rPr>
          <w:rFonts w:ascii="宋体" w:hAnsi="宋体" w:cs="宋体" w:eastAsia="宋体" w:hint="default"/>
          <w:w w:val="100"/>
        </w:rPr>
        <w:t>0.20</w:t>
      </w:r>
      <w:r>
        <w:rPr>
          <w:rFonts w:ascii="宋体" w:hAnsi="宋体" w:cs="宋体" w:eastAsia="宋体" w:hint="default"/>
          <w:spacing w:val="-11"/>
          <w:w w:val="100"/>
        </w:rPr>
        <w:t> </w:t>
      </w:r>
      <w:r>
        <w:rPr>
          <w:spacing w:val="-7"/>
          <w:w w:val="100"/>
        </w:rPr>
        <w:t>元（含税）。本议案尚需提交股东大会审</w:t>
      </w:r>
      <w:r>
        <w:rPr>
          <w:w w:val="100"/>
        </w:rPr>
        <w:t> </w:t>
      </w:r>
      <w:r>
        <w:rPr/>
        <w:t>议。</w:t>
      </w:r>
    </w:p>
    <w:p>
      <w:pPr>
        <w:pStyle w:val="BodyText"/>
        <w:spacing w:line="273" w:lineRule="auto"/>
        <w:ind w:right="1007" w:firstLine="422"/>
        <w:jc w:val="left"/>
      </w:pPr>
      <w:r>
        <w:rPr>
          <w:spacing w:val="-2"/>
        </w:rPr>
        <w:t>除存在上述资产负债表日后事项外，截至财务报告批准报出日止，本公司无其他应披露未披露的重大</w:t>
      </w:r>
      <w:r>
        <w:rPr>
          <w:w w:val="100"/>
        </w:rPr>
        <w:t> </w:t>
      </w:r>
      <w:r>
        <w:rPr/>
        <w:t>资产负债表日后事项。</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Heading2"/>
        <w:spacing w:line="240" w:lineRule="auto"/>
        <w:ind w:right="1764"/>
        <w:jc w:val="left"/>
        <w:rPr>
          <w:b w:val="0"/>
          <w:bCs w:val="0"/>
        </w:rPr>
      </w:pPr>
      <w:bookmarkStart w:name="十六、其他重要事项" w:id="510"/>
      <w:bookmarkEnd w:id="510"/>
      <w:r>
        <w:rPr>
          <w:b w:val="0"/>
          <w:bCs w:val="0"/>
        </w:rPr>
      </w: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764"/>
        <w:jc w:val="left"/>
        <w:rPr>
          <w:b w:val="0"/>
          <w:bCs w:val="0"/>
        </w:rPr>
      </w:pPr>
      <w:bookmarkStart w:name="1、前期会计差错更正" w:id="511"/>
      <w:bookmarkEnd w:id="511"/>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1）追溯重述法" w:id="512"/>
      <w:bookmarkEnd w:id="512"/>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492"/>
        <w:gridCol w:w="2300"/>
        <w:gridCol w:w="2387"/>
        <w:gridCol w:w="2391"/>
      </w:tblGrid>
      <w:tr>
        <w:trPr>
          <w:trHeight w:val="715" w:hRule="exact"/>
        </w:trPr>
        <w:tc>
          <w:tcPr>
            <w:tcW w:w="2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pacing w:val="-3"/>
                <w:sz w:val="18"/>
                <w:szCs w:val="18"/>
              </w:rPr>
              <w:t>会计差错更正的内容</w:t>
            </w: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825" w:right="104" w:hanging="720"/>
              <w:jc w:val="left"/>
              <w:rPr>
                <w:rFonts w:ascii="宋体" w:hAnsi="宋体" w:cs="宋体" w:eastAsia="宋体" w:hint="default"/>
                <w:sz w:val="18"/>
                <w:szCs w:val="18"/>
              </w:rPr>
            </w:pPr>
            <w:r>
              <w:rPr>
                <w:rFonts w:ascii="宋体" w:hAnsi="宋体" w:cs="宋体" w:eastAsia="宋体" w:hint="default"/>
                <w:spacing w:val="-3"/>
                <w:sz w:val="18"/>
                <w:szCs w:val="18"/>
              </w:rPr>
              <w:t>受影响的各个比较期间报表</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2）未来适用法" w:id="513"/>
      <w:bookmarkEnd w:id="513"/>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328"/>
        <w:gridCol w:w="3058"/>
        <w:gridCol w:w="3188"/>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50" w:right="0"/>
              <w:jc w:val="left"/>
              <w:rPr>
                <w:rFonts w:ascii="宋体" w:hAnsi="宋体" w:cs="宋体" w:eastAsia="宋体" w:hint="default"/>
                <w:sz w:val="18"/>
                <w:szCs w:val="18"/>
              </w:rPr>
            </w:pPr>
            <w:r>
              <w:rPr>
                <w:rFonts w:ascii="宋体" w:hAnsi="宋体" w:cs="宋体" w:eastAsia="宋体" w:hint="default"/>
                <w:spacing w:val="-3"/>
                <w:sz w:val="18"/>
                <w:szCs w:val="18"/>
              </w:rPr>
              <w:t>会计差错更正的内容</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3"/>
        <w:spacing w:line="240" w:lineRule="auto" w:before="36"/>
        <w:ind w:right="1764"/>
        <w:jc w:val="left"/>
        <w:rPr>
          <w:b w:val="0"/>
          <w:bCs w:val="0"/>
        </w:rPr>
      </w:pPr>
      <w:bookmarkStart w:name="2、债务重组" w:id="514"/>
      <w:bookmarkEnd w:id="514"/>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764"/>
        <w:jc w:val="left"/>
        <w:rPr>
          <w:b w:val="0"/>
          <w:bCs w:val="0"/>
        </w:rPr>
      </w:pPr>
      <w:bookmarkStart w:name="3、资产置换" w:id="515"/>
      <w:bookmarkEnd w:id="515"/>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1）非货币性资产交换" w:id="516"/>
      <w:bookmarkEnd w:id="516"/>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2）其他资产置换" w:id="517"/>
      <w:bookmarkEnd w:id="517"/>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4、年金计划" w:id="518"/>
      <w:bookmarkEnd w:id="518"/>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764"/>
        <w:jc w:val="left"/>
        <w:rPr>
          <w:b w:val="0"/>
          <w:bCs w:val="0"/>
        </w:rPr>
      </w:pPr>
      <w:bookmarkStart w:name="5、终止经营" w:id="519"/>
      <w:bookmarkEnd w:id="519"/>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39" w:right="0"/>
              <w:jc w:val="left"/>
              <w:rPr>
                <w:rFonts w:ascii="宋体" w:hAnsi="宋体" w:cs="宋体" w:eastAsia="宋体" w:hint="default"/>
                <w:sz w:val="18"/>
                <w:szCs w:val="18"/>
              </w:rPr>
            </w:pPr>
            <w:r>
              <w:rPr>
                <w:rFonts w:ascii="宋体" w:hAnsi="宋体" w:cs="宋体" w:eastAsia="宋体" w:hint="default"/>
                <w:sz w:val="18"/>
                <w:szCs w:val="18"/>
              </w:rPr>
              <w:t>归属于母公司</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67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321" w:right="132" w:hanging="183"/>
              <w:jc w:val="left"/>
              <w:rPr>
                <w:rFonts w:ascii="宋体" w:hAnsi="宋体" w:cs="宋体" w:eastAsia="宋体" w:hint="default"/>
                <w:sz w:val="18"/>
                <w:szCs w:val="18"/>
              </w:rPr>
            </w:pPr>
            <w:r>
              <w:rPr>
                <w:rFonts w:ascii="宋体" w:hAnsi="宋体" w:cs="宋体" w:eastAsia="宋体" w:hint="default"/>
                <w:spacing w:val="-2"/>
                <w:sz w:val="18"/>
                <w:szCs w:val="18"/>
              </w:rPr>
              <w:t>所有者的终止</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经营利润</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3"/>
        <w:spacing w:line="240" w:lineRule="auto"/>
        <w:ind w:right="1764"/>
        <w:jc w:val="left"/>
        <w:rPr>
          <w:b w:val="0"/>
          <w:bCs w:val="0"/>
        </w:rPr>
      </w:pPr>
      <w:bookmarkStart w:name="6、分部信息" w:id="520"/>
      <w:bookmarkEnd w:id="520"/>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1）报告分部的确定依据与会计政策" w:id="521"/>
      <w:bookmarkEnd w:id="521"/>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2）报告分部的财务信息" w:id="522"/>
      <w:bookmarkEnd w:id="522"/>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9"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3）公司无报告分部的，或者不能披露各报告分部的资产总额和负债总额的，应说明原因" w:id="523"/>
      <w:bookmarkEnd w:id="523"/>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764"/>
        <w:jc w:val="left"/>
        <w:rPr>
          <w:b w:val="0"/>
          <w:bCs w:val="0"/>
        </w:rPr>
      </w:pPr>
      <w:bookmarkStart w:name="（4）其他说明" w:id="524"/>
      <w:bookmarkEnd w:id="524"/>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7、其他对投资者决策有影响的重要交易和事项" w:id="525"/>
      <w:bookmarkEnd w:id="525"/>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8、其他" w:id="526"/>
      <w:bookmarkEnd w:id="526"/>
      <w:r>
        <w:rPr>
          <w:b w:val="0"/>
          <w:bCs w:val="0"/>
        </w:rPr>
      </w:r>
      <w:r>
        <w:rPr>
          <w:rFonts w:ascii="Times New Roman" w:hAnsi="Times New Roman" w:cs="Times New Roman" w:eastAsia="Times New Roman" w:hint="default"/>
        </w:rPr>
        <w:t>8</w:t>
      </w:r>
      <w:r>
        <w:rPr/>
        <w:t>、其他</w:t>
      </w:r>
      <w:r>
        <w:rPr>
          <w:b w:val="0"/>
          <w:bCs w:val="0"/>
        </w:rPr>
      </w:r>
    </w:p>
    <w:p>
      <w:pPr>
        <w:spacing w:line="240" w:lineRule="auto" w:before="4"/>
        <w:rPr>
          <w:rFonts w:ascii="宋体" w:hAnsi="宋体" w:cs="宋体" w:eastAsia="宋体" w:hint="default"/>
          <w:b/>
          <w:bCs/>
          <w:sz w:val="26"/>
          <w:szCs w:val="26"/>
        </w:rPr>
      </w:pPr>
    </w:p>
    <w:p>
      <w:pPr>
        <w:spacing w:line="316" w:lineRule="auto" w:before="0"/>
        <w:ind w:left="113" w:right="1032" w:firstLine="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25"/>
          <w:sz w:val="18"/>
          <w:szCs w:val="18"/>
        </w:rPr>
        <w:t> </w:t>
      </w:r>
      <w:r>
        <w:rPr>
          <w:rFonts w:ascii="宋体" w:hAnsi="宋体" w:cs="宋体" w:eastAsia="宋体" w:hint="default"/>
          <w:spacing w:val="-3"/>
          <w:sz w:val="18"/>
          <w:szCs w:val="18"/>
        </w:rPr>
        <w:t>12</w:t>
      </w:r>
      <w:r>
        <w:rPr>
          <w:rFonts w:ascii="宋体" w:hAnsi="宋体" w:cs="宋体" w:eastAsia="宋体" w:hint="default"/>
          <w:spacing w:val="25"/>
          <w:sz w:val="18"/>
          <w:szCs w:val="18"/>
        </w:rPr>
        <w:t> </w:t>
      </w:r>
      <w:r>
        <w:rPr>
          <w:rFonts w:ascii="宋体" w:hAnsi="宋体" w:cs="宋体" w:eastAsia="宋体" w:hint="default"/>
          <w:sz w:val="18"/>
          <w:szCs w:val="18"/>
        </w:rPr>
        <w:t>月</w:t>
      </w:r>
      <w:r>
        <w:rPr>
          <w:rFonts w:ascii="宋体" w:hAnsi="宋体" w:cs="宋体" w:eastAsia="宋体" w:hint="default"/>
          <w:spacing w:val="18"/>
          <w:sz w:val="18"/>
          <w:szCs w:val="18"/>
        </w:rPr>
        <w:t> </w:t>
      </w:r>
      <w:r>
        <w:rPr>
          <w:rFonts w:ascii="宋体" w:hAnsi="宋体" w:cs="宋体" w:eastAsia="宋体" w:hint="default"/>
          <w:sz w:val="18"/>
          <w:szCs w:val="18"/>
        </w:rPr>
        <w:t>25</w:t>
      </w:r>
      <w:r>
        <w:rPr>
          <w:rFonts w:ascii="宋体" w:hAnsi="宋体" w:cs="宋体" w:eastAsia="宋体" w:hint="default"/>
          <w:spacing w:val="18"/>
          <w:sz w:val="18"/>
          <w:szCs w:val="18"/>
        </w:rPr>
        <w:t> </w:t>
      </w:r>
      <w:r>
        <w:rPr>
          <w:rFonts w:ascii="宋体" w:hAnsi="宋体" w:cs="宋体" w:eastAsia="宋体" w:hint="default"/>
          <w:spacing w:val="-3"/>
          <w:sz w:val="18"/>
          <w:szCs w:val="18"/>
        </w:rPr>
        <w:t>日，在深圳市土地房产交易中心举办的国有建设用地使用权公开挂牌出让活动中，本公司与深圳市福科</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11"/>
          <w:w w:val="101"/>
          <w:sz w:val="18"/>
          <w:szCs w:val="18"/>
        </w:rPr>
        <w:t>产业运营管理有限公司（以下简称“福科产业运营”）、诺德投资股份有限公司（以下简称“诺德股份”）、深圳市禾望电气股</w:t>
      </w:r>
      <w:r>
        <w:rPr>
          <w:rFonts w:ascii="宋体" w:hAnsi="宋体" w:cs="宋体" w:eastAsia="宋体" w:hint="default"/>
          <w:spacing w:val="-58"/>
          <w:w w:val="101"/>
          <w:sz w:val="18"/>
          <w:szCs w:val="18"/>
        </w:rPr>
        <w:t> </w:t>
      </w:r>
      <w:r>
        <w:rPr>
          <w:rFonts w:ascii="宋体" w:hAnsi="宋体" w:cs="宋体" w:eastAsia="宋体" w:hint="default"/>
          <w:spacing w:val="-58"/>
          <w:w w:val="101"/>
          <w:sz w:val="18"/>
          <w:szCs w:val="18"/>
        </w:rPr>
      </w:r>
      <w:r>
        <w:rPr>
          <w:rFonts w:ascii="宋体" w:hAnsi="宋体" w:cs="宋体" w:eastAsia="宋体" w:hint="default"/>
          <w:spacing w:val="-6"/>
          <w:w w:val="101"/>
          <w:sz w:val="18"/>
          <w:szCs w:val="18"/>
        </w:rPr>
        <w:t>份有限公司（以下简称“禾望电气”）组成的联合体以人民币</w:t>
      </w:r>
      <w:r>
        <w:rPr>
          <w:rFonts w:ascii="宋体" w:hAnsi="宋体" w:cs="宋体" w:eastAsia="宋体" w:hint="default"/>
          <w:w w:val="101"/>
          <w:sz w:val="18"/>
          <w:szCs w:val="18"/>
        </w:rPr>
        <w:t> </w:t>
      </w:r>
      <w:r>
        <w:rPr>
          <w:rFonts w:ascii="宋体" w:hAnsi="宋体" w:cs="宋体" w:eastAsia="宋体" w:hint="default"/>
          <w:spacing w:val="-1"/>
          <w:w w:val="101"/>
          <w:sz w:val="18"/>
          <w:szCs w:val="18"/>
        </w:rPr>
        <w:t>21,110</w:t>
      </w:r>
      <w:r>
        <w:rPr>
          <w:rFonts w:ascii="宋体" w:hAnsi="宋体" w:cs="宋体" w:eastAsia="宋体" w:hint="default"/>
          <w:w w:val="101"/>
          <w:sz w:val="18"/>
          <w:szCs w:val="18"/>
        </w:rPr>
        <w:t> </w:t>
      </w:r>
      <w:r>
        <w:rPr>
          <w:rFonts w:ascii="宋体" w:hAnsi="宋体" w:cs="宋体" w:eastAsia="宋体" w:hint="default"/>
          <w:spacing w:val="-3"/>
          <w:w w:val="101"/>
          <w:sz w:val="18"/>
          <w:szCs w:val="18"/>
        </w:rPr>
        <w:t>万元总价竞得位于深圳市福田区梅林街道宗地编号为</w:t>
      </w:r>
      <w:r>
        <w:rPr>
          <w:rFonts w:ascii="宋体" w:hAnsi="宋体" w:cs="宋体" w:eastAsia="宋体" w:hint="default"/>
          <w:spacing w:val="-76"/>
          <w:w w:val="101"/>
          <w:sz w:val="18"/>
          <w:szCs w:val="18"/>
        </w:rPr>
        <w:t> </w:t>
      </w:r>
      <w:r>
        <w:rPr>
          <w:rFonts w:ascii="宋体" w:hAnsi="宋体" w:cs="宋体" w:eastAsia="宋体" w:hint="default"/>
          <w:spacing w:val="-76"/>
          <w:w w:val="101"/>
          <w:sz w:val="18"/>
          <w:szCs w:val="18"/>
        </w:rPr>
      </w:r>
      <w:r>
        <w:rPr>
          <w:rFonts w:ascii="宋体" w:hAnsi="宋体" w:cs="宋体" w:eastAsia="宋体" w:hint="default"/>
          <w:sz w:val="18"/>
          <w:szCs w:val="18"/>
        </w:rPr>
        <w:t>B405-0266</w:t>
      </w:r>
      <w:r>
        <w:rPr>
          <w:rFonts w:ascii="宋体" w:hAnsi="宋体" w:cs="宋体" w:eastAsia="宋体" w:hint="default"/>
          <w:spacing w:val="55"/>
          <w:sz w:val="18"/>
          <w:szCs w:val="18"/>
        </w:rPr>
        <w:t> </w:t>
      </w:r>
      <w:r>
        <w:rPr>
          <w:rFonts w:ascii="宋体" w:hAnsi="宋体" w:cs="宋体" w:eastAsia="宋体" w:hint="default"/>
          <w:spacing w:val="-3"/>
          <w:sz w:val="18"/>
          <w:szCs w:val="18"/>
        </w:rPr>
        <w:t>地块的国有建设用地使用权。公司与福科产业运营、诺德股份、禾望电气合伙出资及享有权益比例分别为</w:t>
      </w:r>
      <w:r>
        <w:rPr>
          <w:rFonts w:ascii="宋体" w:hAnsi="宋体" w:cs="宋体" w:eastAsia="宋体" w:hint="default"/>
          <w:spacing w:val="57"/>
          <w:sz w:val="18"/>
          <w:szCs w:val="18"/>
        </w:rPr>
        <w:t> </w:t>
      </w:r>
      <w:r>
        <w:rPr>
          <w:rFonts w:ascii="宋体" w:hAnsi="宋体" w:cs="宋体" w:eastAsia="宋体" w:hint="default"/>
          <w:sz w:val="18"/>
          <w:szCs w:val="18"/>
        </w:rPr>
        <w:t>20%</w:t>
      </w:r>
      <w:r>
        <w:rPr>
          <w:rFonts w:ascii="宋体" w:hAnsi="宋体" w:cs="宋体" w:eastAsia="宋体" w:hint="default"/>
          <w:sz w:val="18"/>
          <w:szCs w:val="18"/>
        </w:rPr>
        <w:t>、</w:t>
      </w:r>
      <w:r>
        <w:rPr>
          <w:rFonts w:ascii="宋体" w:hAnsi="宋体" w:cs="宋体" w:eastAsia="宋体" w:hint="default"/>
          <w:spacing w:val="-70"/>
          <w:sz w:val="18"/>
          <w:szCs w:val="18"/>
        </w:rPr>
        <w:t> </w:t>
      </w:r>
      <w:r>
        <w:rPr>
          <w:rFonts w:ascii="宋体" w:hAnsi="宋体" w:cs="宋体" w:eastAsia="宋体" w:hint="default"/>
          <w:spacing w:val="-7"/>
          <w:sz w:val="18"/>
          <w:szCs w:val="18"/>
        </w:rPr>
        <w:t>40%</w:t>
      </w:r>
      <w:r>
        <w:rPr>
          <w:rFonts w:ascii="宋体" w:hAnsi="宋体" w:cs="宋体" w:eastAsia="宋体" w:hint="default"/>
          <w:spacing w:val="-7"/>
          <w:sz w:val="18"/>
          <w:szCs w:val="18"/>
        </w:rPr>
        <w:t>、</w:t>
      </w:r>
      <w:r>
        <w:rPr>
          <w:rFonts w:ascii="宋体" w:hAnsi="宋体" w:cs="宋体" w:eastAsia="宋体" w:hint="default"/>
          <w:spacing w:val="-7"/>
          <w:sz w:val="18"/>
          <w:szCs w:val="18"/>
        </w:rPr>
        <w:t>20%</w:t>
      </w:r>
      <w:r>
        <w:rPr>
          <w:rFonts w:ascii="宋体" w:hAnsi="宋体" w:cs="宋体" w:eastAsia="宋体" w:hint="default"/>
          <w:spacing w:val="-7"/>
          <w:sz w:val="18"/>
          <w:szCs w:val="18"/>
        </w:rPr>
        <w:t>和 </w:t>
      </w:r>
      <w:r>
        <w:rPr>
          <w:rFonts w:ascii="宋体" w:hAnsi="宋体" w:cs="宋体" w:eastAsia="宋体" w:hint="default"/>
          <w:spacing w:val="-5"/>
          <w:sz w:val="18"/>
          <w:szCs w:val="18"/>
        </w:rPr>
        <w:t>20%</w:t>
      </w:r>
      <w:r>
        <w:rPr>
          <w:rFonts w:ascii="宋体" w:hAnsi="宋体" w:cs="宋体" w:eastAsia="宋体" w:hint="default"/>
          <w:spacing w:val="-5"/>
          <w:sz w:val="18"/>
          <w:szCs w:val="18"/>
        </w:rPr>
        <w:t>。竞得项目用地后，项目用地将办理产权登记至各方名下，各方按照以上权益比例共有项目用地土地使用权。</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3"/>
          <w:sz w:val="18"/>
          <w:szCs w:val="18"/>
        </w:rPr>
        <w:t>本次联合竞买土地使用权事项已经公司 </w:t>
      </w:r>
      <w:r>
        <w:rPr>
          <w:rFonts w:ascii="宋体" w:hAnsi="宋体" w:cs="宋体" w:eastAsia="宋体" w:hint="default"/>
          <w:sz w:val="18"/>
          <w:szCs w:val="18"/>
        </w:rPr>
        <w:t>2018 </w:t>
      </w:r>
      <w:r>
        <w:rPr>
          <w:rFonts w:ascii="宋体" w:hAnsi="宋体" w:cs="宋体" w:eastAsia="宋体" w:hint="default"/>
          <w:sz w:val="18"/>
          <w:szCs w:val="18"/>
        </w:rPr>
        <w:t>年 </w:t>
      </w:r>
      <w:r>
        <w:rPr>
          <w:rFonts w:ascii="宋体" w:hAnsi="宋体" w:cs="宋体" w:eastAsia="宋体" w:hint="default"/>
          <w:sz w:val="18"/>
          <w:szCs w:val="18"/>
        </w:rPr>
        <w:t>11 </w:t>
      </w:r>
      <w:r>
        <w:rPr>
          <w:rFonts w:ascii="宋体" w:hAnsi="宋体" w:cs="宋体" w:eastAsia="宋体" w:hint="default"/>
          <w:sz w:val="18"/>
          <w:szCs w:val="18"/>
        </w:rPr>
        <w:t>月</w:t>
      </w:r>
      <w:r>
        <w:rPr>
          <w:rFonts w:ascii="宋体" w:hAnsi="宋体" w:cs="宋体" w:eastAsia="宋体" w:hint="default"/>
          <w:sz w:val="18"/>
          <w:szCs w:val="18"/>
        </w:rPr>
        <w:t>30 </w:t>
      </w:r>
      <w:r>
        <w:rPr>
          <w:rFonts w:ascii="宋体" w:hAnsi="宋体" w:cs="宋体" w:eastAsia="宋体" w:hint="default"/>
          <w:spacing w:val="-3"/>
          <w:sz w:val="18"/>
          <w:szCs w:val="18"/>
        </w:rPr>
        <w:t>日召开的第四届董事会第二十五次会议审议通过。</w:t>
      </w:r>
      <w:r>
        <w:rPr>
          <w:rFonts w:ascii="宋体" w:hAnsi="宋体" w:cs="宋体" w:eastAsia="宋体" w:hint="default"/>
          <w:spacing w:val="-3"/>
          <w:sz w:val="18"/>
          <w:szCs w:val="18"/>
        </w:rPr>
        <w:t>2020</w:t>
      </w:r>
      <w:r>
        <w:rPr>
          <w:rFonts w:ascii="宋体" w:hAnsi="宋体" w:cs="宋体" w:eastAsia="宋体" w:hint="default"/>
          <w:spacing w:val="-3"/>
          <w:sz w:val="18"/>
          <w:szCs w:val="18"/>
        </w:rPr>
        <w:t>年</w:t>
      </w:r>
      <w:r>
        <w:rPr>
          <w:rFonts w:ascii="宋体" w:hAnsi="宋体" w:cs="宋体" w:eastAsia="宋体" w:hint="default"/>
          <w:spacing w:val="-3"/>
          <w:sz w:val="18"/>
          <w:szCs w:val="18"/>
        </w:rPr>
        <w:t>1</w:t>
      </w:r>
      <w:r>
        <w:rPr>
          <w:rFonts w:ascii="宋体" w:hAnsi="宋体" w:cs="宋体" w:eastAsia="宋体" w:hint="default"/>
          <w:spacing w:val="-3"/>
          <w:sz w:val="18"/>
          <w:szCs w:val="18"/>
        </w:rPr>
        <w:t>月</w:t>
      </w:r>
      <w:r>
        <w:rPr>
          <w:rFonts w:ascii="宋体" w:hAnsi="宋体" w:cs="宋体" w:eastAsia="宋体" w:hint="default"/>
          <w:spacing w:val="-3"/>
          <w:sz w:val="18"/>
          <w:szCs w:val="18"/>
        </w:rPr>
        <w:t>14</w:t>
      </w:r>
      <w:r>
        <w:rPr>
          <w:rFonts w:ascii="宋体" w:hAnsi="宋体" w:cs="宋体" w:eastAsia="宋体" w:hint="default"/>
          <w:spacing w:val="57"/>
          <w:sz w:val="18"/>
          <w:szCs w:val="18"/>
        </w:rPr>
        <w:t> </w:t>
      </w:r>
      <w:r>
        <w:rPr>
          <w:rFonts w:ascii="宋体" w:hAnsi="宋体" w:cs="宋体" w:eastAsia="宋体" w:hint="default"/>
          <w:spacing w:val="-6"/>
          <w:w w:val="101"/>
          <w:sz w:val="18"/>
          <w:szCs w:val="18"/>
        </w:rPr>
        <w:t>日，公司与福科产业运营、诺德股份、禾望电气签署了《合作开发协议》。</w:t>
      </w:r>
      <w:r>
        <w:rPr>
          <w:rFonts w:ascii="宋体" w:hAnsi="宋体" w:cs="宋体" w:eastAsia="宋体" w:hint="default"/>
          <w:spacing w:val="-6"/>
          <w:sz w:val="18"/>
          <w:szCs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2"/>
        <w:spacing w:line="240" w:lineRule="auto"/>
        <w:ind w:right="1764"/>
        <w:jc w:val="left"/>
        <w:rPr>
          <w:b w:val="0"/>
          <w:bCs w:val="0"/>
        </w:rPr>
      </w:pPr>
      <w:bookmarkStart w:name="十七、母公司财务报表主要项目注释" w:id="527"/>
      <w:bookmarkEnd w:id="527"/>
      <w:r>
        <w:rPr>
          <w:b w:val="0"/>
          <w:bCs w:val="0"/>
        </w:rPr>
      </w:r>
      <w:r>
        <w:rPr/>
        <w:t>十七、母公司财务报表主要项目注释</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1764"/>
        <w:jc w:val="left"/>
        <w:rPr>
          <w:b w:val="0"/>
          <w:bCs w:val="0"/>
        </w:rPr>
      </w:pPr>
      <w:bookmarkStart w:name="1、应收账款" w:id="528"/>
      <w:bookmarkEnd w:id="528"/>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764"/>
        <w:jc w:val="left"/>
        <w:rPr>
          <w:b w:val="0"/>
          <w:bCs w:val="0"/>
        </w:rPr>
      </w:pPr>
      <w:bookmarkStart w:name="（1）应收账款分类披露" w:id="529"/>
      <w:bookmarkEnd w:id="52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797"/>
        <w:gridCol w:w="792"/>
        <w:gridCol w:w="931"/>
      </w:tblGrid>
      <w:tr>
        <w:trPr>
          <w:trHeight w:val="398" w:hRule="exact"/>
        </w:trPr>
        <w:tc>
          <w:tcPr>
            <w:tcW w:w="16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637" w:type="dxa"/>
            <w:vMerge/>
            <w:tcBorders>
              <w:left w:val="single" w:sz="4" w:space="0" w:color="000000"/>
              <w:right w:val="single" w:sz="4" w:space="0" w:color="000000"/>
            </w:tcBorders>
            <w:shd w:val="clear" w:color="auto" w:fill="D2D2D2"/>
          </w:tcPr>
          <w:p>
            <w:pPr/>
          </w:p>
        </w:tc>
        <w:tc>
          <w:tcPr>
            <w:tcW w:w="15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21" w:lineRule="auto"/>
              <w:ind w:left="302" w:right="113" w:hanging="183"/>
              <w:jc w:val="left"/>
              <w:rPr>
                <w:rFonts w:ascii="宋体" w:hAnsi="宋体" w:cs="宋体" w:eastAsia="宋体" w:hint="default"/>
                <w:sz w:val="18"/>
                <w:szCs w:val="18"/>
              </w:rPr>
            </w:pPr>
            <w:r>
              <w:rPr>
                <w:rFonts w:ascii="宋体" w:hAnsi="宋体" w:cs="宋体" w:eastAsia="宋体" w:hint="default"/>
                <w:sz w:val="18"/>
                <w:szCs w:val="18"/>
              </w:rPr>
              <w:t>账面价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w:t>
            </w:r>
          </w:p>
        </w:tc>
        <w:tc>
          <w:tcPr>
            <w:tcW w:w="15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21" w:lineRule="auto"/>
              <w:ind w:left="374" w:right="185" w:hanging="183"/>
              <w:jc w:val="left"/>
              <w:rPr>
                <w:rFonts w:ascii="宋体" w:hAnsi="宋体" w:cs="宋体" w:eastAsia="宋体" w:hint="default"/>
                <w:sz w:val="18"/>
                <w:szCs w:val="18"/>
              </w:rPr>
            </w:pPr>
            <w:r>
              <w:rPr>
                <w:rFonts w:ascii="宋体" w:hAnsi="宋体" w:cs="宋体" w:eastAsia="宋体" w:hint="default"/>
                <w:sz w:val="18"/>
                <w:szCs w:val="18"/>
              </w:rPr>
              <w:t>账面价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w:t>
            </w:r>
          </w:p>
        </w:tc>
      </w:tr>
      <w:tr>
        <w:trPr>
          <w:trHeight w:val="716" w:hRule="exact"/>
        </w:trPr>
        <w:tc>
          <w:tcPr>
            <w:tcW w:w="1637"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87" w:right="99" w:hanging="178"/>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302" w:right="113" w:hanging="178"/>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797"/>
        <w:gridCol w:w="792"/>
        <w:gridCol w:w="931"/>
      </w:tblGrid>
      <w:tr>
        <w:trPr>
          <w:trHeight w:val="1027"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5" w:right="257"/>
              <w:jc w:val="left"/>
              <w:rPr>
                <w:rFonts w:ascii="宋体" w:hAnsi="宋体" w:cs="宋体" w:eastAsia="宋体" w:hint="default"/>
                <w:sz w:val="18"/>
                <w:szCs w:val="18"/>
              </w:rPr>
            </w:pPr>
            <w:r>
              <w:rPr>
                <w:rFonts w:ascii="宋体" w:hAnsi="宋体" w:cs="宋体" w:eastAsia="宋体" w:hint="default"/>
                <w:spacing w:val="-3"/>
                <w:sz w:val="18"/>
                <w:szCs w:val="18"/>
              </w:rPr>
              <w:t>按组合计提坏账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准备的应收账款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840,17</w:t>
            </w:r>
          </w:p>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2,525.9</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65,858,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340.94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7.84%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774,31</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4,185.0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775,34</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0,840.4</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49,392,</w:t>
            </w:r>
          </w:p>
          <w:p>
            <w:pPr>
              <w:pStyle w:val="TableParagraph"/>
              <w:spacing w:line="240" w:lineRule="auto" w:before="105"/>
              <w:ind w:left="192" w:right="0"/>
              <w:jc w:val="left"/>
              <w:rPr>
                <w:rFonts w:ascii="Times New Roman" w:hAnsi="Times New Roman" w:cs="Times New Roman" w:eastAsia="Times New Roman" w:hint="default"/>
                <w:sz w:val="18"/>
                <w:szCs w:val="18"/>
              </w:rPr>
            </w:pPr>
            <w:r>
              <w:rPr>
                <w:rFonts w:ascii="Times New Roman"/>
                <w:sz w:val="18"/>
              </w:rPr>
              <w:t>850.97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6.37%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725,947,</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989.47</w:t>
            </w:r>
          </w:p>
        </w:tc>
      </w:tr>
      <w:tr>
        <w:trPr>
          <w:trHeight w:val="399"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pacing w:val="-3"/>
                <w:sz w:val="18"/>
                <w:szCs w:val="18"/>
              </w:rPr>
              <w:t>其中：账龄组合</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821,51</w:t>
            </w:r>
          </w:p>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1,120.8</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97.78</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65,858,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340.94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8.02%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755,65</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2,779.9</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760,43</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5,409.4</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98.08%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49,392,</w:t>
            </w:r>
          </w:p>
          <w:p>
            <w:pPr>
              <w:pStyle w:val="TableParagraph"/>
              <w:spacing w:line="240" w:lineRule="auto" w:before="105"/>
              <w:ind w:left="192" w:right="0"/>
              <w:jc w:val="left"/>
              <w:rPr>
                <w:rFonts w:ascii="Times New Roman" w:hAnsi="Times New Roman" w:cs="Times New Roman" w:eastAsia="Times New Roman" w:hint="default"/>
                <w:sz w:val="18"/>
                <w:szCs w:val="18"/>
              </w:rPr>
            </w:pPr>
            <w:r>
              <w:rPr>
                <w:rFonts w:ascii="Times New Roman"/>
                <w:sz w:val="18"/>
              </w:rPr>
              <w:t>850.97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6.50%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711,042,5</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58.50</w:t>
            </w:r>
          </w:p>
        </w:tc>
      </w:tr>
      <w:tr>
        <w:trPr>
          <w:trHeight w:val="716"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105" w:right="257"/>
              <w:jc w:val="left"/>
              <w:rPr>
                <w:rFonts w:ascii="宋体" w:hAnsi="宋体" w:cs="宋体" w:eastAsia="宋体" w:hint="default"/>
                <w:sz w:val="18"/>
                <w:szCs w:val="18"/>
              </w:rPr>
            </w:pPr>
            <w:r>
              <w:rPr>
                <w:rFonts w:ascii="宋体" w:hAnsi="宋体" w:cs="宋体" w:eastAsia="宋体" w:hint="default"/>
                <w:spacing w:val="-3"/>
                <w:sz w:val="18"/>
                <w:szCs w:val="18"/>
              </w:rPr>
              <w:t>合并范围内关联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方组合</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18,661,</w:t>
            </w:r>
          </w:p>
          <w:p>
            <w:pPr>
              <w:pStyle w:val="TableParagraph"/>
              <w:spacing w:line="240" w:lineRule="auto" w:before="110"/>
              <w:ind w:left="153" w:right="0"/>
              <w:jc w:val="left"/>
              <w:rPr>
                <w:rFonts w:ascii="Times New Roman" w:hAnsi="Times New Roman" w:cs="Times New Roman" w:eastAsia="Times New Roman" w:hint="default"/>
                <w:sz w:val="18"/>
                <w:szCs w:val="18"/>
              </w:rPr>
            </w:pPr>
            <w:r>
              <w:rPr>
                <w:rFonts w:ascii="Times New Roman"/>
                <w:sz w:val="18"/>
              </w:rPr>
              <w:t>405.07</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2.22%</w:t>
            </w: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18,661,</w:t>
            </w:r>
          </w:p>
          <w:p>
            <w:pPr>
              <w:pStyle w:val="TableParagraph"/>
              <w:spacing w:line="240" w:lineRule="auto" w:before="110"/>
              <w:ind w:left="182" w:right="0"/>
              <w:jc w:val="left"/>
              <w:rPr>
                <w:rFonts w:ascii="Times New Roman" w:hAnsi="Times New Roman" w:cs="Times New Roman" w:eastAsia="Times New Roman" w:hint="default"/>
                <w:sz w:val="18"/>
                <w:szCs w:val="18"/>
              </w:rPr>
            </w:pPr>
            <w:r>
              <w:rPr>
                <w:rFonts w:ascii="Times New Roman"/>
                <w:sz w:val="18"/>
              </w:rPr>
              <w:t>405.07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14,905,</w:t>
            </w:r>
          </w:p>
          <w:p>
            <w:pPr>
              <w:pStyle w:val="TableParagraph"/>
              <w:spacing w:line="240" w:lineRule="auto" w:before="110"/>
              <w:ind w:left="172" w:right="0"/>
              <w:jc w:val="left"/>
              <w:rPr>
                <w:rFonts w:ascii="Times New Roman" w:hAnsi="Times New Roman" w:cs="Times New Roman" w:eastAsia="Times New Roman" w:hint="default"/>
                <w:sz w:val="18"/>
                <w:szCs w:val="18"/>
              </w:rPr>
            </w:pPr>
            <w:r>
              <w:rPr>
                <w:rFonts w:ascii="Times New Roman"/>
                <w:sz w:val="18"/>
              </w:rPr>
              <w:t>430.97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1.92%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1" w:right="0"/>
              <w:jc w:val="left"/>
              <w:rPr>
                <w:rFonts w:ascii="Times New Roman" w:hAnsi="Times New Roman" w:cs="Times New Roman" w:eastAsia="Times New Roman" w:hint="default"/>
                <w:sz w:val="18"/>
                <w:szCs w:val="18"/>
              </w:rPr>
            </w:pPr>
            <w:r>
              <w:rPr>
                <w:rFonts w:ascii="Times New Roman"/>
                <w:sz w:val="18"/>
              </w:rPr>
              <w:t>14,905,4</w:t>
            </w:r>
          </w:p>
          <w:p>
            <w:pPr>
              <w:pStyle w:val="TableParagraph"/>
              <w:spacing w:line="240" w:lineRule="auto" w:before="110"/>
              <w:ind w:left="417" w:right="0"/>
              <w:jc w:val="left"/>
              <w:rPr>
                <w:rFonts w:ascii="Times New Roman" w:hAnsi="Times New Roman" w:cs="Times New Roman" w:eastAsia="Times New Roman" w:hint="default"/>
                <w:sz w:val="18"/>
                <w:szCs w:val="18"/>
              </w:rPr>
            </w:pPr>
            <w:r>
              <w:rPr>
                <w:rFonts w:ascii="Times New Roman"/>
                <w:sz w:val="18"/>
              </w:rPr>
              <w:t>30.97</w:t>
            </w:r>
          </w:p>
        </w:tc>
      </w:tr>
      <w:tr>
        <w:trPr>
          <w:trHeight w:val="1027"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840,17</w:t>
            </w:r>
          </w:p>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2,525.9</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65,858,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340.94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7.84%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774,31</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4,185.0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775,34</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0,840.4</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49,392,</w:t>
            </w:r>
          </w:p>
          <w:p>
            <w:pPr>
              <w:pStyle w:val="TableParagraph"/>
              <w:spacing w:line="240" w:lineRule="auto" w:before="105"/>
              <w:ind w:left="192" w:right="0"/>
              <w:jc w:val="left"/>
              <w:rPr>
                <w:rFonts w:ascii="Times New Roman" w:hAnsi="Times New Roman" w:cs="Times New Roman" w:eastAsia="Times New Roman" w:hint="default"/>
                <w:sz w:val="18"/>
                <w:szCs w:val="18"/>
              </w:rPr>
            </w:pPr>
            <w:r>
              <w:rPr>
                <w:rFonts w:ascii="Times New Roman"/>
                <w:sz w:val="18"/>
              </w:rPr>
              <w:t>850.97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6.37%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725,947,</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989.47</w:t>
            </w:r>
          </w:p>
        </w:tc>
      </w:tr>
    </w:tbl>
    <w:p>
      <w:pPr>
        <w:spacing w:before="54"/>
        <w:ind w:left="113" w:right="1764"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2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604,777,944.07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18,143,338.32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3.00%</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131,374,402.80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13,137,440.28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41,381,041.63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8,276,208.33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35,352,756.76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17,676,378.38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8,624,975.63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8,624,975.63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821,511,120.89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65,858,340.94</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362" w:lineRule="auto"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2096" w:space="6734"/>
            <w:col w:w="2060"/>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3"/>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62" w:lineRule="auto"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如是按照预期信用损失一般模型计提应收账款坏账准备，请参照其他应收款的披露方式披露坏账准备的相关信息：</w:t>
      </w:r>
    </w:p>
    <w:p>
      <w:pPr>
        <w:spacing w:line="357" w:lineRule="auto" w:before="23"/>
        <w:ind w:left="113" w:right="9217"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按账龄披露</w:t>
      </w:r>
    </w:p>
    <w:p>
      <w:pPr>
        <w:spacing w:after="0" w:line="357" w:lineRule="auto"/>
        <w:jc w:val="left"/>
        <w:rPr>
          <w:rFonts w:ascii="宋体" w:hAnsi="宋体" w:cs="宋体" w:eastAsia="宋体" w:hint="default"/>
          <w:sz w:val="18"/>
          <w:szCs w:val="18"/>
        </w:rPr>
        <w:sectPr>
          <w:type w:val="continuous"/>
          <w:pgSz w:w="11910" w:h="16840"/>
          <w:pgMar w:top="1100" w:bottom="1220" w:left="1020" w:right="0"/>
        </w:sectPr>
      </w:pPr>
    </w:p>
    <w:p>
      <w:pPr>
        <w:spacing w:line="240" w:lineRule="auto" w:before="2"/>
        <w:rPr>
          <w:rFonts w:ascii="宋体" w:hAnsi="宋体" w:cs="宋体" w:eastAsia="宋体" w:hint="default"/>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9"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623,439,349.14</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131,374,402.80</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41,381,041.63</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43,977,732.39</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35,352,756.76</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8,624,975.63</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840,172,525.96</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2）本期计提、收回或转回的坏账准备情况" w:id="530"/>
      <w:bookmarkEnd w:id="53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23"/>
          <w:szCs w:val="23"/>
        </w:rPr>
      </w:pPr>
    </w:p>
    <w:p>
      <w:pPr>
        <w:spacing w:before="46"/>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166"/>
              <w:jc w:val="left"/>
              <w:rPr>
                <w:rFonts w:ascii="宋体" w:hAnsi="宋体" w:cs="宋体" w:eastAsia="宋体" w:hint="default"/>
                <w:sz w:val="18"/>
                <w:szCs w:val="18"/>
              </w:rPr>
            </w:pPr>
            <w:r>
              <w:rPr>
                <w:rFonts w:ascii="宋体" w:hAnsi="宋体" w:cs="宋体" w:eastAsia="宋体" w:hint="default"/>
                <w:spacing w:val="-2"/>
                <w:sz w:val="18"/>
                <w:szCs w:val="18"/>
              </w:rPr>
              <w:t>计提的坏账准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49,392,850.97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16,465,489.97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65,858,340.94</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49,392,850.97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16,465,489.97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65,858,340.94</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其中本期坏账准备收回或转回金额重要的：</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371"/>
        <w:gridCol w:w="3102"/>
        <w:gridCol w:w="3097"/>
      </w:tblGrid>
      <w:tr>
        <w:trPr>
          <w:trHeight w:val="401" w:hRule="exact"/>
        </w:trPr>
        <w:tc>
          <w:tcPr>
            <w:tcW w:w="3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11" w:right="0"/>
              <w:jc w:val="left"/>
              <w:rPr>
                <w:rFonts w:ascii="宋体" w:hAnsi="宋体" w:cs="宋体" w:eastAsia="宋体" w:hint="default"/>
                <w:sz w:val="18"/>
                <w:szCs w:val="18"/>
              </w:rPr>
            </w:pPr>
            <w:r>
              <w:rPr>
                <w:rFonts w:ascii="宋体" w:hAnsi="宋体" w:cs="宋体" w:eastAsia="宋体" w:hint="default"/>
                <w:spacing w:val="-3"/>
                <w:sz w:val="18"/>
                <w:szCs w:val="18"/>
              </w:rPr>
              <w:t>收回或转回金额</w:t>
            </w:r>
          </w:p>
        </w:tc>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3）本期实际核销的应收账款情况" w:id="531"/>
      <w:bookmarkEnd w:id="531"/>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其中重要的应收账款核销情况：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442" w:right="171" w:hanging="270"/>
              <w:jc w:val="left"/>
              <w:rPr>
                <w:rFonts w:ascii="宋体" w:hAnsi="宋体" w:cs="宋体" w:eastAsia="宋体" w:hint="default"/>
                <w:sz w:val="18"/>
                <w:szCs w:val="18"/>
              </w:rPr>
            </w:pPr>
            <w:r>
              <w:rPr>
                <w:rFonts w:ascii="宋体" w:hAnsi="宋体" w:cs="宋体" w:eastAsia="宋体" w:hint="default"/>
                <w:spacing w:val="-3"/>
                <w:sz w:val="18"/>
                <w:szCs w:val="18"/>
              </w:rPr>
              <w:t>款项是否由关联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交易产生</w:t>
            </w:r>
          </w:p>
        </w:tc>
      </w:tr>
    </w:tbl>
    <w:p>
      <w:pPr>
        <w:spacing w:before="56"/>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应收账款核销说明：</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4）按欠款方归集的期末余额前五名的应收账款情况" w:id="532"/>
      <w:bookmarkEnd w:id="532"/>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71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916" w:right="109" w:hanging="812"/>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占应收账款期末余额合计数</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73,223,444.02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8.72%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2,196,703.32</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45,943,177.41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5.47%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1,905,754.37</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43,338,671.47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5.16%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1,300,160.14</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39,093,917.93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4.65%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1,917,212.26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37,724,282.13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4.49%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1,131,728.46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239,323,492.96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28.49%</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5）因金融资产转移而终止确认的应收账款" w:id="533"/>
      <w:bookmarkEnd w:id="533"/>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764"/>
        <w:jc w:val="left"/>
        <w:rPr>
          <w:b w:val="0"/>
          <w:bCs w:val="0"/>
        </w:rPr>
      </w:pPr>
      <w:bookmarkStart w:name="（6）转移应收账款且继续涉入形成的资产、负债金额" w:id="534"/>
      <w:bookmarkEnd w:id="534"/>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1"/>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2、其他应收款" w:id="535"/>
      <w:bookmarkEnd w:id="535"/>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662,280,046.17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1,072,716,931.10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662,280,046.17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1,072,716,931.10</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1）应收利息" w:id="536"/>
      <w:bookmarkEnd w:id="536"/>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764"/>
        <w:jc w:val="left"/>
        <w:rPr>
          <w:b w:val="0"/>
          <w:bCs w:val="0"/>
        </w:rPr>
      </w:pPr>
      <w:bookmarkStart w:name="1）应收利息分类" w:id="537"/>
      <w:bookmarkEnd w:id="537"/>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2）重要逾期利息" w:id="538"/>
      <w:bookmarkEnd w:id="538"/>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686" w:right="137" w:hanging="543"/>
              <w:jc w:val="left"/>
              <w:rPr>
                <w:rFonts w:ascii="宋体" w:hAnsi="宋体" w:cs="宋体" w:eastAsia="宋体" w:hint="default"/>
                <w:sz w:val="18"/>
                <w:szCs w:val="18"/>
              </w:rPr>
            </w:pPr>
            <w:r>
              <w:rPr>
                <w:rFonts w:ascii="宋体" w:hAnsi="宋体" w:cs="宋体" w:eastAsia="宋体" w:hint="default"/>
                <w:spacing w:val="-3"/>
                <w:sz w:val="18"/>
                <w:szCs w:val="18"/>
              </w:rPr>
              <w:t>是否发生减值及其判</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断依据</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3"/>
        <w:spacing w:line="240" w:lineRule="auto"/>
        <w:ind w:right="1764"/>
        <w:jc w:val="left"/>
        <w:rPr>
          <w:b w:val="0"/>
          <w:bCs w:val="0"/>
        </w:rPr>
      </w:pPr>
      <w:bookmarkStart w:name="3）坏账准备计提情况" w:id="539"/>
      <w:bookmarkEnd w:id="539"/>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9"/>
        <w:rPr>
          <w:rFonts w:ascii="宋体" w:hAnsi="宋体" w:cs="宋体" w:eastAsia="宋体" w:hint="default"/>
          <w:b/>
          <w:bCs/>
          <w:sz w:val="26"/>
          <w:szCs w:val="26"/>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3"/>
        <w:spacing w:line="240" w:lineRule="auto" w:before="36"/>
        <w:ind w:right="1764"/>
        <w:jc w:val="left"/>
        <w:rPr>
          <w:b w:val="0"/>
          <w:bCs w:val="0"/>
        </w:rPr>
      </w:pPr>
      <w:bookmarkStart w:name="（2）应收股利" w:id="540"/>
      <w:bookmarkEnd w:id="540"/>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1）应收股利分类" w:id="541"/>
      <w:bookmarkEnd w:id="541"/>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2）重要的账龄超过1年的应收股利" w:id="542"/>
      <w:bookmarkEnd w:id="542"/>
      <w:r>
        <w:rPr>
          <w:b w:val="0"/>
          <w:bCs w:val="0"/>
        </w:rPr>
      </w:r>
      <w:r>
        <w:rPr>
          <w:rFonts w:ascii="Times New Roman" w:hAnsi="Times New Roman" w:cs="Times New Roman" w:eastAsia="Times New Roman" w:hint="default"/>
        </w:rPr>
        <w:t>2</w:t>
      </w:r>
      <w:r>
        <w:rPr/>
        <w:t>）重要的账龄超过</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686" w:right="137" w:hanging="543"/>
              <w:jc w:val="left"/>
              <w:rPr>
                <w:rFonts w:ascii="宋体" w:hAnsi="宋体" w:cs="宋体" w:eastAsia="宋体" w:hint="default"/>
                <w:sz w:val="18"/>
                <w:szCs w:val="18"/>
              </w:rPr>
            </w:pPr>
            <w:r>
              <w:rPr>
                <w:rFonts w:ascii="宋体" w:hAnsi="宋体" w:cs="宋体" w:eastAsia="宋体" w:hint="default"/>
                <w:spacing w:val="-3"/>
                <w:sz w:val="18"/>
                <w:szCs w:val="18"/>
              </w:rPr>
              <w:t>是否发生减值及其判</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断依据</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3）坏账准备计提情况" w:id="543"/>
      <w:bookmarkEnd w:id="543"/>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9"/>
        <w:rPr>
          <w:rFonts w:ascii="宋体" w:hAnsi="宋体" w:cs="宋体" w:eastAsia="宋体" w:hint="default"/>
          <w:b/>
          <w:bCs/>
          <w:sz w:val="26"/>
          <w:szCs w:val="26"/>
        </w:rPr>
      </w:pPr>
    </w:p>
    <w:p>
      <w:pPr>
        <w:spacing w:line="362" w:lineRule="auto" w:before="0"/>
        <w:ind w:left="113" w:right="9217"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其他说明：</w:t>
      </w:r>
    </w:p>
    <w:p>
      <w:pPr>
        <w:spacing w:line="240" w:lineRule="auto" w:before="3"/>
        <w:rPr>
          <w:rFonts w:ascii="宋体" w:hAnsi="宋体" w:cs="宋体" w:eastAsia="宋体" w:hint="default"/>
          <w:sz w:val="19"/>
          <w:szCs w:val="19"/>
        </w:rPr>
      </w:pPr>
    </w:p>
    <w:p>
      <w:pPr>
        <w:pStyle w:val="Heading3"/>
        <w:spacing w:line="240" w:lineRule="auto"/>
        <w:ind w:right="1764"/>
        <w:jc w:val="left"/>
        <w:rPr>
          <w:b w:val="0"/>
          <w:bCs w:val="0"/>
        </w:rPr>
      </w:pPr>
      <w:bookmarkStart w:name="（3）其他应收款" w:id="544"/>
      <w:bookmarkEnd w:id="544"/>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64"/>
        <w:jc w:val="left"/>
        <w:rPr>
          <w:b w:val="0"/>
          <w:bCs w:val="0"/>
        </w:rPr>
      </w:pPr>
      <w:bookmarkStart w:name="1）其他应收款按款项性质分类情况" w:id="545"/>
      <w:bookmarkEnd w:id="545"/>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4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624,712,348.59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1,035,950,000.00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员工借款及备用金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9,114,426.00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9,711,512.52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27,078,281.68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24,555,042.42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4,361,579.58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4,472,325.09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107,948.71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93,206.62</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665,374,584.56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1,074,782,086.65</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2）坏账准备计提情况" w:id="546"/>
      <w:bookmarkEnd w:id="546"/>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652"/>
        <w:gridCol w:w="2098"/>
        <w:gridCol w:w="2103"/>
        <w:gridCol w:w="1800"/>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461" w:right="137" w:hanging="312"/>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个月预期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63" w:right="137" w:hanging="1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整个存续期预期信用损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64" w:right="142" w:hanging="1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整个存续期预期信用损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0" w:type="dxa"/>
            <w:vMerge/>
            <w:tcBorders>
              <w:left w:val="single" w:sz="4" w:space="0" w:color="000000"/>
              <w:bottom w:val="single" w:sz="4" w:space="0" w:color="000000"/>
              <w:right w:val="single" w:sz="4" w:space="0" w:color="000000"/>
            </w:tcBorders>
            <w:shd w:val="clear" w:color="auto" w:fill="D2D2D2"/>
          </w:tcPr>
          <w:p>
            <w:pPr/>
          </w:p>
        </w:tc>
      </w:tr>
      <w:tr>
        <w:trPr>
          <w:trHeight w:val="399"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95" w:right="0"/>
              <w:jc w:val="left"/>
              <w:rPr>
                <w:rFonts w:ascii="Times New Roman" w:hAnsi="Times New Roman" w:cs="Times New Roman" w:eastAsia="Times New Roman" w:hint="default"/>
                <w:sz w:val="18"/>
                <w:szCs w:val="18"/>
              </w:rPr>
            </w:pPr>
            <w:r>
              <w:rPr>
                <w:rFonts w:ascii="Times New Roman"/>
                <w:sz w:val="18"/>
              </w:rPr>
              <w:t>2,065,155.55</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44" w:right="0"/>
              <w:jc w:val="left"/>
              <w:rPr>
                <w:rFonts w:ascii="Times New Roman" w:hAnsi="Times New Roman" w:cs="Times New Roman" w:eastAsia="Times New Roman" w:hint="default"/>
                <w:sz w:val="18"/>
                <w:szCs w:val="18"/>
              </w:rPr>
            </w:pPr>
            <w:r>
              <w:rPr>
                <w:rFonts w:ascii="Times New Roman"/>
                <w:sz w:val="18"/>
              </w:rPr>
              <w:t>2,065,155.55</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127"/>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r>
              <w:rPr>
                <w:rFonts w:ascii="宋体" w:hAnsi="宋体" w:cs="宋体" w:eastAsia="宋体" w:hint="default"/>
                <w:w w:val="101"/>
                <w:sz w:val="18"/>
                <w:szCs w:val="18"/>
              </w:rPr>
              <w:t> </w:t>
            </w:r>
            <w:r>
              <w:rPr>
                <w:rFonts w:ascii="宋体" w:hAnsi="宋体" w:cs="宋体" w:eastAsia="宋体" w:hint="default"/>
                <w:sz w:val="18"/>
                <w:szCs w:val="18"/>
              </w:rPr>
              <w:t>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15"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16"/>
        <w:gridCol w:w="1652"/>
        <w:gridCol w:w="2098"/>
        <w:gridCol w:w="2103"/>
        <w:gridCol w:w="1800"/>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1,029,382.84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1,029,382.84</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2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3,094,538.39</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3,094,538.39</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before="53"/>
        <w:ind w:left="113" w:right="0" w:firstLine="0"/>
        <w:jc w:val="left"/>
        <w:rPr>
          <w:rFonts w:ascii="宋体" w:hAnsi="宋体" w:cs="宋体" w:eastAsia="宋体" w:hint="default"/>
          <w:sz w:val="18"/>
          <w:szCs w:val="18"/>
        </w:rPr>
      </w:pPr>
      <w:r>
        <w:rPr>
          <w:rFonts w:ascii="宋体" w:hAnsi="宋体" w:cs="宋体" w:eastAsia="宋体" w:hint="default"/>
          <w:spacing w:val="-3"/>
          <w:sz w:val="18"/>
          <w:szCs w:val="18"/>
        </w:rPr>
        <w:t>损失准备本期变动金额重大的账面余额变动情况</w:t>
      </w:r>
    </w:p>
    <w:p>
      <w:pPr>
        <w:spacing w:line="362" w:lineRule="auto" w:before="115"/>
        <w:ind w:left="113" w:right="2229"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3897" w:space="4934"/>
            <w:col w:w="2059"/>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399"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22,337,069.10</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16,600,259.77</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4"/>
              <w:jc w:val="right"/>
              <w:rPr>
                <w:rFonts w:ascii="Times New Roman" w:hAnsi="Times New Roman" w:cs="Times New Roman" w:eastAsia="Times New Roman" w:hint="default"/>
                <w:sz w:val="18"/>
                <w:szCs w:val="18"/>
              </w:rPr>
            </w:pPr>
            <w:r>
              <w:rPr>
                <w:rFonts w:ascii="Times New Roman"/>
                <w:spacing w:val="-1"/>
                <w:sz w:val="18"/>
              </w:rPr>
              <w:t>1,031,839.70</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693,067.40</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270,070.00</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422,997.40</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4"/>
              <w:jc w:val="right"/>
              <w:rPr>
                <w:rFonts w:ascii="Times New Roman" w:hAnsi="Times New Roman" w:cs="Times New Roman" w:eastAsia="Times New Roman" w:hint="default"/>
                <w:sz w:val="18"/>
                <w:szCs w:val="18"/>
              </w:rPr>
            </w:pPr>
            <w:r>
              <w:rPr>
                <w:rFonts w:ascii="Times New Roman"/>
                <w:spacing w:val="-1"/>
                <w:sz w:val="18"/>
              </w:rPr>
              <w:t>40,662,235.97</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3）本期计提、收回或转回的坏账准备情况" w:id="547"/>
      <w:bookmarkEnd w:id="547"/>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6"/>
        <w:rPr>
          <w:rFonts w:ascii="宋体" w:hAnsi="宋体" w:cs="宋体" w:eastAsia="宋体" w:hint="default"/>
          <w:b/>
          <w:bCs/>
          <w:sz w:val="23"/>
          <w:szCs w:val="23"/>
        </w:rPr>
      </w:pPr>
    </w:p>
    <w:p>
      <w:pPr>
        <w:spacing w:before="46"/>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80"/>
        <w:gridCol w:w="1090"/>
        <w:gridCol w:w="1330"/>
        <w:gridCol w:w="1455"/>
        <w:gridCol w:w="1196"/>
        <w:gridCol w:w="1345"/>
        <w:gridCol w:w="1580"/>
      </w:tblGrid>
      <w:tr>
        <w:trPr>
          <w:trHeight w:val="404"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8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计提的坏账准备</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2,065,155.5</w:t>
            </w:r>
          </w:p>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1,029,382.84</w:t>
            </w:r>
          </w:p>
        </w:tc>
        <w:tc>
          <w:tcPr>
            <w:tcW w:w="145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3,094,538.39</w:t>
            </w:r>
          </w:p>
        </w:tc>
      </w:tr>
      <w:tr>
        <w:trPr>
          <w:trHeight w:val="711"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2,065,155.5</w:t>
            </w:r>
          </w:p>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1,029,382.84</w:t>
            </w:r>
          </w:p>
        </w:tc>
        <w:tc>
          <w:tcPr>
            <w:tcW w:w="145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3,094,538.39</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其中本期坏账准备转回或收回金额重要的：</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5" w:right="0"/>
              <w:jc w:val="left"/>
              <w:rPr>
                <w:rFonts w:ascii="宋体" w:hAnsi="宋体" w:cs="宋体" w:eastAsia="宋体" w:hint="default"/>
                <w:sz w:val="18"/>
                <w:szCs w:val="18"/>
              </w:rPr>
            </w:pPr>
            <w:r>
              <w:rPr>
                <w:rFonts w:ascii="宋体" w:hAnsi="宋体" w:cs="宋体" w:eastAsia="宋体" w:hint="default"/>
                <w:spacing w:val="-3"/>
                <w:sz w:val="18"/>
                <w:szCs w:val="18"/>
              </w:rPr>
              <w:t>转回或收回金额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4）本期实际核销的其他应收款情况" w:id="548"/>
      <w:bookmarkEnd w:id="548"/>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其中重要的其他应收款核销情况：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398"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pacing w:val="-3"/>
                <w:sz w:val="18"/>
                <w:szCs w:val="18"/>
              </w:rPr>
              <w:t>其他应收款性质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8"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72" w:right="0"/>
              <w:jc w:val="left"/>
              <w:rPr>
                <w:rFonts w:ascii="宋体" w:hAnsi="宋体" w:cs="宋体" w:eastAsia="宋体" w:hint="default"/>
                <w:sz w:val="18"/>
                <w:szCs w:val="18"/>
              </w:rPr>
            </w:pPr>
            <w:r>
              <w:rPr>
                <w:rFonts w:ascii="宋体" w:hAnsi="宋体" w:cs="宋体" w:eastAsia="宋体" w:hint="default"/>
                <w:spacing w:val="-3"/>
                <w:sz w:val="18"/>
                <w:szCs w:val="18"/>
              </w:rPr>
              <w:t>款项是否由关联</w:t>
            </w:r>
          </w:p>
        </w:tc>
      </w:tr>
    </w:tbl>
    <w:p>
      <w:pPr>
        <w:spacing w:after="0" w:line="240" w:lineRule="auto"/>
        <w:jc w:val="left"/>
        <w:rPr>
          <w:rFonts w:ascii="宋体" w:hAnsi="宋体" w:cs="宋体" w:eastAsia="宋体" w:hint="default"/>
          <w:sz w:val="18"/>
          <w:szCs w:val="18"/>
        </w:rPr>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360"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442" w:right="0"/>
              <w:jc w:val="left"/>
              <w:rPr>
                <w:rFonts w:ascii="宋体" w:hAnsi="宋体" w:cs="宋体" w:eastAsia="宋体" w:hint="default"/>
                <w:sz w:val="18"/>
                <w:szCs w:val="18"/>
              </w:rPr>
            </w:pPr>
            <w:r>
              <w:rPr>
                <w:rFonts w:ascii="宋体" w:hAnsi="宋体" w:cs="宋体" w:eastAsia="宋体" w:hint="default"/>
                <w:sz w:val="18"/>
                <w:szCs w:val="18"/>
              </w:rPr>
              <w:t>交易产生</w:t>
            </w:r>
          </w:p>
        </w:tc>
      </w:tr>
    </w:tbl>
    <w:p>
      <w:pPr>
        <w:spacing w:before="53"/>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9"/>
        <w:rPr>
          <w:rFonts w:ascii="宋体" w:hAnsi="宋体" w:cs="宋体" w:eastAsia="宋体" w:hint="default"/>
          <w:sz w:val="26"/>
          <w:szCs w:val="26"/>
        </w:rPr>
      </w:pPr>
    </w:p>
    <w:p>
      <w:pPr>
        <w:pStyle w:val="Heading3"/>
        <w:spacing w:line="240" w:lineRule="auto"/>
        <w:ind w:right="1764"/>
        <w:jc w:val="left"/>
        <w:rPr>
          <w:b w:val="0"/>
          <w:bCs w:val="0"/>
        </w:rPr>
      </w:pPr>
      <w:bookmarkStart w:name="5）按欠款方归集的期末余额前五名的其他应收款情况" w:id="549"/>
      <w:bookmarkEnd w:id="549"/>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102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48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41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68" w:right="171"/>
              <w:jc w:val="center"/>
              <w:rPr>
                <w:rFonts w:ascii="宋体" w:hAnsi="宋体" w:cs="宋体" w:eastAsia="宋体" w:hint="default"/>
                <w:sz w:val="18"/>
                <w:szCs w:val="18"/>
              </w:rPr>
            </w:pPr>
            <w:r>
              <w:rPr>
                <w:rFonts w:ascii="宋体" w:hAnsi="宋体" w:cs="宋体" w:eastAsia="宋体" w:hint="default"/>
                <w:spacing w:val="-3"/>
                <w:sz w:val="18"/>
                <w:szCs w:val="18"/>
              </w:rPr>
              <w:t>占其他应收款期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末余额合计数的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比例</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715" w:right="171" w:hanging="543"/>
              <w:jc w:val="left"/>
              <w:rPr>
                <w:rFonts w:ascii="宋体" w:hAnsi="宋体" w:cs="宋体" w:eastAsia="宋体" w:hint="default"/>
                <w:sz w:val="18"/>
                <w:szCs w:val="18"/>
              </w:rPr>
            </w:pPr>
            <w:r>
              <w:rPr>
                <w:rFonts w:ascii="宋体" w:hAnsi="宋体" w:cs="宋体" w:eastAsia="宋体" w:hint="default"/>
                <w:spacing w:val="-3"/>
                <w:sz w:val="18"/>
                <w:szCs w:val="18"/>
              </w:rPr>
              <w:t>坏账准备期末余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深圳市金华威</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478,335,052.23</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71.89%</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合肥天源迪科</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67,000,000.00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10.07%</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广州易杰</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47,220,574.59</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7.10%</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上海天源迪科</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14,600,000.00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8"/>
                <w:szCs w:val="18"/>
              </w:rPr>
            </w:pPr>
            <w:r>
              <w:rPr>
                <w:rFonts w:ascii="Times New Roman"/>
                <w:spacing w:val="-1"/>
                <w:sz w:val="18"/>
              </w:rPr>
              <w:t>2.19%</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23"/>
              <w:jc w:val="left"/>
              <w:rPr>
                <w:rFonts w:ascii="宋体" w:hAnsi="宋体" w:cs="宋体" w:eastAsia="宋体" w:hint="default"/>
                <w:sz w:val="18"/>
                <w:szCs w:val="18"/>
              </w:rPr>
            </w:pPr>
            <w:r>
              <w:rPr>
                <w:rFonts w:ascii="宋体" w:hAnsi="宋体" w:cs="宋体" w:eastAsia="宋体" w:hint="default"/>
                <w:spacing w:val="-2"/>
                <w:sz w:val="18"/>
                <w:szCs w:val="18"/>
              </w:rPr>
              <w:t>广西壮族自治区粮</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食和物资储备局</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10,270,360.10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1,027,036.01</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617,425,986.92</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92.79%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1,027,036.01</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6）涉及政府补助的应收款项" w:id="550"/>
      <w:bookmarkEnd w:id="550"/>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027"/>
        <w:gridCol w:w="1868"/>
        <w:gridCol w:w="1868"/>
        <w:gridCol w:w="1868"/>
        <w:gridCol w:w="1945"/>
      </w:tblGrid>
      <w:tr>
        <w:trPr>
          <w:trHeight w:val="715"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4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696" w:right="99" w:hanging="596"/>
              <w:jc w:val="left"/>
              <w:rPr>
                <w:rFonts w:ascii="宋体" w:hAnsi="宋体" w:cs="宋体" w:eastAsia="宋体" w:hint="default"/>
                <w:sz w:val="18"/>
                <w:szCs w:val="18"/>
              </w:rPr>
            </w:pPr>
            <w:r>
              <w:rPr>
                <w:rFonts w:ascii="宋体" w:hAnsi="宋体" w:cs="宋体" w:eastAsia="宋体" w:hint="default"/>
                <w:spacing w:val="-10"/>
                <w:w w:val="101"/>
                <w:sz w:val="18"/>
                <w:szCs w:val="18"/>
              </w:rPr>
              <w:t>预计收取的时间、金额</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z w:val="18"/>
                <w:szCs w:val="18"/>
              </w:rPr>
              <w:t>及依据</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7）因金融资产转移而终止确认的其他应收款" w:id="551"/>
      <w:bookmarkEnd w:id="551"/>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764"/>
        <w:jc w:val="left"/>
        <w:rPr>
          <w:b w:val="0"/>
          <w:bCs w:val="0"/>
        </w:rPr>
      </w:pPr>
      <w:bookmarkStart w:name="8）转移其他应收款且继续涉入形成的资产、负债金额" w:id="552"/>
      <w:bookmarkEnd w:id="552"/>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1"/>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pStyle w:val="Heading3"/>
        <w:spacing w:line="240" w:lineRule="auto"/>
        <w:ind w:right="1764"/>
        <w:jc w:val="left"/>
        <w:rPr>
          <w:b w:val="0"/>
          <w:bCs w:val="0"/>
        </w:rPr>
      </w:pPr>
      <w:bookmarkStart w:name="3、长期股权投资" w:id="553"/>
      <w:bookmarkEnd w:id="553"/>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4"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pacing w:val="-1"/>
                <w:sz w:val="18"/>
              </w:rPr>
              <w:t>1,502,042,561.</w:t>
            </w:r>
          </w:p>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z w:val="18"/>
              </w:rPr>
              <w:t>01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pacing w:val="-1"/>
                <w:sz w:val="18"/>
              </w:rPr>
              <w:t>1,502,042,561.</w:t>
            </w:r>
          </w:p>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z w:val="18"/>
              </w:rPr>
              <w:t>01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pacing w:val="-1"/>
                <w:sz w:val="18"/>
              </w:rPr>
              <w:t>1,492,570,217.</w:t>
            </w:r>
          </w:p>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z w:val="18"/>
              </w:rPr>
              <w:t>95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1,492,570,217.</w:t>
            </w:r>
          </w:p>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z w:val="18"/>
              </w:rPr>
              <w:t>95</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对联营、合营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企业投资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85,359,891.26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3" w:right="0"/>
              <w:jc w:val="center"/>
              <w:rPr>
                <w:rFonts w:ascii="Times New Roman" w:hAnsi="Times New Roman" w:cs="Times New Roman" w:eastAsia="Times New Roman" w:hint="default"/>
                <w:sz w:val="18"/>
                <w:szCs w:val="18"/>
              </w:rPr>
            </w:pPr>
            <w:r>
              <w:rPr>
                <w:rFonts w:ascii="Times New Roman"/>
                <w:sz w:val="18"/>
              </w:rPr>
              <w:t>85,359,891.26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71,648,171.51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71,648,171.51</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pacing w:val="-1"/>
                <w:sz w:val="18"/>
              </w:rPr>
              <w:t>1,587,402,452.</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27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pacing w:val="-1"/>
                <w:sz w:val="18"/>
              </w:rPr>
              <w:t>1,587,402,452.</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27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pacing w:val="-1"/>
                <w:sz w:val="18"/>
              </w:rPr>
              <w:t>1,564,218,389.</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46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1,564,218,389.</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46</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3"/>
        <w:spacing w:line="240" w:lineRule="auto" w:before="36"/>
        <w:ind w:right="1764"/>
        <w:jc w:val="left"/>
        <w:rPr>
          <w:b w:val="0"/>
          <w:bCs w:val="0"/>
        </w:rPr>
      </w:pPr>
      <w:bookmarkStart w:name="（1）对子公司投资" w:id="554"/>
      <w:bookmarkEnd w:id="554"/>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268"/>
        <w:gridCol w:w="1167"/>
        <w:gridCol w:w="1167"/>
        <w:gridCol w:w="1167"/>
        <w:gridCol w:w="1167"/>
        <w:gridCol w:w="1210"/>
        <w:gridCol w:w="1215"/>
        <w:gridCol w:w="1215"/>
      </w:tblGrid>
      <w:tr>
        <w:trPr>
          <w:trHeight w:val="404"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5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w:t>
            </w:r>
          </w:p>
        </w:tc>
        <w:tc>
          <w:tcPr>
            <w:tcW w:w="471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00" w:lineRule="auto"/>
              <w:ind w:left="302" w:right="113" w:hanging="178"/>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w:t>
            </w:r>
            <w:r>
              <w:rPr>
                <w:rFonts w:ascii="宋体" w:hAnsi="宋体" w:cs="宋体" w:eastAsia="宋体" w:hint="default"/>
                <w:spacing w:val="-87"/>
                <w:sz w:val="18"/>
                <w:szCs w:val="18"/>
              </w:rPr>
              <w:t> </w:t>
            </w:r>
            <w:r>
              <w:rPr>
                <w:rFonts w:ascii="宋体" w:hAnsi="宋体" w:cs="宋体" w:eastAsia="宋体" w:hint="default"/>
                <w:sz w:val="18"/>
                <w:szCs w:val="18"/>
              </w:rPr>
              <w:t>面价值</w:t>
            </w:r>
            <w:r>
              <w:rPr>
                <w:rFonts w:ascii="Times New Roman" w:hAnsi="Times New Roman" w:cs="Times New Roman" w:eastAsia="Times New Roman" w:hint="default"/>
                <w:sz w:val="18"/>
                <w:szCs w:val="18"/>
              </w:rPr>
              <w:t>)</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335" w:right="146" w:hanging="183"/>
              <w:jc w:val="left"/>
              <w:rPr>
                <w:rFonts w:ascii="宋体" w:hAnsi="宋体" w:cs="宋体" w:eastAsia="宋体" w:hint="default"/>
                <w:sz w:val="18"/>
                <w:szCs w:val="18"/>
              </w:rPr>
            </w:pPr>
            <w:r>
              <w:rPr>
                <w:rFonts w:ascii="宋体" w:hAnsi="宋体" w:cs="宋体" w:eastAsia="宋体" w:hint="default"/>
                <w:spacing w:val="-2"/>
                <w:sz w:val="18"/>
                <w:szCs w:val="18"/>
              </w:rPr>
              <w:t>减值准备期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末余额</w:t>
            </w:r>
          </w:p>
        </w:tc>
      </w:tr>
      <w:tr>
        <w:trPr>
          <w:trHeight w:val="715"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84" w:right="127" w:hanging="360"/>
              <w:jc w:val="left"/>
              <w:rPr>
                <w:rFonts w:ascii="宋体" w:hAnsi="宋体" w:cs="宋体" w:eastAsia="宋体" w:hint="default"/>
                <w:sz w:val="18"/>
                <w:szCs w:val="18"/>
              </w:rPr>
            </w:pPr>
            <w:r>
              <w:rPr>
                <w:rFonts w:ascii="宋体" w:hAnsi="宋体" w:cs="宋体" w:eastAsia="宋体" w:hint="default"/>
                <w:spacing w:val="-2"/>
                <w:sz w:val="18"/>
                <w:szCs w:val="18"/>
              </w:rPr>
              <w:t>计提减值准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备</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5" w:type="dxa"/>
            <w:vMerge/>
            <w:tcBorders>
              <w:left w:val="single" w:sz="4" w:space="0" w:color="000000"/>
              <w:bottom w:val="single" w:sz="4" w:space="0" w:color="000000"/>
              <w:right w:val="single" w:sz="4" w:space="0" w:color="000000"/>
            </w:tcBorders>
            <w:shd w:val="clear" w:color="auto" w:fill="D2D2D2"/>
          </w:tcPr>
          <w:p>
            <w:pPr/>
          </w:p>
        </w:tc>
        <w:tc>
          <w:tcPr>
            <w:tcW w:w="1215" w:type="dxa"/>
            <w:vMerge/>
            <w:tcBorders>
              <w:left w:val="single" w:sz="4" w:space="0" w:color="000000"/>
              <w:bottom w:val="single" w:sz="4" w:space="0" w:color="000000"/>
              <w:right w:val="single" w:sz="4" w:space="0" w:color="000000"/>
            </w:tcBorders>
            <w:shd w:val="clear" w:color="auto" w:fill="D2D2D2"/>
          </w:tcPr>
          <w:p>
            <w:pPr/>
          </w:p>
        </w:tc>
      </w:tr>
      <w:tr>
        <w:trPr>
          <w:trHeight w:val="71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48"/>
              <w:jc w:val="left"/>
              <w:rPr>
                <w:rFonts w:ascii="宋体" w:hAnsi="宋体" w:cs="宋体" w:eastAsia="宋体" w:hint="default"/>
                <w:sz w:val="18"/>
                <w:szCs w:val="18"/>
              </w:rPr>
            </w:pPr>
            <w:r>
              <w:rPr>
                <w:rFonts w:ascii="宋体" w:hAnsi="宋体" w:cs="宋体" w:eastAsia="宋体" w:hint="default"/>
                <w:spacing w:val="-2"/>
                <w:sz w:val="18"/>
                <w:szCs w:val="18"/>
              </w:rPr>
              <w:t>上海天源迪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科</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50,000,000.0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50,000,000.0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广州易杰</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130,093,016.</w:t>
            </w:r>
          </w:p>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z w:val="18"/>
              </w:rPr>
              <w:t>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130,093,016.</w:t>
            </w:r>
          </w:p>
          <w:p>
            <w:pPr>
              <w:pStyle w:val="TableParagraph"/>
              <w:spacing w:line="240" w:lineRule="auto" w:before="110"/>
              <w:ind w:right="94"/>
              <w:jc w:val="right"/>
              <w:rPr>
                <w:rFonts w:ascii="Times New Roman" w:hAnsi="Times New Roman" w:cs="Times New Roman" w:eastAsia="Times New Roman" w:hint="default"/>
                <w:sz w:val="18"/>
                <w:szCs w:val="18"/>
              </w:rPr>
            </w:pPr>
            <w:r>
              <w:rPr>
                <w:rFonts w:ascii="Times New Roman"/>
                <w:sz w:val="18"/>
              </w:rPr>
              <w:t>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248"/>
              <w:jc w:val="left"/>
              <w:rPr>
                <w:rFonts w:ascii="宋体" w:hAnsi="宋体" w:cs="宋体" w:eastAsia="宋体" w:hint="default"/>
                <w:sz w:val="18"/>
                <w:szCs w:val="18"/>
              </w:rPr>
            </w:pPr>
            <w:r>
              <w:rPr>
                <w:rFonts w:ascii="宋体" w:hAnsi="宋体" w:cs="宋体" w:eastAsia="宋体" w:hint="default"/>
                <w:spacing w:val="-2"/>
                <w:sz w:val="18"/>
                <w:szCs w:val="18"/>
              </w:rPr>
              <w:t>合肥天源迪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科</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220,000,000.</w:t>
            </w:r>
          </w:p>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z w:val="18"/>
              </w:rPr>
              <w:t>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220,000,000.</w:t>
            </w:r>
          </w:p>
          <w:p>
            <w:pPr>
              <w:pStyle w:val="TableParagraph"/>
              <w:spacing w:line="240" w:lineRule="auto" w:before="110"/>
              <w:ind w:right="94"/>
              <w:jc w:val="right"/>
              <w:rPr>
                <w:rFonts w:ascii="Times New Roman" w:hAnsi="Times New Roman" w:cs="Times New Roman" w:eastAsia="Times New Roman" w:hint="default"/>
                <w:sz w:val="18"/>
                <w:szCs w:val="18"/>
              </w:rPr>
            </w:pPr>
            <w:r>
              <w:rPr>
                <w:rFonts w:ascii="Times New Roman"/>
                <w:sz w:val="18"/>
              </w:rPr>
              <w:t>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广州易星</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8,354,882.68</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557,600.00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8,912,482.68</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48"/>
              <w:jc w:val="left"/>
              <w:rPr>
                <w:rFonts w:ascii="宋体" w:hAnsi="宋体" w:cs="宋体" w:eastAsia="宋体" w:hint="default"/>
                <w:sz w:val="18"/>
                <w:szCs w:val="18"/>
              </w:rPr>
            </w:pPr>
            <w:r>
              <w:rPr>
                <w:rFonts w:ascii="宋体" w:hAnsi="宋体" w:cs="宋体" w:eastAsia="宋体" w:hint="default"/>
                <w:spacing w:val="-2"/>
                <w:sz w:val="18"/>
                <w:szCs w:val="18"/>
              </w:rPr>
              <w:t>北京天源迪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科</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广西驿途</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5,500,000.00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5,500,000.00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合肥英泽</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27,008,000.0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27,008,000.0</w:t>
            </w:r>
          </w:p>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深圳金华威</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71,776,560.6</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71,776,560.6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48"/>
              <w:jc w:val="left"/>
              <w:rPr>
                <w:rFonts w:ascii="宋体" w:hAnsi="宋体" w:cs="宋体" w:eastAsia="宋体" w:hint="default"/>
                <w:sz w:val="18"/>
                <w:szCs w:val="18"/>
              </w:rPr>
            </w:pPr>
            <w:r>
              <w:rPr>
                <w:rFonts w:ascii="宋体" w:hAnsi="宋体" w:cs="宋体" w:eastAsia="宋体" w:hint="default"/>
                <w:spacing w:val="-2"/>
                <w:sz w:val="18"/>
                <w:szCs w:val="18"/>
              </w:rPr>
              <w:t>武汉天源迪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科</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z w:val="18"/>
              </w:rPr>
              <w:t>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248"/>
              <w:jc w:val="left"/>
              <w:rPr>
                <w:rFonts w:ascii="宋体" w:hAnsi="宋体" w:cs="宋体" w:eastAsia="宋体" w:hint="default"/>
                <w:sz w:val="18"/>
                <w:szCs w:val="18"/>
              </w:rPr>
            </w:pPr>
            <w:r>
              <w:rPr>
                <w:rFonts w:ascii="宋体" w:hAnsi="宋体" w:cs="宋体" w:eastAsia="宋体" w:hint="default"/>
                <w:spacing w:val="-2"/>
                <w:sz w:val="18"/>
                <w:szCs w:val="18"/>
              </w:rPr>
              <w:t>广州天源迪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科</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深圳宝贝团</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9,694,958.63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4" w:right="0"/>
              <w:jc w:val="left"/>
              <w:rPr>
                <w:rFonts w:ascii="Times New Roman" w:hAnsi="Times New Roman" w:cs="Times New Roman" w:eastAsia="Times New Roman" w:hint="default"/>
                <w:sz w:val="18"/>
                <w:szCs w:val="18"/>
              </w:rPr>
            </w:pPr>
            <w:r>
              <w:rPr>
                <w:rFonts w:ascii="Times New Roman"/>
                <w:sz w:val="18"/>
              </w:rPr>
              <w:t>947,390.09</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8,747,568.54</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维恩贝特</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840,142,800.</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840,142,800.</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z w:val="18"/>
              </w:rPr>
              <w:t>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北京网络</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9,862,133.15</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9,862,133.15</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1,492,570,21</w:t>
            </w:r>
          </w:p>
          <w:p>
            <w:pPr>
              <w:pStyle w:val="TableParagraph"/>
              <w:spacing w:line="240" w:lineRule="auto" w:before="110"/>
              <w:ind w:left="739" w:right="0"/>
              <w:jc w:val="left"/>
              <w:rPr>
                <w:rFonts w:ascii="Times New Roman" w:hAnsi="Times New Roman" w:cs="Times New Roman" w:eastAsia="Times New Roman" w:hint="default"/>
                <w:sz w:val="18"/>
                <w:szCs w:val="18"/>
              </w:rPr>
            </w:pPr>
            <w:r>
              <w:rPr>
                <w:rFonts w:ascii="Times New Roman"/>
                <w:sz w:val="18"/>
              </w:rPr>
              <w:t>7.95</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10,419,733.1</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947,390.09</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8" w:right="0"/>
              <w:jc w:val="left"/>
              <w:rPr>
                <w:rFonts w:ascii="Times New Roman" w:hAnsi="Times New Roman" w:cs="Times New Roman" w:eastAsia="Times New Roman" w:hint="default"/>
                <w:sz w:val="18"/>
                <w:szCs w:val="18"/>
              </w:rPr>
            </w:pPr>
            <w:r>
              <w:rPr>
                <w:rFonts w:ascii="Times New Roman"/>
                <w:sz w:val="18"/>
              </w:rPr>
              <w:t>1,502,042,56</w:t>
            </w:r>
          </w:p>
          <w:p>
            <w:pPr>
              <w:pStyle w:val="TableParagraph"/>
              <w:spacing w:line="240" w:lineRule="auto" w:before="110"/>
              <w:ind w:left="787" w:right="0"/>
              <w:jc w:val="left"/>
              <w:rPr>
                <w:rFonts w:ascii="Times New Roman" w:hAnsi="Times New Roman" w:cs="Times New Roman" w:eastAsia="Times New Roman" w:hint="default"/>
                <w:sz w:val="18"/>
                <w:szCs w:val="18"/>
              </w:rPr>
            </w:pPr>
            <w:r>
              <w:rPr>
                <w:rFonts w:ascii="Times New Roman"/>
                <w:sz w:val="18"/>
              </w:rPr>
              <w:t>1.01</w:t>
            </w:r>
          </w:p>
        </w:tc>
        <w:tc>
          <w:tcPr>
            <w:tcW w:w="12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2）对联营、合营企业投资" w:id="555"/>
      <w:bookmarkEnd w:id="555"/>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307" w:right="118" w:hanging="183"/>
              <w:jc w:val="left"/>
              <w:rPr>
                <w:rFonts w:ascii="宋体" w:hAnsi="宋体" w:cs="宋体" w:eastAsia="宋体" w:hint="default"/>
                <w:sz w:val="18"/>
                <w:szCs w:val="18"/>
              </w:rPr>
            </w:pPr>
            <w:r>
              <w:rPr>
                <w:rFonts w:ascii="宋体" w:hAnsi="宋体" w:cs="宋体" w:eastAsia="宋体" w:hint="default"/>
                <w:sz w:val="18"/>
                <w:szCs w:val="18"/>
              </w:rPr>
              <w:t>投资单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2" w:lineRule="auto"/>
              <w:ind w:left="124" w:right="11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w:t>
            </w:r>
            <w:r>
              <w:rPr>
                <w:rFonts w:ascii="宋体" w:hAnsi="宋体" w:cs="宋体" w:eastAsia="宋体" w:hint="default"/>
                <w:w w:val="101"/>
                <w:sz w:val="18"/>
                <w:szCs w:val="18"/>
              </w:rPr>
              <w:t> </w:t>
            </w: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账</w:t>
            </w:r>
            <w:r>
              <w:rPr>
                <w:rFonts w:ascii="宋体" w:hAnsi="宋体" w:cs="宋体" w:eastAsia="宋体" w:hint="default"/>
                <w:w w:val="101"/>
                <w:sz w:val="18"/>
                <w:szCs w:val="18"/>
              </w:rPr>
              <w:t> </w:t>
            </w:r>
            <w:r>
              <w:rPr>
                <w:rFonts w:ascii="宋体" w:hAnsi="宋体" w:cs="宋体" w:eastAsia="宋体" w:hint="default"/>
                <w:sz w:val="18"/>
                <w:szCs w:val="18"/>
              </w:rPr>
              <w:t>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63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2" w:lineRule="auto"/>
              <w:ind w:left="119" w:right="123"/>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期末余</w:t>
            </w:r>
            <w:r>
              <w:rPr>
                <w:rFonts w:ascii="宋体" w:hAnsi="宋体" w:cs="宋体" w:eastAsia="宋体" w:hint="default"/>
                <w:w w:val="101"/>
                <w:sz w:val="18"/>
                <w:szCs w:val="18"/>
              </w:rPr>
              <w:t> </w:t>
            </w: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账</w:t>
            </w:r>
            <w:r>
              <w:rPr>
                <w:rFonts w:ascii="宋体" w:hAnsi="宋体" w:cs="宋体" w:eastAsia="宋体" w:hint="default"/>
                <w:w w:val="101"/>
                <w:sz w:val="18"/>
                <w:szCs w:val="18"/>
              </w:rPr>
              <w:t> </w:t>
            </w:r>
            <w:r>
              <w:rPr>
                <w:rFonts w:ascii="宋体" w:hAnsi="宋体" w:cs="宋体" w:eastAsia="宋体" w:hint="default"/>
                <w:sz w:val="18"/>
                <w:szCs w:val="18"/>
              </w:rPr>
              <w:t>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21" w:lineRule="auto"/>
              <w:ind w:left="124" w:right="117"/>
              <w:jc w:val="both"/>
              <w:rPr>
                <w:rFonts w:ascii="宋体" w:hAnsi="宋体" w:cs="宋体" w:eastAsia="宋体" w:hint="default"/>
                <w:sz w:val="18"/>
                <w:szCs w:val="18"/>
              </w:rPr>
            </w:pPr>
            <w:r>
              <w:rPr>
                <w:rFonts w:ascii="宋体" w:hAnsi="宋体" w:cs="宋体" w:eastAsia="宋体" w:hint="default"/>
                <w:sz w:val="18"/>
                <w:szCs w:val="18"/>
              </w:rPr>
              <w:t>减值准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备期末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余额</w:t>
            </w:r>
          </w:p>
        </w:tc>
      </w:tr>
      <w:tr>
        <w:trPr>
          <w:trHeight w:val="133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307" w:right="118" w:hanging="183"/>
              <w:jc w:val="left"/>
              <w:rPr>
                <w:rFonts w:ascii="宋体" w:hAnsi="宋体" w:cs="宋体" w:eastAsia="宋体" w:hint="default"/>
                <w:sz w:val="18"/>
                <w:szCs w:val="18"/>
              </w:rPr>
            </w:pPr>
            <w:r>
              <w:rPr>
                <w:rFonts w:ascii="宋体" w:hAnsi="宋体" w:cs="宋体" w:eastAsia="宋体" w:hint="default"/>
                <w:sz w:val="18"/>
                <w:szCs w:val="18"/>
              </w:rPr>
              <w:t>追加投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307" w:right="117" w:hanging="183"/>
              <w:jc w:val="left"/>
              <w:rPr>
                <w:rFonts w:ascii="宋体" w:hAnsi="宋体" w:cs="宋体" w:eastAsia="宋体" w:hint="default"/>
                <w:sz w:val="18"/>
                <w:szCs w:val="18"/>
              </w:rPr>
            </w:pPr>
            <w:r>
              <w:rPr>
                <w:rFonts w:ascii="宋体" w:hAnsi="宋体" w:cs="宋体" w:eastAsia="宋体" w:hint="default"/>
                <w:sz w:val="18"/>
                <w:szCs w:val="18"/>
              </w:rPr>
              <w:t>减少投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25" w:right="117"/>
              <w:jc w:val="both"/>
              <w:rPr>
                <w:rFonts w:ascii="宋体" w:hAnsi="宋体" w:cs="宋体" w:eastAsia="宋体" w:hint="default"/>
                <w:sz w:val="18"/>
                <w:szCs w:val="18"/>
              </w:rPr>
            </w:pPr>
            <w:r>
              <w:rPr>
                <w:rFonts w:ascii="宋体" w:hAnsi="宋体" w:cs="宋体" w:eastAsia="宋体" w:hint="default"/>
                <w:sz w:val="18"/>
                <w:szCs w:val="18"/>
              </w:rPr>
              <w:t>权益法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下确认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损益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24" w:right="123"/>
              <w:jc w:val="both"/>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119" w:right="122"/>
              <w:jc w:val="left"/>
              <w:rPr>
                <w:rFonts w:ascii="宋体" w:hAnsi="宋体" w:cs="宋体" w:eastAsia="宋体" w:hint="default"/>
                <w:sz w:val="18"/>
                <w:szCs w:val="18"/>
              </w:rPr>
            </w:pPr>
            <w:r>
              <w:rPr>
                <w:rFonts w:ascii="宋体" w:hAnsi="宋体" w:cs="宋体" w:eastAsia="宋体" w:hint="default"/>
                <w:sz w:val="18"/>
                <w:szCs w:val="18"/>
              </w:rPr>
              <w:t>其他权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24" w:right="118"/>
              <w:jc w:val="both"/>
              <w:rPr>
                <w:rFonts w:ascii="宋体" w:hAnsi="宋体" w:cs="宋体" w:eastAsia="宋体" w:hint="default"/>
                <w:sz w:val="18"/>
                <w:szCs w:val="18"/>
              </w:rPr>
            </w:pPr>
            <w:r>
              <w:rPr>
                <w:rFonts w:ascii="宋体" w:hAnsi="宋体" w:cs="宋体" w:eastAsia="宋体" w:hint="default"/>
                <w:sz w:val="18"/>
                <w:szCs w:val="18"/>
              </w:rPr>
              <w:t>宣告发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放现金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股利或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124" w:right="118"/>
              <w:jc w:val="left"/>
              <w:rPr>
                <w:rFonts w:ascii="宋体" w:hAnsi="宋体" w:cs="宋体" w:eastAsia="宋体" w:hint="default"/>
                <w:sz w:val="18"/>
                <w:szCs w:val="18"/>
              </w:rPr>
            </w:pPr>
            <w:r>
              <w:rPr>
                <w:rFonts w:ascii="宋体" w:hAnsi="宋体" w:cs="宋体" w:eastAsia="宋体" w:hint="default"/>
                <w:sz w:val="18"/>
                <w:szCs w:val="18"/>
              </w:rPr>
              <w:t>计提减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值准备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98"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105" w:right="137"/>
              <w:jc w:val="both"/>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汇巨信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息技术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42,177,</w:t>
            </w:r>
          </w:p>
          <w:p>
            <w:pPr>
              <w:pStyle w:val="TableParagraph"/>
              <w:spacing w:line="240" w:lineRule="auto" w:before="105"/>
              <w:ind w:left="192" w:right="0"/>
              <w:jc w:val="left"/>
              <w:rPr>
                <w:rFonts w:ascii="Times New Roman" w:hAnsi="Times New Roman" w:cs="Times New Roman" w:eastAsia="Times New Roman" w:hint="default"/>
                <w:sz w:val="18"/>
                <w:szCs w:val="18"/>
              </w:rPr>
            </w:pPr>
            <w:r>
              <w:rPr>
                <w:rFonts w:ascii="Times New Roman"/>
                <w:sz w:val="18"/>
              </w:rPr>
              <w:t>208.79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474,55</w:t>
            </w:r>
          </w:p>
          <w:p>
            <w:pPr>
              <w:pStyle w:val="TableParagraph"/>
              <w:spacing w:line="240" w:lineRule="auto" w:before="105"/>
              <w:ind w:left="273" w:right="0"/>
              <w:jc w:val="center"/>
              <w:rPr>
                <w:rFonts w:ascii="Times New Roman" w:hAnsi="Times New Roman" w:cs="Times New Roman" w:eastAsia="Times New Roman" w:hint="default"/>
                <w:sz w:val="18"/>
                <w:szCs w:val="18"/>
              </w:rPr>
            </w:pPr>
            <w:r>
              <w:rPr>
                <w:rFonts w:ascii="Times New Roman"/>
                <w:sz w:val="18"/>
              </w:rPr>
              <w:t>4.81</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42,251,</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763.60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37"/>
              <w:jc w:val="both"/>
              <w:rPr>
                <w:rFonts w:ascii="宋体" w:hAnsi="宋体" w:cs="宋体" w:eastAsia="宋体" w:hint="default"/>
                <w:sz w:val="18"/>
                <w:szCs w:val="18"/>
              </w:rPr>
            </w:pPr>
            <w:r>
              <w:rPr>
                <w:rFonts w:ascii="宋体" w:hAnsi="宋体" w:cs="宋体" w:eastAsia="宋体" w:hint="default"/>
                <w:sz w:val="18"/>
                <w:szCs w:val="18"/>
              </w:rPr>
              <w:t>北京信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邦安达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信息科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5,598,9</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71.15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41,961.</w:t>
            </w:r>
          </w:p>
          <w:p>
            <w:pPr>
              <w:pStyle w:val="TableParagraph"/>
              <w:spacing w:line="240" w:lineRule="auto" w:before="110"/>
              <w:ind w:left="509" w:right="0"/>
              <w:jc w:val="left"/>
              <w:rPr>
                <w:rFonts w:ascii="Times New Roman" w:hAnsi="Times New Roman" w:cs="Times New Roman" w:eastAsia="Times New Roman" w:hint="default"/>
                <w:sz w:val="18"/>
                <w:szCs w:val="18"/>
              </w:rPr>
            </w:pPr>
            <w:r>
              <w:rPr>
                <w:rFonts w:ascii="Times New Roman"/>
                <w:sz w:val="18"/>
              </w:rPr>
              <w:t>49</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5,640,9</w:t>
            </w:r>
          </w:p>
          <w:p>
            <w:pPr>
              <w:pStyle w:val="TableParagraph"/>
              <w:spacing w:line="240" w:lineRule="auto" w:before="110"/>
              <w:ind w:left="177" w:right="0"/>
              <w:jc w:val="center"/>
              <w:rPr>
                <w:rFonts w:ascii="Times New Roman" w:hAnsi="Times New Roman" w:cs="Times New Roman" w:eastAsia="Times New Roman" w:hint="default"/>
                <w:sz w:val="18"/>
                <w:szCs w:val="18"/>
              </w:rPr>
            </w:pPr>
            <w:r>
              <w:rPr>
                <w:rFonts w:ascii="Times New Roman"/>
                <w:sz w:val="18"/>
              </w:rPr>
              <w:t>32.64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137"/>
              <w:jc w:val="both"/>
              <w:rPr>
                <w:rFonts w:ascii="宋体" w:hAnsi="宋体" w:cs="宋体" w:eastAsia="宋体" w:hint="default"/>
                <w:sz w:val="18"/>
                <w:szCs w:val="18"/>
              </w:rPr>
            </w:pPr>
            <w:r>
              <w:rPr>
                <w:rFonts w:ascii="宋体" w:hAnsi="宋体" w:cs="宋体" w:eastAsia="宋体" w:hint="default"/>
                <w:sz w:val="18"/>
                <w:szCs w:val="18"/>
              </w:rPr>
              <w:t>广州天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源信息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科技股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23,871,</w:t>
            </w:r>
          </w:p>
          <w:p>
            <w:pPr>
              <w:pStyle w:val="TableParagraph"/>
              <w:spacing w:line="240" w:lineRule="auto" w:before="105"/>
              <w:ind w:left="192" w:right="0"/>
              <w:jc w:val="left"/>
              <w:rPr>
                <w:rFonts w:ascii="Times New Roman" w:hAnsi="Times New Roman" w:cs="Times New Roman" w:eastAsia="Times New Roman" w:hint="default"/>
                <w:sz w:val="18"/>
                <w:szCs w:val="18"/>
              </w:rPr>
            </w:pPr>
            <w:r>
              <w:rPr>
                <w:rFonts w:ascii="Times New Roman"/>
                <w:sz w:val="18"/>
              </w:rPr>
              <w:t>991.57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5,233,4</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90.21</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29,105,</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481.78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137"/>
              <w:jc w:val="both"/>
              <w:rPr>
                <w:rFonts w:ascii="宋体" w:hAnsi="宋体" w:cs="宋体" w:eastAsia="宋体" w:hint="default"/>
                <w:sz w:val="18"/>
                <w:szCs w:val="18"/>
              </w:rPr>
            </w:pPr>
            <w:r>
              <w:rPr>
                <w:rFonts w:ascii="宋体" w:hAnsi="宋体" w:cs="宋体" w:eastAsia="宋体" w:hint="default"/>
                <w:sz w:val="18"/>
                <w:szCs w:val="18"/>
              </w:rPr>
              <w:t>深圳墨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狼科技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361,71</w:t>
            </w:r>
          </w:p>
          <w:p>
            <w:pPr>
              <w:pStyle w:val="TableParagraph"/>
              <w:spacing w:line="240" w:lineRule="auto" w:before="105"/>
              <w:ind w:left="273" w:right="0"/>
              <w:jc w:val="center"/>
              <w:rPr>
                <w:rFonts w:ascii="Times New Roman" w:hAnsi="Times New Roman" w:cs="Times New Roman" w:eastAsia="Times New Roman" w:hint="default"/>
                <w:sz w:val="18"/>
                <w:szCs w:val="18"/>
              </w:rPr>
            </w:pPr>
            <w:r>
              <w:rPr>
                <w:rFonts w:ascii="Times New Roman"/>
                <w:sz w:val="18"/>
              </w:rPr>
              <w:t>3.24</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8,361,7</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13.24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71,648,</w:t>
            </w:r>
          </w:p>
          <w:p>
            <w:pPr>
              <w:pStyle w:val="TableParagraph"/>
              <w:spacing w:line="240" w:lineRule="auto" w:before="105"/>
              <w:ind w:left="192" w:right="0"/>
              <w:jc w:val="left"/>
              <w:rPr>
                <w:rFonts w:ascii="Times New Roman" w:hAnsi="Times New Roman" w:cs="Times New Roman" w:eastAsia="Times New Roman" w:hint="default"/>
                <w:sz w:val="18"/>
                <w:szCs w:val="18"/>
              </w:rPr>
            </w:pPr>
            <w:r>
              <w:rPr>
                <w:rFonts w:ascii="Times New Roman"/>
                <w:sz w:val="18"/>
              </w:rPr>
              <w:t>171.51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2" w:right="0"/>
              <w:jc w:val="center"/>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2" w:right="0"/>
              <w:jc w:val="center"/>
              <w:rPr>
                <w:rFonts w:ascii="Times New Roman" w:hAnsi="Times New Roman" w:cs="Times New Roman" w:eastAsia="Times New Roman" w:hint="default"/>
                <w:sz w:val="18"/>
                <w:szCs w:val="18"/>
              </w:rPr>
            </w:pPr>
            <w:r>
              <w:rPr>
                <w:rFonts w:ascii="Times New Roman"/>
                <w:spacing w:val="-3"/>
                <w:sz w:val="18"/>
              </w:rPr>
              <w:t>6,111,7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19.75</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9" w:right="0"/>
              <w:jc w:val="lef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3" w:right="0"/>
              <w:jc w:val="left"/>
              <w:rPr>
                <w:rFonts w:ascii="Times New Roman" w:hAnsi="Times New Roman" w:cs="Times New Roman" w:eastAsia="Times New Roman" w:hint="default"/>
                <w:sz w:val="18"/>
                <w:szCs w:val="18"/>
              </w:rPr>
            </w:pPr>
            <w:r>
              <w:rPr>
                <w:rFonts w:ascii="Times New Roman"/>
                <w:sz w:val="18"/>
              </w:rPr>
              <w:t>85,359,</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891.26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71,648,</w:t>
            </w:r>
          </w:p>
          <w:p>
            <w:pPr>
              <w:pStyle w:val="TableParagraph"/>
              <w:spacing w:line="240" w:lineRule="auto" w:before="110"/>
              <w:ind w:left="192" w:right="0"/>
              <w:jc w:val="left"/>
              <w:rPr>
                <w:rFonts w:ascii="Times New Roman" w:hAnsi="Times New Roman" w:cs="Times New Roman" w:eastAsia="Times New Roman" w:hint="default"/>
                <w:sz w:val="18"/>
                <w:szCs w:val="18"/>
              </w:rPr>
            </w:pPr>
            <w:r>
              <w:rPr>
                <w:rFonts w:ascii="Times New Roman"/>
                <w:sz w:val="18"/>
              </w:rPr>
              <w:t>171.51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center"/>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10"/>
              <w:ind w:left="186" w:right="0"/>
              <w:jc w:val="center"/>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center"/>
              <w:rPr>
                <w:rFonts w:ascii="Times New Roman" w:hAnsi="Times New Roman" w:cs="Times New Roman" w:eastAsia="Times New Roman" w:hint="default"/>
                <w:sz w:val="18"/>
                <w:szCs w:val="18"/>
              </w:rPr>
            </w:pPr>
            <w:r>
              <w:rPr>
                <w:rFonts w:ascii="Times New Roman"/>
                <w:spacing w:val="-3"/>
                <w:sz w:val="18"/>
              </w:rPr>
              <w:t>6,111,7</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19.75</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10"/>
              <w:ind w:left="370"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3" w:right="0"/>
              <w:jc w:val="left"/>
              <w:rPr>
                <w:rFonts w:ascii="Times New Roman" w:hAnsi="Times New Roman" w:cs="Times New Roman" w:eastAsia="Times New Roman" w:hint="default"/>
                <w:sz w:val="18"/>
                <w:szCs w:val="18"/>
              </w:rPr>
            </w:pPr>
            <w:r>
              <w:rPr>
                <w:rFonts w:ascii="Times New Roman"/>
                <w:sz w:val="18"/>
              </w:rPr>
              <w:t>85,359,</w:t>
            </w:r>
          </w:p>
          <w:p>
            <w:pPr>
              <w:pStyle w:val="TableParagraph"/>
              <w:spacing w:line="240" w:lineRule="auto" w:before="110"/>
              <w:ind w:left="187" w:right="0"/>
              <w:jc w:val="left"/>
              <w:rPr>
                <w:rFonts w:ascii="Times New Roman" w:hAnsi="Times New Roman" w:cs="Times New Roman" w:eastAsia="Times New Roman" w:hint="default"/>
                <w:sz w:val="18"/>
                <w:szCs w:val="18"/>
              </w:rPr>
            </w:pPr>
            <w:r>
              <w:rPr>
                <w:rFonts w:ascii="Times New Roman"/>
                <w:sz w:val="18"/>
              </w:rPr>
              <w:t>891.26</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3）其他说明" w:id="556"/>
      <w:bookmarkEnd w:id="556"/>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764"/>
        <w:jc w:val="left"/>
        <w:rPr>
          <w:b w:val="0"/>
          <w:bCs w:val="0"/>
        </w:rPr>
      </w:pPr>
      <w:bookmarkStart w:name="4、营业收入和营业成本" w:id="557"/>
      <w:bookmarkEnd w:id="557"/>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93"/>
        <w:gridCol w:w="1839"/>
        <w:gridCol w:w="1916"/>
        <w:gridCol w:w="1911"/>
        <w:gridCol w:w="1916"/>
      </w:tblGrid>
      <w:tr>
        <w:trPr>
          <w:trHeight w:val="401" w:hRule="exact"/>
        </w:trPr>
        <w:tc>
          <w:tcPr>
            <w:tcW w:w="1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1993" w:type="dxa"/>
            <w:vMerge/>
            <w:tcBorders>
              <w:left w:val="single" w:sz="4" w:space="0" w:color="000000"/>
              <w:bottom w:val="single" w:sz="4" w:space="0" w:color="000000"/>
              <w:right w:val="single" w:sz="4" w:space="0" w:color="000000"/>
            </w:tcBorders>
            <w:shd w:val="clear" w:color="auto" w:fill="D2D2D2"/>
          </w:tcPr>
          <w:p>
            <w:pP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864,432,456.32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688,895,686.30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861,622,184.38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647,708,835.85</w:t>
            </w:r>
          </w:p>
        </w:tc>
      </w:tr>
      <w:tr>
        <w:trPr>
          <w:trHeight w:val="398"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299,509.09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864,432,456.32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688,895,686.30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861,921,693.47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647,708,835.85</w:t>
            </w:r>
          </w:p>
        </w:tc>
      </w:tr>
    </w:tbl>
    <w:p>
      <w:pPr>
        <w:spacing w:before="54"/>
        <w:ind w:left="113" w:right="1764"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57" w:lineRule="auto" w:before="119"/>
        <w:ind w:left="113" w:right="9759"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r>
        <w:rPr>
          <w:rFonts w:ascii="宋体" w:hAnsi="宋体" w:cs="宋体" w:eastAsia="宋体" w:hint="default"/>
          <w:w w:val="101"/>
          <w:sz w:val="18"/>
          <w:szCs w:val="18"/>
        </w:rPr>
        <w:t> </w:t>
      </w:r>
      <w:r>
        <w:rPr>
          <w:rFonts w:ascii="宋体" w:hAnsi="宋体" w:cs="宋体" w:eastAsia="宋体" w:hint="default"/>
          <w:sz w:val="18"/>
          <w:szCs w:val="18"/>
        </w:rPr>
        <w:t>其他说明：</w:t>
      </w:r>
    </w:p>
    <w:p>
      <w:pPr>
        <w:spacing w:after="0" w:line="357"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3"/>
        <w:spacing w:line="240" w:lineRule="auto" w:before="36"/>
        <w:ind w:right="1764"/>
        <w:jc w:val="left"/>
        <w:rPr>
          <w:b w:val="0"/>
          <w:bCs w:val="0"/>
        </w:rPr>
      </w:pPr>
      <w:bookmarkStart w:name="5、投资收益" w:id="558"/>
      <w:bookmarkEnd w:id="558"/>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328"/>
        <w:gridCol w:w="3058"/>
        <w:gridCol w:w="3188"/>
      </w:tblGrid>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成本法核算的长期股权投资收益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1,228,000.00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38,500,000.00</w:t>
            </w: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3"/>
                <w:sz w:val="18"/>
              </w:rPr>
              <w:t>6,111,719.75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1,479,266.20</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86,701.61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1,453.49</w:t>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7,426,421.36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39,980,719.69</w:t>
            </w:r>
          </w:p>
        </w:tc>
      </w:tr>
    </w:tbl>
    <w:p>
      <w:pPr>
        <w:spacing w:line="240" w:lineRule="auto" w:before="3"/>
        <w:rPr>
          <w:rFonts w:ascii="宋体" w:hAnsi="宋体" w:cs="宋体" w:eastAsia="宋体" w:hint="default"/>
          <w:sz w:val="19"/>
          <w:szCs w:val="19"/>
        </w:rPr>
      </w:pPr>
    </w:p>
    <w:p>
      <w:pPr>
        <w:pStyle w:val="Heading3"/>
        <w:spacing w:line="240" w:lineRule="auto" w:before="36"/>
        <w:ind w:right="1764"/>
        <w:jc w:val="left"/>
        <w:rPr>
          <w:b w:val="0"/>
          <w:bCs w:val="0"/>
        </w:rPr>
      </w:pPr>
      <w:bookmarkStart w:name="6、其他" w:id="559"/>
      <w:bookmarkEnd w:id="559"/>
      <w:r>
        <w:rPr>
          <w:b w:val="0"/>
          <w:bCs w:val="0"/>
        </w:rPr>
      </w:r>
      <w:r>
        <w:rPr>
          <w:rFonts w:ascii="Times New Roman" w:hAnsi="Times New Roman" w:cs="Times New Roman" w:eastAsia="Times New Roman" w:hint="default"/>
        </w:rPr>
        <w:t>6</w:t>
      </w:r>
      <w:r>
        <w:rPr/>
        <w:t>、其他</w:t>
      </w:r>
      <w:r>
        <w:rPr>
          <w:b w:val="0"/>
          <w:bCs w:val="0"/>
        </w:rPr>
      </w:r>
    </w:p>
    <w:p>
      <w:pPr>
        <w:spacing w:line="240" w:lineRule="auto" w:before="1"/>
        <w:rPr>
          <w:rFonts w:ascii="宋体" w:hAnsi="宋体" w:cs="宋体" w:eastAsia="宋体" w:hint="default"/>
          <w:b/>
          <w:bCs/>
          <w:sz w:val="22"/>
          <w:szCs w:val="22"/>
        </w:rPr>
      </w:pPr>
    </w:p>
    <w:p>
      <w:pPr>
        <w:pStyle w:val="Heading2"/>
        <w:spacing w:line="240" w:lineRule="auto"/>
        <w:ind w:right="1764"/>
        <w:jc w:val="left"/>
        <w:rPr>
          <w:b w:val="0"/>
          <w:bCs w:val="0"/>
        </w:rPr>
      </w:pPr>
      <w:bookmarkStart w:name="十八、补充资料" w:id="560"/>
      <w:bookmarkEnd w:id="560"/>
      <w:r>
        <w:rPr>
          <w:b w:val="0"/>
          <w:bCs w:val="0"/>
        </w:rPr>
      </w:r>
      <w:r>
        <w:rPr/>
        <w:t>十八、补充资料</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1764"/>
        <w:jc w:val="left"/>
        <w:rPr>
          <w:b w:val="0"/>
          <w:bCs w:val="0"/>
        </w:rPr>
      </w:pPr>
      <w:bookmarkStart w:name="1、当期非经常性损益明细表" w:id="561"/>
      <w:bookmarkEnd w:id="561"/>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6"/>
        <w:rPr>
          <w:rFonts w:ascii="宋体" w:hAnsi="宋体" w:cs="宋体" w:eastAsia="宋体" w:hint="default"/>
          <w:b/>
          <w:bCs/>
          <w:sz w:val="23"/>
          <w:szCs w:val="23"/>
        </w:rPr>
      </w:pPr>
    </w:p>
    <w:p>
      <w:pPr>
        <w:spacing w:before="46"/>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328"/>
        <w:gridCol w:w="3058"/>
        <w:gridCol w:w="3188"/>
      </w:tblGrid>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1,206,352.97</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7"/>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密切相关，按照国家统一标准定额或定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量享受的政府补助除外）</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3"/>
                <w:sz w:val="18"/>
              </w:rPr>
              <w:t>21,692,111.45</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227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105" w:right="147"/>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保值业务外，持有交易性金融资产、衍</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生金融资产、交易性金融负债、衍生金</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融负债产生的公允价值变动损益，以及</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处置交易性金融资产、衍生金融资产、</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交易性金融负债、衍生金融负债和其他</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债权投资取得的投资收益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510,336.00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47"/>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出</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-325,402.65</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1,321,192.33</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969,593.59</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20,792,611.85</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13" w:right="1007" w:firstLine="0"/>
        <w:jc w:val="left"/>
        <w:rPr>
          <w:rFonts w:ascii="宋体" w:hAnsi="宋体" w:cs="宋体" w:eastAsia="宋体" w:hint="default"/>
          <w:sz w:val="18"/>
          <w:szCs w:val="18"/>
        </w:rPr>
      </w:pPr>
      <w:r>
        <w:rPr>
          <w:rFonts w:ascii="宋体" w:hAnsi="宋体" w:cs="宋体" w:eastAsia="宋体" w:hint="default"/>
          <w:w w:val="101"/>
          <w:sz w:val="18"/>
          <w:szCs w:val="18"/>
        </w:rPr>
        <w:t>对</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根</w:t>
      </w:r>
      <w:r>
        <w:rPr>
          <w:rFonts w:ascii="宋体" w:hAnsi="宋体" w:cs="宋体" w:eastAsia="宋体" w:hint="default"/>
          <w:spacing w:val="-68"/>
          <w:w w:val="101"/>
          <w:sz w:val="18"/>
          <w:szCs w:val="18"/>
        </w:rPr>
        <w:t>据</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开</w:t>
      </w:r>
      <w:r>
        <w:rPr>
          <w:rFonts w:ascii="宋体" w:hAnsi="宋体" w:cs="宋体" w:eastAsia="宋体" w:hint="default"/>
          <w:spacing w:val="-5"/>
          <w:w w:val="101"/>
          <w:sz w:val="18"/>
          <w:szCs w:val="18"/>
        </w:rPr>
        <w:t>发</w:t>
      </w:r>
      <w:r>
        <w:rPr>
          <w:rFonts w:ascii="宋体" w:hAnsi="宋体" w:cs="宋体" w:eastAsia="宋体" w:hint="default"/>
          <w:w w:val="101"/>
          <w:sz w:val="18"/>
          <w:szCs w:val="18"/>
        </w:rPr>
        <w:t>行</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的</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信</w:t>
      </w:r>
      <w:r>
        <w:rPr>
          <w:rFonts w:ascii="宋体" w:hAnsi="宋体" w:cs="宋体" w:eastAsia="宋体" w:hint="default"/>
          <w:spacing w:val="-5"/>
          <w:w w:val="101"/>
          <w:sz w:val="18"/>
          <w:szCs w:val="18"/>
        </w:rPr>
        <w:t>息</w:t>
      </w:r>
      <w:r>
        <w:rPr>
          <w:rFonts w:ascii="宋体" w:hAnsi="宋体" w:cs="宋体" w:eastAsia="宋体" w:hint="default"/>
          <w:w w:val="101"/>
          <w:sz w:val="18"/>
          <w:szCs w:val="18"/>
        </w:rPr>
        <w:t>披</w:t>
      </w:r>
      <w:r>
        <w:rPr>
          <w:rFonts w:ascii="宋体" w:hAnsi="宋体" w:cs="宋体" w:eastAsia="宋体" w:hint="default"/>
          <w:spacing w:val="-5"/>
          <w:w w:val="101"/>
          <w:sz w:val="18"/>
          <w:szCs w:val="18"/>
        </w:rPr>
        <w:t>露</w:t>
      </w:r>
      <w:r>
        <w:rPr>
          <w:rFonts w:ascii="宋体" w:hAnsi="宋体" w:cs="宋体" w:eastAsia="宋体" w:hint="default"/>
          <w:w w:val="101"/>
          <w:sz w:val="18"/>
          <w:szCs w:val="18"/>
        </w:rPr>
        <w:t>解</w:t>
      </w:r>
      <w:r>
        <w:rPr>
          <w:rFonts w:ascii="宋体" w:hAnsi="宋体" w:cs="宋体" w:eastAsia="宋体" w:hint="default"/>
          <w:spacing w:val="-5"/>
          <w:w w:val="101"/>
          <w:sz w:val="18"/>
          <w:szCs w:val="18"/>
        </w:rPr>
        <w:t>释</w:t>
      </w:r>
      <w:r>
        <w:rPr>
          <w:rFonts w:ascii="宋体" w:hAnsi="宋体" w:cs="宋体" w:eastAsia="宋体" w:hint="default"/>
          <w:w w:val="101"/>
          <w:sz w:val="18"/>
          <w:szCs w:val="18"/>
        </w:rPr>
        <w:t>性</w:t>
      </w:r>
      <w:r>
        <w:rPr>
          <w:rFonts w:ascii="宋体" w:hAnsi="宋体" w:cs="宋体" w:eastAsia="宋体" w:hint="default"/>
          <w:spacing w:val="-5"/>
          <w:w w:val="101"/>
          <w:sz w:val="18"/>
          <w:szCs w:val="18"/>
        </w:rPr>
        <w:t>公</w:t>
      </w:r>
      <w:r>
        <w:rPr>
          <w:rFonts w:ascii="宋体" w:hAnsi="宋体" w:cs="宋体" w:eastAsia="宋体" w:hint="default"/>
          <w:w w:val="101"/>
          <w:sz w:val="18"/>
          <w:szCs w:val="18"/>
        </w:rPr>
        <w:t>告第</w:t>
      </w:r>
      <w:r>
        <w:rPr>
          <w:rFonts w:ascii="宋体" w:hAnsi="宋体" w:cs="宋体" w:eastAsia="宋体" w:hint="default"/>
          <w:spacing w:val="-46"/>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号</w:t>
      </w:r>
      <w:r>
        <w:rPr>
          <w:rFonts w:ascii="宋体" w:hAnsi="宋体" w:cs="宋体" w:eastAsia="宋体" w:hint="default"/>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非</w:t>
      </w:r>
      <w:r>
        <w:rPr>
          <w:rFonts w:ascii="宋体" w:hAnsi="宋体" w:cs="宋体" w:eastAsia="宋体" w:hint="default"/>
          <w:spacing w:val="-5"/>
          <w:w w:val="101"/>
          <w:sz w:val="18"/>
          <w:szCs w:val="18"/>
        </w:rPr>
        <w:t>经</w:t>
      </w:r>
      <w:r>
        <w:rPr>
          <w:rFonts w:ascii="宋体" w:hAnsi="宋体" w:cs="宋体" w:eastAsia="宋体" w:hint="default"/>
          <w:w w:val="101"/>
          <w:sz w:val="18"/>
          <w:szCs w:val="18"/>
        </w:rPr>
        <w:t>常</w:t>
      </w:r>
      <w:r>
        <w:rPr>
          <w:rFonts w:ascii="宋体" w:hAnsi="宋体" w:cs="宋体" w:eastAsia="宋体" w:hint="default"/>
          <w:spacing w:val="-5"/>
          <w:w w:val="101"/>
          <w:sz w:val="18"/>
          <w:szCs w:val="18"/>
        </w:rPr>
        <w:t>性</w:t>
      </w:r>
      <w:r>
        <w:rPr>
          <w:rFonts w:ascii="宋体" w:hAnsi="宋体" w:cs="宋体" w:eastAsia="宋体" w:hint="default"/>
          <w:w w:val="101"/>
          <w:sz w:val="18"/>
          <w:szCs w:val="18"/>
        </w:rPr>
        <w:t>损益</w:t>
      </w:r>
      <w:r>
        <w:rPr>
          <w:rFonts w:ascii="宋体" w:hAnsi="宋体" w:cs="宋体" w:eastAsia="宋体" w:hint="default"/>
          <w:spacing w:val="-73"/>
          <w:w w:val="101"/>
          <w:sz w:val="18"/>
          <w:szCs w:val="18"/>
        </w:rPr>
        <w:t>》</w:t>
      </w:r>
      <w:r>
        <w:rPr>
          <w:rFonts w:ascii="宋体" w:hAnsi="宋体" w:cs="宋体" w:eastAsia="宋体" w:hint="default"/>
          <w:w w:val="101"/>
          <w:sz w:val="18"/>
          <w:szCs w:val="18"/>
        </w:rPr>
        <w:t>定</w:t>
      </w:r>
      <w:r>
        <w:rPr>
          <w:rFonts w:ascii="宋体" w:hAnsi="宋体" w:cs="宋体" w:eastAsia="宋体" w:hint="default"/>
          <w:spacing w:val="-5"/>
          <w:w w:val="101"/>
          <w:sz w:val="18"/>
          <w:szCs w:val="18"/>
        </w:rPr>
        <w:t>义</w:t>
      </w:r>
      <w:r>
        <w:rPr>
          <w:rFonts w:ascii="宋体" w:hAnsi="宋体" w:cs="宋体" w:eastAsia="宋体" w:hint="default"/>
          <w:w w:val="101"/>
          <w:sz w:val="18"/>
          <w:szCs w:val="18"/>
        </w:rPr>
        <w:t>界</w:t>
      </w:r>
      <w:r>
        <w:rPr>
          <w:rFonts w:ascii="宋体" w:hAnsi="宋体" w:cs="宋体" w:eastAsia="宋体" w:hint="default"/>
          <w:spacing w:val="-5"/>
          <w:w w:val="101"/>
          <w:sz w:val="18"/>
          <w:szCs w:val="18"/>
        </w:rPr>
        <w:t>定</w:t>
      </w:r>
      <w:r>
        <w:rPr>
          <w:rFonts w:ascii="宋体" w:hAnsi="宋体" w:cs="宋体" w:eastAsia="宋体" w:hint="default"/>
          <w:w w:val="101"/>
          <w:sz w:val="18"/>
          <w:szCs w:val="18"/>
        </w:rPr>
        <w:t>的</w:t>
      </w:r>
      <w:r>
        <w:rPr>
          <w:rFonts w:ascii="宋体" w:hAnsi="宋体" w:cs="宋体" w:eastAsia="宋体" w:hint="default"/>
          <w:spacing w:val="-5"/>
          <w:w w:val="101"/>
          <w:sz w:val="18"/>
          <w:szCs w:val="18"/>
        </w:rPr>
        <w:t>非</w:t>
      </w:r>
      <w:r>
        <w:rPr>
          <w:rFonts w:ascii="宋体" w:hAnsi="宋体" w:cs="宋体" w:eastAsia="宋体" w:hint="default"/>
          <w:w w:val="101"/>
          <w:sz w:val="18"/>
          <w:szCs w:val="18"/>
        </w:rPr>
        <w:t>经</w:t>
      </w:r>
      <w:r>
        <w:rPr>
          <w:rFonts w:ascii="宋体" w:hAnsi="宋体" w:cs="宋体" w:eastAsia="宋体" w:hint="default"/>
          <w:spacing w:val="-5"/>
          <w:w w:val="101"/>
          <w:sz w:val="18"/>
          <w:szCs w:val="18"/>
        </w:rPr>
        <w:t>常</w:t>
      </w:r>
      <w:r>
        <w:rPr>
          <w:rFonts w:ascii="宋体" w:hAnsi="宋体" w:cs="宋体" w:eastAsia="宋体" w:hint="default"/>
          <w:w w:val="101"/>
          <w:sz w:val="18"/>
          <w:szCs w:val="18"/>
        </w:rPr>
        <w:t>性</w:t>
      </w:r>
      <w:r>
        <w:rPr>
          <w:rFonts w:ascii="宋体" w:hAnsi="宋体" w:cs="宋体" w:eastAsia="宋体" w:hint="default"/>
          <w:spacing w:val="-5"/>
          <w:w w:val="101"/>
          <w:sz w:val="18"/>
          <w:szCs w:val="18"/>
        </w:rPr>
        <w:t>损</w:t>
      </w:r>
      <w:r>
        <w:rPr>
          <w:rFonts w:ascii="宋体" w:hAnsi="宋体" w:cs="宋体" w:eastAsia="宋体" w:hint="default"/>
          <w:w w:val="101"/>
          <w:sz w:val="18"/>
          <w:szCs w:val="18"/>
        </w:rPr>
        <w:t>益</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68"/>
          <w:w w:val="101"/>
          <w:sz w:val="18"/>
          <w:szCs w:val="18"/>
        </w:rPr>
        <w:t>，</w:t>
      </w:r>
      <w:r>
        <w:rPr>
          <w:rFonts w:ascii="宋体" w:hAnsi="宋体" w:cs="宋体" w:eastAsia="宋体" w:hint="default"/>
          <w:spacing w:val="-5"/>
          <w:w w:val="101"/>
          <w:sz w:val="18"/>
          <w:szCs w:val="18"/>
        </w:rPr>
        <w:t>以</w:t>
      </w:r>
      <w:r>
        <w:rPr>
          <w:rFonts w:ascii="宋体" w:hAnsi="宋体" w:cs="宋体" w:eastAsia="宋体" w:hint="default"/>
          <w:w w:val="101"/>
          <w:sz w:val="18"/>
          <w:szCs w:val="18"/>
        </w:rPr>
        <w:t>及</w:t>
      </w:r>
      <w:r>
        <w:rPr>
          <w:rFonts w:ascii="宋体" w:hAnsi="宋体" w:cs="宋体" w:eastAsia="宋体" w:hint="default"/>
          <w:spacing w:val="-73"/>
          <w:w w:val="101"/>
          <w:sz w:val="18"/>
          <w:szCs w:val="18"/>
        </w:rPr>
        <w:t>把</w:t>
      </w:r>
      <w:r>
        <w:rPr>
          <w:rFonts w:ascii="宋体" w:hAnsi="宋体" w:cs="宋体" w:eastAsia="宋体" w:hint="default"/>
          <w:w w:val="101"/>
          <w:sz w:val="18"/>
          <w:szCs w:val="18"/>
        </w:rPr>
        <w:t>《公</w:t>
      </w:r>
      <w:r>
        <w:rPr>
          <w:rFonts w:ascii="宋体" w:hAnsi="宋体" w:cs="宋体" w:eastAsia="宋体" w:hint="default"/>
          <w:sz w:val="18"/>
          <w:szCs w:val="18"/>
        </w:rPr>
      </w:r>
    </w:p>
    <w:p>
      <w:pPr>
        <w:spacing w:line="304" w:lineRule="auto" w:before="63"/>
        <w:ind w:left="113" w:right="1007" w:firstLine="0"/>
        <w:jc w:val="left"/>
        <w:rPr>
          <w:rFonts w:ascii="宋体" w:hAnsi="宋体" w:cs="宋体" w:eastAsia="宋体" w:hint="default"/>
          <w:sz w:val="18"/>
          <w:szCs w:val="18"/>
        </w:rPr>
      </w:pPr>
      <w:r>
        <w:rPr>
          <w:rFonts w:ascii="宋体" w:hAnsi="宋体" w:cs="宋体" w:eastAsia="宋体" w:hint="default"/>
          <w:spacing w:val="-3"/>
          <w:sz w:val="18"/>
          <w:szCs w:val="18"/>
        </w:rPr>
        <w:t>开发行证券的公司信息披露解释性公告第 </w:t>
      </w:r>
      <w:r>
        <w:rPr>
          <w:rFonts w:ascii="Times New Roman" w:hAnsi="Times New Roman" w:cs="Times New Roman" w:eastAsia="Times New Roman" w:hint="default"/>
          <w:sz w:val="18"/>
          <w:szCs w:val="18"/>
        </w:rPr>
        <w:t>1 </w:t>
      </w:r>
      <w:r>
        <w:rPr>
          <w:rFonts w:ascii="宋体" w:hAnsi="宋体" w:cs="宋体" w:eastAsia="宋体" w:hint="default"/>
          <w:spacing w:val="-5"/>
          <w:sz w:val="18"/>
          <w:szCs w:val="18"/>
        </w:rPr>
        <w:t>号——非经常性损益》中列举的非经常性损益项目界定为经常性损益的项目，应</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说明原因。</w:t>
      </w:r>
    </w:p>
    <w:p>
      <w:pPr>
        <w:spacing w:before="67"/>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3"/>
        <w:spacing w:line="240" w:lineRule="auto" w:before="36"/>
        <w:ind w:right="1764"/>
        <w:jc w:val="left"/>
        <w:rPr>
          <w:b w:val="0"/>
          <w:bCs w:val="0"/>
        </w:rPr>
      </w:pPr>
      <w:bookmarkStart w:name="2、净资产收益率及每股收益" w:id="562"/>
      <w:bookmarkEnd w:id="562"/>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2665"/>
        <w:gridCol w:w="3078"/>
        <w:gridCol w:w="1916"/>
        <w:gridCol w:w="1911"/>
      </w:tblGrid>
      <w:tr>
        <w:trPr>
          <w:trHeight w:val="403" w:hRule="exact"/>
        </w:trPr>
        <w:tc>
          <w:tcPr>
            <w:tcW w:w="2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878"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99" w:hRule="exact"/>
        </w:trPr>
        <w:tc>
          <w:tcPr>
            <w:tcW w:w="2665" w:type="dxa"/>
            <w:vMerge/>
            <w:tcBorders>
              <w:left w:val="single" w:sz="4" w:space="0" w:color="000000"/>
              <w:bottom w:val="single" w:sz="4" w:space="0" w:color="000000"/>
              <w:right w:val="single" w:sz="4" w:space="0" w:color="000000"/>
            </w:tcBorders>
            <w:shd w:val="clear" w:color="auto" w:fill="D2D2D2"/>
          </w:tcPr>
          <w:p>
            <w:pPr/>
          </w:p>
        </w:tc>
        <w:tc>
          <w:tcPr>
            <w:tcW w:w="3078"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2"/>
              <w:jc w:val="right"/>
              <w:rPr>
                <w:rFonts w:ascii="宋体" w:hAnsi="宋体" w:cs="宋体" w:eastAsia="宋体" w:hint="default"/>
                <w:sz w:val="18"/>
                <w:szCs w:val="18"/>
              </w:rPr>
            </w:pPr>
            <w:r>
              <w:rPr>
                <w:rFonts w:ascii="宋体" w:hAnsi="宋体" w:cs="宋体" w:eastAsia="宋体" w:hint="default"/>
                <w:spacing w:val="-9"/>
                <w:sz w:val="18"/>
                <w:szCs w:val="18"/>
              </w:rPr>
              <w:t>基本每股收益（元</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股）</w:t>
            </w:r>
            <w:r>
              <w:rPr>
                <w:rFonts w:ascii="宋体" w:hAnsi="宋体" w:cs="宋体" w:eastAsia="宋体" w:hint="default"/>
                <w:sz w:val="18"/>
                <w:szCs w:val="18"/>
              </w:rPr>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7"/>
              <w:jc w:val="right"/>
              <w:rPr>
                <w:rFonts w:ascii="宋体" w:hAnsi="宋体" w:cs="宋体" w:eastAsia="宋体" w:hint="default"/>
                <w:sz w:val="18"/>
                <w:szCs w:val="18"/>
              </w:rPr>
            </w:pPr>
            <w:r>
              <w:rPr>
                <w:rFonts w:ascii="宋体" w:hAnsi="宋体" w:cs="宋体" w:eastAsia="宋体" w:hint="default"/>
                <w:spacing w:val="-9"/>
                <w:sz w:val="18"/>
                <w:szCs w:val="18"/>
              </w:rPr>
              <w:t>稀释每股收益（元</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股）</w:t>
            </w:r>
            <w:r>
              <w:rPr>
                <w:rFonts w:ascii="宋体" w:hAnsi="宋体" w:cs="宋体" w:eastAsia="宋体" w:hint="default"/>
                <w:sz w:val="18"/>
                <w:szCs w:val="18"/>
              </w:rPr>
            </w:r>
          </w:p>
        </w:tc>
      </w:tr>
      <w:tr>
        <w:trPr>
          <w:trHeight w:val="715"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204"/>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润</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0.18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0.18</w:t>
            </w:r>
          </w:p>
        </w:tc>
      </w:tr>
      <w:tr>
        <w:trPr>
          <w:trHeight w:val="716"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204"/>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司普通股股东的净利润</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0.15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0.15</w:t>
            </w:r>
          </w:p>
        </w:tc>
      </w:tr>
    </w:tbl>
    <w:p>
      <w:pPr>
        <w:spacing w:line="240" w:lineRule="auto" w:before="3"/>
        <w:rPr>
          <w:rFonts w:ascii="宋体" w:hAnsi="宋体" w:cs="宋体" w:eastAsia="宋体" w:hint="default"/>
          <w:b/>
          <w:bCs/>
          <w:sz w:val="19"/>
          <w:szCs w:val="19"/>
        </w:rPr>
      </w:pPr>
    </w:p>
    <w:p>
      <w:pPr>
        <w:pStyle w:val="Heading3"/>
        <w:spacing w:line="240" w:lineRule="auto" w:before="36"/>
        <w:ind w:right="1764"/>
        <w:jc w:val="left"/>
        <w:rPr>
          <w:b w:val="0"/>
          <w:bCs w:val="0"/>
        </w:rPr>
      </w:pPr>
      <w:bookmarkStart w:name="3、境内外会计准则下会计数据差异" w:id="563"/>
      <w:bookmarkEnd w:id="563"/>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764"/>
        <w:jc w:val="left"/>
        <w:rPr>
          <w:b w:val="0"/>
          <w:bCs w:val="0"/>
        </w:rPr>
      </w:pPr>
      <w:bookmarkStart w:name="（1）同时按照国际会计准则与按中国会计准则披露的财务报告中净利润和净资产差异情况" w:id="564"/>
      <w:bookmarkEnd w:id="564"/>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3"/>
        <w:spacing w:line="240" w:lineRule="auto"/>
        <w:ind w:right="1764"/>
        <w:jc w:val="left"/>
        <w:rPr>
          <w:b w:val="0"/>
          <w:bCs w:val="0"/>
        </w:rPr>
      </w:pPr>
      <w:bookmarkStart w:name="（2）同时按照境外会计准则与按中国会计准则披露的财务报告中净利润和净资产差异情况" w:id="565"/>
      <w:bookmarkEnd w:id="565"/>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spacing w:before="0"/>
        <w:ind w:left="113" w:right="176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6"/>
          <w:szCs w:val="26"/>
        </w:rPr>
      </w:pPr>
    </w:p>
    <w:p>
      <w:pPr>
        <w:pStyle w:val="Heading3"/>
        <w:spacing w:line="256" w:lineRule="auto"/>
        <w:ind w:right="1007"/>
        <w:jc w:val="left"/>
        <w:rPr>
          <w:b w:val="0"/>
          <w:bCs w:val="0"/>
        </w:rPr>
      </w:pPr>
      <w:bookmarkStart w:name="（3）境内外会计准则下会计数据差异原因说明，对已经境外审计机构审计的数据进行差异" w:id="566"/>
      <w:bookmarkEnd w:id="566"/>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6"/>
        </w:rPr>
        <w:t> </w:t>
      </w:r>
      <w:r>
        <w:rPr>
          <w:spacing w:val="-66"/>
        </w:rPr>
      </w:r>
      <w:r>
        <w:rPr/>
        <w:t>明该境外机构的名称</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1764"/>
        <w:jc w:val="left"/>
        <w:rPr>
          <w:b w:val="0"/>
          <w:bCs w:val="0"/>
        </w:rPr>
      </w:pPr>
      <w:bookmarkStart w:name="4、其他" w:id="567"/>
      <w:bookmarkEnd w:id="567"/>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headerReference w:type="default" r:id="rId36"/>
          <w:pgSz w:w="11910" w:h="16840"/>
          <w:pgMar w:header="906" w:footer="1022" w:top="1100" w:bottom="1220" w:left="1020" w:right="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pStyle w:val="Heading1"/>
        <w:spacing w:line="240" w:lineRule="auto"/>
        <w:ind w:left="3325" w:right="1764"/>
        <w:jc w:val="left"/>
        <w:rPr>
          <w:b w:val="0"/>
          <w:bCs w:val="0"/>
        </w:rPr>
      </w:pPr>
      <w:bookmarkStart w:name="第十三节备查文件目录" w:id="568"/>
      <w:bookmarkEnd w:id="568"/>
      <w:r>
        <w:rPr>
          <w:b w:val="0"/>
          <w:bCs w:val="0"/>
        </w:rPr>
      </w:r>
      <w:r>
        <w:rPr/>
        <w:t>第十三节备查文件目录</w:t>
      </w:r>
      <w:r>
        <w:rPr>
          <w:b w:val="0"/>
          <w:bCs w:val="0"/>
        </w:rPr>
      </w:r>
    </w:p>
    <w:p>
      <w:pPr>
        <w:spacing w:line="240" w:lineRule="auto" w:before="7"/>
        <w:rPr>
          <w:rFonts w:ascii="宋体" w:hAnsi="宋体" w:cs="宋体" w:eastAsia="宋体" w:hint="default"/>
          <w:b/>
          <w:bCs/>
          <w:sz w:val="42"/>
          <w:szCs w:val="42"/>
        </w:rPr>
      </w:pPr>
    </w:p>
    <w:p>
      <w:pPr>
        <w:spacing w:line="316" w:lineRule="auto" w:before="0"/>
        <w:ind w:left="113" w:right="1764" w:firstLine="0"/>
        <w:jc w:val="left"/>
        <w:rPr>
          <w:rFonts w:ascii="宋体" w:hAnsi="宋体" w:cs="宋体" w:eastAsia="宋体" w:hint="default"/>
          <w:sz w:val="18"/>
          <w:szCs w:val="18"/>
        </w:rPr>
      </w:pPr>
      <w:r>
        <w:rPr>
          <w:rFonts w:ascii="宋体" w:hAnsi="宋体" w:cs="宋体" w:eastAsia="宋体" w:hint="default"/>
          <w:spacing w:val="-3"/>
          <w:sz w:val="18"/>
          <w:szCs w:val="18"/>
        </w:rPr>
        <w:t>一、载有公司法定代表人、主管会计工作负责人、会计机构负责人签名并盖章的财务报表。</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3"/>
          <w:sz w:val="18"/>
          <w:szCs w:val="18"/>
        </w:rPr>
        <w:t>二、载有会计师事务所盖章、注册会计师签名并盖章的审计报告原件。</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三、报告期内在中国证监会指定网站、报纸上公开披露过的所有公司文件。</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pacing w:val="-3"/>
          <w:sz w:val="18"/>
          <w:szCs w:val="18"/>
        </w:rPr>
        <w:t>四、经公司法定代表人签名的</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年年度报告文本原件。</w:t>
      </w:r>
    </w:p>
    <w:p>
      <w:pPr>
        <w:spacing w:line="362" w:lineRule="auto" w:before="0"/>
        <w:ind w:left="113" w:right="5762" w:firstLine="0"/>
        <w:jc w:val="left"/>
        <w:rPr>
          <w:rFonts w:ascii="宋体" w:hAnsi="宋体" w:cs="宋体" w:eastAsia="宋体" w:hint="default"/>
          <w:sz w:val="18"/>
          <w:szCs w:val="18"/>
        </w:rPr>
      </w:pPr>
      <w:r>
        <w:rPr>
          <w:rFonts w:ascii="宋体" w:hAnsi="宋体" w:cs="宋体" w:eastAsia="宋体" w:hint="default"/>
          <w:spacing w:val="-3"/>
          <w:sz w:val="18"/>
          <w:szCs w:val="18"/>
        </w:rPr>
        <w:t>五、其他相关资料。</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以上备查文件的备置地点：公司董事会办公室。</w:t>
      </w:r>
    </w:p>
    <w:sectPr>
      <w:pgSz w:w="11910" w:h="16840"/>
      <w:pgMar w:header="906" w:footer="1022" w:top="1100" w:bottom="1220" w:left="10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85712" type="#_x0000_t75" stroked="false">
          <v:imagedata r:id="rId1" o:title=""/>
        </v:shape>
      </w:pict>
    </w:r>
    <w:r>
      <w:rPr/>
      <w:pict>
        <v:shape style="position:absolute;margin-left:55.664001pt;margin-top:793.501343pt;width:6.6pt;height:11.15pt;mso-position-horizontal-relative:page;mso-position-vertical-relative:page;z-index:-1185688"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85664" type="#_x0000_t75" stroked="false">
          <v:imagedata r:id="rId1" o:title=""/>
        </v:shape>
      </w:pict>
    </w:r>
    <w:r>
      <w:rPr/>
      <w:pict>
        <v:shape style="position:absolute;margin-left:54.664001pt;margin-top:779.797363pt;width:13.15pt;height:11.15pt;mso-position-horizontal-relative:page;mso-position-vertical-relative:page;z-index:-1185640"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85520" type="#_x0000_t75" stroked="false">
          <v:imagedata r:id="rId1" o:title=""/>
        </v:shape>
      </w:pict>
    </w:r>
    <w:r>
      <w:rPr/>
      <w:pict>
        <v:shape style="position:absolute;margin-left:54.664001pt;margin-top:779.797363pt;width:17.7pt;height:11.15pt;mso-position-horizontal-relative:page;mso-position-vertical-relative:page;z-index:-1185496"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85472" type="#_x0000_t75" stroked="false">
          <v:imagedata r:id="rId1" o:title=""/>
        </v:shape>
      </w:pict>
    </w:r>
    <w:r>
      <w:rPr/>
      <w:pict>
        <v:shape style="position:absolute;margin-left:54.664001pt;margin-top:779.797363pt;width:17.7pt;height:11.15pt;mso-position-horizontal-relative:page;mso-position-vertical-relative:page;z-index:-1185448"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85280" type="#_x0000_t75" stroked="false">
          <v:imagedata r:id="rId1" o:title=""/>
        </v:shape>
      </w:pict>
    </w:r>
    <w:r>
      <w:rPr/>
      <w:pict>
        <v:shape style="position:absolute;margin-left:55.664001pt;margin-top:779.797363pt;width:15.7pt;height:11.15pt;mso-position-horizontal-relative:page;mso-position-vertical-relative:page;z-index:-1185256"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85232" type="#_x0000_t75" stroked="false">
          <v:imagedata r:id="rId1" o:title=""/>
        </v:shape>
      </w:pict>
    </w:r>
    <w:r>
      <w:rPr/>
      <w:pict>
        <v:shape style="position:absolute;margin-left:54.664001pt;margin-top:779.797363pt;width:17.7pt;height:11.15pt;mso-position-horizontal-relative:page;mso-position-vertical-relative:page;z-index:-1185208"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5.664001pt;margin-top:38.222485pt;width:231.8pt;height:11.65pt;mso-position-horizontal-relative:page;mso-position-vertical-relative:page;z-index:-1185736"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深圳天源迪科信息技术股份有限公司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9"/>
                    <w:sz w:val="18"/>
                    <w:szCs w:val="18"/>
                  </w:rPr>
                  <w:t> </w:t>
                </w:r>
                <w:r>
                  <w:rPr>
                    <w:rFonts w:ascii="宋体" w:hAnsi="宋体" w:cs="宋体" w:eastAsia="宋体" w:hint="default"/>
                    <w:spacing w:val="-3"/>
                    <w:sz w:val="18"/>
                    <w:szCs w:val="18"/>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231.8pt;height:11.65pt;mso-position-horizontal-relative:page;mso-position-vertical-relative:page;z-index:-1185304"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深圳天源迪科信息技术股份有限公司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9"/>
                    <w:sz w:val="18"/>
                    <w:szCs w:val="18"/>
                  </w:rPr>
                  <w:t> </w:t>
                </w:r>
                <w:r>
                  <w:rPr>
                    <w:rFonts w:ascii="宋体" w:hAnsi="宋体" w:cs="宋体" w:eastAsia="宋体" w:hint="default"/>
                    <w:spacing w:val="-3"/>
                    <w:sz w:val="18"/>
                    <w:szCs w:val="18"/>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231.8pt;height:11.65pt;mso-position-horizontal-relative:page;mso-position-vertical-relative:page;z-index:-1185184"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深圳天源迪科信息技术股份有限公司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9"/>
                    <w:sz w:val="18"/>
                    <w:szCs w:val="18"/>
                  </w:rPr>
                  <w:t> </w:t>
                </w:r>
                <w:r>
                  <w:rPr>
                    <w:rFonts w:ascii="宋体" w:hAnsi="宋体" w:cs="宋体" w:eastAsia="宋体" w:hint="default"/>
                    <w:spacing w:val="-3"/>
                    <w:sz w:val="18"/>
                    <w:szCs w:val="18"/>
                  </w:rPr>
                  <w:t>年年度报告全文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231.8pt;height:11.65pt;mso-position-horizontal-relative:page;mso-position-vertical-relative:page;z-index:-1185160"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深圳天源迪科信息技术股份有限公司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9"/>
                    <w:sz w:val="18"/>
                    <w:szCs w:val="18"/>
                  </w:rPr>
                  <w:t> </w:t>
                </w:r>
                <w:r>
                  <w:rPr>
                    <w:rFonts w:ascii="宋体" w:hAnsi="宋体" w:cs="宋体" w:eastAsia="宋体" w:hint="default"/>
                    <w:spacing w:val="-3"/>
                    <w:sz w:val="18"/>
                    <w:szCs w:val="18"/>
                  </w:rPr>
                  <w:t>年年度报告全文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231.8pt;height:11.65pt;mso-position-horizontal-relative:page;mso-position-vertical-relative:page;z-index:-1185136"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深圳天源迪科信息技术股份有限公司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9"/>
                    <w:sz w:val="18"/>
                    <w:szCs w:val="18"/>
                  </w:rPr>
                  <w:t> </w:t>
                </w:r>
                <w:r>
                  <w:rPr>
                    <w:rFonts w:ascii="宋体" w:hAnsi="宋体" w:cs="宋体" w:eastAsia="宋体" w:hint="default"/>
                    <w:spacing w:val="-3"/>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231.8pt;height:11.65pt;mso-position-horizontal-relative:page;mso-position-vertical-relative:page;z-index:-1185616"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深圳天源迪科信息技术股份有限公司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9"/>
                    <w:sz w:val="18"/>
                    <w:szCs w:val="18"/>
                  </w:rPr>
                  <w:t> </w:t>
                </w:r>
                <w:r>
                  <w:rPr>
                    <w:rFonts w:ascii="宋体" w:hAnsi="宋体" w:cs="宋体" w:eastAsia="宋体" w:hint="default"/>
                    <w:spacing w:val="-3"/>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231.8pt;height:11.65pt;mso-position-horizontal-relative:page;mso-position-vertical-relative:page;z-index:-1185592"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深圳天源迪科信息技术股份有限公司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9"/>
                    <w:sz w:val="18"/>
                    <w:szCs w:val="18"/>
                  </w:rPr>
                  <w:t> </w:t>
                </w:r>
                <w:r>
                  <w:rPr>
                    <w:rFonts w:ascii="宋体" w:hAnsi="宋体" w:cs="宋体" w:eastAsia="宋体" w:hint="default"/>
                    <w:spacing w:val="-3"/>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231.8pt;height:11.65pt;mso-position-horizontal-relative:page;mso-position-vertical-relative:page;z-index:-1185568"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深圳天源迪科信息技术股份有限公司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9"/>
                    <w:sz w:val="18"/>
                    <w:szCs w:val="18"/>
                  </w:rPr>
                  <w:t> </w:t>
                </w:r>
                <w:r>
                  <w:rPr>
                    <w:rFonts w:ascii="宋体" w:hAnsi="宋体" w:cs="宋体" w:eastAsia="宋体" w:hint="default"/>
                    <w:spacing w:val="-3"/>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231.8pt;height:11.65pt;mso-position-horizontal-relative:page;mso-position-vertical-relative:page;z-index:-1185544"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深圳天源迪科信息技术股份有限公司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9"/>
                    <w:sz w:val="18"/>
                    <w:szCs w:val="18"/>
                  </w:rPr>
                  <w:t> </w:t>
                </w:r>
                <w:r>
                  <w:rPr>
                    <w:rFonts w:ascii="宋体" w:hAnsi="宋体" w:cs="宋体" w:eastAsia="宋体" w:hint="default"/>
                    <w:spacing w:val="-3"/>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231.8pt;height:11.65pt;mso-position-horizontal-relative:page;mso-position-vertical-relative:page;z-index:-1185424"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深圳天源迪科信息技术股份有限公司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9"/>
                    <w:sz w:val="18"/>
                    <w:szCs w:val="18"/>
                  </w:rPr>
                  <w:t> </w:t>
                </w:r>
                <w:r>
                  <w:rPr>
                    <w:rFonts w:ascii="宋体" w:hAnsi="宋体" w:cs="宋体" w:eastAsia="宋体" w:hint="default"/>
                    <w:spacing w:val="-3"/>
                    <w:sz w:val="18"/>
                    <w:szCs w:val="18"/>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231.8pt;height:11.65pt;mso-position-horizontal-relative:page;mso-position-vertical-relative:page;z-index:-1185400"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深圳天源迪科信息技术股份有限公司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9"/>
                    <w:sz w:val="18"/>
                    <w:szCs w:val="18"/>
                  </w:rPr>
                  <w:t> </w:t>
                </w:r>
                <w:r>
                  <w:rPr>
                    <w:rFonts w:ascii="宋体" w:hAnsi="宋体" w:cs="宋体" w:eastAsia="宋体" w:hint="default"/>
                    <w:spacing w:val="-3"/>
                    <w:sz w:val="18"/>
                    <w:szCs w:val="18"/>
                  </w:rPr>
                  <w:t>年年度报告全文</w:t>
                </w:r>
              </w:p>
            </w:txbxContent>
          </v:textbox>
          <w10:wrap type="none"/>
        </v:shape>
      </w:pict>
    </w:r>
    <w:r>
      <w:rPr/>
      <w:pict>
        <v:shape style="position:absolute;margin-left:55.664001pt;margin-top:73.464981pt;width:65.4pt;height:13.15pt;mso-position-horizontal-relative:page;mso-position-vertical-relative:page;z-index:-1185376"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、应付票据</w:t>
                </w:r>
                <w:r>
                  <w:rPr>
                    <w:rFonts w:ascii="宋体" w:hAnsi="宋体" w:cs="宋体" w:eastAsia="宋体" w:hint="default"/>
                    <w:sz w:val="21"/>
                    <w:szCs w:val="21"/>
                  </w:rPr>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231.8pt;height:11.65pt;mso-position-horizontal-relative:page;mso-position-vertical-relative:page;z-index:-1185352"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深圳天源迪科信息技术股份有限公司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9"/>
                    <w:sz w:val="18"/>
                    <w:szCs w:val="18"/>
                  </w:rPr>
                  <w:t> </w:t>
                </w:r>
                <w:r>
                  <w:rPr>
                    <w:rFonts w:ascii="宋体" w:hAnsi="宋体" w:cs="宋体" w:eastAsia="宋体" w:hint="default"/>
                    <w:spacing w:val="-3"/>
                    <w:sz w:val="18"/>
                    <w:szCs w:val="18"/>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231.8pt;height:11.65pt;mso-position-horizontal-relative:page;mso-position-vertical-relative:page;z-index:-1185328"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深圳天源迪科信息技术股份有限公司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9"/>
                    <w:sz w:val="18"/>
                    <w:szCs w:val="18"/>
                  </w:rPr>
                  <w:t> </w:t>
                </w:r>
                <w:r>
                  <w:rPr>
                    <w:rFonts w:ascii="宋体" w:hAnsi="宋体" w:cs="宋体" w:eastAsia="宋体" w:hint="default"/>
                    <w:spacing w:val="-3"/>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62"/>
      <w:ind w:left="113"/>
    </w:pPr>
    <w:rPr>
      <w:rFonts w:ascii="宋体" w:hAnsi="宋体" w:eastAsia="宋体"/>
      <w:b/>
      <w:bCs/>
      <w:sz w:val="24"/>
      <w:szCs w:val="24"/>
    </w:rPr>
  </w:style>
  <w:style w:styleId="BodyText" w:type="paragraph">
    <w:name w:val="Body Text"/>
    <w:basedOn w:val="Normal"/>
    <w:uiPriority w:val="1"/>
    <w:qFormat/>
    <w:pPr>
      <w:spacing w:before="7"/>
      <w:ind w:left="113"/>
    </w:pPr>
    <w:rPr>
      <w:rFonts w:ascii="宋体" w:hAnsi="宋体" w:eastAsia="宋体"/>
      <w:sz w:val="21"/>
      <w:szCs w:val="21"/>
    </w:rPr>
  </w:style>
  <w:style w:styleId="Heading1" w:type="paragraph">
    <w:name w:val="Heading 1"/>
    <w:basedOn w:val="Normal"/>
    <w:uiPriority w:val="1"/>
    <w:qFormat/>
    <w:pPr>
      <w:spacing w:before="2"/>
      <w:ind w:left="818"/>
      <w:outlineLvl w:val="1"/>
    </w:pPr>
    <w:rPr>
      <w:rFonts w:ascii="宋体" w:hAnsi="宋体" w:eastAsia="宋体"/>
      <w:b/>
      <w:bCs/>
      <w:sz w:val="32"/>
      <w:szCs w:val="32"/>
    </w:rPr>
  </w:style>
  <w:style w:styleId="Heading2" w:type="paragraph">
    <w:name w:val="Heading 2"/>
    <w:basedOn w:val="Normal"/>
    <w:uiPriority w:val="1"/>
    <w:qFormat/>
    <w:pPr>
      <w:ind w:left="113"/>
      <w:outlineLvl w:val="2"/>
    </w:pPr>
    <w:rPr>
      <w:rFonts w:ascii="宋体" w:hAnsi="宋体" w:eastAsia="宋体"/>
      <w:b/>
      <w:bCs/>
      <w:sz w:val="24"/>
      <w:szCs w:val="24"/>
    </w:rPr>
  </w:style>
  <w:style w:styleId="Heading3" w:type="paragraph">
    <w:name w:val="Heading 3"/>
    <w:basedOn w:val="Normal"/>
    <w:uiPriority w:val="1"/>
    <w:qFormat/>
    <w:pPr>
      <w:ind w:left="113"/>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hyperlink" Target="http://www.aliyun.com/" TargetMode="External"/><Relationship Id="rId10" Type="http://schemas.openxmlformats.org/officeDocument/2006/relationships/hyperlink" Target="http://www.tydic.com/" TargetMode="External"/><Relationship Id="rId11" Type="http://schemas.openxmlformats.org/officeDocument/2006/relationships/hyperlink" Target="mailto:v-mailbox@tydic.com" TargetMode="External"/><Relationship Id="rId12" Type="http://schemas.openxmlformats.org/officeDocument/2006/relationships/hyperlink" Target="http://www.cninfo.com.cn/" TargetMode="External"/><Relationship Id="rId13" Type="http://schemas.openxmlformats.org/officeDocument/2006/relationships/hyperlink" Target="https://baike.baidu.com/item/%E8%99%9A%E6%8B%9F%E5%8C%96%E6%8A%80%E6%9C%AF/276750" TargetMode="External"/><Relationship Id="rId14" Type="http://schemas.openxmlformats.org/officeDocument/2006/relationships/hyperlink" Target="http://data.eastmoney.com/gdfx/" TargetMode="External"/><Relationship Id="rId15" Type="http://schemas.openxmlformats.org/officeDocument/2006/relationships/hyperlink" Target="http://baike.eastmoney.com/item/%E4%BC%9A%E8%AE%A1%E5%B8%88%E4%BA%8B%E5%8A%A1%E6%89%80" TargetMode="External"/><Relationship Id="rId16" Type="http://schemas.openxmlformats.org/officeDocument/2006/relationships/header" Target="header3.xml"/><Relationship Id="rId17" Type="http://schemas.openxmlformats.org/officeDocument/2006/relationships/hyperlink" Target="http://www.cninfo.com.cn&#20844;&#21578;/" TargetMode="External"/><Relationship Id="rId18" Type="http://schemas.openxmlformats.org/officeDocument/2006/relationships/hyperlink" Target="http://www.cninfo.com.cn&#20844;&#21578;2019-48/" TargetMode="External"/><Relationship Id="rId19" Type="http://schemas.openxmlformats.org/officeDocument/2006/relationships/hyperlink" Target="http://www.cninfo.com.cn&#20844;&#21578;2019-70/" TargetMode="External"/><Relationship Id="rId20" Type="http://schemas.openxmlformats.org/officeDocument/2006/relationships/image" Target="media/image2.jpeg"/><Relationship Id="rId21" Type="http://schemas.openxmlformats.org/officeDocument/2006/relationships/header" Target="header4.xml"/><Relationship Id="rId22" Type="http://schemas.openxmlformats.org/officeDocument/2006/relationships/hyperlink" Target="http://www.cninfo.com.c/" TargetMode="External"/><Relationship Id="rId23" Type="http://schemas.openxmlformats.org/officeDocument/2006/relationships/header" Target="header5.xml"/><Relationship Id="rId24" Type="http://schemas.openxmlformats.org/officeDocument/2006/relationships/footer" Target="footer3.xml"/><Relationship Id="rId25" Type="http://schemas.openxmlformats.org/officeDocument/2006/relationships/footer" Target="footer4.xml"/><Relationship Id="rId26" Type="http://schemas.openxmlformats.org/officeDocument/2006/relationships/header" Target="header6.xml"/><Relationship Id="rId27" Type="http://schemas.openxmlformats.org/officeDocument/2006/relationships/header" Target="header7.xml"/><Relationship Id="rId28" Type="http://schemas.openxmlformats.org/officeDocument/2006/relationships/header" Target="header8.xml"/><Relationship Id="rId29" Type="http://schemas.openxmlformats.org/officeDocument/2006/relationships/header" Target="header9.xml"/><Relationship Id="rId30" Type="http://schemas.openxmlformats.org/officeDocument/2006/relationships/header" Target="header10.xml"/><Relationship Id="rId31" Type="http://schemas.openxmlformats.org/officeDocument/2006/relationships/footer" Target="footer5.xml"/><Relationship Id="rId32" Type="http://schemas.openxmlformats.org/officeDocument/2006/relationships/footer" Target="footer6.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image" Target="media/image3.png"/><Relationship Id="rId36" Type="http://schemas.openxmlformats.org/officeDocument/2006/relationships/header" Target="header13.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2020-05-19T05:02:39Z</dcterms:created>
  <dcterms:modified xsi:type="dcterms:W3CDTF">2020-05-19T05:02:39Z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2020-04-20T00:00:00Z</vt:filetime>
  </property>
  <property fmtid="{D5CDD505-2E9C-101B-9397-08002B2CF9AE}" pid="3" name="Creator">
    <vt:lpwstr>Microsoft® Office Word 2007</vt:lpwstr>
  </property>
  <property fmtid="{D5CDD505-2E9C-101B-9397-08002B2CF9AE}" pid="4" name="LastSaved">
    <vt:filetime>2020-05-18T00:00:00Z</vt:filetime>
  </property>
</Properties>
</file>