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1113" w:right="1113"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深圳中青宝互动网络股份有限公司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1112" w:right="111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8"/>
          <w:szCs w:val="28"/>
        </w:rPr>
      </w:pPr>
    </w:p>
    <w:p>
      <w:pPr>
        <w:spacing w:line="1548" w:lineRule="exact"/>
        <w:ind w:left="3973" w:right="0" w:firstLine="0"/>
        <w:rPr>
          <w:rFonts w:ascii="宋体" w:hAnsi="宋体" w:cs="宋体" w:eastAsia="宋体" w:hint="default"/>
          <w:sz w:val="20"/>
          <w:szCs w:val="20"/>
        </w:rPr>
      </w:pPr>
      <w:r>
        <w:rPr>
          <w:rFonts w:ascii="宋体" w:hAnsi="宋体" w:cs="宋体" w:eastAsia="宋体" w:hint="default"/>
          <w:position w:val="-30"/>
          <w:sz w:val="20"/>
          <w:szCs w:val="20"/>
        </w:rPr>
        <w:drawing>
          <wp:inline distT="0" distB="0" distL="0" distR="0">
            <wp:extent cx="2521602" cy="98298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2521602" cy="982980"/>
                    </a:xfrm>
                    <a:prstGeom prst="rect">
                      <a:avLst/>
                    </a:prstGeom>
                  </pic:spPr>
                </pic:pic>
              </a:graphicData>
            </a:graphic>
          </wp:inline>
        </w:drawing>
      </w:r>
      <w:r>
        <w:rPr>
          <w:rFonts w:ascii="宋体" w:hAnsi="宋体" w:cs="宋体" w:eastAsia="宋体" w:hint="default"/>
          <w:position w:val="-30"/>
          <w:sz w:val="20"/>
          <w:szCs w:val="2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9"/>
          <w:szCs w:val="39"/>
        </w:rPr>
      </w:pPr>
    </w:p>
    <w:p>
      <w:pPr>
        <w:spacing w:before="0"/>
        <w:ind w:left="1114" w:right="111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340" w:lineRule="auto" w:before="216"/>
        <w:ind w:right="1141" w:firstLine="562"/>
        <w:jc w:val="both"/>
        <w:rPr>
          <w:b w:val="0"/>
          <w:bCs w:val="0"/>
        </w:rPr>
      </w:pPr>
      <w:r>
        <w:rPr>
          <w:spacing w:val="3"/>
          <w:w w:val="95"/>
        </w:rPr>
        <w:t>本公司董事会、监事会及董事、监事、高级管理人员保证年度报告内容的</w:t>
      </w:r>
      <w:r>
        <w:rPr>
          <w:w w:val="99"/>
        </w:rPr>
        <w:t> </w:t>
      </w:r>
      <w:r>
        <w:rPr>
          <w:spacing w:val="3"/>
          <w:w w:val="95"/>
        </w:rPr>
        <w:t>真实、准确、完整，不存在虚假记载、误导性陈述或重大遗漏，并承担个别和</w:t>
      </w:r>
      <w:r>
        <w:rPr>
          <w:spacing w:val="23"/>
          <w:w w:val="95"/>
        </w:rPr>
        <w:t> </w:t>
      </w:r>
      <w:r>
        <w:rPr>
          <w:spacing w:val="23"/>
          <w:w w:val="95"/>
        </w:rPr>
      </w:r>
      <w:r>
        <w:rPr/>
        <w:t>连带的法律责任。</w:t>
      </w:r>
      <w:r>
        <w:rPr>
          <w:b w:val="0"/>
          <w:bCs w:val="0"/>
        </w:rPr>
      </w:r>
    </w:p>
    <w:p>
      <w:pPr>
        <w:pStyle w:val="Heading2"/>
        <w:spacing w:line="321" w:lineRule="auto" w:before="136"/>
        <w:ind w:right="1132" w:firstLine="562"/>
        <w:jc w:val="both"/>
        <w:rPr>
          <w:b w:val="0"/>
          <w:bCs w:val="0"/>
        </w:rPr>
      </w:pPr>
      <w:r>
        <w:rPr>
          <w:w w:val="95"/>
        </w:rPr>
        <w:t>公司负责人李瑞杰、主管会计工作负责人许岳明及会计机构负责人</w:t>
      </w:r>
      <w:r>
        <w:rPr>
          <w:rFonts w:ascii="Times New Roman" w:hAnsi="Times New Roman" w:cs="Times New Roman" w:eastAsia="Times New Roman" w:hint="default"/>
          <w:w w:val="95"/>
        </w:rPr>
        <w:t>(</w:t>
      </w:r>
      <w:r>
        <w:rPr>
          <w:w w:val="95"/>
        </w:rPr>
        <w:t>会计主</w:t>
      </w:r>
      <w:r>
        <w:rPr>
          <w:spacing w:val="1"/>
          <w:w w:val="99"/>
        </w:rPr>
        <w:t> </w:t>
      </w:r>
      <w:r>
        <w:rPr/>
        <w:t>管人员</w:t>
      </w:r>
      <w:r>
        <w:rPr>
          <w:rFonts w:ascii="Times New Roman" w:hAnsi="Times New Roman" w:cs="Times New Roman" w:eastAsia="Times New Roman" w:hint="default"/>
        </w:rPr>
        <w:t>)</w:t>
      </w:r>
      <w:r>
        <w:rPr/>
        <w:t>朱丹平声明：保证年度报告中财务报告的真实、准确、完整。</w:t>
      </w:r>
      <w:r>
        <w:rPr>
          <w:b w:val="0"/>
          <w:bCs w:val="0"/>
        </w:rPr>
      </w:r>
    </w:p>
    <w:p>
      <w:pPr>
        <w:pStyle w:val="Heading2"/>
        <w:spacing w:line="405" w:lineRule="auto" w:before="127"/>
        <w:ind w:left="1695" w:right="0"/>
        <w:jc w:val="left"/>
        <w:rPr>
          <w:b w:val="0"/>
          <w:bCs w:val="0"/>
        </w:rPr>
      </w:pPr>
      <w:r>
        <w:rPr/>
        <w:t>所有董事均已出席了审议本报告的董事会会议。</w:t>
      </w:r>
      <w:r>
        <w:rPr>
          <w:w w:val="99"/>
        </w:rPr>
        <w:t> </w:t>
      </w:r>
      <w:r>
        <w:rPr>
          <w:w w:val="95"/>
        </w:rPr>
        <w:t>本公司请投资者认真阅读本年度报告全文，并特别注意下列风险因素：</w:t>
      </w:r>
      <w:r>
        <w:rPr>
          <w:b w:val="0"/>
          <w:bCs w:val="0"/>
        </w:rPr>
      </w:r>
    </w:p>
    <w:p>
      <w:pPr>
        <w:spacing w:line="240" w:lineRule="auto" w:before="0"/>
        <w:rPr>
          <w:rFonts w:ascii="宋体" w:hAnsi="宋体" w:cs="宋体" w:eastAsia="宋体" w:hint="default"/>
          <w:b/>
          <w:bCs/>
          <w:sz w:val="28"/>
          <w:szCs w:val="28"/>
        </w:rPr>
      </w:pPr>
    </w:p>
    <w:p>
      <w:pPr>
        <w:spacing w:line="240" w:lineRule="auto" w:before="10"/>
        <w:rPr>
          <w:rFonts w:ascii="宋体" w:hAnsi="宋体" w:cs="宋体" w:eastAsia="宋体" w:hint="default"/>
          <w:b/>
          <w:bCs/>
          <w:sz w:val="23"/>
          <w:szCs w:val="23"/>
        </w:rPr>
      </w:pPr>
    </w:p>
    <w:p>
      <w:pPr>
        <w:pStyle w:val="Heading2"/>
        <w:spacing w:line="240" w:lineRule="auto"/>
        <w:ind w:right="0"/>
        <w:jc w:val="left"/>
        <w:rPr>
          <w:b w:val="0"/>
          <w:bCs w:val="0"/>
        </w:rPr>
      </w:pPr>
      <w:r>
        <w:rPr/>
        <w:t>一、游戏产品相关的的风险</w:t>
      </w:r>
      <w:r>
        <w:rPr>
          <w:b w:val="0"/>
          <w:bCs w:val="0"/>
        </w:rPr>
      </w:r>
    </w:p>
    <w:p>
      <w:pPr>
        <w:spacing w:line="240" w:lineRule="auto" w:before="11"/>
        <w:rPr>
          <w:rFonts w:ascii="宋体" w:hAnsi="宋体" w:cs="宋体" w:eastAsia="宋体" w:hint="default"/>
          <w:b/>
          <w:bCs/>
          <w:sz w:val="23"/>
          <w:szCs w:val="23"/>
        </w:rPr>
      </w:pPr>
    </w:p>
    <w:p>
      <w:pPr>
        <w:pStyle w:val="Heading4"/>
        <w:spacing w:line="357" w:lineRule="auto"/>
        <w:ind w:right="1133"/>
        <w:jc w:val="both"/>
      </w:pPr>
      <w:r>
        <w:rPr>
          <w:spacing w:val="2"/>
        </w:rPr>
        <w:t>随着市场的发展和游戏玩家体验的提升，游戏玩家对游戏质量的要求越来越高，对游戏</w:t>
      </w:r>
      <w:r>
        <w:rPr/>
        <w:t> 市场的兴趣趋于多元化，公司游戏产品研发如何才能尽可能契合市场大部分玩家需求成为公 司经营中的主要风险。另外游戏产品涉及的风险还包括知识产权风险、单一游戏依赖风险、</w:t>
      </w:r>
      <w:r>
        <w:rPr>
          <w:spacing w:val="-115"/>
        </w:rPr>
        <w:t> </w:t>
      </w:r>
      <w:r>
        <w:rPr>
          <w:spacing w:val="-115"/>
        </w:rPr>
      </w:r>
      <w:r>
        <w:rPr/>
        <w:t>游戏产品生命周期风险、新游戏开发和运营失败风险、游戏平台吸引力下降风险等。</w:t>
      </w:r>
    </w:p>
    <w:p>
      <w:pPr>
        <w:pStyle w:val="Heading2"/>
        <w:spacing w:line="240" w:lineRule="auto" w:before="180"/>
        <w:ind w:right="0"/>
        <w:jc w:val="left"/>
        <w:rPr>
          <w:b w:val="0"/>
          <w:bCs w:val="0"/>
        </w:rPr>
      </w:pPr>
      <w:r>
        <w:rPr/>
        <w:t>二、行业竞争进一步加剧的风险</w:t>
      </w:r>
      <w:r>
        <w:rPr>
          <w:b w:val="0"/>
          <w:bCs w:val="0"/>
        </w:rPr>
      </w:r>
    </w:p>
    <w:p>
      <w:pPr>
        <w:spacing w:line="240" w:lineRule="auto" w:before="12"/>
        <w:rPr>
          <w:rFonts w:ascii="宋体" w:hAnsi="宋体" w:cs="宋体" w:eastAsia="宋体" w:hint="default"/>
          <w:b/>
          <w:bCs/>
          <w:sz w:val="23"/>
          <w:szCs w:val="23"/>
        </w:rPr>
      </w:pPr>
    </w:p>
    <w:p>
      <w:pPr>
        <w:pStyle w:val="Heading4"/>
        <w:spacing w:line="357" w:lineRule="auto"/>
        <w:ind w:right="1139"/>
        <w:jc w:val="both"/>
      </w:pPr>
      <w:r>
        <w:rPr>
          <w:spacing w:val="2"/>
        </w:rPr>
        <w:t>随着游戏市场的快速发展，吸引了大大小小的游戏公司竞相进入，行业的参与者越来越</w:t>
      </w:r>
      <w:r>
        <w:rPr/>
        <w:t> 多，进一步加剧竞争。如果公司不能紧跟市场发展形式，强化自身竞争力与核心优势，存在 被竞争者淘汰的风险。</w:t>
      </w:r>
    </w:p>
    <w:p>
      <w:pPr>
        <w:pStyle w:val="Heading2"/>
        <w:spacing w:line="240" w:lineRule="auto" w:before="180"/>
        <w:ind w:right="0"/>
        <w:jc w:val="left"/>
        <w:rPr>
          <w:b w:val="0"/>
          <w:bCs w:val="0"/>
        </w:rPr>
      </w:pPr>
      <w:r>
        <w:rPr/>
        <w:t>三、收购整合、资产重组风险</w:t>
      </w:r>
      <w:r>
        <w:rPr>
          <w:b w:val="0"/>
          <w:bCs w:val="0"/>
        </w:rPr>
      </w:r>
    </w:p>
    <w:p>
      <w:pPr>
        <w:spacing w:line="240" w:lineRule="auto" w:before="11"/>
        <w:rPr>
          <w:rFonts w:ascii="宋体" w:hAnsi="宋体" w:cs="宋体" w:eastAsia="宋体" w:hint="default"/>
          <w:b/>
          <w:bCs/>
          <w:sz w:val="23"/>
          <w:szCs w:val="23"/>
        </w:rPr>
      </w:pPr>
    </w:p>
    <w:p>
      <w:pPr>
        <w:pStyle w:val="Heading4"/>
        <w:spacing w:line="357" w:lineRule="auto"/>
        <w:ind w:right="1138"/>
        <w:jc w:val="both"/>
      </w:pPr>
      <w:r>
        <w:rPr>
          <w:spacing w:val="2"/>
        </w:rPr>
        <w:t>由于智能手机技术和市场的飞速发展，手机游戏市场也在急剧扩大。要想在这个市场中</w:t>
      </w:r>
      <w:r>
        <w:rPr/>
        <w:t> 独占鳌头，除了加强自身在手游这一块的研发能力之外，收购一些目前较小但有发展潜力的 手游公司是公司的发展规划之一，但资产重组或兼并必然带来不确定性风险或者投资失败的</w:t>
      </w:r>
      <w:r>
        <w:rPr>
          <w:spacing w:val="-116"/>
        </w:rPr>
        <w:t> </w:t>
      </w:r>
      <w:r>
        <w:rPr>
          <w:spacing w:val="-116"/>
        </w:rPr>
      </w:r>
      <w:r>
        <w:rPr/>
        <w:t>风险。</w:t>
      </w:r>
    </w:p>
    <w:p>
      <w:pPr>
        <w:spacing w:after="0" w:line="357" w:lineRule="auto"/>
        <w:jc w:val="both"/>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9"/>
          <w:szCs w:val="29"/>
        </w:rPr>
      </w:pPr>
    </w:p>
    <w:p>
      <w:pPr>
        <w:pStyle w:val="Heading2"/>
        <w:spacing w:line="240" w:lineRule="auto" w:before="13"/>
        <w:ind w:right="0"/>
        <w:jc w:val="left"/>
        <w:rPr>
          <w:b w:val="0"/>
          <w:bCs w:val="0"/>
        </w:rPr>
      </w:pPr>
      <w:r>
        <w:rPr/>
        <w:t>四、新游戏开发运营不成功的风险</w:t>
      </w:r>
      <w:r>
        <w:rPr>
          <w:b w:val="0"/>
          <w:bCs w:val="0"/>
        </w:rPr>
      </w:r>
    </w:p>
    <w:p>
      <w:pPr>
        <w:spacing w:line="240" w:lineRule="auto" w:before="11"/>
        <w:rPr>
          <w:rFonts w:ascii="宋体" w:hAnsi="宋体" w:cs="宋体" w:eastAsia="宋体" w:hint="default"/>
          <w:b/>
          <w:bCs/>
          <w:sz w:val="23"/>
          <w:szCs w:val="23"/>
        </w:rPr>
      </w:pPr>
    </w:p>
    <w:p>
      <w:pPr>
        <w:pStyle w:val="Heading4"/>
        <w:spacing w:line="357" w:lineRule="auto"/>
        <w:ind w:right="1139"/>
        <w:jc w:val="both"/>
      </w:pPr>
      <w:r>
        <w:rPr>
          <w:spacing w:val="2"/>
        </w:rPr>
        <w:t>由于游戏玩家的喜好经常转变，为保持公司的长期盈利能力，公司必须持续开发受玩家</w:t>
      </w:r>
      <w:r>
        <w:rPr/>
        <w:t> 欢迎的新游戏。公司自主研发的网络游戏能否成功，很大程度上取决于公司是否能预测游戏 玩家口味及喜好的转变，能否就此作出有效响应，能否制定有效的开发计划并组织人员、资 金、技术最终完成新游戏的开发，中间的任何一个环节出现问题都可能导致新游戏创意不被 市场接受，或者创意在技术上无法实现，或者竞争对手先于公司推出类似的游戏。而一款新 游戏的推出，公司需要在前期投入大量的研发开支、初期的推广费、服务器托管费、带宽租 赁费等，若新游戏开发运营不成功，新游戏产生的收益可能不能抵补上述支出，会削弱公司 未来的盈利能力及增长前景。</w:t>
      </w:r>
    </w:p>
    <w:p>
      <w:pPr>
        <w:pStyle w:val="Heading2"/>
        <w:spacing w:line="240" w:lineRule="auto" w:before="181"/>
        <w:ind w:right="0"/>
        <w:jc w:val="left"/>
        <w:rPr>
          <w:b w:val="0"/>
          <w:bCs w:val="0"/>
        </w:rPr>
      </w:pPr>
      <w:r>
        <w:rPr/>
        <w:t>五、核心技术人员流失的风险</w:t>
      </w:r>
      <w:r>
        <w:rPr>
          <w:b w:val="0"/>
          <w:bCs w:val="0"/>
        </w:rPr>
      </w:r>
    </w:p>
    <w:p>
      <w:pPr>
        <w:spacing w:line="240" w:lineRule="auto" w:before="11"/>
        <w:rPr>
          <w:rFonts w:ascii="宋体" w:hAnsi="宋体" w:cs="宋体" w:eastAsia="宋体" w:hint="default"/>
          <w:b/>
          <w:bCs/>
          <w:sz w:val="23"/>
          <w:szCs w:val="23"/>
        </w:rPr>
      </w:pPr>
    </w:p>
    <w:p>
      <w:pPr>
        <w:pStyle w:val="Heading4"/>
        <w:spacing w:line="357" w:lineRule="auto"/>
        <w:ind w:right="1139"/>
        <w:jc w:val="both"/>
      </w:pPr>
      <w:r>
        <w:rPr>
          <w:spacing w:val="2"/>
        </w:rPr>
        <w:t>专注于自主研发网络游戏，核心技术和核心技术人员是公司生存和发展的根本，是公司</w:t>
      </w:r>
      <w:r>
        <w:rPr/>
        <w:t> 的核心竞争力之所在。公司需要继续吸引并挽留技术熟练、经验丰富的游戏开发人员以维持 公司的竞争力。随着公司规模的不断扩大，如果激励机制和约束机制不跟进，将使公司难以 吸引和稳定核心技术人员，降低公司竞争力，不利于公司长期稳定发展。</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1"/>
          <w:szCs w:val="21"/>
        </w:rPr>
      </w:pPr>
    </w:p>
    <w:p>
      <w:pPr>
        <w:pStyle w:val="Heading2"/>
        <w:spacing w:line="240" w:lineRule="auto"/>
        <w:ind w:left="1114" w:right="556"/>
        <w:jc w:val="center"/>
        <w:rPr>
          <w:b w:val="0"/>
          <w:bCs w:val="0"/>
        </w:rPr>
      </w:pP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年度利润分配预案</w:t>
      </w:r>
      <w:r>
        <w:rPr>
          <w:b w:val="0"/>
          <w:bCs w:val="0"/>
        </w:rPr>
      </w:r>
    </w:p>
    <w:p>
      <w:pPr>
        <w:spacing w:line="240" w:lineRule="auto" w:before="2"/>
        <w:rPr>
          <w:rFonts w:ascii="宋体" w:hAnsi="宋体" w:cs="宋体" w:eastAsia="宋体" w:hint="default"/>
          <w:b/>
          <w:bCs/>
          <w:sz w:val="22"/>
          <w:szCs w:val="22"/>
        </w:rPr>
      </w:pPr>
    </w:p>
    <w:p>
      <w:pPr>
        <w:pStyle w:val="Heading4"/>
        <w:spacing w:line="240" w:lineRule="auto"/>
        <w:ind w:left="1114" w:right="693" w:firstLine="0"/>
        <w:jc w:val="center"/>
      </w:pPr>
      <w:r>
        <w:rPr/>
        <w:t>公司经本次董事会审议通过的利润分配预案为：以</w:t>
      </w:r>
      <w:r>
        <w:rPr>
          <w:spacing w:val="-71"/>
        </w:rPr>
        <w:t> </w:t>
      </w:r>
      <w:r>
        <w:rPr>
          <w:rFonts w:ascii="Times New Roman" w:hAnsi="Times New Roman" w:cs="Times New Roman" w:eastAsia="Times New Roman" w:hint="default"/>
        </w:rPr>
        <w:t>261,038,600</w:t>
      </w:r>
      <w:r>
        <w:rPr>
          <w:rFonts w:ascii="Times New Roman" w:hAnsi="Times New Roman" w:cs="Times New Roman" w:eastAsia="Times New Roman" w:hint="default"/>
          <w:spacing w:val="-11"/>
        </w:rPr>
        <w:t> </w:t>
      </w:r>
      <w:r>
        <w:rPr/>
        <w:t>股为基数，向全体股东每</w:t>
      </w:r>
    </w:p>
    <w:p>
      <w:pPr>
        <w:pStyle w:val="Heading4"/>
        <w:spacing w:line="240" w:lineRule="auto" w:before="135"/>
        <w:ind w:right="0" w:firstLine="0"/>
        <w:jc w:val="left"/>
        <w:rPr>
          <w:rFonts w:ascii="Times New Roman" w:hAnsi="Times New Roman" w:cs="Times New Roman" w:eastAsia="Times New Roman" w:hint="default"/>
        </w:rPr>
      </w:pPr>
      <w:r>
        <w:rPr>
          <w:rFonts w:ascii="Times New Roman" w:hAnsi="Times New Roman" w:cs="Times New Roman" w:eastAsia="Times New Roman" w:hint="default"/>
        </w:rPr>
        <w:t>10 </w:t>
      </w:r>
      <w:r>
        <w:rPr/>
        <w:t>股派发现金红利</w:t>
      </w:r>
      <w:r>
        <w:rPr>
          <w:spacing w:val="-60"/>
        </w:rPr>
        <w:t> </w:t>
      </w:r>
      <w:r>
        <w:rPr>
          <w:rFonts w:ascii="Times New Roman" w:hAnsi="Times New Roman" w:cs="Times New Roman" w:eastAsia="Times New Roman" w:hint="default"/>
        </w:rPr>
        <w:t>0.2 </w:t>
      </w:r>
      <w:r>
        <w:rPr>
          <w:spacing w:val="-6"/>
        </w:rPr>
        <w:t>元</w:t>
      </w:r>
      <w:r>
        <w:rPr>
          <w:rFonts w:ascii="Times New Roman" w:hAnsi="Times New Roman" w:cs="Times New Roman" w:eastAsia="Times New Roman" w:hint="default"/>
          <w:spacing w:val="-6"/>
        </w:rPr>
        <w:t>(</w:t>
      </w:r>
      <w:r>
        <w:rPr>
          <w:spacing w:val="-6"/>
        </w:rPr>
        <w:t>含税</w:t>
      </w:r>
      <w:r>
        <w:rPr>
          <w:rFonts w:ascii="Times New Roman" w:hAnsi="Times New Roman" w:cs="Times New Roman" w:eastAsia="Times New Roman" w:hint="default"/>
          <w:spacing w:val="-6"/>
        </w:rPr>
        <w:t>)</w:t>
      </w:r>
      <w:r>
        <w:rPr>
          <w:spacing w:val="-6"/>
        </w:rPr>
        <w:t>，送红股</w:t>
      </w:r>
      <w:r>
        <w:rPr>
          <w:spacing w:val="-60"/>
        </w:rPr>
        <w:t> </w:t>
      </w:r>
      <w:r>
        <w:rPr>
          <w:rFonts w:ascii="Times New Roman" w:hAnsi="Times New Roman" w:cs="Times New Roman" w:eastAsia="Times New Roman" w:hint="default"/>
        </w:rPr>
        <w:t>0 </w:t>
      </w:r>
      <w:r>
        <w:rPr>
          <w:spacing w:val="-3"/>
        </w:rPr>
        <w:t>股</w:t>
      </w:r>
      <w:r>
        <w:rPr>
          <w:rFonts w:ascii="Times New Roman" w:hAnsi="Times New Roman" w:cs="Times New Roman" w:eastAsia="Times New Roman" w:hint="default"/>
          <w:spacing w:val="-3"/>
        </w:rPr>
        <w:t>(</w:t>
      </w:r>
      <w:r>
        <w:rPr>
          <w:spacing w:val="-3"/>
        </w:rPr>
        <w:t>含税</w:t>
      </w:r>
      <w:r>
        <w:rPr>
          <w:rFonts w:ascii="Times New Roman" w:hAnsi="Times New Roman" w:cs="Times New Roman" w:eastAsia="Times New Roman" w:hint="default"/>
          <w:spacing w:val="-3"/>
        </w:rPr>
        <w:t>)</w:t>
      </w:r>
      <w:r>
        <w:rPr>
          <w:spacing w:val="-3"/>
        </w:rPr>
        <w:t>，以资本公积金向全体股东每</w:t>
      </w:r>
      <w:r>
        <w:rPr>
          <w:spacing w:val="-60"/>
        </w:rPr>
        <w:t> </w:t>
      </w:r>
      <w:r>
        <w:rPr>
          <w:rFonts w:ascii="Times New Roman" w:hAnsi="Times New Roman" w:cs="Times New Roman" w:eastAsia="Times New Roman" w:hint="default"/>
        </w:rPr>
        <w:t>10 </w:t>
      </w:r>
      <w:r>
        <w:rPr/>
        <w:t>股转增</w:t>
      </w:r>
      <w:r>
        <w:rPr>
          <w:spacing w:val="-60"/>
        </w:rPr>
        <w:t> </w:t>
      </w:r>
      <w:r>
        <w:rPr>
          <w:rFonts w:ascii="Times New Roman" w:hAnsi="Times New Roman" w:cs="Times New Roman" w:eastAsia="Times New Roman" w:hint="default"/>
        </w:rPr>
        <w:t>0</w:t>
      </w:r>
    </w:p>
    <w:p>
      <w:pPr>
        <w:pStyle w:val="Heading4"/>
        <w:spacing w:line="240" w:lineRule="auto" w:before="137"/>
        <w:ind w:left="1134" w:right="0" w:firstLine="0"/>
        <w:jc w:val="left"/>
      </w:pPr>
      <w:r>
        <w:rPr/>
        <w:t>股。</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23"/>
        <w:ind w:left="1114" w:right="111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管理层讨论与分析</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财务报告</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20"/>
              </w:rPr>
              <w:t> </w:t>
            </w:r>
            <w:r>
              <w:rPr/>
              <w:t>备查文件目录</w:t>
            </w:r>
            <w:r>
              <w:rPr>
                <w:rFonts w:ascii="Times New Roman" w:hAnsi="Times New Roman" w:cs="Times New Roman" w:eastAsia="Times New Roman" w:hint="default"/>
              </w:rPr>
              <w:tab/>
              <w:t>181</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0" w:right="0"/>
        </w:sectPr>
      </w:pPr>
    </w:p>
    <w:p>
      <w:pPr>
        <w:spacing w:before="946"/>
        <w:ind w:left="1114" w:right="111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609"/>
        <w:gridCol w:w="5424"/>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本公司、公司、中青宝、中青宝网</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母公司、宝德控股</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李瑞杰、张云霞</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宝德科技集团股份有限公司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深圳证券交易所《创业板股票上市规则》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MMO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游戏</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大型多人在线游戏</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客户端游戏</w:t>
            </w:r>
            <w:r>
              <w:rPr>
                <w:rFonts w:ascii="Times New Roman" w:hAnsi="Times New Roman" w:cs="Times New Roman" w:eastAsia="Times New Roman" w:hint="default"/>
                <w:sz w:val="18"/>
                <w:szCs w:val="18"/>
              </w:rPr>
              <w:t>/</w:t>
            </w:r>
            <w:r>
              <w:rPr>
                <w:rFonts w:ascii="宋体" w:hAnsi="宋体" w:cs="宋体" w:eastAsia="宋体" w:hint="default"/>
                <w:sz w:val="18"/>
                <w:szCs w:val="18"/>
              </w:rPr>
              <w:t>端游</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21"/>
              <w:jc w:val="both"/>
              <w:rPr>
                <w:rFonts w:ascii="宋体" w:hAnsi="宋体" w:cs="宋体" w:eastAsia="宋体" w:hint="default"/>
                <w:sz w:val="18"/>
                <w:szCs w:val="18"/>
              </w:rPr>
            </w:pPr>
            <w:r>
              <w:rPr>
                <w:rFonts w:ascii="宋体" w:hAnsi="宋体" w:cs="宋体" w:eastAsia="宋体" w:hint="default"/>
                <w:spacing w:val="-2"/>
                <w:sz w:val="18"/>
                <w:szCs w:val="18"/>
              </w:rPr>
              <w:t>客户端，是指与游戏服务器相对应，为客户提供本地服务的程式。一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般安装在普通的用户电脑上，需要与游戏伺服端互相配合运行。客户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端游戏是指需下载客户端，在电脑上进行的网络游戏</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网页游戏</w:t>
            </w:r>
            <w:r>
              <w:rPr>
                <w:rFonts w:ascii="Times New Roman" w:hAnsi="Times New Roman" w:cs="Times New Roman" w:eastAsia="Times New Roman" w:hint="default"/>
                <w:sz w:val="18"/>
                <w:szCs w:val="18"/>
              </w:rPr>
              <w:t>/</w:t>
            </w:r>
            <w:r>
              <w:rPr>
                <w:rFonts w:ascii="宋体" w:hAnsi="宋体" w:cs="宋体" w:eastAsia="宋体" w:hint="default"/>
                <w:sz w:val="18"/>
                <w:szCs w:val="18"/>
              </w:rPr>
              <w:t>页游</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2"/>
              <w:jc w:val="both"/>
              <w:rPr>
                <w:rFonts w:ascii="宋体" w:hAnsi="宋体" w:cs="宋体" w:eastAsia="宋体" w:hint="default"/>
                <w:sz w:val="18"/>
                <w:szCs w:val="18"/>
              </w:rPr>
            </w:pPr>
            <w:r>
              <w:rPr>
                <w:rFonts w:ascii="宋体" w:hAnsi="宋体" w:cs="宋体" w:eastAsia="宋体" w:hint="default"/>
                <w:spacing w:val="-2"/>
                <w:sz w:val="18"/>
                <w:szCs w:val="18"/>
              </w:rPr>
              <w:t>又称无端网游，基于网站开发技术，以标准协议为基础传输形式，无</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客户端或基于浏览器内核的微客户端游戏，游戏用户可以直接通过互</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联网浏览器玩网页游戏</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手机游戏</w:t>
            </w:r>
            <w:r>
              <w:rPr>
                <w:rFonts w:ascii="Times New Roman" w:hAnsi="Times New Roman" w:cs="Times New Roman" w:eastAsia="Times New Roman" w:hint="default"/>
                <w:sz w:val="18"/>
                <w:szCs w:val="18"/>
              </w:rPr>
              <w:t>/</w:t>
            </w:r>
            <w:r>
              <w:rPr>
                <w:rFonts w:ascii="宋体" w:hAnsi="宋体" w:cs="宋体" w:eastAsia="宋体" w:hint="default"/>
                <w:sz w:val="18"/>
                <w:szCs w:val="18"/>
              </w:rPr>
              <w:t>手游</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通过移动网络下载，并运行于手机或其他移动终端上的游戏</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SNS</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社交游戏</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MOBA</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多人在线战术竞技游戏</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ARPG</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动作角色扮演类游戏</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IP</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知识产权</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Android</w:t>
            </w:r>
            <w:r>
              <w:rPr>
                <w:rFonts w:ascii="宋体" w:hAnsi="宋体" w:cs="宋体" w:eastAsia="宋体" w:hint="default"/>
                <w:sz w:val="18"/>
                <w:szCs w:val="18"/>
              </w:rPr>
              <w:t>、安卓</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2"/>
              <w:jc w:val="left"/>
              <w:rPr>
                <w:rFonts w:ascii="宋体" w:hAnsi="宋体" w:cs="宋体" w:eastAsia="宋体" w:hint="default"/>
                <w:sz w:val="18"/>
                <w:szCs w:val="18"/>
              </w:rPr>
            </w:pPr>
            <w:r>
              <w:rPr>
                <w:rFonts w:ascii="宋体" w:hAnsi="宋体" w:cs="宋体" w:eastAsia="宋体" w:hint="default"/>
                <w:sz w:val="18"/>
                <w:szCs w:val="18"/>
              </w:rPr>
              <w:t>是一种基于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Linux</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的自由及开放源代码的操作系统，主要使用于移动 设备，如智能手机和平板电脑，由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Google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公司和开放手机联盟领导 及开发</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App</w:t>
            </w:r>
            <w:r>
              <w:rPr>
                <w:rFonts w:ascii="Times New Roman"/>
                <w:spacing w:val="-1"/>
                <w:sz w:val="18"/>
              </w:rPr>
              <w:t> </w:t>
            </w:r>
            <w:r>
              <w:rPr>
                <w:rFonts w:ascii="Times New Roman"/>
                <w:sz w:val="18"/>
              </w:rPr>
              <w:t>Store</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由美国苹果公司开发的在线应用程序商店</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上海美峰</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上海美峰数码科技有限公司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深圳市苏摩科技有限公司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北京中科奥、中科奥</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北京中科奥科技有限公司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江苏名通</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江苏名通信息科技有限公司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上海跳跃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上海跳跃网络科技有限公司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共青城先行网游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共青城先行网游投资管理合伙企业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深圳中付通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深圳中付通电子商务有限公司</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《股票期权激励计划》</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89"/>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《深圳中青宝互动网络股份有限公司股票期权激励计划</w:t>
            </w:r>
            <w:r>
              <w:rPr>
                <w:rFonts w:ascii="Times New Roman" w:hAnsi="Times New Roman" w:cs="Times New Roman" w:eastAsia="Times New Roman" w:hint="default"/>
                <w:sz w:val="18"/>
                <w:szCs w:val="18"/>
              </w:rPr>
              <w:t>(</w:t>
            </w:r>
            <w:r>
              <w:rPr>
                <w:rFonts w:ascii="宋体" w:hAnsi="宋体" w:cs="宋体" w:eastAsia="宋体" w:hint="default"/>
                <w:sz w:val="18"/>
                <w:szCs w:val="18"/>
              </w:rPr>
              <w:t>草案修订 版</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65"/>
        <w:ind w:left="362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中青宝</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300052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中青宝</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公司的外文名称</w:t>
            </w:r>
            <w:r>
              <w:rPr>
                <w:rFonts w:ascii="Times New Roman" w:hAnsi="Times New Roman" w:cs="Times New Roman" w:eastAsia="Times New Roman" w:hint="default"/>
                <w:sz w:val="18"/>
                <w:szCs w:val="18"/>
              </w:rPr>
              <w:t>(</w:t>
            </w: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SHENZHEN ZQGAME CO.,</w:t>
            </w:r>
            <w:r>
              <w:rPr>
                <w:rFonts w:ascii="Times New Roman"/>
                <w:spacing w:val="-4"/>
                <w:sz w:val="18"/>
              </w:rPr>
              <w:t> </w:t>
            </w:r>
            <w:r>
              <w:rPr>
                <w:rFonts w:ascii="Times New Roman"/>
                <w:spacing w:val="-6"/>
                <w:sz w:val="18"/>
              </w:rPr>
              <w:t>LTD</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公司的外文名称缩写</w:t>
            </w:r>
            <w:r>
              <w:rPr>
                <w:rFonts w:ascii="Times New Roman" w:hAnsi="Times New Roman" w:cs="Times New Roman" w:eastAsia="Times New Roman" w:hint="default"/>
                <w:sz w:val="18"/>
                <w:szCs w:val="18"/>
              </w:rPr>
              <w:t>(</w:t>
            </w: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ZQGAME</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李瑞杰</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广东省深圳市福田区深南中路电子科技大厦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518031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深圳市南山区科技园南区高新南四道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W1-B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http://www.zqgame.com</w:t>
              </w:r>
            </w:hyperlink>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ir@zqgame.com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left="1134"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许岳明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文静</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深圳市南山区科技园南区高新南四道</w:t>
            </w:r>
          </w:p>
          <w:p>
            <w:pPr>
              <w:pStyle w:val="TableParagraph"/>
              <w:spacing w:line="240" w:lineRule="auto" w:before="77"/>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W1-B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深圳市南山区科技园南区高新南四道</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W1-B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0755-26733925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0755-26733925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0755-26525613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0755-26525613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ir@zqgame.com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ir@zqgame.com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left="1134"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深圳市南山区科技园南区高新南四道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W1-B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楼董事会秘书办公室</w:t>
            </w:r>
          </w:p>
        </w:tc>
      </w:tr>
    </w:tbl>
    <w:p>
      <w:pPr>
        <w:spacing w:line="240" w:lineRule="auto" w:before="2"/>
        <w:rPr>
          <w:rFonts w:ascii="宋体" w:hAnsi="宋体" w:cs="宋体" w:eastAsia="宋体" w:hint="default"/>
          <w:b/>
          <w:bCs/>
          <w:sz w:val="18"/>
          <w:szCs w:val="18"/>
        </w:rPr>
      </w:pPr>
    </w:p>
    <w:p>
      <w:pPr>
        <w:pStyle w:val="Heading3"/>
        <w:spacing w:line="240" w:lineRule="auto" w:before="26"/>
        <w:ind w:left="1134" w:right="0"/>
        <w:jc w:val="left"/>
        <w:rPr>
          <w:b w:val="0"/>
          <w:bCs w:val="0"/>
        </w:rPr>
      </w:pPr>
      <w:bookmarkStart w:name="四、其他有关资料" w:id="7"/>
      <w:bookmarkEnd w:id="7"/>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2"/>
        <w:rPr>
          <w:rFonts w:ascii="宋体" w:hAnsi="宋体" w:cs="宋体" w:eastAsia="宋体" w:hint="default"/>
          <w:sz w:val="15"/>
          <w:szCs w:val="15"/>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深圳市福田区联合广场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郭晋龙、邱乐群</w:t>
            </w:r>
          </w:p>
        </w:tc>
      </w:tr>
    </w:tbl>
    <w:p>
      <w:pPr>
        <w:pStyle w:val="BodyText"/>
        <w:spacing w:line="240" w:lineRule="auto" w:before="51"/>
        <w:ind w:left="1134" w:right="0"/>
        <w:jc w:val="left"/>
      </w:pPr>
      <w:r>
        <w:rPr/>
        <w:t>公司聘请的报告期内履行持续督导职责的保荐机构</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343,090,937.31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489,527,552.74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324,475,994.23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65,202,765.48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-22,035,893.48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51,027,332.23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归属于上市公司股东的扣除非经 常性损益的净利润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-309,967,318.67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-79,163,460.25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-291.55%</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41,630,528.96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171,142,603.73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-26,048,839.69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757.01%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108,201,663.68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基本每股收益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-0.08</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稀释每股收益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-0.08</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资产总额</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1,255,858,292.04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1,535,173,495.66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1,404,836,138.91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1,001,998,427.41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922,328,642.32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945,783,322.91</w:t>
            </w:r>
          </w:p>
        </w:tc>
      </w:tr>
    </w:tbl>
    <w:p>
      <w:pPr>
        <w:spacing w:line="240" w:lineRule="auto" w:before="2"/>
        <w:rPr>
          <w:rFonts w:ascii="宋体" w:hAnsi="宋体" w:cs="宋体" w:eastAsia="宋体" w:hint="default"/>
          <w:sz w:val="18"/>
          <w:szCs w:val="18"/>
        </w:rPr>
      </w:pPr>
    </w:p>
    <w:p>
      <w:pPr>
        <w:pStyle w:val="Heading3"/>
        <w:spacing w:line="240" w:lineRule="auto" w:before="26"/>
        <w:ind w:left="1134" w:right="0"/>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66,440,762.85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88,042,746.88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120,066,698.52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68,540,729.06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6,051,428.86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7,200,393.56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2,412,067.22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49,538,875.84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4,099,821.34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5,312,327.14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-2,026,824.16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-317,352,642.99</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-13,277,991.34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12,742,718.06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33,491,615.98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138,186,261.03</w:t>
            </w:r>
          </w:p>
        </w:tc>
      </w:tr>
    </w:tbl>
    <w:p>
      <w:pPr>
        <w:pStyle w:val="BodyText"/>
        <w:spacing w:line="240" w:lineRule="auto" w:before="51"/>
        <w:ind w:left="1134" w:right="0"/>
        <w:jc w:val="left"/>
      </w:pPr>
      <w:r>
        <w:rPr/>
        <w:t>上述财务指标或其加总数是否与公司已披露季度报告、半年度报告相关财务指标存在重大差异</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2"/>
        <w:rPr>
          <w:rFonts w:ascii="宋体" w:hAnsi="宋体" w:cs="宋体" w:eastAsia="宋体" w:hint="default"/>
          <w:sz w:val="11"/>
          <w:szCs w:val="11"/>
        </w:rPr>
      </w:pPr>
    </w:p>
    <w:p>
      <w:pPr>
        <w:pStyle w:val="Heading3"/>
        <w:spacing w:line="240" w:lineRule="auto" w:before="26"/>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left="1133"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2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7"/>
        <w:spacing w:line="240" w:lineRule="auto"/>
        <w:ind w:left="1133"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31"/>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非流动资产处置损益</w:t>
            </w:r>
            <w:r>
              <w:rPr>
                <w:rFonts w:ascii="Times New Roman" w:hAnsi="Times New Roman" w:cs="Times New Roman" w:eastAsia="Times New Roman" w:hint="default"/>
                <w:sz w:val="18"/>
                <w:szCs w:val="18"/>
              </w:rPr>
              <w:t>(</w:t>
            </w:r>
            <w:r>
              <w:rPr>
                <w:rFonts w:ascii="宋体" w:hAnsi="宋体" w:cs="宋体" w:eastAsia="宋体" w:hint="default"/>
                <w:sz w:val="18"/>
                <w:szCs w:val="18"/>
              </w:rPr>
              <w:t>包括已计提资产减 值准备的冲销部分</w:t>
            </w:r>
            <w:r>
              <w:rPr>
                <w:rFonts w:ascii="Times New Roman" w:hAnsi="Times New Roman" w:cs="Times New Roman" w:eastAsia="Times New Roman" w:hint="default"/>
                <w:sz w:val="18"/>
                <w:szCs w:val="18"/>
              </w:rPr>
              <w:t>)</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-476,863.32</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21,788,680.01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4,639,738.11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0"/>
              <w:jc w:val="left"/>
              <w:rPr>
                <w:rFonts w:ascii="Times New Roman" w:hAnsi="Times New Roman" w:cs="Times New Roman" w:eastAsia="Times New Roman" w:hint="default"/>
                <w:sz w:val="18"/>
                <w:szCs w:val="18"/>
              </w:rPr>
            </w:pPr>
            <w:r>
              <w:rPr>
                <w:rFonts w:ascii="宋体" w:hAnsi="宋体" w:cs="宋体" w:eastAsia="宋体" w:hint="default"/>
                <w:sz w:val="18"/>
                <w:szCs w:val="18"/>
              </w:rPr>
              <w:t>计入当期损益的政府补助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与企业业务密 切相关，按照国家统一标准定额或定量享 受的政府补助除外</w:t>
            </w:r>
            <w:r>
              <w:rPr>
                <w:rFonts w:ascii="Times New Roman" w:hAnsi="Times New Roman" w:cs="Times New Roman" w:eastAsia="Times New Roman" w:hint="default"/>
                <w:sz w:val="18"/>
                <w:szCs w:val="18"/>
              </w:rPr>
              <w:t>)</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11,982,333.27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13,842,639.83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5,570,153.54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244,438.38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165,414,277.82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-5,874,225.70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-490,263.82</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236,262,326.69</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银行理财产品实现的收益</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105,862.90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丧失子公司控制权后对剩余股权成本按照</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34,733,237.76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37,746,941.06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7,350,273.17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408,878.27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少数股东权益影响额</w:t>
            </w:r>
            <w:r>
              <w:rPr>
                <w:rFonts w:ascii="Times New Roman" w:hAnsi="Times New Roman" w:cs="Times New Roman" w:eastAsia="Times New Roman" w:hint="default"/>
                <w:sz w:val="18"/>
                <w:szCs w:val="18"/>
              </w:rPr>
              <w:t>(</w:t>
            </w:r>
            <w:r>
              <w:rPr>
                <w:rFonts w:ascii="宋体" w:hAnsi="宋体" w:cs="宋体" w:eastAsia="宋体" w:hint="default"/>
                <w:sz w:val="18"/>
                <w:szCs w:val="18"/>
              </w:rPr>
              <w:t>税后</w:t>
            </w:r>
            <w:r>
              <w:rPr>
                <w:rFonts w:ascii="Times New Roman" w:hAnsi="Times New Roman" w:cs="Times New Roman" w:eastAsia="Times New Roman" w:hint="default"/>
                <w:sz w:val="18"/>
                <w:szCs w:val="18"/>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265,049.25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118,354.86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158,384.67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375,170,084.15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57,127,566.77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9,396,803.27</w:t>
            </w:r>
          </w:p>
        </w:tc>
        <w:tc>
          <w:tcPr>
            <w:tcW w:w="171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3"/>
        <w:jc w:val="center"/>
        <w:rPr>
          <w:b w:val="0"/>
          <w:bCs w:val="0"/>
        </w:rPr>
      </w:pPr>
      <w:bookmarkStart w:name="第三节 公司业务概要" w:id="14"/>
      <w:bookmarkEnd w:id="14"/>
      <w:r>
        <w:rPr>
          <w:b w:val="0"/>
          <w:bCs w:val="0"/>
        </w:rPr>
      </w:r>
      <w:bookmarkStart w:name="_bookmark1" w:id="15"/>
      <w:bookmarkEnd w:id="15"/>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29" w:firstLine="420"/>
        <w:jc w:val="both"/>
      </w:pPr>
      <w:r>
        <w:rPr/>
        <w:t>公司成立于</w:t>
      </w:r>
      <w:r>
        <w:rPr>
          <w:rFonts w:ascii="Times New Roman" w:hAnsi="Times New Roman" w:cs="Times New Roman" w:eastAsia="Times New Roman" w:hint="default"/>
        </w:rPr>
        <w:t>2003</w:t>
      </w:r>
      <w:r>
        <w:rPr/>
        <w:t>年，成立至今已发展成为一家具有自主研发、运营能力、代理能力的专业化网络游戏公司。经过多年 发展，凭借着深厚的积淀在国内网络游戏研发、运营领域处于一流旗舰地位。公司现有在册员工</w:t>
      </w:r>
      <w:r>
        <w:rPr>
          <w:rFonts w:ascii="Times New Roman" w:hAnsi="Times New Roman" w:cs="Times New Roman" w:eastAsia="Times New Roman" w:hint="default"/>
        </w:rPr>
        <w:t>817</w:t>
      </w:r>
      <w:r>
        <w:rPr/>
        <w:t>人，学历为本科以上的</w:t>
      </w:r>
      <w:r>
        <w:rPr>
          <w:spacing w:val="-82"/>
        </w:rPr>
        <w:t> </w:t>
      </w:r>
      <w:r>
        <w:rPr>
          <w:spacing w:val="-82"/>
        </w:rPr>
      </w:r>
      <w:r>
        <w:rPr>
          <w:spacing w:val="-1"/>
        </w:rPr>
        <w:t>员工共</w:t>
      </w:r>
      <w:r>
        <w:rPr>
          <w:rFonts w:ascii="Times New Roman" w:hAnsi="Times New Roman" w:cs="Times New Roman" w:eastAsia="Times New Roman" w:hint="default"/>
          <w:spacing w:val="-1"/>
        </w:rPr>
        <w:t>510</w:t>
      </w:r>
      <w:r>
        <w:rPr>
          <w:spacing w:val="-1"/>
        </w:rPr>
        <w:t>人，占总员工比例</w:t>
      </w:r>
      <w:r>
        <w:rPr>
          <w:rFonts w:ascii="Times New Roman" w:hAnsi="Times New Roman" w:cs="Times New Roman" w:eastAsia="Times New Roman" w:hint="default"/>
          <w:spacing w:val="-1"/>
        </w:rPr>
        <w:t>62.42%</w:t>
      </w:r>
      <w:r>
        <w:rPr>
          <w:spacing w:val="-1"/>
        </w:rPr>
        <w:t>。公司在充实国内研发、运营、产品储备能力的基础上，在美国洛杉矶成立有北美分公</w:t>
      </w:r>
      <w:r>
        <w:rPr>
          <w:spacing w:val="-44"/>
        </w:rPr>
        <w:t> </w:t>
      </w:r>
      <w:r>
        <w:rPr>
          <w:spacing w:val="-44"/>
        </w:rPr>
      </w:r>
      <w:r>
        <w:rPr/>
        <w:t>司，国内与国际双线运营，同时覆盖国内和国际业务。</w:t>
      </w:r>
    </w:p>
    <w:p>
      <w:pPr>
        <w:pStyle w:val="BodyText"/>
        <w:spacing w:line="314" w:lineRule="auto" w:before="31"/>
        <w:ind w:left="1134" w:right="1130" w:firstLine="420"/>
        <w:jc w:val="both"/>
      </w:pPr>
      <w:r>
        <w:rPr/>
        <w:t>公司坚持</w:t>
      </w:r>
      <w:r>
        <w:rPr>
          <w:rFonts w:ascii="Times New Roman" w:hAnsi="Times New Roman" w:cs="Times New Roman" w:eastAsia="Times New Roman" w:hint="default"/>
        </w:rPr>
        <w:t>“</w:t>
      </w:r>
      <w:r>
        <w:rPr/>
        <w:t>四横一纵</w:t>
      </w:r>
      <w:r>
        <w:rPr>
          <w:rFonts w:ascii="Times New Roman" w:hAnsi="Times New Roman" w:cs="Times New Roman" w:eastAsia="Times New Roman" w:hint="default"/>
        </w:rPr>
        <w:t>”</w:t>
      </w:r>
      <w:r>
        <w:rPr/>
        <w:t>战略，稳步提升公司在行业内的竞争力和市场占有率。公司加大了对客户端游戏的资源投入以抢 </w:t>
      </w:r>
      <w:r>
        <w:rPr>
          <w:spacing w:val="-5"/>
        </w:rPr>
        <w:t>占市场，推出的新游戏《最后一炮》反响热烈，数据符合预期。同时，公司对已上线的重点产品交叉推广，均取得可观效益。</w:t>
      </w:r>
      <w:r>
        <w:rPr>
          <w:spacing w:val="-81"/>
        </w:rPr>
        <w:t> </w:t>
      </w:r>
      <w:r>
        <w:rPr>
          <w:spacing w:val="-81"/>
        </w:rPr>
      </w:r>
      <w:r>
        <w:rPr>
          <w:spacing w:val="-2"/>
        </w:rPr>
        <w:t>手游市场竞争导致市场环境变化，公司对产品持续进行完善和优化，以期在正式运营阶段能够保持持续有效的竞争优势。公</w:t>
      </w:r>
      <w:r>
        <w:rPr>
          <w:spacing w:val="-66"/>
        </w:rPr>
        <w:t> </w:t>
      </w:r>
      <w:r>
        <w:rPr>
          <w:spacing w:val="-66"/>
        </w:rPr>
      </w:r>
      <w:r>
        <w:rPr>
          <w:spacing w:val="-2"/>
        </w:rPr>
        <w:t>司重量级的《黑夜传说》及其它轻量级的部分产品，均达到较好的预期。页游方面，报告期内公司代理的产品《斗战三国志</w:t>
      </w:r>
      <w:r>
        <w:rPr>
          <w:spacing w:val="-68"/>
        </w:rPr>
        <w:t> </w:t>
      </w:r>
      <w:r>
        <w:rPr>
          <w:spacing w:val="-68"/>
        </w:rPr>
      </w:r>
      <w:r>
        <w:rPr>
          <w:rFonts w:ascii="Times New Roman" w:hAnsi="Times New Roman" w:cs="Times New Roman" w:eastAsia="Times New Roman" w:hint="default"/>
        </w:rPr>
        <w:t>OL</w:t>
      </w:r>
      <w:r>
        <w:rPr/>
        <w:t>》已经获得腾讯互娱精品独代并正式上线运营，取得了较好的运营业绩。</w:t>
      </w:r>
    </w:p>
    <w:p>
      <w:pPr>
        <w:pStyle w:val="BodyText"/>
        <w:spacing w:line="300" w:lineRule="auto" w:before="1"/>
        <w:ind w:right="1130" w:firstLine="420"/>
        <w:jc w:val="both"/>
      </w:pPr>
      <w:r>
        <w:rPr/>
        <w:t>在报告期内，公司持续取得多项傲人成绩，被</w:t>
      </w:r>
      <w:r>
        <w:rPr>
          <w:rFonts w:ascii="Times New Roman" w:hAnsi="Times New Roman" w:cs="Times New Roman" w:eastAsia="Times New Roman" w:hint="default"/>
        </w:rPr>
        <w:t>Google Play</w:t>
      </w:r>
      <w:r>
        <w:rPr/>
        <w:t>评为全球顶级开发者</w:t>
      </w:r>
      <w:r>
        <w:rPr>
          <w:rFonts w:ascii="宋体" w:hAnsi="宋体" w:cs="宋体" w:eastAsia="宋体" w:hint="default"/>
        </w:rPr>
        <w:t>(</w:t>
      </w:r>
      <w:r>
        <w:rPr>
          <w:rFonts w:ascii="Times New Roman" w:hAnsi="Times New Roman" w:cs="Times New Roman" w:eastAsia="Times New Roman" w:hint="default"/>
        </w:rPr>
        <w:t>Top</w:t>
      </w:r>
      <w:r>
        <w:rPr>
          <w:rFonts w:ascii="Times New Roman" w:hAnsi="Times New Roman" w:cs="Times New Roman" w:eastAsia="Times New Roman" w:hint="default"/>
          <w:spacing w:val="-35"/>
        </w:rPr>
        <w:t> </w:t>
      </w:r>
      <w:r>
        <w:rPr>
          <w:rFonts w:ascii="Times New Roman" w:hAnsi="Times New Roman" w:cs="Times New Roman" w:eastAsia="Times New Roman" w:hint="default"/>
        </w:rPr>
        <w:t>Developers</w:t>
      </w:r>
      <w:r>
        <w:rPr>
          <w:rFonts w:ascii="宋体" w:hAnsi="宋体" w:cs="宋体" w:eastAsia="宋体" w:hint="default"/>
        </w:rPr>
        <w:t>)</w:t>
      </w:r>
      <w:r>
        <w:rPr/>
        <w:t>之一。未来公司将集中 </w:t>
      </w:r>
      <w:r>
        <w:rPr>
          <w:spacing w:val="-4"/>
        </w:rPr>
        <w:t>推出</w:t>
      </w:r>
      <w:r>
        <w:rPr>
          <w:rFonts w:ascii="Times New Roman" w:hAnsi="Times New Roman" w:cs="Times New Roman" w:eastAsia="Times New Roman" w:hint="default"/>
          <w:spacing w:val="-4"/>
        </w:rPr>
        <w:t>MOBA</w:t>
      </w:r>
      <w:r>
        <w:rPr>
          <w:spacing w:val="-4"/>
        </w:rPr>
        <w:t>类、</w:t>
      </w:r>
      <w:r>
        <w:rPr>
          <w:rFonts w:ascii="Times New Roman" w:hAnsi="Times New Roman" w:cs="Times New Roman" w:eastAsia="Times New Roman" w:hint="default"/>
          <w:spacing w:val="-4"/>
        </w:rPr>
        <w:t>ARPG</w:t>
      </w:r>
      <w:r>
        <w:rPr>
          <w:spacing w:val="-4"/>
        </w:rPr>
        <w:t>类的重点产品；周密布局单机及悠闲游戏的细分领域；积极推动</w:t>
      </w:r>
      <w:r>
        <w:rPr>
          <w:rFonts w:ascii="Times New Roman" w:hAnsi="Times New Roman" w:cs="Times New Roman" w:eastAsia="Times New Roman" w:hint="default"/>
          <w:spacing w:val="-4"/>
        </w:rPr>
        <w:t>IP</w:t>
      </w:r>
      <w:r>
        <w:rPr>
          <w:spacing w:val="-4"/>
        </w:rPr>
        <w:t>战略；重点开展产业链合作、布局，</w:t>
      </w:r>
      <w:r>
        <w:rPr>
          <w:spacing w:val="-41"/>
        </w:rPr>
        <w:t> </w:t>
      </w:r>
      <w:r>
        <w:rPr>
          <w:spacing w:val="-41"/>
        </w:rPr>
      </w:r>
      <w:r>
        <w:rPr/>
        <w:t>以期通过产业链上中下游整合在市场竞争中取得领先优势</w:t>
      </w:r>
      <w:r>
        <w:rPr>
          <w:spacing w:val="-16"/>
        </w:rPr>
        <w:t> </w:t>
      </w:r>
      <w:r>
        <w:rPr/>
        <w:t>。</w:t>
      </w:r>
    </w:p>
    <w:p>
      <w:pPr>
        <w:spacing w:line="240" w:lineRule="auto" w:before="9"/>
        <w:rPr>
          <w:rFonts w:ascii="宋体" w:hAnsi="宋体" w:cs="宋体" w:eastAsia="宋体" w:hint="default"/>
          <w:sz w:val="21"/>
          <w:szCs w:val="21"/>
        </w:rPr>
      </w:pPr>
    </w:p>
    <w:p>
      <w:pPr>
        <w:pStyle w:val="Heading3"/>
        <w:spacing w:line="240" w:lineRule="auto"/>
        <w:ind w:left="1134" w:right="0"/>
        <w:jc w:val="left"/>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051"/>
        <w:gridCol w:w="6517"/>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46.53%</w:t>
            </w:r>
            <w:r>
              <w:rPr>
                <w:rFonts w:ascii="宋体" w:hAnsi="宋体" w:cs="宋体" w:eastAsia="宋体" w:hint="default"/>
                <w:sz w:val="18"/>
                <w:szCs w:val="18"/>
              </w:rPr>
              <w:t>，主要系本期处置福州研发楼所致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22.29%</w:t>
            </w:r>
            <w:r>
              <w:rPr>
                <w:rFonts w:ascii="宋体" w:hAnsi="宋体" w:cs="宋体" w:eastAsia="宋体" w:hint="default"/>
                <w:sz w:val="18"/>
                <w:szCs w:val="18"/>
              </w:rPr>
              <w:t>，主要系本期计提无形资产减值准备所致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30"/>
                <w:sz w:val="18"/>
                <w:szCs w:val="18"/>
              </w:rPr>
              <w:t> </w:t>
            </w:r>
            <w:r>
              <w:rPr>
                <w:rFonts w:ascii="Times New Roman" w:hAnsi="Times New Roman" w:cs="Times New Roman" w:eastAsia="Times New Roman" w:hint="default"/>
                <w:spacing w:val="-3"/>
                <w:sz w:val="18"/>
                <w:szCs w:val="18"/>
              </w:rPr>
              <w:t>35.83%</w:t>
            </w:r>
            <w:r>
              <w:rPr>
                <w:rFonts w:ascii="宋体" w:hAnsi="宋体" w:cs="宋体" w:eastAsia="宋体" w:hint="default"/>
                <w:spacing w:val="-3"/>
                <w:sz w:val="18"/>
                <w:szCs w:val="18"/>
              </w:rPr>
              <w:t>，主要系本期加强销售收入回款及处置上海跳跃股权收回股权款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26.79%</w:t>
            </w:r>
            <w:r>
              <w:rPr>
                <w:rFonts w:ascii="宋体" w:hAnsi="宋体" w:cs="宋体" w:eastAsia="宋体" w:hint="default"/>
                <w:sz w:val="18"/>
                <w:szCs w:val="18"/>
              </w:rPr>
              <w:t>，主要系本期加强销售收入回款</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212.12%</w:t>
            </w:r>
            <w:r>
              <w:rPr>
                <w:rFonts w:ascii="宋体" w:hAnsi="宋体" w:cs="宋体" w:eastAsia="宋体" w:hint="default"/>
                <w:sz w:val="18"/>
                <w:szCs w:val="18"/>
              </w:rPr>
              <w:t>，主要系本期终止重组应收预付股权款所致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92"/>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1363.66%</w:t>
            </w:r>
            <w:r>
              <w:rPr>
                <w:rFonts w:ascii="宋体" w:hAnsi="宋体" w:cs="宋体" w:eastAsia="宋体" w:hint="default"/>
                <w:sz w:val="18"/>
                <w:szCs w:val="18"/>
              </w:rPr>
              <w:t>，主要系本期出售上海跳跃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10.1%</w:t>
            </w:r>
            <w:r>
              <w:rPr>
                <w:rFonts w:ascii="宋体" w:hAnsi="宋体" w:cs="宋体" w:eastAsia="宋体" w:hint="default"/>
                <w:sz w:val="18"/>
                <w:szCs w:val="18"/>
              </w:rPr>
              <w:t>股权后对剩余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19.90%</w:t>
            </w:r>
            <w:r>
              <w:rPr>
                <w:rFonts w:ascii="宋体" w:hAnsi="宋体" w:cs="宋体" w:eastAsia="宋体" w:hint="default"/>
                <w:sz w:val="18"/>
                <w:szCs w:val="18"/>
              </w:rPr>
              <w:t>股权 由权益法核算转为可供出售金融资产并按公允价值重新计量所致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65.57%</w:t>
            </w:r>
            <w:r>
              <w:rPr>
                <w:rFonts w:ascii="宋体" w:hAnsi="宋体" w:cs="宋体" w:eastAsia="宋体" w:hint="default"/>
                <w:sz w:val="18"/>
                <w:szCs w:val="18"/>
              </w:rPr>
              <w:t>，主要系公司对外投资所致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87.90%</w:t>
            </w:r>
            <w:r>
              <w:rPr>
                <w:rFonts w:ascii="宋体" w:hAnsi="宋体" w:cs="宋体" w:eastAsia="宋体" w:hint="default"/>
                <w:sz w:val="18"/>
                <w:szCs w:val="18"/>
              </w:rPr>
              <w:t>，主要系本期计提开发支出减值准备所致</w:t>
            </w:r>
          </w:p>
        </w:tc>
      </w:tr>
    </w:tbl>
    <w:p>
      <w:pPr>
        <w:spacing w:line="240" w:lineRule="auto" w:before="2"/>
        <w:rPr>
          <w:rFonts w:ascii="宋体" w:hAnsi="宋体" w:cs="宋体" w:eastAsia="宋体" w:hint="default"/>
          <w:b/>
          <w:bCs/>
          <w:sz w:val="19"/>
          <w:szCs w:val="19"/>
        </w:rPr>
      </w:pPr>
    </w:p>
    <w:p>
      <w:pPr>
        <w:pStyle w:val="Heading7"/>
        <w:spacing w:line="240" w:lineRule="auto" w:before="35"/>
        <w:ind w:right="0"/>
        <w:jc w:val="left"/>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三、核心竞争力分析" w:id="20"/>
      <w:bookmarkEnd w:id="20"/>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420"/>
        <w:jc w:val="both"/>
      </w:pPr>
      <w:r>
        <w:rPr/>
        <w:t>公司的核心竞争力体现在通过多年来对所处游戏行业的深度探索；对自主研发、运营、代理能力的不断积累；对产业 </w:t>
      </w:r>
      <w:r>
        <w:rPr>
          <w:spacing w:val="-2"/>
        </w:rPr>
        <w:t>链上下游的广泛布局，同时公司实力的不断壮大，使公司有条件投入更多的资金进行自主创新和建立可持续发展生态，进一</w:t>
      </w:r>
      <w:r>
        <w:rPr>
          <w:spacing w:val="-65"/>
        </w:rPr>
        <w:t> </w:t>
      </w:r>
      <w:r>
        <w:rPr>
          <w:spacing w:val="-65"/>
        </w:rPr>
      </w:r>
      <w:r>
        <w:rPr/>
        <w:t>步提高公司的竞争力。中青宝的核心竞争能力包括：组织体系、行业经验、人才储备以及业务发展。</w:t>
      </w:r>
    </w:p>
    <w:p>
      <w:pPr>
        <w:pStyle w:val="BodyText"/>
        <w:spacing w:line="300" w:lineRule="auto" w:before="17"/>
        <w:ind w:left="1493" w:right="1118" w:hanging="360"/>
        <w:jc w:val="left"/>
      </w:pPr>
      <w:r>
        <w:rPr>
          <w:rFonts w:ascii="Times New Roman" w:hAnsi="Times New Roman" w:cs="Times New Roman" w:eastAsia="Times New Roman" w:hint="default"/>
        </w:rPr>
        <w:t>1</w:t>
      </w:r>
      <w:r>
        <w:rPr/>
        <w:t>、组织体系完备 </w:t>
      </w:r>
      <w:r>
        <w:rPr>
          <w:spacing w:val="-2"/>
        </w:rPr>
        <w:t>公司在充实国内研发、运营、产品储备能力的基础上，在美国洛杉矶成立有北美分公司，国内与国际双线运营。基于完</w:t>
      </w:r>
    </w:p>
    <w:p>
      <w:pPr>
        <w:pStyle w:val="BodyText"/>
        <w:spacing w:line="316" w:lineRule="auto" w:before="31"/>
        <w:ind w:right="1131"/>
        <w:jc w:val="both"/>
      </w:pPr>
      <w:r>
        <w:rPr>
          <w:spacing w:val="-2"/>
        </w:rPr>
        <w:t>备的组织体系、精细化运营的全球发行体系、可持续的生态体系，中青宝能够主动应对不断变化的市场环境，快速适应变革</w:t>
      </w:r>
      <w:r>
        <w:rPr>
          <w:spacing w:val="-66"/>
        </w:rPr>
        <w:t> </w:t>
      </w:r>
      <w:r>
        <w:rPr>
          <w:spacing w:val="-66"/>
        </w:rPr>
      </w:r>
      <w:r>
        <w:rPr/>
        <w:t>中的互联网和游戏行业。</w:t>
      </w:r>
    </w:p>
    <w:p>
      <w:pPr>
        <w:pStyle w:val="BodyText"/>
        <w:spacing w:line="300" w:lineRule="auto" w:before="19"/>
        <w:ind w:left="1493" w:right="1118" w:hanging="360"/>
        <w:jc w:val="left"/>
      </w:pPr>
      <w:r>
        <w:rPr>
          <w:rFonts w:ascii="Times New Roman" w:hAnsi="Times New Roman" w:cs="Times New Roman" w:eastAsia="Times New Roman" w:hint="default"/>
        </w:rPr>
        <w:t>2</w:t>
      </w:r>
      <w:r>
        <w:rPr/>
        <w:t>、市场经验丰富 </w:t>
      </w:r>
      <w:r>
        <w:rPr>
          <w:spacing w:val="-2"/>
        </w:rPr>
        <w:t>经过多年发展，公司在游戏业务的自主研发、运营、代理上持续不断的研究分析建立了精细化管理体系，对于细分市场</w:t>
      </w:r>
    </w:p>
    <w:p>
      <w:pPr>
        <w:pStyle w:val="BodyText"/>
        <w:spacing w:line="316" w:lineRule="auto" w:before="31"/>
        <w:ind w:right="1133"/>
        <w:jc w:val="both"/>
      </w:pPr>
      <w:r>
        <w:rPr>
          <w:spacing w:val="-2"/>
        </w:rPr>
        <w:t>的挖掘、客户需求的把握制定出行之有效的经营策略。借助多年来在资本市场的经验积累以及对行业和市场的深刻挖掘，公</w:t>
      </w:r>
      <w:r>
        <w:rPr>
          <w:spacing w:val="-66"/>
        </w:rPr>
        <w:t> </w:t>
      </w:r>
      <w:r>
        <w:rPr>
          <w:spacing w:val="-66"/>
        </w:rPr>
      </w:r>
      <w:r>
        <w:rPr/>
        <w:t>司投资了多家有潜力的游戏公司，不断加强公司在</w:t>
      </w:r>
      <w:r>
        <w:rPr>
          <w:rFonts w:ascii="Times New Roman" w:hAnsi="Times New Roman" w:cs="Times New Roman" w:eastAsia="Times New Roman" w:hint="default"/>
        </w:rPr>
        <w:t>“</w:t>
      </w:r>
      <w:r>
        <w:rPr/>
        <w:t>四横一纵</w:t>
      </w:r>
      <w:r>
        <w:rPr>
          <w:rFonts w:ascii="Times New Roman" w:hAnsi="Times New Roman" w:cs="Times New Roman" w:eastAsia="Times New Roman" w:hint="default"/>
        </w:rPr>
        <w:t>”</w:t>
      </w:r>
      <w:r>
        <w:rPr/>
        <w:t>战略上的布局。</w:t>
      </w:r>
    </w:p>
    <w:p>
      <w:pPr>
        <w:pStyle w:val="BodyText"/>
        <w:spacing w:line="300" w:lineRule="auto"/>
        <w:ind w:left="1493" w:right="1118" w:hanging="360"/>
        <w:jc w:val="left"/>
      </w:pPr>
      <w:r>
        <w:rPr>
          <w:rFonts w:ascii="Times New Roman" w:hAnsi="Times New Roman" w:cs="Times New Roman" w:eastAsia="Times New Roman" w:hint="default"/>
        </w:rPr>
        <w:t>3</w:t>
      </w:r>
      <w:r>
        <w:rPr/>
        <w:t>、人员结构健康 </w:t>
      </w:r>
      <w:r>
        <w:rPr>
          <w:spacing w:val="-2"/>
        </w:rPr>
        <w:t>公司注重内部人员的培养和梯队建设，同时大胆引进并启用外来优秀人员。进一步优化了公司的管理人员结构和优秀人</w:t>
      </w:r>
    </w:p>
    <w:p>
      <w:pPr>
        <w:pStyle w:val="BodyText"/>
        <w:spacing w:line="316" w:lineRule="auto" w:before="31"/>
        <w:ind w:right="1133"/>
        <w:jc w:val="both"/>
      </w:pPr>
      <w:r>
        <w:rPr>
          <w:spacing w:val="-2"/>
        </w:rPr>
        <w:t>才的储备，增强了公司在产品制作层面的竞争力。作为一家年轻的公司，拥有一个年轻的团队，公司乐于拥抱变化，可控范</w:t>
      </w:r>
      <w:r>
        <w:rPr>
          <w:spacing w:val="-66"/>
        </w:rPr>
        <w:t> </w:t>
      </w:r>
      <w:r>
        <w:rPr>
          <w:spacing w:val="-66"/>
        </w:rPr>
      </w:r>
      <w:r>
        <w:rPr/>
        <w:t>围内的人员流动帮助公司更好地适应不断变化的游戏行业，并通过补充外来优秀人员不断优化公司人员结构。</w:t>
      </w:r>
    </w:p>
    <w:p>
      <w:pPr>
        <w:pStyle w:val="BodyText"/>
        <w:spacing w:line="316" w:lineRule="auto" w:before="19"/>
        <w:ind w:right="1131" w:firstLine="360"/>
        <w:jc w:val="both"/>
      </w:pPr>
      <w:r>
        <w:rPr>
          <w:spacing w:val="-2"/>
        </w:rPr>
        <w:t>报告期内，公司副总经理张宇庆先生、副总经理兼董事会秘书李泽文先生离职。对此，公司及时妥善安排核心管理团队</w:t>
      </w:r>
      <w:r>
        <w:rPr/>
        <w:t> 工作调整，聘任许岳明先生为董事会秘书，平稳完成交接和过渡，公司核心竞争力未受到影响。</w:t>
      </w:r>
    </w:p>
    <w:p>
      <w:pPr>
        <w:pStyle w:val="BodyText"/>
        <w:spacing w:line="300" w:lineRule="auto" w:before="19"/>
        <w:ind w:left="1493" w:right="1033" w:hanging="360"/>
        <w:jc w:val="left"/>
      </w:pPr>
      <w:r>
        <w:rPr>
          <w:rFonts w:ascii="Times New Roman" w:hAnsi="Times New Roman" w:cs="Times New Roman" w:eastAsia="Times New Roman" w:hint="default"/>
        </w:rPr>
        <w:t>4</w:t>
      </w:r>
      <w:r>
        <w:rPr/>
        <w:t>、业务发展稳健 公司注重优秀产品的引进与开发，发行和代理了多款热门游戏，与此同时在新游戏的研发、新技术的应用上积极推进，</w:t>
      </w:r>
    </w:p>
    <w:p>
      <w:pPr>
        <w:pStyle w:val="BodyText"/>
        <w:spacing w:line="319" w:lineRule="auto" w:before="31"/>
        <w:ind w:right="1043"/>
        <w:jc w:val="both"/>
      </w:pPr>
      <w:r>
        <w:rPr/>
        <w:t>为公司手游和端游业务在未来市场的快速突破和竞争优势做了良好的铺垫。未来的行业形态将与新发展的技术深层次融合，</w:t>
      </w:r>
      <w:r>
        <w:rPr>
          <w:spacing w:val="-85"/>
        </w:rPr>
        <w:t> </w:t>
      </w:r>
      <w:r>
        <w:rPr>
          <w:spacing w:val="-85"/>
        </w:rPr>
      </w:r>
      <w:r>
        <w:rPr/>
        <w:t>细分行业的商业模式将随着技术的突破而被颠覆。对于新技术的储备和现有业务的稳健发展是公司核心竞争力的关键一环，</w:t>
      </w:r>
      <w:r>
        <w:rPr>
          <w:spacing w:val="-85"/>
        </w:rPr>
        <w:t> </w:t>
      </w:r>
      <w:r>
        <w:rPr>
          <w:spacing w:val="-85"/>
        </w:rPr>
      </w:r>
      <w:r>
        <w:rPr/>
        <w:t>也是中青宝研发和发行实力提升的重点。</w:t>
      </w:r>
    </w:p>
    <w:p>
      <w:pPr>
        <w:spacing w:after="0" w:line="319"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113"/>
        <w:jc w:val="center"/>
        <w:rPr>
          <w:b w:val="0"/>
          <w:bCs w:val="0"/>
        </w:rPr>
      </w:pPr>
      <w:bookmarkStart w:name="第四节 管理层讨论与分析" w:id="21"/>
      <w:bookmarkEnd w:id="21"/>
      <w:r>
        <w:rPr>
          <w:b w:val="0"/>
          <w:bCs w:val="0"/>
        </w:rPr>
      </w:r>
      <w:bookmarkStart w:name="_bookmark2" w:id="22"/>
      <w:bookmarkEnd w:id="22"/>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概述" w:id="23"/>
      <w:bookmarkEnd w:id="23"/>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宋体" w:hAnsi="宋体" w:cs="宋体" w:eastAsia="宋体" w:hint="default"/>
        </w:rPr>
        <w:t>(</w:t>
      </w:r>
      <w:r>
        <w:rPr/>
        <w:t>一</w:t>
      </w:r>
      <w:r>
        <w:rPr>
          <w:rFonts w:ascii="宋体" w:hAnsi="宋体" w:cs="宋体" w:eastAsia="宋体" w:hint="default"/>
        </w:rPr>
        <w:t>)</w:t>
      </w:r>
      <w:r>
        <w:rPr/>
        <w:t>公司整体发展概述</w:t>
      </w:r>
    </w:p>
    <w:p>
      <w:pPr>
        <w:pStyle w:val="BodyText"/>
        <w:spacing w:line="314" w:lineRule="auto" w:before="76"/>
        <w:ind w:left="1134" w:right="1131" w:firstLine="290"/>
        <w:jc w:val="both"/>
      </w:pPr>
      <w:r>
        <w:rPr>
          <w:rFonts w:ascii="Times New Roman" w:hAnsi="Times New Roman" w:cs="Times New Roman" w:eastAsia="Times New Roman" w:hint="default"/>
          <w:spacing w:val="-4"/>
        </w:rPr>
        <w:t>2015</w:t>
      </w:r>
      <w:r>
        <w:rPr>
          <w:spacing w:val="-4"/>
        </w:rPr>
        <w:t>年度，互联网行业取得了突飞猛进的发展，随着竞争者的涌入和新竞品的不断推出，行业竞争愈发激烈。公司层面，</w:t>
      </w:r>
      <w:r>
        <w:rPr/>
        <w:t> </w:t>
      </w:r>
      <w:r>
        <w:rPr>
          <w:spacing w:val="-2"/>
        </w:rPr>
        <w:t>游戏业务面临产品新旧交替期，随着智能手机的市场渗透率不断提高以及新技术的研发和应用，公司业务必须全面改革才能</w:t>
      </w:r>
      <w:r>
        <w:rPr>
          <w:spacing w:val="-64"/>
        </w:rPr>
        <w:t> </w:t>
      </w:r>
      <w:r>
        <w:rPr>
          <w:spacing w:val="-64"/>
        </w:rPr>
      </w:r>
      <w:r>
        <w:rPr>
          <w:spacing w:val="-2"/>
        </w:rPr>
        <w:t>适应不断发展的市场环境。面对挑战，公司继续坚持平台化战略，不断夯实并完善公司业务间联动，持续拓展和创新游戏业</w:t>
      </w:r>
      <w:r>
        <w:rPr>
          <w:spacing w:val="-66"/>
        </w:rPr>
        <w:t> </w:t>
      </w:r>
      <w:r>
        <w:rPr>
          <w:spacing w:val="-66"/>
        </w:rPr>
      </w:r>
      <w:r>
        <w:rPr>
          <w:spacing w:val="-2"/>
        </w:rPr>
        <w:t>务，进一步加强产品和服务的研发创新，挖掘市场热点，朝着泛娱乐平台这一战略方向，公司各个业务间的协同效应持续增</w:t>
      </w:r>
      <w:r>
        <w:rPr>
          <w:spacing w:val="-66"/>
        </w:rPr>
        <w:t> </w:t>
      </w:r>
      <w:r>
        <w:rPr>
          <w:spacing w:val="-66"/>
        </w:rPr>
      </w:r>
      <w:r>
        <w:rPr/>
        <w:t>强，品牌价值不断提升，产品积累继续深化，公司迎来弯道超车的开局之年。</w:t>
      </w:r>
    </w:p>
    <w:p>
      <w:pPr>
        <w:pStyle w:val="BodyText"/>
        <w:spacing w:line="300" w:lineRule="auto" w:before="20"/>
        <w:ind w:left="1134" w:right="1183" w:firstLine="290"/>
        <w:jc w:val="both"/>
      </w:pPr>
      <w:r>
        <w:rPr>
          <w:spacing w:val="-1"/>
        </w:rPr>
        <w:t>在报告期内，公司实现营业收入</w:t>
      </w:r>
      <w:r>
        <w:rPr>
          <w:rFonts w:ascii="Times New Roman" w:hAnsi="Times New Roman" w:cs="Times New Roman" w:eastAsia="Times New Roman" w:hint="default"/>
          <w:spacing w:val="-1"/>
        </w:rPr>
        <w:t>34,309</w:t>
      </w:r>
      <w:r>
        <w:rPr>
          <w:spacing w:val="-1"/>
        </w:rPr>
        <w:t>万元，同比下降</w:t>
      </w:r>
      <w:r>
        <w:rPr>
          <w:rFonts w:ascii="Times New Roman" w:hAnsi="Times New Roman" w:cs="Times New Roman" w:eastAsia="Times New Roman" w:hint="default"/>
          <w:spacing w:val="-1"/>
        </w:rPr>
        <w:t>29.91%</w:t>
      </w:r>
      <w:r>
        <w:rPr>
          <w:spacing w:val="-1"/>
        </w:rPr>
        <w:t>；实现利润总额</w:t>
      </w:r>
      <w:r>
        <w:rPr>
          <w:rFonts w:ascii="Times New Roman" w:hAnsi="Times New Roman" w:cs="Times New Roman" w:eastAsia="Times New Roman" w:hint="default"/>
          <w:spacing w:val="-1"/>
        </w:rPr>
        <w:t>8,752</w:t>
      </w:r>
      <w:r>
        <w:rPr>
          <w:spacing w:val="-1"/>
        </w:rPr>
        <w:t>万元，同比增长</w:t>
      </w:r>
      <w:r>
        <w:rPr>
          <w:rFonts w:ascii="Times New Roman" w:hAnsi="Times New Roman" w:cs="Times New Roman" w:eastAsia="Times New Roman" w:hint="default"/>
          <w:spacing w:val="-1"/>
        </w:rPr>
        <w:t>818.21%</w:t>
      </w:r>
      <w:r>
        <w:rPr>
          <w:spacing w:val="-1"/>
        </w:rPr>
        <w:t>。归属于上</w:t>
      </w:r>
      <w:r>
        <w:rPr/>
        <w:t> 市公司普通股东的净利润</w:t>
      </w:r>
      <w:r>
        <w:rPr>
          <w:rFonts w:ascii="Times New Roman" w:hAnsi="Times New Roman" w:cs="Times New Roman" w:eastAsia="Times New Roman" w:hint="default"/>
        </w:rPr>
        <w:t>6,520</w:t>
      </w:r>
      <w:r>
        <w:rPr/>
        <w:t>万元，同比增长</w:t>
      </w:r>
      <w:r>
        <w:rPr>
          <w:rFonts w:ascii="Times New Roman" w:hAnsi="Times New Roman" w:cs="Times New Roman" w:eastAsia="Times New Roman" w:hint="default"/>
        </w:rPr>
        <w:t>395.89%</w:t>
      </w:r>
      <w:r>
        <w:rPr/>
        <w:t>。</w:t>
      </w:r>
    </w:p>
    <w:p>
      <w:pPr>
        <w:pStyle w:val="BodyText"/>
        <w:spacing w:line="316" w:lineRule="auto" w:before="13"/>
        <w:ind w:left="1424" w:right="0" w:hanging="291"/>
        <w:jc w:val="left"/>
      </w:pPr>
      <w:r>
        <w:rPr>
          <w:rFonts w:ascii="宋体" w:hAnsi="宋体" w:cs="宋体" w:eastAsia="宋体" w:hint="default"/>
        </w:rPr>
        <w:t>(</w:t>
      </w:r>
      <w:r>
        <w:rPr/>
        <w:t>二</w:t>
      </w:r>
      <w:r>
        <w:rPr>
          <w:rFonts w:ascii="宋体" w:hAnsi="宋体" w:cs="宋体" w:eastAsia="宋体" w:hint="default"/>
        </w:rPr>
        <w:t>)</w:t>
      </w:r>
      <w:r>
        <w:rPr/>
        <w:t>报告期内公司业务回顾 </w:t>
      </w:r>
      <w:r>
        <w:rPr>
          <w:spacing w:val="-1"/>
        </w:rPr>
        <w:t>近年来，公司重视资本运作，寻求产业链横向并购机会，以期实现公司战略转型升级，促进公司健康快速成长。报告期</w:t>
      </w:r>
    </w:p>
    <w:p>
      <w:pPr>
        <w:pStyle w:val="BodyText"/>
        <w:spacing w:line="316" w:lineRule="auto" w:before="19"/>
        <w:ind w:left="1134" w:right="0"/>
        <w:jc w:val="left"/>
      </w:pPr>
      <w:r>
        <w:rPr>
          <w:spacing w:val="-2"/>
        </w:rPr>
        <w:t>内，公司优化了投资结构，秉承着审慎的原则，慎重细致地做出投资决策，为公司的战略布局、产业整合、业务拓展等打下</w:t>
      </w:r>
      <w:r>
        <w:rPr>
          <w:spacing w:val="-68"/>
        </w:rPr>
        <w:t> </w:t>
      </w:r>
      <w:r>
        <w:rPr>
          <w:spacing w:val="-68"/>
        </w:rPr>
      </w:r>
      <w:r>
        <w:rPr/>
        <w:t>了扎实的基础。</w:t>
      </w:r>
    </w:p>
    <w:p>
      <w:pPr>
        <w:pStyle w:val="BodyText"/>
        <w:spacing w:line="312" w:lineRule="auto" w:before="19"/>
        <w:ind w:left="1134" w:right="1130" w:firstLine="290"/>
        <w:jc w:val="both"/>
      </w:pPr>
      <w:r>
        <w:rPr>
          <w:spacing w:val="-1"/>
        </w:rPr>
        <w:t>报告期内公司前期筹划并购标的所处行业的竞争环境及其实际业绩发生了较大变化，因此终止了与上海美峰、北京中科</w:t>
      </w:r>
      <w:r>
        <w:rPr/>
        <w:t> </w:t>
      </w:r>
      <w:r>
        <w:rPr>
          <w:spacing w:val="-2"/>
        </w:rPr>
        <w:t>奥、江苏名通的重大资产重组，避免了可能的损失。与此同时，公司分别与上海美峰、深圳苏摩原股东签署了股权转让补充</w:t>
      </w:r>
      <w:r>
        <w:rPr>
          <w:spacing w:val="-66"/>
        </w:rPr>
        <w:t> </w:t>
      </w:r>
      <w:r>
        <w:rPr>
          <w:spacing w:val="-66"/>
        </w:rPr>
      </w:r>
      <w:r>
        <w:rPr>
          <w:spacing w:val="-2"/>
        </w:rPr>
        <w:t>协议，对未付投资款</w:t>
      </w:r>
      <w:r>
        <w:rPr>
          <w:rFonts w:ascii="Times New Roman" w:hAnsi="Times New Roman" w:cs="Times New Roman" w:eastAsia="Times New Roman" w:hint="default"/>
          <w:spacing w:val="-2"/>
        </w:rPr>
        <w:t>13,334</w:t>
      </w:r>
      <w:r>
        <w:rPr>
          <w:spacing w:val="-2"/>
        </w:rPr>
        <w:t>万元及定向分红少数股东让渡分红权的金额</w:t>
      </w:r>
      <w:r>
        <w:rPr>
          <w:rFonts w:ascii="Times New Roman" w:hAnsi="Times New Roman" w:cs="Times New Roman" w:eastAsia="Times New Roman" w:hint="default"/>
          <w:spacing w:val="-2"/>
        </w:rPr>
        <w:t>2,866</w:t>
      </w:r>
      <w:r>
        <w:rPr>
          <w:spacing w:val="-2"/>
        </w:rPr>
        <w:t>万元作出约定，充分保护了公司股东的利益。报</w:t>
      </w:r>
      <w:r>
        <w:rPr>
          <w:spacing w:val="-56"/>
        </w:rPr>
        <w:t> </w:t>
      </w:r>
      <w:r>
        <w:rPr>
          <w:spacing w:val="-56"/>
        </w:rPr>
      </w:r>
      <w:r>
        <w:rPr/>
        <w:t>告期内公司转让参股子公司上海跳跃部分股权，获取了巨额投资收益，为公司战略布局铺平道路。</w:t>
      </w:r>
    </w:p>
    <w:p>
      <w:pPr>
        <w:pStyle w:val="BodyText"/>
        <w:spacing w:line="309" w:lineRule="auto" w:before="23"/>
        <w:ind w:right="1129" w:firstLine="290"/>
        <w:jc w:val="both"/>
      </w:pPr>
      <w:r>
        <w:rPr>
          <w:spacing w:val="-1"/>
        </w:rPr>
        <w:t>除投资工作外，在报告期内，公司主营业务持续完善和优化，资本热潮带动导致了行业竞争的日益加剧，公司在白热化</w:t>
      </w:r>
      <w:r>
        <w:rPr/>
        <w:t> </w:t>
      </w:r>
      <w:r>
        <w:rPr>
          <w:spacing w:val="-2"/>
        </w:rPr>
        <w:t>的竞争热潮中保持积极稳定发展的态势，尽管游戏产品的新旧交替为公司带来压力，公司仍坚持扎实稳步发展的策略谨慎应</w:t>
      </w:r>
      <w:r>
        <w:rPr>
          <w:spacing w:val="-64"/>
        </w:rPr>
        <w:t> </w:t>
      </w:r>
      <w:r>
        <w:rPr>
          <w:spacing w:val="-64"/>
        </w:rPr>
      </w:r>
      <w:r>
        <w:rPr>
          <w:spacing w:val="-5"/>
        </w:rPr>
        <w:t>对行业变化，避免行业内的浮躁氛围和非正当竞争手段对公司造成不利影响。年内公司重点产品《黑夜传说》、《最后一炮》</w:t>
      </w:r>
      <w:r>
        <w:rPr>
          <w:spacing w:val="-80"/>
        </w:rPr>
        <w:t> </w:t>
      </w:r>
      <w:r>
        <w:rPr>
          <w:spacing w:val="-80"/>
        </w:rPr>
      </w:r>
      <w:r>
        <w:rPr>
          <w:spacing w:val="-2"/>
        </w:rPr>
        <w:t>国内及海外市场均取得了较好成绩，公司仍会坚持以产品为核心的业务发展策略，不断提升产品研发精品化，深耕产品运营</w:t>
      </w:r>
      <w:r>
        <w:rPr>
          <w:spacing w:val="-66"/>
        </w:rPr>
        <w:t> </w:t>
      </w:r>
      <w:r>
        <w:rPr>
          <w:spacing w:val="-66"/>
        </w:rPr>
      </w:r>
      <w:r>
        <w:rPr/>
        <w:t>精细化，稳步坚实推动公司业绩发展。代理产品《斗战三国志</w:t>
      </w:r>
      <w:r>
        <w:rPr>
          <w:rFonts w:ascii="Times New Roman" w:hAnsi="Times New Roman" w:cs="Times New Roman" w:eastAsia="Times New Roman" w:hint="default"/>
        </w:rPr>
        <w:t>OL</w:t>
      </w:r>
      <w:r>
        <w:rPr/>
        <w:t>》已经获得腾讯互娱精品独代并正式上线运营，发展前景 向好。产品开发方面，公司被</w:t>
      </w:r>
      <w:r>
        <w:rPr>
          <w:rFonts w:ascii="Times New Roman" w:hAnsi="Times New Roman" w:cs="Times New Roman" w:eastAsia="Times New Roman" w:hint="default"/>
        </w:rPr>
        <w:t>Google Play</w:t>
      </w:r>
      <w:r>
        <w:rPr/>
        <w:t>评为全球顶级开发者</w:t>
      </w:r>
      <w:r>
        <w:rPr>
          <w:rFonts w:ascii="宋体" w:hAnsi="宋体" w:cs="宋体" w:eastAsia="宋体" w:hint="default"/>
        </w:rPr>
        <w:t>(</w:t>
      </w:r>
      <w:r>
        <w:rPr>
          <w:rFonts w:ascii="Times New Roman" w:hAnsi="Times New Roman" w:cs="Times New Roman" w:eastAsia="Times New Roman" w:hint="default"/>
        </w:rPr>
        <w:t>Top</w:t>
      </w:r>
      <w:r>
        <w:rPr>
          <w:rFonts w:ascii="Times New Roman" w:hAnsi="Times New Roman" w:cs="Times New Roman" w:eastAsia="Times New Roman" w:hint="default"/>
          <w:spacing w:val="-4"/>
        </w:rPr>
        <w:t> </w:t>
      </w:r>
      <w:r>
        <w:rPr>
          <w:rFonts w:ascii="Times New Roman" w:hAnsi="Times New Roman" w:cs="Times New Roman" w:eastAsia="Times New Roman" w:hint="default"/>
        </w:rPr>
        <w:t>Developers</w:t>
      </w:r>
      <w:r>
        <w:rPr>
          <w:rFonts w:ascii="宋体" w:hAnsi="宋体" w:cs="宋体" w:eastAsia="宋体" w:hint="default"/>
        </w:rPr>
        <w:t>)</w:t>
      </w:r>
      <w:r>
        <w:rPr/>
        <w:t>之一。未来公司将周密布局细分领域游戏市 </w:t>
      </w:r>
      <w:r>
        <w:rPr>
          <w:spacing w:val="-2"/>
        </w:rPr>
        <w:t>场，继续推动</w:t>
      </w:r>
      <w:r>
        <w:rPr>
          <w:rFonts w:ascii="Times New Roman" w:hAnsi="Times New Roman" w:cs="Times New Roman" w:eastAsia="Times New Roman" w:hint="default"/>
          <w:spacing w:val="-2"/>
        </w:rPr>
        <w:t>IP</w:t>
      </w:r>
      <w:r>
        <w:rPr>
          <w:spacing w:val="-2"/>
        </w:rPr>
        <w:t>战略，重点开展产业链合作、平台化布局，积极探索新技术在公司业务上的应用，实现在市场竞争中取得超</w:t>
      </w:r>
      <w:r>
        <w:rPr>
          <w:spacing w:val="-46"/>
        </w:rPr>
        <w:t> </w:t>
      </w:r>
      <w:r>
        <w:rPr>
          <w:spacing w:val="-46"/>
        </w:rPr>
      </w:r>
      <w:r>
        <w:rPr/>
        <w:t>越优势</w:t>
      </w:r>
      <w:r>
        <w:rPr>
          <w:spacing w:val="-17"/>
        </w:rPr>
        <w:t> </w:t>
      </w:r>
      <w:r>
        <w:rPr/>
        <w:t>。</w:t>
      </w:r>
    </w:p>
    <w:p>
      <w:pPr>
        <w:pStyle w:val="BodyText"/>
        <w:spacing w:line="360" w:lineRule="auto" w:before="24"/>
        <w:ind w:left="1424" w:right="1118" w:hanging="291"/>
        <w:jc w:val="left"/>
      </w:pPr>
      <w:r>
        <w:rPr>
          <w:rFonts w:ascii="宋体" w:hAnsi="宋体" w:cs="宋体" w:eastAsia="宋体" w:hint="default"/>
        </w:rPr>
        <w:t>(</w:t>
      </w:r>
      <w:r>
        <w:rPr/>
        <w:t>三</w:t>
      </w:r>
      <w:r>
        <w:rPr>
          <w:rFonts w:ascii="宋体" w:hAnsi="宋体" w:cs="宋体" w:eastAsia="宋体" w:hint="default"/>
        </w:rPr>
        <w:t>)</w:t>
      </w:r>
      <w:r>
        <w:rPr/>
        <w:t>公司内部控制 </w:t>
      </w:r>
      <w:r>
        <w:rPr>
          <w:spacing w:val="-1"/>
        </w:rPr>
        <w:t>公司持续巩固完善内控管理水平，建立健全内部治理和组织结构，形成科学的决策、执行和监督机制，保证公司经营管</w:t>
      </w:r>
    </w:p>
    <w:p>
      <w:pPr>
        <w:pStyle w:val="BodyText"/>
        <w:spacing w:line="221" w:lineRule="exact"/>
        <w:ind w:left="1134" w:right="0"/>
        <w:jc w:val="left"/>
      </w:pPr>
      <w:r>
        <w:rPr>
          <w:spacing w:val="-5"/>
        </w:rPr>
        <w:t>理合法合规以及经营活动的有序进行，提高经营效率和效果，促进企业实现发展战略。营造良好的内部控制环境，查漏补缺、</w:t>
      </w:r>
    </w:p>
    <w:p>
      <w:pPr>
        <w:pStyle w:val="BodyText"/>
        <w:spacing w:line="319" w:lineRule="auto" w:before="76"/>
        <w:ind w:left="1134" w:right="1133"/>
        <w:jc w:val="both"/>
      </w:pPr>
      <w:r>
        <w:rPr>
          <w:spacing w:val="-2"/>
        </w:rPr>
        <w:t>排除隐患，建立预防机制、杜绝违规及舞弊行为，保护公司资产的安全、完整。公司还按照上市公司监管部门要求进一步加</w:t>
      </w:r>
      <w:r>
        <w:rPr>
          <w:spacing w:val="-66"/>
        </w:rPr>
        <w:t> </w:t>
      </w:r>
      <w:r>
        <w:rPr>
          <w:spacing w:val="-66"/>
        </w:rPr>
      </w:r>
      <w:r>
        <w:rPr>
          <w:spacing w:val="-2"/>
        </w:rPr>
        <w:t>强了内部控制制度建设，形成了有效且相互制衡的决策、执行和监督机制，确保国家有关法律法规、部门规章、规范性文件</w:t>
      </w:r>
      <w:r>
        <w:rPr>
          <w:spacing w:val="-66"/>
        </w:rPr>
        <w:t> </w:t>
      </w:r>
      <w:r>
        <w:rPr>
          <w:spacing w:val="-66"/>
        </w:rPr>
      </w:r>
      <w:r>
        <w:rPr/>
        <w:t>和公司内部规章制度的贯彻实施。</w:t>
      </w:r>
    </w:p>
    <w:p>
      <w:pPr>
        <w:spacing w:line="240" w:lineRule="auto" w:before="6"/>
        <w:rPr>
          <w:rFonts w:ascii="宋体" w:hAnsi="宋体" w:cs="宋体" w:eastAsia="宋体" w:hint="default"/>
          <w:sz w:val="20"/>
          <w:szCs w:val="20"/>
        </w:rPr>
      </w:pPr>
    </w:p>
    <w:p>
      <w:pPr>
        <w:pStyle w:val="Heading3"/>
        <w:spacing w:line="240" w:lineRule="auto"/>
        <w:ind w:left="1134" w:right="0"/>
        <w:jc w:val="left"/>
        <w:rPr>
          <w:b w:val="0"/>
          <w:bCs w:val="0"/>
        </w:rPr>
      </w:pPr>
      <w:bookmarkStart w:name="二、主营业务分析" w:id="24"/>
      <w:bookmarkEnd w:id="24"/>
      <w:r>
        <w:rPr>
          <w:b w:val="0"/>
          <w:bCs w:val="0"/>
        </w:rPr>
      </w:r>
      <w:r>
        <w:rPr/>
        <w:t>二、主营业务分析</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0"/>
        <w:jc w:val="left"/>
        <w:rPr>
          <w:b w:val="0"/>
          <w:bCs w:val="0"/>
        </w:rPr>
      </w:pPr>
      <w:bookmarkStart w:name="1、概述" w:id="25"/>
      <w:bookmarkEnd w:id="25"/>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参见</w:t>
      </w:r>
      <w:r>
        <w:rPr>
          <w:rFonts w:ascii="Times New Roman" w:hAnsi="Times New Roman" w:cs="Times New Roman" w:eastAsia="Times New Roman" w:hint="default"/>
        </w:rPr>
        <w:t>“</w:t>
      </w:r>
      <w:r>
        <w:rPr/>
        <w:t>管理层讨论与分析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506" w:lineRule="auto" w:before="35"/>
        <w:ind w:left="1133" w:right="9243"/>
        <w:jc w:val="left"/>
        <w:rPr>
          <w:b w:val="0"/>
          <w:bCs w:val="0"/>
        </w:rPr>
      </w:pPr>
      <w:bookmarkStart w:name="2、收入与成本" w:id="26"/>
      <w:bookmarkEnd w:id="26"/>
      <w:r>
        <w:rPr>
          <w:b w:val="0"/>
          <w:bCs w:val="0"/>
        </w:rPr>
      </w:r>
      <w:r>
        <w:rPr>
          <w:rFonts w:ascii="Times New Roman" w:hAnsi="Times New Roman" w:cs="Times New Roman" w:eastAsia="Times New Roman" w:hint="default"/>
        </w:rPr>
        <w:t>2</w:t>
      </w:r>
      <w:r>
        <w:rPr/>
        <w:t>、收入与成本</w:t>
      </w:r>
      <w:r>
        <w:rPr>
          <w:w w:val="99"/>
        </w:rPr>
        <w:t> </w:t>
      </w:r>
      <w:bookmarkStart w:name="(1)营业收入构成" w:id="27"/>
      <w:bookmarkEnd w:id="27"/>
      <w:r>
        <w:rPr>
          <w:w w:val="99"/>
        </w:rPr>
      </w:r>
      <w:r>
        <w:rPr>
          <w:rFonts w:ascii="Times New Roman" w:hAnsi="Times New Roman" w:cs="Times New Roman" w:eastAsia="Times New Roman" w:hint="default"/>
        </w:rPr>
        <w:t>(1)</w:t>
      </w:r>
      <w:r>
        <w:rPr/>
        <w:t>营业收入构成</w:t>
      </w:r>
      <w:r>
        <w:rPr>
          <w:b w:val="0"/>
          <w:bCs w:val="0"/>
        </w:rPr>
      </w:r>
    </w:p>
    <w:p>
      <w:pPr>
        <w:pStyle w:val="BodyText"/>
        <w:spacing w:line="240" w:lineRule="auto" w:before="90"/>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9"/>
        <w:gridCol w:w="1594"/>
        <w:gridCol w:w="1592"/>
        <w:gridCol w:w="1597"/>
        <w:gridCol w:w="1588"/>
        <w:gridCol w:w="1598"/>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343,090,937.31</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489,527,552.74</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-29.91%</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分行业（分运营模式）</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公司自主运营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85,900,510.49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95,914,573.20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19.59%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-10.44%</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与平台联合运营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165,225,751.38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48.16%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104,788,716.16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21.41%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57.68%</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分服运营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6,512,471.09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146,121,985.96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29.85%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-95.54%</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著作权转让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40,941,400.00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11.93%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106,843,750.00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21.82%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-61.68%</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运营权转让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34,805,037.21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35,000,000.00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7.15%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-0.56%</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4,269,107.66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5,436,659.48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858,527.42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533.25%</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分产品（分游戏类型）</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MMO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游戏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99,652,137.58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29.06%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178,099,169.73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36.38%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-44.05%</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网页游戏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59,233,972.44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17.26%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45,645,007.86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9.32%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29.77%</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手机游戏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171,966,743.69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50.12%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251,341,974.25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51.34%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-31.58%</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6,801,424.12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13,582,873.48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2.78%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-49.93%</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5,436,659.48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858,527.42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533.25%</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各地游戏收入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337,654,277.83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98.42%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488,669,025.32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99.82%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-30.90%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5,436,659.48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858,527.42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533.25%</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占公司营业收入或营业利润10%以上的行业、产品或地区情况" w:id="28"/>
      <w:bookmarkEnd w:id="28"/>
      <w:r>
        <w:rPr>
          <w:b w:val="0"/>
          <w:bCs w:val="0"/>
        </w:rPr>
      </w:r>
      <w:r>
        <w:rPr>
          <w:rFonts w:ascii="Times New Roman" w:hAnsi="Times New Roman" w:cs="Times New Roman" w:eastAsia="Times New Roman" w:hint="default"/>
        </w:rPr>
        <w:t>(2)</w:t>
      </w:r>
      <w:r>
        <w:rPr/>
        <w:t>占公司营业收入或营业利润</w:t>
      </w:r>
      <w:r>
        <w:rPr>
          <w:spacing w:val="-61"/>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分行业（分运营模式）</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公司自主运营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85,900,510.49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61,220,675.46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与平台联合运营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165,225,751.38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87,324,201.10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分服运营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6,512,471.09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3,729,859.60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-94.67%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著作权转让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40,941,400.00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6,162,944.68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运营权转让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34,805,037.21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30,267,809.65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6,197.77%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-85.59%</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分产品（分游戏类型）</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MMO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99,652,137.58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74,208,062.42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-31.16%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网页游戏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59,233,972.44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20,390,819.14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52.29%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手机游戏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171,966,743.69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92,105,759.40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-21.67%</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各地游戏收入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337,654,277.83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190,354,546.27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-15.74%</w:t>
            </w:r>
          </w:p>
        </w:tc>
      </w:tr>
    </w:tbl>
    <w:p>
      <w:pPr>
        <w:pStyle w:val="BodyText"/>
        <w:spacing w:line="240" w:lineRule="auto" w:before="51"/>
        <w:ind w:left="113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240" w:lineRule="auto"/>
        <w:ind w:left="1133" w:right="0"/>
        <w:jc w:val="left"/>
        <w:rPr>
          <w:b w:val="0"/>
          <w:bCs w:val="0"/>
        </w:rPr>
      </w:pPr>
      <w:bookmarkStart w:name="(3)公司实物销售收入是否大于劳务收入" w:id="29"/>
      <w:bookmarkEnd w:id="29"/>
      <w:r>
        <w:rPr>
          <w:b w:val="0"/>
          <w:bCs w:val="0"/>
        </w:rPr>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7"/>
        <w:spacing w:line="240" w:lineRule="auto"/>
        <w:ind w:left="1133" w:right="0"/>
        <w:jc w:val="left"/>
        <w:rPr>
          <w:b w:val="0"/>
          <w:bCs w:val="0"/>
        </w:rPr>
      </w:pPr>
      <w:bookmarkStart w:name="(4)公司已签订的重大销售合同截至本报告期的履行情况" w:id="30"/>
      <w:bookmarkEnd w:id="30"/>
      <w:r>
        <w:rPr>
          <w:b w:val="0"/>
          <w:bCs w:val="0"/>
        </w:rPr>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240" w:lineRule="auto"/>
        <w:ind w:left="1133" w:right="0"/>
        <w:jc w:val="left"/>
        <w:rPr>
          <w:b w:val="0"/>
          <w:bCs w:val="0"/>
        </w:rPr>
      </w:pPr>
      <w:bookmarkStart w:name="(5)营业成本构成" w:id="31"/>
      <w:bookmarkEnd w:id="31"/>
      <w:r>
        <w:rPr>
          <w:b w:val="0"/>
          <w:bCs w:val="0"/>
        </w:rPr>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行业和产品分类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702"/>
        <w:gridCol w:w="1560"/>
        <w:gridCol w:w="1701"/>
        <w:gridCol w:w="1417"/>
        <w:gridCol w:w="1419"/>
        <w:gridCol w:w="1842"/>
      </w:tblGrid>
      <w:tr>
        <w:trPr>
          <w:trHeight w:val="402"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32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84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公司自主运营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61,220,675.46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66,512,447.37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-7.96%</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与平台联合运营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87,324,201.10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53,853,149.94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62.15%</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分服运营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3,729,859.60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69,983,104.10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35.11%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-94.67%</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著作权转让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6,162,944.68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7,759,870.59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-20.58%</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运营权转让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30,267,809.65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480,611.48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6,197.77%</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1,649,055.78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0.84%</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4,944,459.31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749,890.94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559.36%</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02"/>
        <w:gridCol w:w="1560"/>
        <w:gridCol w:w="1701"/>
        <w:gridCol w:w="1417"/>
        <w:gridCol w:w="1419"/>
        <w:gridCol w:w="1842"/>
      </w:tblGrid>
      <w:tr>
        <w:trPr>
          <w:trHeight w:val="402"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游戏类型</w:t>
            </w:r>
          </w:p>
        </w:tc>
        <w:tc>
          <w:tcPr>
            <w:tcW w:w="32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84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MMO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游戏</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74,208,062.42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77,129,775.49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网页游戏</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20,390,819.14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39,579,077.95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02"/>
        <w:gridCol w:w="1560"/>
        <w:gridCol w:w="1701"/>
        <w:gridCol w:w="1417"/>
        <w:gridCol w:w="1419"/>
        <w:gridCol w:w="1842"/>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手机游戏</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92,105,759.40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80,162,407.52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14.90%</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3,649,905.31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1,717,922.52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112.46%</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4,944,459.31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749,890.94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559.36%</w:t>
            </w:r>
          </w:p>
        </w:tc>
      </w:tr>
    </w:tbl>
    <w:p>
      <w:pPr>
        <w:spacing w:line="240" w:lineRule="auto" w:before="3"/>
        <w:rPr>
          <w:rFonts w:ascii="宋体" w:hAnsi="宋体" w:cs="宋体" w:eastAsia="宋体" w:hint="default"/>
          <w:sz w:val="19"/>
          <w:szCs w:val="19"/>
        </w:rPr>
      </w:pPr>
    </w:p>
    <w:p>
      <w:pPr>
        <w:pStyle w:val="Heading7"/>
        <w:spacing w:line="240" w:lineRule="auto" w:before="35"/>
        <w:ind w:left="1239" w:right="0"/>
        <w:jc w:val="left"/>
        <w:rPr>
          <w:b w:val="0"/>
          <w:bCs w:val="0"/>
        </w:rPr>
      </w:pPr>
      <w:bookmarkStart w:name="(6)报告期内合并范围是否发生变动" w:id="32"/>
      <w:bookmarkEnd w:id="32"/>
      <w:r>
        <w:rPr>
          <w:b w:val="0"/>
          <w:bCs w:val="0"/>
        </w:rPr>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48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本期纳入合并财务报表范围的主体较上期相比，增加</w:t>
      </w:r>
      <w:r>
        <w:rPr>
          <w:rFonts w:ascii="Times New Roman" w:hAnsi="Times New Roman" w:cs="Times New Roman" w:eastAsia="Times New Roman" w:hint="default"/>
        </w:rPr>
        <w:t>1</w:t>
      </w:r>
      <w:r>
        <w:rPr/>
        <w:t>户，减少</w:t>
      </w:r>
      <w:r>
        <w:rPr>
          <w:rFonts w:ascii="Times New Roman" w:hAnsi="Times New Roman" w:cs="Times New Roman" w:eastAsia="Times New Roman" w:hint="default"/>
        </w:rPr>
        <w:t>2</w:t>
      </w:r>
      <w:r>
        <w:rPr/>
        <w:t>户，其中：</w:t>
      </w:r>
    </w:p>
    <w:p>
      <w:pPr>
        <w:pStyle w:val="BodyText"/>
        <w:spacing w:line="230" w:lineRule="exact"/>
        <w:ind w:right="0"/>
        <w:jc w:val="left"/>
      </w:pPr>
      <w:r>
        <w:rPr>
          <w:rFonts w:ascii="Times New Roman" w:hAnsi="Times New Roman" w:cs="Times New Roman" w:eastAsia="Times New Roman" w:hint="default"/>
        </w:rPr>
        <w:t>1</w:t>
      </w:r>
      <w:r>
        <w:rPr/>
        <w:t>、本期新纳入合并范围的子公司：新设立控股子公司深圳市五秒传媒技术有限公司</w:t>
      </w:r>
      <w:r>
        <w:rPr>
          <w:rFonts w:ascii="宋体" w:hAnsi="宋体" w:cs="宋体" w:eastAsia="宋体" w:hint="default"/>
        </w:rPr>
        <w:t>(</w:t>
      </w:r>
      <w:r>
        <w:rPr/>
        <w:t>以下简称</w:t>
      </w:r>
      <w:r>
        <w:rPr>
          <w:rFonts w:ascii="Times New Roman" w:hAnsi="Times New Roman" w:cs="Times New Roman" w:eastAsia="Times New Roman" w:hint="default"/>
        </w:rPr>
        <w:t>“</w:t>
      </w:r>
      <w:r>
        <w:rPr/>
        <w:t>深圳五秒</w:t>
      </w:r>
      <w:r>
        <w:rPr>
          <w:rFonts w:ascii="Times New Roman" w:hAnsi="Times New Roman" w:cs="Times New Roman" w:eastAsia="Times New Roman" w:hint="default"/>
        </w:rPr>
        <w:t>”</w:t>
      </w:r>
      <w:r>
        <w:rPr>
          <w:rFonts w:ascii="宋体" w:hAnsi="宋体" w:cs="宋体" w:eastAsia="宋体" w:hint="default"/>
        </w:rPr>
        <w:t>)</w:t>
      </w:r>
      <w:r>
        <w:rPr/>
        <w:t>。</w:t>
      </w:r>
    </w:p>
    <w:p>
      <w:pPr>
        <w:pStyle w:val="BodyText"/>
        <w:spacing w:line="300" w:lineRule="auto" w:before="63"/>
        <w:ind w:right="1143"/>
        <w:jc w:val="left"/>
      </w:pPr>
      <w:r>
        <w:rPr>
          <w:rFonts w:ascii="Times New Roman" w:hAnsi="Times New Roman" w:cs="Times New Roman" w:eastAsia="Times New Roman" w:hint="default"/>
        </w:rPr>
        <w:t>2</w:t>
      </w:r>
      <w:r>
        <w:rPr/>
        <w:t>、本期不再纳入合并范围的子公司：注销控股子公司北京幻龙互动科技有限公司</w:t>
      </w:r>
      <w:r>
        <w:rPr>
          <w:rFonts w:ascii="宋体" w:hAnsi="宋体" w:cs="宋体" w:eastAsia="宋体" w:hint="default"/>
        </w:rPr>
        <w:t>(</w:t>
      </w:r>
      <w:r>
        <w:rPr/>
        <w:t>以下简称</w:t>
      </w:r>
      <w:r>
        <w:rPr>
          <w:rFonts w:ascii="Times New Roman" w:hAnsi="Times New Roman" w:cs="Times New Roman" w:eastAsia="Times New Roman" w:hint="default"/>
        </w:rPr>
        <w:t>“</w:t>
      </w:r>
      <w:r>
        <w:rPr/>
        <w:t>北京幻龙</w:t>
      </w:r>
      <w:r>
        <w:rPr>
          <w:rFonts w:ascii="Times New Roman" w:hAnsi="Times New Roman" w:cs="Times New Roman" w:eastAsia="Times New Roman" w:hint="default"/>
        </w:rPr>
        <w:t>”</w:t>
      </w:r>
      <w:r>
        <w:rPr>
          <w:rFonts w:ascii="宋体" w:hAnsi="宋体" w:cs="宋体" w:eastAsia="宋体" w:hint="default"/>
        </w:rPr>
        <w:t>)</w:t>
      </w:r>
      <w:r>
        <w:rPr/>
        <w:t>，注销控股孙公司 成都市米斗科技有限公司</w:t>
      </w:r>
      <w:r>
        <w:rPr>
          <w:rFonts w:ascii="宋体" w:hAnsi="宋体" w:cs="宋体" w:eastAsia="宋体" w:hint="default"/>
        </w:rPr>
        <w:t>(</w:t>
      </w:r>
      <w:r>
        <w:rPr/>
        <w:t>以下简称</w:t>
      </w:r>
      <w:r>
        <w:rPr>
          <w:rFonts w:ascii="Times New Roman" w:hAnsi="Times New Roman" w:cs="Times New Roman" w:eastAsia="Times New Roman" w:hint="default"/>
        </w:rPr>
        <w:t>“</w:t>
      </w:r>
      <w:r>
        <w:rPr/>
        <w:t>成都米斗</w:t>
      </w:r>
      <w:r>
        <w:rPr>
          <w:rFonts w:ascii="Times New Roman" w:hAnsi="Times New Roman" w:cs="Times New Roman" w:eastAsia="Times New Roman" w:hint="default"/>
        </w:rPr>
        <w:t>”</w:t>
      </w:r>
      <w:r>
        <w:rPr>
          <w:rFonts w:ascii="宋体" w:hAnsi="宋体" w:cs="宋体" w:eastAsia="宋体" w:hint="default"/>
        </w:rPr>
        <w:t>)</w:t>
      </w:r>
      <w:r>
        <w:rPr/>
        <w:t>。</w:t>
      </w:r>
    </w:p>
    <w:p>
      <w:pPr>
        <w:spacing w:line="240" w:lineRule="auto" w:before="1"/>
        <w:rPr>
          <w:rFonts w:ascii="宋体" w:hAnsi="宋体" w:cs="宋体" w:eastAsia="宋体" w:hint="default"/>
          <w:sz w:val="22"/>
          <w:szCs w:val="22"/>
        </w:rPr>
      </w:pPr>
    </w:p>
    <w:p>
      <w:pPr>
        <w:pStyle w:val="Heading7"/>
        <w:spacing w:line="240" w:lineRule="auto"/>
        <w:ind w:left="1133" w:right="0"/>
        <w:jc w:val="left"/>
        <w:rPr>
          <w:b w:val="0"/>
          <w:bCs w:val="0"/>
        </w:rPr>
      </w:pPr>
      <w:bookmarkStart w:name="(7)公司报告期内业务、产品或服务发生重大变化或调整有关情况" w:id="33"/>
      <w:bookmarkEnd w:id="33"/>
      <w:r>
        <w:rPr>
          <w:b w:val="0"/>
          <w:bCs w:val="0"/>
        </w:rPr>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line="547" w:lineRule="auto" w:before="0"/>
        <w:ind w:left="1133" w:right="7557" w:firstLine="0"/>
        <w:jc w:val="left"/>
        <w:rPr>
          <w:rFonts w:ascii="宋体" w:hAnsi="宋体" w:cs="宋体" w:eastAsia="宋体" w:hint="default"/>
          <w:sz w:val="18"/>
          <w:szCs w:val="18"/>
        </w:rPr>
      </w:pPr>
      <w:r>
        <w:rPr/>
        <w:pict>
          <v:shape style="position:absolute;margin-left:56.459999pt;margin-top:78.251694pt;width:479.2pt;height:40.8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前五名客户合计销售金额</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148,417,389.06</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43.27%</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8)主要销售客户和主要供应商情况" w:id="34"/>
      <w:bookmarkEnd w:id="34"/>
      <w:r>
        <w:rPr>
          <w:rFonts w:ascii="宋体" w:hAnsi="宋体" w:cs="宋体" w:eastAsia="宋体" w:hint="default"/>
          <w:sz w:val="18"/>
          <w:szCs w:val="18"/>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b/>
          <w:bCs/>
          <w:w w:val="99"/>
          <w:sz w:val="21"/>
          <w:szCs w:val="21"/>
        </w:rPr>
        <w:t> </w:t>
      </w:r>
      <w:r>
        <w:rPr>
          <w:rFonts w:ascii="宋体" w:hAnsi="宋体" w:cs="宋体" w:eastAsia="宋体" w:hint="default"/>
          <w:sz w:val="18"/>
          <w:szCs w:val="18"/>
        </w:rPr>
        <w:t>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销售额</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41,945,223.56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12.23%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38,156,482.91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27,328,482.59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12,987,200.00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3.79%</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148,417,389.06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43.27%</w:t>
            </w:r>
          </w:p>
        </w:tc>
      </w:tr>
    </w:tbl>
    <w:p>
      <w:pPr>
        <w:pStyle w:val="BodyText"/>
        <w:spacing w:line="240" w:lineRule="auto" w:before="51"/>
        <w:ind w:left="1134" w:right="0"/>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23,322,314.05</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25.96%</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采购额</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7,637,385.38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6,529,686.00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3,369,279.63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2,986,277.30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2,799,685.74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23,322,314.05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25.96%</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4" w:right="0"/>
              <w:jc w:val="left"/>
              <w:rPr>
                <w:rFonts w:ascii="Times New Roman" w:hAnsi="Times New Roman" w:cs="Times New Roman" w:eastAsia="Times New Roman" w:hint="default"/>
                <w:sz w:val="18"/>
                <w:szCs w:val="18"/>
              </w:rPr>
            </w:pPr>
            <w:r>
              <w:rPr>
                <w:rFonts w:ascii="Times New Roman"/>
                <w:sz w:val="18"/>
              </w:rPr>
              <w:t>89,467,758.31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151,335,599.97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-40.88%</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主要系报告期内对游戏产品投入的 广告推广减少所致</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0" w:right="0"/>
              <w:jc w:val="left"/>
              <w:rPr>
                <w:rFonts w:ascii="Times New Roman" w:hAnsi="Times New Roman" w:cs="Times New Roman" w:eastAsia="Times New Roman" w:hint="default"/>
                <w:sz w:val="18"/>
                <w:szCs w:val="18"/>
              </w:rPr>
            </w:pPr>
            <w:r>
              <w:rPr>
                <w:rFonts w:ascii="Times New Roman"/>
                <w:sz w:val="18"/>
              </w:rPr>
              <w:t>105,117,374.38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125,164,800.66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-16.02%</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主要系报告期内无重大中介费支出 及冲回期权费用所致</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9,487,346.72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0" w:right="0"/>
              <w:jc w:val="left"/>
              <w:rPr>
                <w:rFonts w:ascii="Times New Roman" w:hAnsi="Times New Roman" w:cs="Times New Roman" w:eastAsia="Times New Roman" w:hint="default"/>
                <w:sz w:val="18"/>
                <w:szCs w:val="18"/>
              </w:rPr>
            </w:pPr>
            <w:r>
              <w:rPr>
                <w:rFonts w:ascii="Times New Roman"/>
                <w:sz w:val="18"/>
              </w:rPr>
              <w:t>8,531,515.41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9" w:right="0"/>
              <w:jc w:val="left"/>
              <w:rPr>
                <w:rFonts w:ascii="Times New Roman" w:hAnsi="Times New Roman" w:cs="Times New Roman" w:eastAsia="Times New Roman" w:hint="default"/>
                <w:sz w:val="18"/>
                <w:szCs w:val="18"/>
              </w:rPr>
            </w:pPr>
            <w:r>
              <w:rPr>
                <w:rFonts w:ascii="Times New Roman"/>
                <w:sz w:val="18"/>
              </w:rPr>
              <w:t>11.20%</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主要系报告期内贷款利息支出及汇 率变动协同所致</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48" w:lineRule="auto"/>
        <w:ind w:right="4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报告期内，随着公司在研游戏产品陆续上线，目前在研项目主要以手机游戏为主。 近三年公司研发投入金额及占营业收入的比例</w:t>
      </w:r>
    </w:p>
    <w:p>
      <w:pPr>
        <w:spacing w:line="240" w:lineRule="auto" w:before="0"/>
        <w:rPr>
          <w:rFonts w:ascii="宋体" w:hAnsi="宋体" w:cs="宋体" w:eastAsia="宋体" w:hint="default"/>
          <w:sz w:val="2"/>
          <w:szCs w:val="2"/>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研发人员数量</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r>
              <w:rPr>
                <w:rFonts w:ascii="Times New Roman" w:hAnsi="Times New Roman" w:cs="Times New Roman" w:eastAsia="Times New Roman" w:hint="default"/>
                <w:sz w:val="18"/>
                <w:szCs w:val="18"/>
              </w:rPr>
              <w:t>)</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研发投入金额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131,245,337.72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135,754,022.89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151,479,246.30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研发支出资本化的金额</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59,700,379.12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74,291,252.05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128,810,327.40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-337.14%</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252.43%</w:t>
            </w:r>
          </w:p>
        </w:tc>
      </w:tr>
    </w:tbl>
    <w:p>
      <w:pPr>
        <w:pStyle w:val="BodyText"/>
        <w:spacing w:line="240" w:lineRule="auto" w:before="49"/>
        <w:ind w:left="113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240" w:lineRule="auto"/>
        <w:ind w:left="1133" w:right="0"/>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235" w:right="0"/>
              <w:jc w:val="left"/>
              <w:rPr>
                <w:rFonts w:ascii="Times New Roman" w:hAnsi="Times New Roman" w:cs="Times New Roman" w:eastAsia="Times New Roman" w:hint="default"/>
                <w:sz w:val="18"/>
                <w:szCs w:val="18"/>
              </w:rPr>
            </w:pPr>
            <w:r>
              <w:rPr>
                <w:rFonts w:ascii="Times New Roman"/>
                <w:sz w:val="18"/>
              </w:rPr>
              <w:t>434,538,999.91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4" w:right="0"/>
              <w:jc w:val="left"/>
              <w:rPr>
                <w:rFonts w:ascii="Times New Roman" w:hAnsi="Times New Roman" w:cs="Times New Roman" w:eastAsia="Times New Roman" w:hint="default"/>
                <w:sz w:val="18"/>
                <w:szCs w:val="18"/>
              </w:rPr>
            </w:pPr>
            <w:r>
              <w:rPr>
                <w:rFonts w:ascii="Times New Roman"/>
                <w:sz w:val="18"/>
              </w:rPr>
              <w:t>423,802,693.83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263,396,396.18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449,851,533.52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171,142,603.73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-26,048,839.69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757.01%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214,982,566.55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150,062,071.63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113,668,572.92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505,843,306.49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-77.53%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101,313,993.63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-355,781,234.86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128.48%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393,814,744.00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374,260,000.00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587,505,039.57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100,058,137.96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487.16%</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-193,690,295.57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274,201,862.04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-170.64%</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79,793,108.31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-106,417,468.85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174.98%</w:t>
            </w:r>
          </w:p>
        </w:tc>
      </w:tr>
    </w:tbl>
    <w:p>
      <w:pPr>
        <w:pStyle w:val="BodyText"/>
        <w:spacing w:line="240" w:lineRule="auto" w:before="51"/>
        <w:ind w:left="1134" w:right="0"/>
        <w:jc w:val="left"/>
      </w:pPr>
      <w:r>
        <w:rPr/>
        <w:t>相关数据同比发生重大变动的主要影响因素说明</w:t>
      </w:r>
    </w:p>
    <w:p>
      <w:pPr>
        <w:pStyle w:val="BodyText"/>
        <w:spacing w:line="319" w:lineRule="auto" w:before="117"/>
        <w:ind w:right="128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经营活动产生的现金流量净额较上年同期增加</w:t>
      </w:r>
      <w:r>
        <w:rPr>
          <w:rFonts w:ascii="Times New Roman" w:hAnsi="Times New Roman" w:cs="Times New Roman" w:eastAsia="Times New Roman" w:hint="default"/>
        </w:rPr>
        <w:t>757.01%</w:t>
      </w:r>
      <w:r>
        <w:rPr/>
        <w:t>，主要系本期加强销售收入回款及对游戏产品运营投入减少所致； 投资活动产生的现金流量净额较上年同期增加</w:t>
      </w:r>
      <w:r>
        <w:rPr>
          <w:rFonts w:ascii="Times New Roman" w:hAnsi="Times New Roman" w:cs="Times New Roman" w:eastAsia="Times New Roman" w:hint="default"/>
        </w:rPr>
        <w:t>128.48%</w:t>
      </w:r>
      <w:r>
        <w:rPr/>
        <w:t>，主要系本期终止重组收到预付股权款及处置上海跳跃股权所致；</w:t>
      </w:r>
    </w:p>
    <w:p>
      <w:pPr>
        <w:pStyle w:val="BodyText"/>
        <w:spacing w:line="340" w:lineRule="auto"/>
        <w:ind w:left="1134" w:right="3447"/>
        <w:jc w:val="left"/>
      </w:pPr>
      <w:r>
        <w:rPr/>
        <w:t>筹资活动产生的现金流量净额较上年同期减少</w:t>
      </w:r>
      <w:r>
        <w:rPr>
          <w:rFonts w:ascii="Times New Roman" w:hAnsi="Times New Roman" w:cs="Times New Roman" w:eastAsia="Times New Roman" w:hint="default"/>
        </w:rPr>
        <w:t>170.64%</w:t>
      </w:r>
      <w:r>
        <w:rPr/>
        <w:t>，主要系本期归还流动资金借款所致。 报告期内公司经营活动产生的现金净流量与本年度净利润存在重大差异的原因说明</w:t>
      </w:r>
    </w:p>
    <w:p>
      <w:pPr>
        <w:pStyle w:val="BodyText"/>
        <w:spacing w:line="240" w:lineRule="auto" w:before="41"/>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409"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248,870,369.04</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946" w:right="0"/>
              <w:jc w:val="left"/>
              <w:rPr>
                <w:rFonts w:ascii="Times New Roman" w:hAnsi="Times New Roman" w:cs="Times New Roman" w:eastAsia="Times New Roman" w:hint="default"/>
                <w:sz w:val="18"/>
                <w:szCs w:val="18"/>
              </w:rPr>
            </w:pPr>
            <w:r>
              <w:rPr>
                <w:rFonts w:ascii="Times New Roman"/>
                <w:sz w:val="18"/>
              </w:rPr>
              <w:t>284.36%</w:t>
            </w:r>
          </w:p>
        </w:tc>
        <w:tc>
          <w:tcPr>
            <w:tcW w:w="2254" w:type="dxa"/>
            <w:vMerge w:val="restart"/>
            <w:tcBorders>
              <w:top w:val="single" w:sz="4" w:space="0" w:color="000000"/>
              <w:left w:val="single" w:sz="4" w:space="0" w:color="000000"/>
              <w:right w:val="single" w:sz="4" w:space="0" w:color="000000"/>
            </w:tcBorders>
          </w:tcPr>
          <w:p>
            <w:pPr>
              <w:pStyle w:val="TableParagraph"/>
              <w:spacing w:line="307" w:lineRule="auto" w:before="51"/>
              <w:ind w:left="23" w:right="58"/>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本期出售上海跳跃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股权 确认投资收益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3,721,077.23 </w:t>
            </w:r>
            <w:r>
              <w:rPr>
                <w:rFonts w:ascii="宋体" w:hAnsi="宋体" w:cs="宋体" w:eastAsia="宋体" w:hint="default"/>
                <w:sz w:val="18"/>
                <w:szCs w:val="18"/>
              </w:rPr>
              <w:t>元、出售上海跳跃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w:t>
            </w:r>
            <w:r>
              <w:rPr>
                <w:rFonts w:ascii="宋体" w:hAnsi="宋体" w:cs="宋体" w:eastAsia="宋体" w:hint="default"/>
                <w:sz w:val="18"/>
                <w:szCs w:val="18"/>
              </w:rPr>
              <w:t>股 权确认投资收益 </w:t>
            </w:r>
            <w:r>
              <w:rPr>
                <w:rFonts w:ascii="Times New Roman" w:hAnsi="Times New Roman" w:cs="Times New Roman" w:eastAsia="Times New Roman" w:hint="default"/>
                <w:sz w:val="18"/>
                <w:szCs w:val="18"/>
              </w:rPr>
              <w:t>90,053,988.78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元和对上海跳 跃剩余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19.90%</w:t>
            </w:r>
            <w:r>
              <w:rPr>
                <w:rFonts w:ascii="宋体" w:hAnsi="宋体" w:cs="宋体" w:eastAsia="宋体" w:hint="default"/>
                <w:sz w:val="18"/>
                <w:szCs w:val="18"/>
              </w:rPr>
              <w:t>股权由权益 法核算转为可供出售金融资 产按公允价值重新计量，确 认投资收益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141,592,095.55</w:t>
            </w:r>
          </w:p>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409"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3"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282,387,650.41</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46" w:right="0"/>
              <w:jc w:val="left"/>
              <w:rPr>
                <w:rFonts w:ascii="Times New Roman" w:hAnsi="Times New Roman" w:cs="Times New Roman" w:eastAsia="Times New Roman" w:hint="default"/>
                <w:sz w:val="18"/>
                <w:szCs w:val="18"/>
              </w:rPr>
            </w:pPr>
            <w:r>
              <w:rPr>
                <w:rFonts w:ascii="Times New Roman"/>
                <w:sz w:val="18"/>
              </w:rPr>
              <w:t>322.65%</w:t>
            </w:r>
          </w:p>
        </w:tc>
        <w:tc>
          <w:tcPr>
            <w:tcW w:w="2254"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58"/>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本期计提无形资产减值 </w:t>
            </w:r>
            <w:r>
              <w:rPr>
                <w:rFonts w:ascii="Times New Roman" w:hAnsi="Times New Roman" w:cs="Times New Roman" w:eastAsia="Times New Roman" w:hint="default"/>
                <w:sz w:val="18"/>
                <w:szCs w:val="18"/>
              </w:rPr>
              <w:t>19,573,488.58</w:t>
            </w:r>
            <w:r>
              <w:rPr>
                <w:rFonts w:ascii="宋体" w:hAnsi="宋体" w:cs="宋体" w:eastAsia="宋体" w:hint="default"/>
                <w:sz w:val="18"/>
                <w:szCs w:val="18"/>
              </w:rPr>
              <w:t>、开发支出减 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68,008,348.23</w:t>
            </w:r>
            <w:r>
              <w:rPr>
                <w:rFonts w:ascii="宋体" w:hAnsi="宋体" w:cs="宋体" w:eastAsia="宋体" w:hint="default"/>
                <w:sz w:val="18"/>
                <w:szCs w:val="18"/>
              </w:rPr>
              <w:t>、商誉减值 </w:t>
            </w:r>
            <w:r>
              <w:rPr>
                <w:rFonts w:ascii="Times New Roman" w:hAnsi="Times New Roman" w:cs="Times New Roman" w:eastAsia="Times New Roman" w:hint="default"/>
                <w:sz w:val="18"/>
                <w:szCs w:val="18"/>
              </w:rPr>
              <w:t>186,694,513.17</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473"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1026"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179,905,816.04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205.56%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无需支付的应付款项</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133,339,500.00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元和定向分</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28,665,000.00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788,221.69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0.90%</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3"/>
        <w:spacing w:line="240" w:lineRule="auto" w:before="26"/>
        <w:ind w:left="1134" w:right="0"/>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left="1133" w:right="0"/>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7"/>
        <w:gridCol w:w="1175"/>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291,139,329.0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23.18%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214,346,220.78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13.96%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9.22%</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124,449,022.4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9.91%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169,993,068.52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11.07%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-1.16%</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43,816,222.33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26,463,904.86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27,061,318.59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50,606,508.51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7.96%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280,000,000.00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18.24%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-10.28%</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-0.52%</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208"/>
        <w:gridCol w:w="1219"/>
        <w:gridCol w:w="1207"/>
        <w:gridCol w:w="1213"/>
        <w:gridCol w:w="1207"/>
        <w:gridCol w:w="1219"/>
        <w:gridCol w:w="1213"/>
        <w:gridCol w:w="1073"/>
      </w:tblGrid>
      <w:tr>
        <w:trPr>
          <w:trHeight w:val="161" w:hRule="exact"/>
        </w:trPr>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1" w:right="5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073"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208" w:type="dxa"/>
            <w:vMerge/>
            <w:tcBorders>
              <w:left w:val="single" w:sz="4" w:space="0" w:color="000000"/>
              <w:bottom w:val="nil" w:sz="6" w:space="0" w:color="auto"/>
              <w:right w:val="single" w:sz="4" w:space="0" w:color="000000"/>
            </w:tcBorders>
            <w:shd w:val="clear" w:color="auto" w:fill="D2D2D2"/>
          </w:tcPr>
          <w:p>
            <w:pPr/>
          </w:p>
        </w:tc>
        <w:tc>
          <w:tcPr>
            <w:tcW w:w="1219"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5"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3"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12" w:right="53"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9"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073"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07"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本期转入金额</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208" w:type="dxa"/>
            <w:vMerge w:val="restart"/>
            <w:tcBorders>
              <w:top w:val="nil" w:sz="6" w:space="0" w:color="auto"/>
              <w:left w:val="single" w:sz="4" w:space="0" w:color="000000"/>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073"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208" w:type="dxa"/>
            <w:vMerge/>
            <w:tcBorders>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073"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52"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5"/>
              <w:jc w:val="left"/>
              <w:rPr>
                <w:rFonts w:ascii="宋体" w:hAnsi="宋体" w:cs="宋体" w:eastAsia="宋体" w:hint="default"/>
                <w:sz w:val="18"/>
                <w:szCs w:val="18"/>
              </w:rPr>
            </w:pPr>
            <w:r>
              <w:rPr>
                <w:rFonts w:ascii="宋体" w:hAnsi="宋体" w:cs="宋体" w:eastAsia="宋体" w:hint="default"/>
                <w:sz w:val="18"/>
                <w:szCs w:val="18"/>
              </w:rPr>
              <w:t>可供出售金融 资产</w:t>
            </w:r>
          </w:p>
        </w:tc>
        <w:tc>
          <w:tcPr>
            <w:tcW w:w="1219" w:type="dxa"/>
            <w:tcBorders>
              <w:top w:val="single" w:sz="4" w:space="0" w:color="000000"/>
              <w:left w:val="single" w:sz="13" w:space="0" w:color="D2D2D2"/>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181,972,226.70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181,972,226.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70</w:t>
            </w:r>
          </w:p>
        </w:tc>
      </w:tr>
      <w:tr>
        <w:trPr>
          <w:trHeight w:val="161" w:hRule="exact"/>
        </w:trPr>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10" w:space="0" w:color="D2D2D2"/>
              <w:right w:val="single" w:sz="4" w:space="0" w:color="000000"/>
            </w:tcBorders>
          </w:tcPr>
          <w:p>
            <w:pPr/>
          </w:p>
        </w:tc>
        <w:tc>
          <w:tcPr>
            <w:tcW w:w="1207" w:type="dxa"/>
            <w:vMerge w:val="restart"/>
            <w:tcBorders>
              <w:top w:val="single" w:sz="4" w:space="0" w:color="000000"/>
              <w:left w:val="single" w:sz="4" w:space="0" w:color="000000"/>
              <w:right w:val="single" w:sz="4" w:space="0" w:color="000000"/>
            </w:tcBorders>
          </w:tcPr>
          <w:p>
            <w:pPr/>
          </w:p>
        </w:tc>
        <w:tc>
          <w:tcPr>
            <w:tcW w:w="1213" w:type="dxa"/>
            <w:vMerge w:val="restart"/>
            <w:tcBorders>
              <w:top w:val="single" w:sz="4" w:space="0" w:color="000000"/>
              <w:left w:val="single" w:sz="4" w:space="0" w:color="000000"/>
              <w:right w:val="single" w:sz="4" w:space="0" w:color="000000"/>
            </w:tcBorders>
          </w:tcPr>
          <w:p>
            <w:pPr/>
          </w:p>
        </w:tc>
        <w:tc>
          <w:tcPr>
            <w:tcW w:w="1207" w:type="dxa"/>
            <w:vMerge w:val="restart"/>
            <w:tcBorders>
              <w:top w:val="single" w:sz="4" w:space="0" w:color="000000"/>
              <w:left w:val="single" w:sz="4" w:space="0" w:color="000000"/>
              <w:right w:val="single" w:sz="4" w:space="0" w:color="000000"/>
            </w:tcBorders>
          </w:tcPr>
          <w:p>
            <w:pPr/>
          </w:p>
        </w:tc>
        <w:tc>
          <w:tcPr>
            <w:tcW w:w="12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181,972,226.70</w:t>
            </w:r>
          </w:p>
        </w:tc>
        <w:tc>
          <w:tcPr>
            <w:tcW w:w="1213" w:type="dxa"/>
            <w:vMerge w:val="restart"/>
            <w:tcBorders>
              <w:top w:val="single" w:sz="4" w:space="0" w:color="000000"/>
              <w:left w:val="single" w:sz="4" w:space="0" w:color="000000"/>
              <w:right w:val="single" w:sz="4" w:space="0" w:color="000000"/>
            </w:tcBorders>
          </w:tcPr>
          <w:p>
            <w:pPr/>
          </w:p>
        </w:tc>
        <w:tc>
          <w:tcPr>
            <w:tcW w:w="107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181,972,226.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70</w:t>
            </w:r>
          </w:p>
        </w:tc>
      </w:tr>
      <w:tr>
        <w:trPr>
          <w:trHeight w:val="392"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19" w:type="dxa"/>
            <w:vMerge/>
            <w:tcBorders>
              <w:left w:val="single" w:sz="10" w:space="0" w:color="D2D2D2"/>
              <w:right w:val="single" w:sz="4" w:space="0" w:color="000000"/>
            </w:tcBorders>
          </w:tcPr>
          <w:p>
            <w:pPr/>
          </w:p>
        </w:tc>
        <w:tc>
          <w:tcPr>
            <w:tcW w:w="1207"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1207" w:type="dxa"/>
            <w:vMerge/>
            <w:tcBorders>
              <w:left w:val="single" w:sz="4" w:space="0" w:color="000000"/>
              <w:right w:val="single" w:sz="4" w:space="0" w:color="000000"/>
            </w:tcBorders>
          </w:tcPr>
          <w:p>
            <w:pPr/>
          </w:p>
        </w:tc>
        <w:tc>
          <w:tcPr>
            <w:tcW w:w="1219"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1073" w:type="dxa"/>
            <w:vMerge/>
            <w:tcBorders>
              <w:left w:val="single" w:sz="4" w:space="0" w:color="000000"/>
              <w:right w:val="single" w:sz="4" w:space="0" w:color="000000"/>
            </w:tcBorders>
          </w:tcPr>
          <w:p>
            <w:pPr/>
          </w:p>
        </w:tc>
      </w:tr>
      <w:tr>
        <w:trPr>
          <w:trHeight w:val="161" w:hRule="exact"/>
        </w:trPr>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10" w:space="0" w:color="D2D2D2"/>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219"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073" w:type="dxa"/>
            <w:vMerge/>
            <w:tcBorders>
              <w:left w:val="single" w:sz="4" w:space="0" w:color="000000"/>
              <w:bottom w:val="single" w:sz="4" w:space="0" w:color="000000"/>
              <w:right w:val="single" w:sz="4" w:space="0" w:color="000000"/>
            </w:tcBorders>
          </w:tcPr>
          <w:p>
            <w:pPr/>
          </w:p>
        </w:tc>
      </w:tr>
      <w:tr>
        <w:trPr>
          <w:trHeight w:val="402"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181,972,226.70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center"/>
              <w:rPr>
                <w:rFonts w:ascii="Times New Roman" w:hAnsi="Times New Roman" w:cs="Times New Roman" w:eastAsia="Times New Roman" w:hint="default"/>
                <w:sz w:val="18"/>
                <w:szCs w:val="18"/>
              </w:rPr>
            </w:pPr>
            <w:r>
              <w:rPr>
                <w:rFonts w:ascii="Times New Roman"/>
                <w:sz w:val="18"/>
              </w:rPr>
              <w:t>181,972,226.</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220"/>
        <w:gridCol w:w="1213"/>
        <w:gridCol w:w="1213"/>
        <w:gridCol w:w="1212"/>
        <w:gridCol w:w="1213"/>
        <w:gridCol w:w="1214"/>
        <w:gridCol w:w="1213"/>
        <w:gridCol w:w="1073"/>
      </w:tblGrid>
      <w:tr>
        <w:trPr>
          <w:trHeight w:val="362"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70</w:t>
            </w:r>
          </w:p>
        </w:tc>
      </w:tr>
      <w:tr>
        <w:trPr>
          <w:trHeight w:val="402"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报告期内公司主要资产计量属性是否发生重大变化</w:t>
      </w:r>
    </w:p>
    <w:p>
      <w:pPr>
        <w:pStyle w:val="BodyText"/>
        <w:spacing w:line="240" w:lineRule="auto" w:before="117"/>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五、投资状况分析" w:id="42"/>
      <w:bookmarkEnd w:id="42"/>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left="1133" w:right="0"/>
        <w:jc w:val="left"/>
        <w:rPr>
          <w:b w:val="0"/>
          <w:bCs w:val="0"/>
        </w:rPr>
      </w:pPr>
      <w:bookmarkStart w:name="1、总体情况" w:id="43"/>
      <w:bookmarkEnd w:id="43"/>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240" w:lineRule="auto"/>
        <w:ind w:left="1133" w:right="0"/>
        <w:jc w:val="left"/>
        <w:rPr>
          <w:b w:val="0"/>
          <w:bCs w:val="0"/>
        </w:rPr>
      </w:pPr>
      <w:bookmarkStart w:name="2、报告期内获取的重大的股权投资情况" w:id="44"/>
      <w:bookmarkEnd w:id="44"/>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240" w:lineRule="auto"/>
        <w:ind w:left="1133" w:right="0"/>
        <w:jc w:val="left"/>
        <w:rPr>
          <w:b w:val="0"/>
          <w:bCs w:val="0"/>
        </w:rPr>
      </w:pPr>
      <w:bookmarkStart w:name="3、报告期内正在进行的重大的非股权投资情况" w:id="45"/>
      <w:bookmarkEnd w:id="45"/>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240" w:lineRule="auto"/>
        <w:ind w:left="1133" w:right="0"/>
        <w:jc w:val="left"/>
        <w:rPr>
          <w:b w:val="0"/>
          <w:bCs w:val="0"/>
        </w:rPr>
      </w:pPr>
      <w:bookmarkStart w:name="4、以公允价值计量的金融资产" w:id="46"/>
      <w:bookmarkEnd w:id="46"/>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88"/>
        <w:gridCol w:w="895"/>
        <w:gridCol w:w="1088"/>
        <w:gridCol w:w="1180"/>
        <w:gridCol w:w="1194"/>
        <w:gridCol w:w="955"/>
        <w:gridCol w:w="957"/>
        <w:gridCol w:w="956"/>
        <w:gridCol w:w="955"/>
      </w:tblGrid>
      <w:tr>
        <w:trPr>
          <w:trHeight w:val="1026"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7"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1" w:right="83"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1" w:right="50" w:hanging="360"/>
              <w:jc w:val="left"/>
              <w:rPr>
                <w:rFonts w:ascii="宋体" w:hAnsi="宋体" w:cs="宋体" w:eastAsia="宋体" w:hint="default"/>
                <w:sz w:val="18"/>
                <w:szCs w:val="18"/>
              </w:rPr>
            </w:pPr>
            <w:r>
              <w:rPr>
                <w:rFonts w:ascii="宋体" w:hAnsi="宋体" w:cs="宋体" w:eastAsia="宋体" w:hint="default"/>
                <w:sz w:val="18"/>
                <w:szCs w:val="18"/>
              </w:rPr>
              <w:t>报告期内转入 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2" w:right="20"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4" w:right="21" w:hanging="361"/>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181,972,226.70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181,972,226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长期股权转 入</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181,972,226.70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181,972,226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5、募集资金使用情况" w:id="47"/>
      <w:bookmarkEnd w:id="47"/>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240" w:lineRule="auto"/>
        <w:ind w:left="1133" w:right="0"/>
        <w:jc w:val="left"/>
        <w:rPr>
          <w:b w:val="0"/>
          <w:bCs w:val="0"/>
        </w:rPr>
      </w:pPr>
      <w:bookmarkStart w:name="(1)募集资金总体使用情况" w:id="48"/>
      <w:bookmarkEnd w:id="48"/>
      <w:r>
        <w:rPr>
          <w:b w:val="0"/>
          <w:bCs w:val="0"/>
        </w:rPr>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5"/>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57"/>
      </w:tblGrid>
      <w:tr>
        <w:trPr>
          <w:trHeight w:val="1016"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69" w:right="68"/>
              <w:jc w:val="both"/>
              <w:rPr>
                <w:rFonts w:ascii="宋体" w:hAnsi="宋体" w:cs="宋体" w:eastAsia="宋体" w:hint="default"/>
                <w:sz w:val="18"/>
                <w:szCs w:val="18"/>
              </w:rPr>
            </w:pPr>
            <w:r>
              <w:rPr>
                <w:rFonts w:ascii="宋体" w:hAnsi="宋体" w:cs="宋体" w:eastAsia="宋体" w:hint="default"/>
                <w:sz w:val="18"/>
                <w:szCs w:val="18"/>
              </w:rPr>
              <w:t>尚未使用 募集资金 用途及去</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68" w:right="5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bl>
    <w:p>
      <w:pPr>
        <w:spacing w:after="0" w:line="319"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group style="position:absolute;margin-left:139.460007pt;margin-top:711.719971pt;width:36.450pt;height:15.6pt;mso-position-horizontal-relative:page;mso-position-vertical-relative:page;z-index:-1113088" coordorigin="2789,14234" coordsize="729,312">
            <v:shape style="position:absolute;left:2789;top:14234;width:729;height:312" coordorigin="2789,14234" coordsize="729,312" path="m2789,14546l3518,14546,3518,14234,2789,14234,2789,14546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before="44"/>
        <w:ind w:left="0" w:right="1158"/>
        <w:jc w:val="right"/>
      </w:pPr>
      <w:r>
        <w:rPr/>
        <w:pict>
          <v:shape style="position:absolute;margin-left:56.459999pt;margin-top:-126.02829pt;width:479pt;height:301.850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36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8" w:right="0"/>
                          <w:jc w:val="left"/>
                          <w:rPr>
                            <w:rFonts w:ascii="宋体" w:hAnsi="宋体" w:cs="宋体" w:eastAsia="宋体" w:hint="default"/>
                            <w:sz w:val="18"/>
                            <w:szCs w:val="18"/>
                          </w:rPr>
                        </w:pPr>
                        <w:r>
                          <w:rPr>
                            <w:rFonts w:ascii="宋体" w:hAnsi="宋体" w:cs="宋体" w:eastAsia="宋体" w:hint="default"/>
                            <w:sz w:val="18"/>
                            <w:szCs w:val="18"/>
                          </w:rPr>
                          <w:t>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9" w:right="0"/>
                          <w:jc w:val="left"/>
                          <w:rPr>
                            <w:rFonts w:ascii="宋体" w:hAnsi="宋体" w:cs="宋体" w:eastAsia="宋体" w:hint="default"/>
                            <w:sz w:val="18"/>
                            <w:szCs w:val="18"/>
                          </w:rPr>
                        </w:pPr>
                        <w:r>
                          <w:rPr>
                            <w:rFonts w:ascii="宋体" w:hAnsi="宋体" w:cs="宋体" w:eastAsia="宋体" w:hint="default"/>
                            <w:sz w:val="18"/>
                            <w:szCs w:val="18"/>
                          </w:rPr>
                          <w:t>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公开发行 股票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71,075.5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4,184.65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71,509.52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3,220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32,686.63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45.99%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4,537.59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专户存放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867" w:type="dxa"/>
                        <w:tcBorders>
                          <w:top w:val="single" w:sz="4" w:space="0" w:color="000000"/>
                          <w:left w:val="single" w:sz="4" w:space="0" w:color="000000"/>
                          <w:bottom w:val="nil" w:sz="6" w:space="0" w:color="auto"/>
                          <w:right w:val="single" w:sz="4" w:space="0" w:color="000000"/>
                        </w:tcBorders>
                        <w:shd w:val="clear" w:color="auto" w:fill="D2D2D2"/>
                      </w:tcPr>
                      <w:p>
                        <w:pPr/>
                      </w:p>
                    </w:tc>
                    <w:tc>
                      <w:tcPr>
                        <w:tcW w:w="863" w:type="dxa"/>
                        <w:tcBorders>
                          <w:top w:val="single" w:sz="4" w:space="0" w:color="000000"/>
                          <w:left w:val="single" w:sz="4" w:space="0" w:color="000000"/>
                          <w:bottom w:val="nil" w:sz="6" w:space="0" w:color="auto"/>
                          <w:right w:val="single" w:sz="4" w:space="0" w:color="000000"/>
                        </w:tcBorders>
                        <w:shd w:val="clear" w:color="auto" w:fill="D2D2D2"/>
                      </w:tcPr>
                      <w:p>
                        <w:pPr/>
                      </w:p>
                    </w:tc>
                    <w:tc>
                      <w:tcPr>
                        <w:tcW w:w="87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71,075.5</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4,184.65</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5"/>
                            <w:szCs w:val="15"/>
                          </w:rPr>
                        </w:pPr>
                        <w:r>
                          <w:rPr>
                            <w:rFonts w:ascii="Times New Roman"/>
                            <w:sz w:val="18"/>
                          </w:rPr>
                          <w:t>71,509.52</w:t>
                        </w:r>
                        <w:r>
                          <w:rPr>
                            <w:rFonts w:ascii="Times New Roman"/>
                            <w:sz w:val="15"/>
                          </w:rPr>
                          <w:t>(</w:t>
                        </w:r>
                      </w:p>
                      <w:p>
                        <w:pPr>
                          <w:pStyle w:val="TableParagraph"/>
                          <w:spacing w:line="240" w:lineRule="auto" w:before="88"/>
                          <w:ind w:left="524"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3,220</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32,686.63</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45.99%</w:t>
                        </w:r>
                      </w:p>
                    </w:tc>
                    <w:tc>
                      <w:tcPr>
                        <w:tcW w:w="870"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4,537.59</w:t>
                        </w: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3" w:hRule="exact"/>
                    </w:trPr>
                    <w:tc>
                      <w:tcPr>
                        <w:tcW w:w="8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9" w:space="0" w:color="D2D2D2"/>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vMerge/>
                        <w:tcBorders>
                          <w:left w:val="single" w:sz="10" w:space="0" w:color="D2D2D2"/>
                          <w:right w:val="single" w:sz="4" w:space="0" w:color="000000"/>
                        </w:tcBorders>
                      </w:tcPr>
                      <w:p>
                        <w:pPr/>
                      </w:p>
                    </w:tc>
                  </w:tr>
                  <w:tr>
                    <w:trPr>
                      <w:trHeight w:val="161" w:hRule="exact"/>
                    </w:trPr>
                    <w:tc>
                      <w:tcPr>
                        <w:tcW w:w="867" w:type="dxa"/>
                        <w:tcBorders>
                          <w:top w:val="nil" w:sz="6" w:space="0" w:color="auto"/>
                          <w:left w:val="single" w:sz="4" w:space="0" w:color="000000"/>
                          <w:bottom w:val="single" w:sz="4" w:space="0" w:color="000000"/>
                          <w:right w:val="single" w:sz="4" w:space="0" w:color="000000"/>
                        </w:tcBorders>
                        <w:shd w:val="clear" w:color="auto" w:fill="D2D2D2"/>
                      </w:tcPr>
                      <w:p>
                        <w:pPr/>
                      </w:p>
                    </w:tc>
                    <w:tc>
                      <w:tcPr>
                        <w:tcW w:w="863" w:type="dxa"/>
                        <w:tcBorders>
                          <w:top w:val="nil" w:sz="6" w:space="0" w:color="auto"/>
                          <w:left w:val="single" w:sz="4" w:space="0" w:color="000000"/>
                          <w:bottom w:val="single" w:sz="4" w:space="0" w:color="000000"/>
                          <w:right w:val="single" w:sz="4" w:space="0" w:color="000000"/>
                        </w:tcBorders>
                        <w:shd w:val="clear" w:color="auto" w:fill="D2D2D2"/>
                      </w:tcPr>
                      <w:p>
                        <w:pPr/>
                      </w:p>
                    </w:tc>
                    <w:tc>
                      <w:tcPr>
                        <w:tcW w:w="877"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9" w:space="0" w:color="D2D2D2"/>
                        </w:tcBorders>
                      </w:tcPr>
                      <w:p>
                        <w:pP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10" w:space="0" w:color="D2D2D2"/>
                          <w:bottom w:val="single" w:sz="4" w:space="0" w:color="000000"/>
                          <w:right w:val="single" w:sz="4" w:space="0" w:color="000000"/>
                        </w:tcBorders>
                      </w:tcPr>
                      <w:p>
                        <w:pP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834"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[2010]94</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号文核准，并经深圳证券交易所同意，深圳中青宝互动网络股份有限公司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w:t>
                        </w:r>
                        <w:r>
                          <w:rPr>
                            <w:rFonts w:ascii="宋体" w:hAnsi="宋体" w:cs="宋体" w:eastAsia="宋体" w:hint="default"/>
                            <w:spacing w:val="-85"/>
                            <w:sz w:val="18"/>
                            <w:szCs w:val="18"/>
                          </w:rPr>
                          <w:t> </w:t>
                        </w: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日向社会公众公开发行普通股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 </w:t>
                        </w:r>
                        <w:r>
                          <w:rPr>
                            <w:rFonts w:ascii="宋体" w:hAnsi="宋体" w:cs="宋体" w:eastAsia="宋体" w:hint="default"/>
                            <w:sz w:val="18"/>
                            <w:szCs w:val="18"/>
                          </w:rPr>
                          <w:t>万股，每股面值人民币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每股发行价人民币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日止，本公司共募集资金人民币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750,000,000.00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元，扣除发行费用人民币</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45,754,350.28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元，募集资金净额人民币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704,245,649.72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1"/>
                            <w:sz w:val="18"/>
                            <w:szCs w:val="18"/>
                          </w:rPr>
                          <w:t> </w:t>
                        </w: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日，本公司上述发行募集的资金已全部到</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位，业经深圳市鹏城会计师事务所有限公司审验并出具深鹏所验字【</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049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号《验资报告</w:t>
                        </w:r>
                        <w:r>
                          <w:rPr>
                            <w:rFonts w:ascii="宋体" w:hAnsi="宋体" w:cs="宋体" w:eastAsia="宋体" w:hint="default"/>
                            <w:spacing w:val="-90"/>
                            <w:sz w:val="18"/>
                            <w:szCs w:val="18"/>
                          </w:rPr>
                          <w:t>》</w:t>
                        </w:r>
                        <w:r>
                          <w:rPr>
                            <w:rFonts w:ascii="宋体" w:hAnsi="宋体" w:cs="宋体" w:eastAsia="宋体" w:hint="default"/>
                            <w:sz w:val="18"/>
                            <w:szCs w:val="18"/>
                          </w:rPr>
                          <w:t>。 本公司依据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日财政部颁布的财会</w:t>
                        </w:r>
                        <w:r>
                          <w:rPr>
                            <w:rFonts w:ascii="Times New Roman" w:hAnsi="Times New Roman" w:cs="Times New Roman" w:eastAsia="Times New Roman" w:hint="default"/>
                            <w:sz w:val="18"/>
                            <w:szCs w:val="18"/>
                          </w:rPr>
                          <w:t>[2010]25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号《财政部关于执行企业会计准则的上市公司和非上市企业做好</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年年报工作的通</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知》的要求，将不符合发行费要求的费用合计人民币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6,509,350.28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元进行了调整，调整后募集资金净额为人民币</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710,755,000.00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24"/>
                            <w:sz w:val="18"/>
                            <w:szCs w:val="18"/>
                          </w:rPr>
                          <w:t> </w:t>
                        </w:r>
                        <w:r>
                          <w:rPr>
                            <w:rFonts w:ascii="宋体" w:hAnsi="宋体" w:cs="宋体" w:eastAsia="宋体" w:hint="default"/>
                            <w:sz w:val="18"/>
                            <w:szCs w:val="18"/>
                          </w:rPr>
                          <w:t>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日，公司对募集资金项目累计投入人民币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715,095,188.44</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元，其中：公司于募集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资金到位之前利用自有资金先期投入募集资金项目人民币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27,161,557.</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 </w:t>
                        </w:r>
                        <w:r>
                          <w:rPr>
                            <w:rFonts w:ascii="宋体" w:hAnsi="宋体" w:cs="宋体" w:eastAsia="宋体" w:hint="default"/>
                            <w:sz w:val="18"/>
                            <w:szCs w:val="18"/>
                          </w:rPr>
                          <w:t>元</w:t>
                        </w:r>
                        <w:r>
                          <w:rPr>
                            <w:rFonts w:ascii="宋体" w:hAnsi="宋体" w:cs="宋体" w:eastAsia="宋体" w:hint="default"/>
                            <w:spacing w:val="-77"/>
                            <w:sz w:val="18"/>
                            <w:szCs w:val="18"/>
                          </w:rPr>
                          <w:t>；</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起</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已使用募集资金人民币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687,933,588.94 </w:t>
                        </w:r>
                        <w:r>
                          <w:rPr>
                            <w:rFonts w:ascii="宋体" w:hAnsi="宋体" w:cs="宋体" w:eastAsia="宋体" w:hint="default"/>
                            <w:spacing w:val="-5"/>
                            <w:sz w:val="18"/>
                            <w:szCs w:val="18"/>
                          </w:rPr>
                          <w:t>元。</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年使用募集资金人民币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41,846,527.28 </w:t>
                        </w:r>
                        <w:r>
                          <w:rPr>
                            <w:rFonts w:ascii="宋体" w:hAnsi="宋体" w:cs="宋体" w:eastAsia="宋体" w:hint="default"/>
                            <w:sz w:val="18"/>
                            <w:szCs w:val="18"/>
                          </w:rPr>
                          <w:t>元。</w:t>
                        </w:r>
                        <w:r>
                          <w:rPr>
                            <w:rFonts w:ascii="宋体" w:hAnsi="宋体" w:cs="宋体" w:eastAsia="宋体" w:hint="default"/>
                            <w:spacing w:val="-26"/>
                            <w:sz w:val="18"/>
                            <w:szCs w:val="18"/>
                          </w:rPr>
                          <w:t> </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日，募集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资金存放期间产生专用账户利息收入净额为人民币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49,716,053.39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已扣除相关手续费和账户维护费</w:t>
                        </w:r>
                        <w:r>
                          <w:rPr>
                            <w:rFonts w:ascii="Times New Roman" w:hAnsi="Times New Roman" w:cs="Times New Roman" w:eastAsia="Times New Roman" w:hint="default"/>
                            <w:sz w:val="18"/>
                            <w:szCs w:val="18"/>
                          </w:rPr>
                          <w:t>)</w:t>
                        </w:r>
                        <w:r>
                          <w:rPr>
                            <w:rFonts w:ascii="宋体" w:hAnsi="宋体" w:cs="宋体" w:eastAsia="宋体" w:hint="default"/>
                            <w:sz w:val="18"/>
                            <w:szCs w:val="18"/>
                          </w:rPr>
                          <w:t>。截止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日，募集资金余额为人民币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45,375,864.95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7"/>
        <w:spacing w:line="240" w:lineRule="auto" w:before="35"/>
        <w:ind w:right="0"/>
        <w:jc w:val="left"/>
        <w:rPr>
          <w:b w:val="0"/>
          <w:bCs w:val="0"/>
        </w:rPr>
      </w:pPr>
      <w:bookmarkStart w:name="(2)募集资金承诺项目情况" w:id="49"/>
      <w:bookmarkEnd w:id="49"/>
      <w:r>
        <w:rPr>
          <w:b w:val="0"/>
          <w:bCs w:val="0"/>
        </w:rPr>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23"/>
        <w:gridCol w:w="717"/>
        <w:gridCol w:w="716"/>
        <w:gridCol w:w="719"/>
        <w:gridCol w:w="718"/>
        <w:gridCol w:w="716"/>
        <w:gridCol w:w="719"/>
        <w:gridCol w:w="718"/>
        <w:gridCol w:w="718"/>
        <w:gridCol w:w="710"/>
      </w:tblGrid>
      <w:tr>
        <w:trPr>
          <w:trHeight w:val="1650"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69" w:right="9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63" w:right="62"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3" w:right="87"/>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8" w:right="87"/>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1" w:right="8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4" w:right="71"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2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8"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1" w:right="8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0" w:right="86"/>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8"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1.3D</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游戏《盟军》开</w:t>
            </w:r>
            <w:r>
              <w:rPr>
                <w:rFonts w:ascii="宋体" w:hAnsi="宋体" w:cs="宋体" w:eastAsia="宋体" w:hint="default"/>
                <w:sz w:val="18"/>
                <w:szCs w:val="18"/>
              </w:rPr>
              <w:t> 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暂定名</w:t>
            </w:r>
            <w:r>
              <w:rPr>
                <w:rFonts w:ascii="Times New Roman" w:hAnsi="Times New Roman" w:cs="Times New Roman" w:eastAsia="Times New Roman" w:hint="default"/>
                <w:sz w:val="18"/>
                <w:szCs w:val="18"/>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5,696</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3,696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4,144.28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112.13%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559.49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-81.69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2.2.5D</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游戏《三国游</w:t>
            </w:r>
            <w:r>
              <w:rPr>
                <w:rFonts w:ascii="宋体" w:hAnsi="宋体" w:cs="宋体" w:eastAsia="宋体" w:hint="default"/>
                <w:sz w:val="18"/>
                <w:szCs w:val="18"/>
              </w:rPr>
              <w:t> 侠》开发项目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暂定 名</w:t>
            </w:r>
            <w:r>
              <w:rPr>
                <w:rFonts w:ascii="Times New Roman" w:hAnsi="Times New Roman" w:cs="Times New Roman" w:eastAsia="Times New Roman" w:hint="default"/>
                <w:sz w:val="18"/>
                <w:szCs w:val="18"/>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5,270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3,083.37</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102.1</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2,655.73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86.13%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31.76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-215.45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3.2.5D</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游戏《新宋演</w:t>
            </w:r>
            <w:r>
              <w:rPr>
                <w:rFonts w:ascii="宋体" w:hAnsi="宋体" w:cs="宋体" w:eastAsia="宋体" w:hint="default"/>
                <w:sz w:val="18"/>
                <w:szCs w:val="18"/>
              </w:rPr>
              <w:t> 义》开发项目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暂定 名</w:t>
            </w:r>
            <w:r>
              <w:rPr>
                <w:rFonts w:ascii="Times New Roman" w:hAnsi="Times New Roman" w:cs="Times New Roman" w:eastAsia="Times New Roman" w:hint="default"/>
                <w:sz w:val="18"/>
                <w:szCs w:val="18"/>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5,246</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3,246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16.4</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1,812.89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55.85%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162.82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-27.88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游戏《寻梦园》 开发项目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暂定名</w:t>
            </w:r>
            <w:r>
              <w:rPr>
                <w:rFonts w:ascii="Times New Roman" w:hAnsi="Times New Roman" w:cs="Times New Roman" w:eastAsia="Times New Roman" w:hint="default"/>
                <w:sz w:val="18"/>
                <w:szCs w:val="18"/>
              </w:rPr>
              <w:t>)</w:t>
            </w:r>
          </w:p>
        </w:tc>
        <w:tc>
          <w:tcPr>
            <w:tcW w:w="73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4,639</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2,639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1,608.5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60.95%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-28.89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-425.68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23"/>
        <w:gridCol w:w="717"/>
        <w:gridCol w:w="716"/>
        <w:gridCol w:w="694"/>
        <w:gridCol w:w="743"/>
        <w:gridCol w:w="716"/>
        <w:gridCol w:w="719"/>
        <w:gridCol w:w="718"/>
        <w:gridCol w:w="718"/>
        <w:gridCol w:w="710"/>
      </w:tblGrid>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网络游戏研发技术 平台项目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1,778.9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1,937.68</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108.93%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苏州研发中心建设 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11,500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0.24</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709.42</w:t>
            </w:r>
          </w:p>
        </w:tc>
        <w:tc>
          <w:tcPr>
            <w:tcW w:w="74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Times New Roman" w:hAnsi="Times New Roman" w:cs="Times New Roman" w:eastAsia="Times New Roman" w:hint="default"/>
                <w:sz w:val="15"/>
                <w:szCs w:val="15"/>
              </w:rPr>
            </w:pPr>
            <w:r>
              <w:rPr>
                <w:rFonts w:ascii="宋体" w:hAnsi="宋体" w:cs="宋体" w:eastAsia="宋体" w:hint="default"/>
                <w:sz w:val="18"/>
                <w:szCs w:val="18"/>
              </w:rPr>
              <w:t>是</w:t>
            </w: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上海美峰数码科技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 收购项目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14,280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14,280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-958.28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4,174.25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深圳市苏摩科技有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股权收 购项目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2,186.63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2,186.63</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562.55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1,588.66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永久补充流动资金</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821.1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821.1</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永久补充流动资金</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3,220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3,602.2</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3,602.2</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pacing w:val="-3"/>
                <w:sz w:val="18"/>
              </w:rPr>
              <w:t>111.87%</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34,951</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34,951</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3,720.94</w:t>
            </w:r>
          </w:p>
        </w:tc>
        <w:tc>
          <w:tcPr>
            <w:tcW w:w="694" w:type="dxa"/>
            <w:vMerge w:val="restart"/>
            <w:tcBorders>
              <w:top w:val="single" w:sz="4" w:space="0" w:color="000000"/>
              <w:left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33,758.4</w:t>
            </w:r>
          </w:p>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z w:val="18"/>
              </w:rPr>
              <w:t>3</w:t>
            </w:r>
          </w:p>
        </w:tc>
        <w:tc>
          <w:tcPr>
            <w:tcW w:w="7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329.45</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5,012.21</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9" w:space="0" w:color="D2D2D2"/>
            </w:tcBorders>
          </w:tcPr>
          <w:p>
            <w:pPr/>
          </w:p>
        </w:tc>
        <w:tc>
          <w:tcPr>
            <w:tcW w:w="7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9" w:space="0" w:color="D2D2D2"/>
            </w:tcBorders>
          </w:tcPr>
          <w:p>
            <w:pPr/>
          </w:p>
        </w:tc>
        <w:tc>
          <w:tcPr>
            <w:tcW w:w="7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5"/>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以游戏产品</w:t>
            </w:r>
            <w:r>
              <w:rPr>
                <w:rFonts w:ascii="Times New Roman" w:hAnsi="Times New Roman" w:cs="Times New Roman" w:eastAsia="Times New Roman" w:hint="default"/>
                <w:sz w:val="18"/>
                <w:szCs w:val="18"/>
              </w:rPr>
              <w:t>(</w:t>
            </w:r>
            <w:r>
              <w:rPr>
                <w:rFonts w:ascii="宋体" w:hAnsi="宋体" w:cs="宋体" w:eastAsia="宋体" w:hint="default"/>
                <w:sz w:val="18"/>
                <w:szCs w:val="18"/>
              </w:rPr>
              <w:t>非募 投项目产品</w:t>
            </w:r>
            <w:r>
              <w:rPr>
                <w:rFonts w:ascii="Times New Roman" w:hAnsi="Times New Roman" w:cs="Times New Roman" w:eastAsia="Times New Roman" w:hint="default"/>
                <w:sz w:val="18"/>
                <w:szCs w:val="18"/>
              </w:rPr>
              <w:t>)</w:t>
            </w:r>
            <w:r>
              <w:rPr>
                <w:rFonts w:ascii="宋体" w:hAnsi="宋体" w:cs="宋体" w:eastAsia="宋体" w:hint="default"/>
                <w:sz w:val="18"/>
                <w:szCs w:val="18"/>
              </w:rPr>
              <w:t>推广为 目的的营运投入</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8,000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8,000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z w:val="18"/>
              </w:rPr>
              <w:t>8,774.5</w:t>
            </w:r>
          </w:p>
          <w:p>
            <w:pPr>
              <w:pStyle w:val="TableParagraph"/>
              <w:spacing w:line="240" w:lineRule="auto" w:before="106"/>
              <w:ind w:right="49"/>
              <w:jc w:val="right"/>
              <w:rPr>
                <w:rFonts w:ascii="Times New Roman" w:hAnsi="Times New Roman" w:cs="Times New Roman" w:eastAsia="Times New Roman" w:hint="default"/>
                <w:sz w:val="18"/>
                <w:szCs w:val="18"/>
              </w:rPr>
            </w:pPr>
            <w:r>
              <w:rPr>
                <w:rFonts w:ascii="Times New Roman"/>
                <w:sz w:val="18"/>
              </w:rPr>
              <w:t>2</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109.68%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2,979.67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增资卓页互动用于 网页游戏产品业务 发展投入</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1,750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1,750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z w:val="18"/>
              </w:rPr>
              <w:t>1,764.2</w:t>
            </w:r>
          </w:p>
          <w:p>
            <w:pPr>
              <w:pStyle w:val="TableParagraph"/>
              <w:spacing w:line="240" w:lineRule="auto" w:before="106"/>
              <w:ind w:right="49"/>
              <w:jc w:val="right"/>
              <w:rPr>
                <w:rFonts w:ascii="Times New Roman" w:hAnsi="Times New Roman" w:cs="Times New Roman" w:eastAsia="Times New Roman" w:hint="default"/>
                <w:sz w:val="18"/>
                <w:szCs w:val="18"/>
              </w:rPr>
            </w:pPr>
            <w:r>
              <w:rPr>
                <w:rFonts w:ascii="Times New Roman"/>
                <w:sz w:val="18"/>
              </w:rPr>
              <w:t>8</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100.82%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-1,539.6</w:t>
            </w:r>
            <w:r>
              <w:rPr>
                <w:rFonts w:ascii="Times New Roman"/>
                <w:sz w:val="18"/>
              </w:rPr>
            </w:r>
          </w:p>
          <w:p>
            <w:pPr>
              <w:pStyle w:val="TableParagraph"/>
              <w:spacing w:line="240" w:lineRule="auto" w:before="106"/>
              <w:ind w:right="24"/>
              <w:jc w:val="right"/>
              <w:rPr>
                <w:rFonts w:ascii="Times New Roman" w:hAnsi="Times New Roman" w:cs="Times New Roman" w:eastAsia="Times New Roman" w:hint="default"/>
                <w:sz w:val="18"/>
                <w:szCs w:val="18"/>
              </w:rPr>
            </w:pPr>
            <w:r>
              <w:rPr>
                <w:rFonts w:ascii="Times New Roman"/>
                <w:sz w:val="18"/>
              </w:rPr>
              <w:t>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-2,356.0</w:t>
            </w:r>
            <w:r>
              <w:rPr>
                <w:rFonts w:ascii="Times New Roman"/>
                <w:sz w:val="18"/>
              </w:rPr>
            </w:r>
          </w:p>
          <w:p>
            <w:pPr>
              <w:pStyle w:val="TableParagraph"/>
              <w:spacing w:line="240" w:lineRule="auto" w:before="106"/>
              <w:ind w:right="26"/>
              <w:jc w:val="right"/>
              <w:rPr>
                <w:rFonts w:ascii="Times New Roman" w:hAnsi="Times New Roman" w:cs="Times New Roman" w:eastAsia="Times New Roman" w:hint="default"/>
                <w:sz w:val="18"/>
                <w:szCs w:val="18"/>
              </w:rPr>
            </w:pPr>
            <w:r>
              <w:rPr>
                <w:rFonts w:ascii="Times New Roman"/>
                <w:sz w:val="18"/>
              </w:rPr>
              <w:t>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中青聚宝项目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10,000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7,000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463.71</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z w:val="18"/>
              </w:rPr>
              <w:t>6,954.4</w:t>
            </w:r>
          </w:p>
          <w:p>
            <w:pPr>
              <w:pStyle w:val="TableParagraph"/>
              <w:spacing w:line="240" w:lineRule="auto" w:before="106"/>
              <w:ind w:right="49"/>
              <w:jc w:val="right"/>
              <w:rPr>
                <w:rFonts w:ascii="Times New Roman" w:hAnsi="Times New Roman" w:cs="Times New Roman" w:eastAsia="Times New Roman" w:hint="default"/>
                <w:sz w:val="18"/>
                <w:szCs w:val="18"/>
              </w:rPr>
            </w:pPr>
            <w:r>
              <w:rPr>
                <w:rFonts w:ascii="Times New Roman"/>
                <w:sz w:val="18"/>
              </w:rPr>
              <w:t>9</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3" w:right="0"/>
              <w:jc w:val="center"/>
              <w:rPr>
                <w:rFonts w:ascii="Times New Roman" w:hAnsi="Times New Roman" w:cs="Times New Roman" w:eastAsia="Times New Roman" w:hint="default"/>
                <w:sz w:val="18"/>
                <w:szCs w:val="18"/>
              </w:rPr>
            </w:pPr>
            <w:r>
              <w:rPr>
                <w:rFonts w:ascii="Times New Roman"/>
                <w:sz w:val="18"/>
              </w:rPr>
              <w:t>99.35%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-585.09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-1,387.8</w:t>
            </w:r>
            <w:r>
              <w:rPr>
                <w:rFonts w:ascii="Times New Roman"/>
                <w:sz w:val="18"/>
              </w:rPr>
            </w:r>
          </w:p>
          <w:p>
            <w:pPr>
              <w:pStyle w:val="TableParagraph"/>
              <w:spacing w:line="240" w:lineRule="auto" w:before="106"/>
              <w:ind w:right="26"/>
              <w:jc w:val="right"/>
              <w:rPr>
                <w:rFonts w:ascii="Times New Roman" w:hAnsi="Times New Roman" w:cs="Times New Roman" w:eastAsia="Times New Roman" w:hint="default"/>
                <w:sz w:val="18"/>
                <w:szCs w:val="18"/>
              </w:rPr>
            </w:pPr>
            <w:r>
              <w:rPr>
                <w:rFonts w:ascii="Times New Roman"/>
                <w:sz w:val="18"/>
              </w:rPr>
              <w:t>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第三方支付平台</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10,000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2,151.7</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center"/>
              <w:rPr>
                <w:rFonts w:ascii="Times New Roman" w:hAnsi="Times New Roman" w:cs="Times New Roman" w:eastAsia="Times New Roman" w:hint="default"/>
                <w:sz w:val="18"/>
                <w:szCs w:val="18"/>
              </w:rPr>
            </w:pPr>
            <w:r>
              <w:rPr>
                <w:rFonts w:ascii="Times New Roman"/>
                <w:sz w:val="18"/>
              </w:rPr>
              <w:t>21.52%</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63"/>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聚宝计划</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中的网络游戏研发 项目的投入</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6,374.5</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6,374.5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z w:val="18"/>
              </w:rPr>
              <w:t>6,476.2</w:t>
            </w:r>
          </w:p>
          <w:p>
            <w:pPr>
              <w:pStyle w:val="TableParagraph"/>
              <w:spacing w:line="240" w:lineRule="auto" w:before="106"/>
              <w:ind w:right="49"/>
              <w:jc w:val="right"/>
              <w:rPr>
                <w:rFonts w:ascii="Times New Roman" w:hAnsi="Times New Roman" w:cs="Times New Roman" w:eastAsia="Times New Roman" w:hint="default"/>
                <w:sz w:val="18"/>
                <w:szCs w:val="18"/>
              </w:rPr>
            </w:pPr>
            <w:r>
              <w:rPr>
                <w:rFonts w:ascii="Times New Roman"/>
                <w:sz w:val="18"/>
              </w:rPr>
              <w:t>7</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101.60%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-973.12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3,276.25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增资卓页网页游戏 的运营和研发投资</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z w:val="18"/>
              </w:rPr>
              <w:t>3,022.0</w:t>
            </w:r>
          </w:p>
          <w:p>
            <w:pPr>
              <w:pStyle w:val="TableParagraph"/>
              <w:spacing w:line="240" w:lineRule="auto" w:before="106"/>
              <w:ind w:right="49"/>
              <w:jc w:val="right"/>
              <w:rPr>
                <w:rFonts w:ascii="Times New Roman" w:hAnsi="Times New Roman" w:cs="Times New Roman" w:eastAsia="Times New Roman" w:hint="default"/>
                <w:sz w:val="18"/>
                <w:szCs w:val="18"/>
              </w:rPr>
            </w:pPr>
            <w:r>
              <w:rPr>
                <w:rFonts w:ascii="Times New Roman"/>
                <w:sz w:val="18"/>
              </w:rPr>
              <w:t>2</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100.73%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8" w:right="0"/>
              <w:jc w:val="left"/>
              <w:rPr>
                <w:rFonts w:ascii="宋体" w:hAnsi="宋体" w:cs="宋体" w:eastAsia="宋体" w:hint="default"/>
                <w:sz w:val="18"/>
                <w:szCs w:val="18"/>
              </w:rPr>
            </w:pPr>
            <w:r>
              <w:rPr>
                <w:rFonts w:ascii="宋体" w:hAnsi="宋体" w:cs="宋体" w:eastAsia="宋体"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永久补充流动资金</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8" w:right="0"/>
              <w:jc w:val="left"/>
              <w:rPr>
                <w:rFonts w:ascii="Times New Roman" w:hAnsi="Times New Roman" w:cs="Times New Roman" w:eastAsia="Times New Roman" w:hint="default"/>
                <w:sz w:val="18"/>
                <w:szCs w:val="18"/>
              </w:rPr>
            </w:pPr>
            <w:r>
              <w:rPr>
                <w:rFonts w:ascii="Times New Roman"/>
                <w:sz w:val="18"/>
              </w:rPr>
              <w:t>10,000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8" w:right="0"/>
              <w:jc w:val="left"/>
              <w:rPr>
                <w:rFonts w:ascii="宋体" w:hAnsi="宋体" w:cs="宋体" w:eastAsia="宋体" w:hint="default"/>
                <w:sz w:val="18"/>
                <w:szCs w:val="18"/>
              </w:rPr>
            </w:pPr>
            <w:r>
              <w:rPr>
                <w:rFonts w:ascii="宋体" w:hAnsi="宋体" w:cs="宋体" w:eastAsia="宋体"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归还银行贷款</w:t>
            </w:r>
            <w:r>
              <w:rPr>
                <w:rFonts w:ascii="Times New Roman" w:hAnsi="Times New Roman" w:cs="Times New Roman" w:eastAsia="Times New Roman" w:hint="default"/>
                <w:sz w:val="18"/>
                <w:szCs w:val="18"/>
              </w:rPr>
              <w:t>(</w:t>
            </w: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9"/>
              <w:jc w:val="right"/>
              <w:rPr>
                <w:rFonts w:ascii="Times New Roman" w:hAnsi="Times New Roman" w:cs="Times New Roman" w:eastAsia="Times New Roman" w:hint="default"/>
                <w:sz w:val="18"/>
                <w:szCs w:val="18"/>
              </w:rPr>
            </w:pPr>
            <w:r>
              <w:rPr>
                <w:rFonts w:ascii="Times New Roman"/>
                <w:sz w:val="18"/>
              </w:rPr>
              <w:t>0</w:t>
            </w:r>
          </w:p>
        </w:tc>
        <w:tc>
          <w:tcPr>
            <w:tcW w:w="74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220" w:right="0"/>
              <w:jc w:val="center"/>
              <w:rPr>
                <w:rFonts w:ascii="Times New Roman" w:hAnsi="Times New Roman" w:cs="Times New Roman" w:eastAsia="Times New Roman" w:hint="default"/>
                <w:sz w:val="18"/>
                <w:szCs w:val="18"/>
              </w:rPr>
            </w:pPr>
            <w:r>
              <w:rPr>
                <w:rFonts w:ascii="Times New Roman"/>
                <w:sz w:val="18"/>
              </w:rPr>
              <w:t>0.00%</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6"/>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19"/>
        <w:gridCol w:w="718"/>
        <w:gridCol w:w="715"/>
        <w:gridCol w:w="681"/>
        <w:gridCol w:w="757"/>
        <w:gridCol w:w="716"/>
        <w:gridCol w:w="719"/>
        <w:gridCol w:w="729"/>
        <w:gridCol w:w="706"/>
        <w:gridCol w:w="714"/>
      </w:tblGrid>
      <w:tr>
        <w:trPr>
          <w:trHeight w:val="402"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补充流动资金</w:t>
            </w:r>
            <w:r>
              <w:rPr>
                <w:rFonts w:ascii="Times New Roman" w:hAnsi="Times New Roman" w:cs="Times New Roman" w:eastAsia="Times New Roman" w:hint="default"/>
                <w:sz w:val="18"/>
                <w:szCs w:val="18"/>
              </w:rPr>
              <w:t>(</w:t>
            </w: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0</w:t>
            </w:r>
          </w:p>
        </w:tc>
        <w:tc>
          <w:tcPr>
            <w:tcW w:w="757"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258" w:right="0"/>
              <w:jc w:val="left"/>
              <w:rPr>
                <w:rFonts w:ascii="Times New Roman" w:hAnsi="Times New Roman" w:cs="Times New Roman" w:eastAsia="Times New Roman" w:hint="default"/>
                <w:sz w:val="18"/>
                <w:szCs w:val="18"/>
              </w:rPr>
            </w:pPr>
            <w:r>
              <w:rPr>
                <w:rFonts w:ascii="Times New Roman"/>
                <w:sz w:val="18"/>
              </w:rPr>
              <w:t>0.00%</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1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36,124.5</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36,124.5</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463.71</w:t>
            </w:r>
          </w:p>
        </w:tc>
        <w:tc>
          <w:tcPr>
            <w:tcW w:w="681" w:type="dxa"/>
            <w:vMerge w:val="restart"/>
            <w:tcBorders>
              <w:top w:val="single" w:sz="4" w:space="0" w:color="000000"/>
              <w:left w:val="single" w:sz="4" w:space="0" w:color="000000"/>
              <w:right w:val="single" w:sz="9" w:space="0" w:color="D2D2D2"/>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39,143.</w:t>
            </w:r>
          </w:p>
          <w:p>
            <w:pPr>
              <w:pStyle w:val="TableParagraph"/>
              <w:spacing w:line="240" w:lineRule="auto" w:before="106"/>
              <w:ind w:right="25"/>
              <w:jc w:val="right"/>
              <w:rPr>
                <w:rFonts w:ascii="Times New Roman" w:hAnsi="Times New Roman" w:cs="Times New Roman" w:eastAsia="Times New Roman" w:hint="default"/>
                <w:sz w:val="18"/>
                <w:szCs w:val="18"/>
              </w:rPr>
            </w:pPr>
            <w:r>
              <w:rPr>
                <w:rFonts w:ascii="Times New Roman"/>
                <w:sz w:val="18"/>
              </w:rPr>
              <w:t>28</w:t>
            </w:r>
          </w:p>
        </w:tc>
        <w:tc>
          <w:tcPr>
            <w:tcW w:w="757"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-3,027.8</w:t>
            </w:r>
          </w:p>
        </w:tc>
        <w:tc>
          <w:tcPr>
            <w:tcW w:w="729"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2,512</w:t>
            </w:r>
          </w:p>
        </w:tc>
        <w:tc>
          <w:tcPr>
            <w:tcW w:w="70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vMerge/>
            <w:tcBorders>
              <w:left w:val="single" w:sz="4" w:space="0" w:color="000000"/>
              <w:right w:val="single" w:sz="4" w:space="0" w:color="000000"/>
            </w:tcBorders>
            <w:shd w:val="clear" w:color="auto" w:fill="D2D2D2"/>
          </w:tcPr>
          <w:p>
            <w:pPr/>
          </w:p>
        </w:tc>
        <w:tc>
          <w:tcPr>
            <w:tcW w:w="738" w:type="dxa"/>
            <w:vMerge/>
            <w:tcBorders>
              <w:left w:val="single" w:sz="4" w:space="0" w:color="000000"/>
              <w:right w:val="single" w:sz="4" w:space="0" w:color="000000"/>
            </w:tcBorders>
            <w:shd w:val="clear" w:color="auto" w:fill="D2D2D2"/>
          </w:tcPr>
          <w:p>
            <w:pPr/>
          </w:p>
        </w:tc>
        <w:tc>
          <w:tcPr>
            <w:tcW w:w="719"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81" w:type="dxa"/>
            <w:vMerge/>
            <w:tcBorders>
              <w:left w:val="single" w:sz="4" w:space="0" w:color="000000"/>
              <w:right w:val="single" w:sz="9" w:space="0" w:color="D2D2D2"/>
            </w:tcBorders>
          </w:tcPr>
          <w:p>
            <w:pPr/>
          </w:p>
        </w:tc>
        <w:tc>
          <w:tcPr>
            <w:tcW w:w="7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06" w:right="0"/>
              <w:jc w:val="left"/>
              <w:rPr>
                <w:rFonts w:ascii="Times New Roman" w:hAnsi="Times New Roman" w:cs="Times New Roman" w:eastAsia="Times New Roman" w:hint="default"/>
                <w:sz w:val="18"/>
                <w:szCs w:val="18"/>
              </w:rPr>
            </w:pPr>
            <w:r>
              <w:rPr>
                <w:rFonts w:ascii="Times New Roman"/>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29" w:type="dxa"/>
            <w:vMerge/>
            <w:tcBorders>
              <w:left w:val="single" w:sz="4" w:space="0" w:color="000000"/>
              <w:right w:val="single" w:sz="9" w:space="0" w:color="D2D2D2"/>
            </w:tcBorders>
          </w:tcPr>
          <w:p>
            <w:pPr/>
          </w:p>
        </w:tc>
        <w:tc>
          <w:tcPr>
            <w:tcW w:w="7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7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38" w:type="dxa"/>
            <w:vMerge/>
            <w:tcBorders>
              <w:left w:val="single" w:sz="4" w:space="0" w:color="000000"/>
              <w:bottom w:val="single" w:sz="4" w:space="0" w:color="000000"/>
              <w:right w:val="single" w:sz="4" w:space="0" w:color="000000"/>
            </w:tcBorders>
            <w:shd w:val="clear" w:color="auto" w:fill="D2D2D2"/>
          </w:tcPr>
          <w:p>
            <w:pPr/>
          </w:p>
        </w:tc>
        <w:tc>
          <w:tcPr>
            <w:tcW w:w="719"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81" w:type="dxa"/>
            <w:vMerge/>
            <w:tcBorders>
              <w:left w:val="single" w:sz="4" w:space="0" w:color="000000"/>
              <w:bottom w:val="single" w:sz="4" w:space="0" w:color="000000"/>
              <w:right w:val="single" w:sz="9" w:space="0" w:color="D2D2D2"/>
            </w:tcBorders>
          </w:tcPr>
          <w:p>
            <w:pPr/>
          </w:p>
        </w:tc>
        <w:tc>
          <w:tcPr>
            <w:tcW w:w="757"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29" w:type="dxa"/>
            <w:vMerge/>
            <w:tcBorders>
              <w:left w:val="single" w:sz="4" w:space="0" w:color="000000"/>
              <w:bottom w:val="single" w:sz="4" w:space="0" w:color="000000"/>
              <w:right w:val="single" w:sz="9" w:space="0" w:color="D2D2D2"/>
            </w:tcBorders>
          </w:tcPr>
          <w:p>
            <w:pPr/>
          </w:p>
        </w:tc>
        <w:tc>
          <w:tcPr>
            <w:tcW w:w="70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1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71,075.5</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71,075.5</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4,184.65</w:t>
            </w:r>
          </w:p>
        </w:tc>
        <w:tc>
          <w:tcPr>
            <w:tcW w:w="681" w:type="dxa"/>
            <w:vMerge w:val="restart"/>
            <w:tcBorders>
              <w:top w:val="single" w:sz="4" w:space="0" w:color="000000"/>
              <w:left w:val="single" w:sz="4" w:space="0" w:color="000000"/>
              <w:right w:val="single" w:sz="9" w:space="0" w:color="D2D2D2"/>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72,901.</w:t>
            </w:r>
          </w:p>
          <w:p>
            <w:pPr>
              <w:pStyle w:val="TableParagraph"/>
              <w:spacing w:line="240" w:lineRule="auto" w:before="106"/>
              <w:ind w:right="25"/>
              <w:jc w:val="right"/>
              <w:rPr>
                <w:rFonts w:ascii="Times New Roman" w:hAnsi="Times New Roman" w:cs="Times New Roman" w:eastAsia="Times New Roman" w:hint="default"/>
                <w:sz w:val="18"/>
                <w:szCs w:val="18"/>
              </w:rPr>
            </w:pPr>
            <w:r>
              <w:rPr>
                <w:rFonts w:ascii="Times New Roman"/>
                <w:sz w:val="18"/>
              </w:rPr>
              <w:t>71</w:t>
            </w:r>
          </w:p>
        </w:tc>
        <w:tc>
          <w:tcPr>
            <w:tcW w:w="757"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-2,698.3</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29"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7,524.21</w:t>
            </w:r>
          </w:p>
        </w:tc>
        <w:tc>
          <w:tcPr>
            <w:tcW w:w="70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650" w:type="dxa"/>
            <w:vMerge/>
            <w:tcBorders>
              <w:left w:val="single" w:sz="4" w:space="0" w:color="000000"/>
              <w:right w:val="single" w:sz="4" w:space="0" w:color="000000"/>
            </w:tcBorders>
            <w:shd w:val="clear" w:color="auto" w:fill="D2D2D2"/>
          </w:tcPr>
          <w:p>
            <w:pPr/>
          </w:p>
        </w:tc>
        <w:tc>
          <w:tcPr>
            <w:tcW w:w="738" w:type="dxa"/>
            <w:vMerge/>
            <w:tcBorders>
              <w:left w:val="single" w:sz="4" w:space="0" w:color="000000"/>
              <w:right w:val="single" w:sz="4" w:space="0" w:color="000000"/>
            </w:tcBorders>
            <w:shd w:val="clear" w:color="auto" w:fill="D2D2D2"/>
          </w:tcPr>
          <w:p>
            <w:pPr/>
          </w:p>
        </w:tc>
        <w:tc>
          <w:tcPr>
            <w:tcW w:w="719"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81" w:type="dxa"/>
            <w:vMerge/>
            <w:tcBorders>
              <w:left w:val="single" w:sz="4" w:space="0" w:color="000000"/>
              <w:right w:val="single" w:sz="9" w:space="0" w:color="D2D2D2"/>
            </w:tcBorders>
          </w:tcPr>
          <w:p>
            <w:pPr/>
          </w:p>
        </w:tc>
        <w:tc>
          <w:tcPr>
            <w:tcW w:w="7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06" w:right="0"/>
              <w:jc w:val="left"/>
              <w:rPr>
                <w:rFonts w:ascii="Times New Roman" w:hAnsi="Times New Roman" w:cs="Times New Roman" w:eastAsia="Times New Roman" w:hint="default"/>
                <w:sz w:val="18"/>
                <w:szCs w:val="18"/>
              </w:rPr>
            </w:pPr>
            <w:r>
              <w:rPr>
                <w:rFonts w:ascii="Times New Roman"/>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29" w:type="dxa"/>
            <w:vMerge/>
            <w:tcBorders>
              <w:left w:val="single" w:sz="4" w:space="0" w:color="000000"/>
              <w:right w:val="single" w:sz="9" w:space="0" w:color="D2D2D2"/>
            </w:tcBorders>
          </w:tcPr>
          <w:p>
            <w:pPr/>
          </w:p>
        </w:tc>
        <w:tc>
          <w:tcPr>
            <w:tcW w:w="7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7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38" w:type="dxa"/>
            <w:vMerge/>
            <w:tcBorders>
              <w:left w:val="single" w:sz="4" w:space="0" w:color="000000"/>
              <w:bottom w:val="single" w:sz="4" w:space="0" w:color="000000"/>
              <w:right w:val="single" w:sz="4" w:space="0" w:color="000000"/>
            </w:tcBorders>
            <w:shd w:val="clear" w:color="auto" w:fill="D2D2D2"/>
          </w:tcPr>
          <w:p>
            <w:pPr/>
          </w:p>
        </w:tc>
        <w:tc>
          <w:tcPr>
            <w:tcW w:w="719"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81" w:type="dxa"/>
            <w:vMerge/>
            <w:tcBorders>
              <w:left w:val="single" w:sz="4" w:space="0" w:color="000000"/>
              <w:bottom w:val="single" w:sz="4" w:space="0" w:color="000000"/>
              <w:right w:val="single" w:sz="9" w:space="0" w:color="D2D2D2"/>
            </w:tcBorders>
          </w:tcPr>
          <w:p>
            <w:pPr/>
          </w:p>
        </w:tc>
        <w:tc>
          <w:tcPr>
            <w:tcW w:w="757"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29" w:type="dxa"/>
            <w:vMerge/>
            <w:tcBorders>
              <w:left w:val="single" w:sz="4" w:space="0" w:color="000000"/>
              <w:bottom w:val="single" w:sz="4" w:space="0" w:color="000000"/>
              <w:right w:val="single" w:sz="9" w:space="0" w:color="D2D2D2"/>
            </w:tcBorders>
          </w:tcPr>
          <w:p>
            <w:pPr/>
          </w:p>
        </w:tc>
        <w:tc>
          <w:tcPr>
            <w:tcW w:w="70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626" w:hRule="exact"/>
        </w:trPr>
        <w:tc>
          <w:tcPr>
            <w:tcW w:w="956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：已累计投入募集资金总额人民币</w:t>
            </w:r>
            <w:r>
              <w:rPr>
                <w:rFonts w:ascii="宋体" w:hAnsi="宋体" w:cs="宋体" w:eastAsia="宋体" w:hint="default"/>
                <w:spacing w:val="-46"/>
                <w:sz w:val="18"/>
                <w:szCs w:val="18"/>
              </w:rPr>
              <w:t> </w:t>
            </w:r>
            <w:r>
              <w:rPr>
                <w:rFonts w:ascii="宋体" w:hAnsi="宋体" w:cs="宋体" w:eastAsia="宋体" w:hint="default"/>
                <w:sz w:val="18"/>
                <w:szCs w:val="18"/>
              </w:rPr>
              <w:t>71,509.52</w:t>
            </w:r>
            <w:r>
              <w:rPr>
                <w:rFonts w:ascii="宋体" w:hAnsi="宋体" w:cs="宋体" w:eastAsia="宋体" w:hint="default"/>
                <w:spacing w:val="-46"/>
                <w:sz w:val="18"/>
                <w:szCs w:val="18"/>
              </w:rPr>
              <w:t> </w:t>
            </w:r>
            <w:r>
              <w:rPr>
                <w:rFonts w:ascii="宋体" w:hAnsi="宋体" w:cs="宋体" w:eastAsia="宋体" w:hint="default"/>
                <w:sz w:val="18"/>
                <w:szCs w:val="18"/>
              </w:rPr>
              <w:t>万元与下表合计数中的截至期末累计投入金额人民币</w:t>
            </w:r>
            <w:r>
              <w:rPr>
                <w:rFonts w:ascii="宋体" w:hAnsi="宋体" w:cs="宋体" w:eastAsia="宋体" w:hint="default"/>
                <w:spacing w:val="-46"/>
                <w:sz w:val="18"/>
                <w:szCs w:val="18"/>
              </w:rPr>
              <w:t> </w:t>
            </w:r>
            <w:r>
              <w:rPr>
                <w:rFonts w:ascii="宋体" w:hAnsi="宋体" w:cs="宋体" w:eastAsia="宋体" w:hint="default"/>
                <w:sz w:val="18"/>
                <w:szCs w:val="18"/>
              </w:rPr>
              <w:t>72,901.71</w:t>
            </w:r>
            <w:r>
              <w:rPr>
                <w:rFonts w:ascii="宋体" w:hAnsi="宋体" w:cs="宋体" w:eastAsia="宋体" w:hint="default"/>
                <w:spacing w:val="-45"/>
                <w:sz w:val="18"/>
                <w:szCs w:val="18"/>
              </w:rPr>
              <w:t> </w:t>
            </w:r>
            <w:r>
              <w:rPr>
                <w:rFonts w:ascii="宋体" w:hAnsi="宋体" w:cs="宋体" w:eastAsia="宋体" w:hint="default"/>
                <w:sz w:val="18"/>
                <w:szCs w:val="18"/>
              </w:rPr>
              <w:t>万元存</w:t>
            </w:r>
          </w:p>
          <w:p>
            <w:pPr>
              <w:pStyle w:val="TableParagraph"/>
              <w:spacing w:line="319" w:lineRule="auto" w:before="76"/>
              <w:ind w:left="22" w:right="22"/>
              <w:jc w:val="left"/>
              <w:rPr>
                <w:rFonts w:ascii="宋体" w:hAnsi="宋体" w:cs="宋体" w:eastAsia="宋体" w:hint="default"/>
                <w:sz w:val="18"/>
                <w:szCs w:val="18"/>
              </w:rPr>
            </w:pPr>
            <w:r>
              <w:rPr>
                <w:rFonts w:ascii="宋体" w:hAnsi="宋体" w:cs="宋体" w:eastAsia="宋体" w:hint="default"/>
                <w:sz w:val="18"/>
                <w:szCs w:val="18"/>
              </w:rPr>
              <w:t>在差异人民币</w:t>
            </w:r>
            <w:r>
              <w:rPr>
                <w:rFonts w:ascii="宋体" w:hAnsi="宋体" w:cs="宋体" w:eastAsia="宋体" w:hint="default"/>
                <w:spacing w:val="-54"/>
                <w:sz w:val="18"/>
                <w:szCs w:val="18"/>
              </w:rPr>
              <w:t> </w:t>
            </w:r>
            <w:r>
              <w:rPr>
                <w:rFonts w:ascii="宋体" w:hAnsi="宋体" w:cs="宋体" w:eastAsia="宋体" w:hint="default"/>
                <w:sz w:val="18"/>
                <w:szCs w:val="18"/>
              </w:rPr>
              <w:t>1,392.19</w:t>
            </w:r>
            <w:r>
              <w:rPr>
                <w:rFonts w:ascii="宋体" w:hAnsi="宋体" w:cs="宋体" w:eastAsia="宋体" w:hint="default"/>
                <w:spacing w:val="-54"/>
                <w:sz w:val="18"/>
                <w:szCs w:val="18"/>
              </w:rPr>
              <w:t> </w:t>
            </w:r>
            <w:r>
              <w:rPr>
                <w:rFonts w:ascii="宋体" w:hAnsi="宋体" w:cs="宋体" w:eastAsia="宋体" w:hint="default"/>
                <w:sz w:val="18"/>
                <w:szCs w:val="18"/>
              </w:rPr>
              <w:t>万元，原因系根据公司第二届董事会第二十八次会议决议和</w:t>
            </w:r>
            <w:r>
              <w:rPr>
                <w:rFonts w:ascii="宋体" w:hAnsi="宋体" w:cs="宋体" w:eastAsia="宋体" w:hint="default"/>
                <w:spacing w:val="-54"/>
                <w:sz w:val="18"/>
                <w:szCs w:val="18"/>
              </w:rPr>
              <w:t> </w:t>
            </w: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年度股东大会决议，本公司将全 资子公司深圳中付通</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的股权以人民币</w:t>
            </w:r>
            <w:r>
              <w:rPr>
                <w:rFonts w:ascii="宋体" w:hAnsi="宋体" w:cs="宋体" w:eastAsia="宋体" w:hint="default"/>
                <w:spacing w:val="-46"/>
                <w:sz w:val="18"/>
                <w:szCs w:val="18"/>
              </w:rPr>
              <w:t> </w:t>
            </w:r>
            <w:r>
              <w:rPr>
                <w:rFonts w:ascii="宋体" w:hAnsi="宋体" w:cs="宋体" w:eastAsia="宋体" w:hint="default"/>
                <w:sz w:val="18"/>
                <w:szCs w:val="18"/>
              </w:rPr>
              <w:t>10,000.00</w:t>
            </w:r>
            <w:r>
              <w:rPr>
                <w:rFonts w:ascii="宋体" w:hAnsi="宋体" w:cs="宋体" w:eastAsia="宋体" w:hint="default"/>
                <w:spacing w:val="-46"/>
                <w:sz w:val="18"/>
                <w:szCs w:val="18"/>
              </w:rPr>
              <w:t> </w:t>
            </w:r>
            <w:r>
              <w:rPr>
                <w:rFonts w:ascii="宋体" w:hAnsi="宋体" w:cs="宋体" w:eastAsia="宋体" w:hint="default"/>
                <w:sz w:val="18"/>
                <w:szCs w:val="18"/>
              </w:rPr>
              <w:t>万元的价格出售给控股股东深圳市宝德投资控股有限公司</w:t>
            </w:r>
            <w:r>
              <w:rPr>
                <w:rFonts w:ascii="宋体" w:hAnsi="宋体" w:cs="宋体" w:eastAsia="宋体" w:hint="default"/>
                <w:sz w:val="18"/>
                <w:szCs w:val="18"/>
              </w:rPr>
              <w:t>(</w:t>
            </w:r>
            <w:r>
              <w:rPr>
                <w:rFonts w:ascii="宋体" w:hAnsi="宋体" w:cs="宋体" w:eastAsia="宋体" w:hint="default"/>
                <w:sz w:val="18"/>
                <w:szCs w:val="18"/>
              </w:rPr>
              <w:t>以下简称 “宝德控股”</w:t>
            </w:r>
            <w:r>
              <w:rPr>
                <w:rFonts w:ascii="宋体" w:hAnsi="宋体" w:cs="宋体" w:eastAsia="宋体" w:hint="default"/>
                <w:sz w:val="18"/>
                <w:szCs w:val="18"/>
              </w:rPr>
              <w:t>)</w:t>
            </w:r>
            <w:r>
              <w:rPr>
                <w:rFonts w:ascii="宋体" w:hAnsi="宋体" w:cs="宋体" w:eastAsia="宋体" w:hint="default"/>
                <w:sz w:val="18"/>
                <w:szCs w:val="18"/>
              </w:rPr>
              <w:t>，同时将收回的股权转让款变更为永久补充流动资金，转让日深圳中付通募集资金账户余额为人民币 </w:t>
            </w:r>
            <w:r>
              <w:rPr>
                <w:rFonts w:ascii="宋体" w:hAnsi="宋体" w:cs="宋体" w:eastAsia="宋体" w:hint="default"/>
                <w:sz w:val="18"/>
                <w:szCs w:val="18"/>
              </w:rPr>
              <w:t>86,078,055.37</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含利息收入</w:t>
            </w:r>
            <w:r>
              <w:rPr>
                <w:rFonts w:ascii="宋体" w:hAnsi="宋体" w:cs="宋体" w:eastAsia="宋体" w:hint="default"/>
                <w:sz w:val="18"/>
                <w:szCs w:val="18"/>
              </w:rPr>
              <w:t>)</w:t>
            </w:r>
            <w:r>
              <w:rPr>
                <w:rFonts w:ascii="宋体" w:hAnsi="宋体" w:cs="宋体" w:eastAsia="宋体" w:hint="default"/>
                <w:sz w:val="18"/>
                <w:szCs w:val="18"/>
              </w:rPr>
              <w:t>；</w:t>
            </w:r>
          </w:p>
          <w:p>
            <w:pPr>
              <w:pStyle w:val="TableParagraph"/>
              <w:spacing w:line="319" w:lineRule="auto" w:before="55"/>
              <w:ind w:left="22" w:right="2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：报告期内公司召开第三届董事会第十五次会议，审议通过了《关于终止募投项目并将剩余募集资金永久补充流动资 </w:t>
            </w:r>
            <w:r>
              <w:rPr>
                <w:rFonts w:ascii="宋体" w:hAnsi="宋体" w:cs="宋体" w:eastAsia="宋体" w:hint="default"/>
                <w:spacing w:val="-1"/>
                <w:sz w:val="18"/>
                <w:szCs w:val="18"/>
              </w:rPr>
              <w:t>金的议案》，同意终止实施募投项目中“苏州华娱创新投资发展有限公司研发用房项目”，并将该项目剩余募集资金永久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补充流动资金，议案已经公司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年年度股东大会审议通过。</w:t>
            </w:r>
          </w:p>
        </w:tc>
      </w:tr>
      <w:tr>
        <w:trPr>
          <w:trHeight w:val="4770"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9" w:lineRule="auto"/>
              <w:ind w:left="22" w:right="177"/>
              <w:jc w:val="both"/>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 预计收益的情况和 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承诺项目：</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3D</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游戏《盟军》开发项目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暂定名</w:t>
            </w:r>
            <w:r>
              <w:rPr>
                <w:rFonts w:ascii="Times New Roman" w:hAnsi="Times New Roman" w:cs="Times New Roman" w:eastAsia="Times New Roman" w:hint="default"/>
                <w:sz w:val="18"/>
                <w:szCs w:val="18"/>
              </w:rPr>
              <w:t>)</w:t>
            </w:r>
            <w:r>
              <w:rPr>
                <w:rFonts w:ascii="宋体" w:hAnsi="宋体" w:cs="宋体" w:eastAsia="宋体" w:hint="default"/>
                <w:sz w:val="18"/>
                <w:szCs w:val="18"/>
              </w:rPr>
              <w:t>，未按照计划时间达到项目预计使用状态的原因是 </w:t>
            </w:r>
            <w:r>
              <w:rPr>
                <w:rFonts w:ascii="宋体" w:hAnsi="宋体" w:cs="宋体" w:eastAsia="宋体" w:hint="default"/>
                <w:spacing w:val="-3"/>
                <w:sz w:val="18"/>
                <w:szCs w:val="18"/>
              </w:rPr>
              <w:t>公司为适应市场需求，提升用户游戏体验，延长了产品研发周期。原预计达到使用状态的时间为</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2010</w:t>
            </w:r>
          </w:p>
          <w:p>
            <w:pPr>
              <w:pStyle w:val="TableParagraph"/>
              <w:spacing w:line="304" w:lineRule="auto" w:before="13"/>
              <w:ind w:left="22" w:right="1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日，后续经对该项目进行重新评估，并进行持续不断地优化和完善，已于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 </w:t>
            </w:r>
            <w:r>
              <w:rPr>
                <w:rFonts w:ascii="宋体" w:hAnsi="宋体" w:cs="宋体" w:eastAsia="宋体" w:hint="default"/>
                <w:spacing w:val="-2"/>
                <w:sz w:val="18"/>
                <w:szCs w:val="18"/>
              </w:rPr>
              <w:t>日正式进行大规模上线运营。上线后对游戏的稳定性、可玩性一直在做进一步的完善与优化，暂未达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到预计效益。</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游戏《三国游侠》开发项目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暂定名</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游戏《新宋演义》开发项目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暂定 名</w:t>
            </w:r>
            <w:r>
              <w:rPr>
                <w:rFonts w:ascii="Times New Roman" w:hAnsi="Times New Roman" w:cs="Times New Roman" w:eastAsia="Times New Roman" w:hint="default"/>
                <w:sz w:val="18"/>
                <w:szCs w:val="18"/>
              </w:rPr>
              <w:t>)</w:t>
            </w:r>
            <w:r>
              <w:rPr>
                <w:rFonts w:ascii="宋体" w:hAnsi="宋体" w:cs="宋体" w:eastAsia="宋体" w:hint="default"/>
                <w:sz w:val="18"/>
                <w:szCs w:val="18"/>
              </w:rPr>
              <w:t>，产品分别于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月进行上线测试运营，因测试过程中发现存在一些问题，游戏的 稳定性、可玩性一直在做进一步的完善与优化。</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年改版后，受玩家习惯、偏好以及市场等因素 影响，暂未达到预计效益。</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3D</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游戏《寻梦园》开发项目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暂定名</w:t>
            </w:r>
            <w:r>
              <w:rPr>
                <w:rFonts w:ascii="Times New Roman" w:hAnsi="Times New Roman" w:cs="Times New Roman" w:eastAsia="Times New Roman" w:hint="default"/>
                <w:sz w:val="18"/>
                <w:szCs w:val="18"/>
              </w:rPr>
              <w:t>)</w:t>
            </w:r>
            <w:r>
              <w:rPr>
                <w:rFonts w:ascii="宋体" w:hAnsi="宋体" w:cs="宋体" w:eastAsia="宋体" w:hint="default"/>
                <w:sz w:val="18"/>
                <w:szCs w:val="18"/>
              </w:rPr>
              <w:t>，由于海外运营收入缩减及受国 </w:t>
            </w:r>
            <w:r>
              <w:rPr>
                <w:rFonts w:ascii="宋体" w:hAnsi="宋体" w:cs="宋体" w:eastAsia="宋体" w:hint="default"/>
                <w:spacing w:val="-2"/>
                <w:sz w:val="18"/>
                <w:szCs w:val="18"/>
              </w:rPr>
              <w:t>内网络游戏行业的转型影响，国内运营效益未实现。另外公司根据产品减值测试办法计提了该产品的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减值准备，暂未达到预计效益。 超募项目：</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、中青聚宝项目：公司投资的多项游戏项目标的，暂 未达到经济效应。</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、增资卓页互动用于网页游戏产品业务发展投入项目与增资卓页网页游戏的运营 和研发投资项目：该两个项目公司实际使用和管理中视作一个项目，我们将效益金额统计填列在</w:t>
            </w:r>
            <w:r>
              <w:rPr>
                <w:rFonts w:ascii="Times New Roman" w:hAnsi="Times New Roman" w:cs="Times New Roman" w:eastAsia="Times New Roman" w:hint="default"/>
                <w:sz w:val="18"/>
                <w:szCs w:val="18"/>
              </w:rPr>
              <w:t>“</w:t>
            </w:r>
            <w:r>
              <w:rPr>
                <w:rFonts w:ascii="宋体" w:hAnsi="宋体" w:cs="宋体" w:eastAsia="宋体" w:hint="default"/>
                <w:sz w:val="18"/>
                <w:szCs w:val="18"/>
              </w:rPr>
              <w:t>增 资卓页互动用于网页游戏产品业务发展投入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项目中，故</w:t>
            </w:r>
            <w:r>
              <w:rPr>
                <w:rFonts w:ascii="Times New Roman" w:hAnsi="Times New Roman" w:cs="Times New Roman" w:eastAsia="Times New Roman" w:hint="default"/>
                <w:sz w:val="18"/>
                <w:szCs w:val="18"/>
              </w:rPr>
              <w:t>“</w:t>
            </w:r>
            <w:r>
              <w:rPr>
                <w:rFonts w:ascii="宋体" w:hAnsi="宋体" w:cs="宋体" w:eastAsia="宋体" w:hint="default"/>
                <w:sz w:val="18"/>
                <w:szCs w:val="18"/>
              </w:rPr>
              <w:t>增资卓页网页游戏的运营和研发投资</w:t>
            </w:r>
            <w:r>
              <w:rPr>
                <w:rFonts w:ascii="Times New Roman" w:hAnsi="Times New Roman" w:cs="Times New Roman" w:eastAsia="Times New Roman" w:hint="default"/>
                <w:sz w:val="18"/>
                <w:szCs w:val="18"/>
              </w:rPr>
              <w:t>”</w:t>
            </w:r>
            <w:r>
              <w:rPr>
                <w:rFonts w:ascii="宋体" w:hAnsi="宋体" w:cs="宋体" w:eastAsia="宋体" w:hint="default"/>
                <w:sz w:val="18"/>
                <w:szCs w:val="18"/>
              </w:rPr>
              <w:t>项目 </w:t>
            </w:r>
            <w:r>
              <w:rPr>
                <w:rFonts w:ascii="宋体" w:hAnsi="宋体" w:cs="宋体" w:eastAsia="宋体" w:hint="default"/>
                <w:spacing w:val="-2"/>
                <w:sz w:val="18"/>
                <w:szCs w:val="18"/>
              </w:rPr>
              <w:t>实现的效益填列金额为零。因受所投资子公司经营亏损拖累，加上自身前期积累的无形资产摊销成本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较高，未能达到预计效益。</w:t>
            </w:r>
          </w:p>
        </w:tc>
      </w:tr>
      <w:tr>
        <w:trPr>
          <w:trHeight w:val="3210"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4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、苏州研发中心建设项目：因市场发生较大的变化公司一直未对取得的土地进行开发，目前取得的 土地已经被苏州工业园区国土房产局通知收回，苏州工业园区国土房产局将对本公司进行合理补偿。 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日，本公司尚未与苏州工业园区国土房产局办妥相关土地补偿手续。</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年第二次临时股东大会审议通过变更苏州研发中心建设项目的募集资金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8,280.00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万元用于收购上海美峰数码科技有限公司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51.00%</w:t>
            </w:r>
            <w:r>
              <w:rPr>
                <w:rFonts w:ascii="宋体" w:hAnsi="宋体" w:cs="宋体" w:eastAsia="宋体" w:hint="default"/>
                <w:sz w:val="18"/>
                <w:szCs w:val="18"/>
              </w:rPr>
              <w:t>股权</w:t>
            </w:r>
            <w:r>
              <w:rPr>
                <w:rFonts w:ascii="宋体" w:hAnsi="宋体" w:cs="宋体" w:eastAsia="宋体" w:hint="default"/>
                <w:spacing w:val="-80"/>
                <w:sz w:val="18"/>
                <w:szCs w:val="18"/>
              </w:rPr>
              <w:t>，</w:t>
            </w:r>
            <w:r>
              <w:rPr>
                <w:rFonts w:ascii="宋体" w:hAnsi="宋体" w:cs="宋体" w:eastAsia="宋体" w:hint="default"/>
                <w:sz w:val="18"/>
                <w:szCs w:val="18"/>
              </w:rPr>
              <w:t>变更后该项目剩余募集资金为人民币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3,220.00</w:t>
            </w:r>
          </w:p>
          <w:p>
            <w:pPr>
              <w:pStyle w:val="TableParagraph"/>
              <w:spacing w:line="300"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年年度股东大会审议通过，公司终止实施该募投项目，并将 该项目剩余募集资金永久补充流动资金。</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、第三方支付平台：因支付牌照未能申请下来，深圳中付 通一直未能开展相关业务，经公司第二届董事会第二十八次会议决议和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年度股东大会决议，本 公司将深圳中付通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的股权以人民币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万元的价格出售给宝德控股，同时将收回股权转让</w:t>
            </w:r>
            <w:r>
              <w:rPr>
                <w:rFonts w:ascii="宋体" w:hAnsi="宋体" w:cs="宋体" w:eastAsia="宋体" w:hint="default"/>
                <w:sz w:val="18"/>
                <w:szCs w:val="18"/>
              </w:rPr>
              <w:t> 款变更为永久补充流动资金。</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986"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公司募集资金净额为人民币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71,075.50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万元，承诺投资项目合计使用人民币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34,951.00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万元，超募资金</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36,124.50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万元，公司将该部分超募资金作为与主营业务相关的营运资金，并根据需要进行投</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入使用。截止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日公司已将超募资金作如下安排： </w:t>
            </w:r>
            <w:r>
              <w:rPr>
                <w:rFonts w:ascii="Times New Roman" w:hAnsi="Times New Roman" w:cs="Times New Roman" w:eastAsia="Times New Roman" w:hint="default"/>
                <w:sz w:val="18"/>
                <w:szCs w:val="18"/>
              </w:rPr>
              <w:t>1</w:t>
            </w:r>
            <w:r>
              <w:rPr>
                <w:rFonts w:ascii="宋体" w:hAnsi="宋体" w:cs="宋体" w:eastAsia="宋体" w:hint="default"/>
                <w:sz w:val="18"/>
                <w:szCs w:val="18"/>
              </w:rPr>
              <w:t>、经公司第一届董事会第十七次</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8.9pt;height:685.7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0"/>
                    <w:gridCol w:w="7912"/>
                  </w:tblGrid>
                  <w:tr>
                    <w:trPr>
                      <w:trHeight w:val="1923"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会议和</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年度股东大会审议通过，同意将其中的人民币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19,750.00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万元分别用于三个项目，其中以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游戏产品</w:t>
                        </w:r>
                        <w:r>
                          <w:rPr>
                            <w:rFonts w:ascii="Times New Roman" w:hAnsi="Times New Roman" w:cs="Times New Roman" w:eastAsia="Times New Roman" w:hint="default"/>
                            <w:sz w:val="18"/>
                            <w:szCs w:val="18"/>
                          </w:rPr>
                          <w:t>(</w:t>
                        </w:r>
                        <w:r>
                          <w:rPr>
                            <w:rFonts w:ascii="宋体" w:hAnsi="宋体" w:cs="宋体" w:eastAsia="宋体" w:hint="default"/>
                            <w:sz w:val="18"/>
                            <w:szCs w:val="18"/>
                          </w:rPr>
                          <w:t>非募投项目产品</w:t>
                        </w:r>
                        <w:r>
                          <w:rPr>
                            <w:rFonts w:ascii="Times New Roman" w:hAnsi="Times New Roman" w:cs="Times New Roman" w:eastAsia="Times New Roman" w:hint="default"/>
                            <w:sz w:val="18"/>
                            <w:szCs w:val="18"/>
                          </w:rPr>
                          <w:t>)</w:t>
                        </w:r>
                        <w:r>
                          <w:rPr>
                            <w:rFonts w:ascii="宋体" w:hAnsi="宋体" w:cs="宋体" w:eastAsia="宋体" w:hint="default"/>
                            <w:sz w:val="18"/>
                            <w:szCs w:val="18"/>
                          </w:rPr>
                          <w:t>推广为目的的营运投入人民币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万元、增资卓页互动用于网页游戏</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产品业务发展投入人民币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1,750.00 </w:t>
                        </w:r>
                        <w:r>
                          <w:rPr>
                            <w:rFonts w:ascii="宋体" w:hAnsi="宋体" w:cs="宋体" w:eastAsia="宋体" w:hint="default"/>
                            <w:sz w:val="18"/>
                            <w:szCs w:val="18"/>
                          </w:rPr>
                          <w:t>万元、中青聚宝项目人民币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2</w:t>
                        </w:r>
                        <w:r>
                          <w:rPr>
                            <w:rFonts w:ascii="宋体" w:hAnsi="宋体" w:cs="宋体" w:eastAsia="宋体" w:hint="default"/>
                            <w:sz w:val="18"/>
                            <w:szCs w:val="18"/>
                          </w:rPr>
                          <w:t>、经公司第一届董</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事会第二十三次会议和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年度股东大会审议通过，同意将剩余的超募资金人民币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16,374.50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别用于两个项目，其中第三方支付平台人民币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w:t>
                        </w:r>
                        <w:r>
                          <w:rPr>
                            <w:rFonts w:ascii="Times New Roman" w:hAnsi="Times New Roman" w:cs="Times New Roman" w:eastAsia="Times New Roman" w:hint="default"/>
                            <w:sz w:val="18"/>
                            <w:szCs w:val="18"/>
                          </w:rPr>
                          <w:t>“</w:t>
                        </w:r>
                        <w:r>
                          <w:rPr>
                            <w:rFonts w:ascii="宋体" w:hAnsi="宋体" w:cs="宋体" w:eastAsia="宋体" w:hint="default"/>
                            <w:sz w:val="18"/>
                            <w:szCs w:val="18"/>
                          </w:rPr>
                          <w:t>聚宝计划</w:t>
                        </w:r>
                        <w:r>
                          <w:rPr>
                            <w:rFonts w:ascii="Times New Roman" w:hAnsi="Times New Roman" w:cs="Times New Roman" w:eastAsia="Times New Roman" w:hint="default"/>
                            <w:sz w:val="18"/>
                            <w:szCs w:val="18"/>
                          </w:rPr>
                          <w:t>”</w:t>
                        </w:r>
                        <w:r>
                          <w:rPr>
                            <w:rFonts w:ascii="宋体" w:hAnsi="宋体" w:cs="宋体" w:eastAsia="宋体" w:hint="default"/>
                            <w:sz w:val="18"/>
                            <w:szCs w:val="18"/>
                          </w:rPr>
                          <w:t>中的网络游戏研发项</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目的投入人民币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6,374.50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6018"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、经本公司第二届董事会第九次会议和</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pacing w:val="-2"/>
                            <w:sz w:val="18"/>
                            <w:szCs w:val="18"/>
                          </w:rPr>
                          <w:t>年年度股东大会审议通过，为加快募集资金使用效率和</w:t>
                        </w:r>
                      </w:p>
                      <w:p>
                        <w:pPr>
                          <w:pStyle w:val="TableParagraph"/>
                          <w:spacing w:line="307" w:lineRule="auto" w:before="61"/>
                          <w:ind w:left="22"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提高资金投资回报，公司对中青聚宝项目的部分募集资金进行变更，将人民币</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万元用于增资 </w:t>
                        </w:r>
                        <w:r>
                          <w:rPr>
                            <w:rFonts w:ascii="宋体" w:hAnsi="宋体" w:cs="宋体" w:eastAsia="宋体" w:hint="default"/>
                            <w:spacing w:val="-2"/>
                            <w:sz w:val="18"/>
                            <w:szCs w:val="18"/>
                          </w:rPr>
                          <w:t>卓页网页游戏的运营和研发投资项目等方面，投资形式以深圳中青聚宝信息技术有限公司增资深圳市</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卓页互动网络科技有限公司。</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、经本公司第二届董事会第十七次会议审议通过，公司使用募集资金 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网络游戏研发技术平台项目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结余资金</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821.10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用于永久补充流动资金。</w:t>
                        </w:r>
                        <w:r>
                          <w:rPr>
                            <w:rFonts w:ascii="Times New Roman" w:hAnsi="Times New Roman" w:cs="Times New Roman" w:eastAsia="Times New Roman" w:hint="default"/>
                            <w:sz w:val="18"/>
                            <w:szCs w:val="18"/>
                          </w:rPr>
                          <w:t>3</w:t>
                        </w:r>
                      </w:p>
                      <w:p>
                        <w:pPr>
                          <w:pStyle w:val="TableParagraph"/>
                          <w:spacing w:line="300" w:lineRule="auto" w:before="7"/>
                          <w:ind w:left="22" w:right="-37"/>
                          <w:jc w:val="left"/>
                          <w:rPr>
                            <w:rFonts w:ascii="宋体" w:hAnsi="宋体" w:cs="宋体" w:eastAsia="宋体" w:hint="default"/>
                            <w:sz w:val="18"/>
                            <w:szCs w:val="18"/>
                          </w:rPr>
                        </w:pPr>
                        <w:r>
                          <w:rPr>
                            <w:rFonts w:ascii="宋体" w:hAnsi="宋体" w:cs="宋体" w:eastAsia="宋体" w:hint="default"/>
                            <w:sz w:val="18"/>
                            <w:szCs w:val="18"/>
                          </w:rPr>
                          <w:t>经本公司第二届董事会第二十三次</w:t>
                        </w:r>
                        <w:r>
                          <w:rPr>
                            <w:rFonts w:ascii="Times New Roman" w:hAnsi="Times New Roman" w:cs="Times New Roman" w:eastAsia="Times New Roman" w:hint="default"/>
                            <w:sz w:val="18"/>
                            <w:szCs w:val="18"/>
                          </w:rPr>
                          <w:t>(</w:t>
                        </w:r>
                        <w:r>
                          <w:rPr>
                            <w:rFonts w:ascii="宋体" w:hAnsi="宋体" w:cs="宋体" w:eastAsia="宋体" w:hint="default"/>
                            <w:sz w:val="18"/>
                            <w:szCs w:val="18"/>
                          </w:rPr>
                          <w:t>临时</w:t>
                        </w:r>
                        <w:r>
                          <w:rPr>
                            <w:rFonts w:ascii="Times New Roman" w:hAnsi="Times New Roman" w:cs="Times New Roman" w:eastAsia="Times New Roman" w:hint="default"/>
                            <w:sz w:val="18"/>
                            <w:szCs w:val="18"/>
                          </w:rPr>
                          <w:t>)</w:t>
                        </w:r>
                        <w:r>
                          <w:rPr>
                            <w:rFonts w:ascii="宋体" w:hAnsi="宋体" w:cs="宋体" w:eastAsia="宋体" w:hint="default"/>
                            <w:sz w:val="18"/>
                            <w:szCs w:val="18"/>
                          </w:rPr>
                          <w:t>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年度第二次临时股东大会审议通过，公司变更 部分募集资金投资项目及用募集资金和自由资金收购上海美峰数码科技有限公司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股权和深圳市 苏摩科技有限公司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股权：本公司将原计划募投项目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苏州研发中心建设项目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游戏《新宋演义》开发项目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暂定名</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游戏《盟军》开发项目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暂定名</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中的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万元和</w:t>
                        </w:r>
                        <w:r>
                          <w:rPr>
                            <w:rFonts w:ascii="Times New Roman" w:hAnsi="Times New Roman" w:cs="Times New Roman" w:eastAsia="Times New Roman" w:hint="default"/>
                            <w:spacing w:val="-1"/>
                            <w:sz w:val="18"/>
                            <w:szCs w:val="18"/>
                          </w:rPr>
                          <w:t>“3D</w:t>
                        </w:r>
                        <w:r>
                          <w:rPr>
                            <w:rFonts w:ascii="Times New Roman" w:hAnsi="Times New Roman" w:cs="Times New Roman" w:eastAsia="Times New Roman" w:hint="default"/>
                            <w:spacing w:val="-4"/>
                            <w:sz w:val="18"/>
                            <w:szCs w:val="18"/>
                          </w:rPr>
                          <w:t> </w:t>
                        </w:r>
                        <w:r>
                          <w:rPr>
                            <w:rFonts w:ascii="宋体" w:hAnsi="宋体" w:cs="宋体" w:eastAsia="宋体" w:hint="default"/>
                            <w:spacing w:val="-11"/>
                            <w:w w:val="100"/>
                            <w:sz w:val="18"/>
                            <w:szCs w:val="18"/>
                          </w:rPr>
                          <w:t>游戏《寻梦园》开发项目</w:t>
                        </w:r>
                        <w:r>
                          <w:rPr>
                            <w:rFonts w:ascii="Times New Roman" w:hAnsi="Times New Roman" w:cs="Times New Roman" w:eastAsia="Times New Roman" w:hint="default"/>
                            <w:spacing w:val="-11"/>
                            <w:w w:val="100"/>
                            <w:sz w:val="18"/>
                            <w:szCs w:val="18"/>
                          </w:rPr>
                          <w:t>(</w:t>
                        </w:r>
                        <w:r>
                          <w:rPr>
                            <w:rFonts w:ascii="宋体" w:hAnsi="宋体" w:cs="宋体" w:eastAsia="宋体" w:hint="default"/>
                            <w:spacing w:val="-11"/>
                            <w:w w:val="100"/>
                            <w:sz w:val="18"/>
                            <w:szCs w:val="18"/>
                          </w:rPr>
                          <w:t>暂定名</w:t>
                        </w:r>
                        <w:r>
                          <w:rPr>
                            <w:rFonts w:ascii="Times New Roman" w:hAnsi="Times New Roman" w:cs="Times New Roman" w:eastAsia="Times New Roman" w:hint="default"/>
                            <w:spacing w:val="-11"/>
                            <w:w w:val="100"/>
                            <w:sz w:val="18"/>
                            <w:szCs w:val="18"/>
                          </w:rPr>
                          <w:t>)</w:t>
                        </w:r>
                        <w:r>
                          <w:rPr>
                            <w:rFonts w:ascii="Times New Roman" w:hAnsi="Times New Roman" w:cs="Times New Roman" w:eastAsia="Times New Roman" w:hint="default"/>
                            <w:spacing w:val="-11"/>
                            <w:w w:val="100"/>
                            <w:sz w:val="18"/>
                            <w:szCs w:val="18"/>
                          </w:rPr>
                          <w:t>”</w:t>
                        </w:r>
                        <w:r>
                          <w:rPr>
                            <w:rFonts w:ascii="Times New Roman" w:hAnsi="Times New Roman" w:cs="Times New Roman" w:eastAsia="Times New Roman" w:hint="default"/>
                            <w:spacing w:val="4"/>
                            <w:w w:val="100"/>
                            <w:sz w:val="18"/>
                            <w:szCs w:val="18"/>
                          </w:rPr>
                          <w:t> </w:t>
                        </w:r>
                        <w:r>
                          <w:rPr>
                            <w:rFonts w:ascii="宋体" w:hAnsi="宋体" w:cs="宋体" w:eastAsia="宋体" w:hint="default"/>
                            <w:sz w:val="18"/>
                            <w:szCs w:val="18"/>
                          </w:rPr>
                          <w:t>中的</w:t>
                        </w:r>
                        <w:r>
                          <w:rPr>
                            <w:rFonts w:ascii="宋体" w:hAnsi="宋体" w:cs="宋体" w:eastAsia="宋体" w:hint="default"/>
                            <w:spacing w:val="-49"/>
                            <w:sz w:val="18"/>
                            <w:szCs w:val="18"/>
                          </w:rPr>
                          <w:t> </w:t>
                        </w:r>
                        <w:r>
                          <w:rPr>
                            <w:rFonts w:ascii="Times New Roman" w:hAnsi="Times New Roman" w:cs="Times New Roman" w:eastAsia="Times New Roman" w:hint="default"/>
                            <w:spacing w:val="-1"/>
                            <w:sz w:val="18"/>
                            <w:szCs w:val="18"/>
                          </w:rPr>
                          <w:t>2,000.00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万元共计募集资金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14,280.00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万元用于收购上海美峰数码科技有限公司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股权收购项目中；将原计划募投项目</w:t>
                        </w: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游戏《三国 游侠》开发项目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暂定名</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中募集资金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2,186.63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万元用于收购深圳市苏摩科技有限公司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股权收购 项目中。 </w:t>
                        </w:r>
                        <w:r>
                          <w:rPr>
                            <w:rFonts w:ascii="Times New Roman" w:hAnsi="Times New Roman" w:cs="Times New Roman" w:eastAsia="Times New Roman" w:hint="default"/>
                            <w:sz w:val="18"/>
                            <w:szCs w:val="18"/>
                          </w:rPr>
                          <w:t>4</w:t>
                        </w:r>
                        <w:r>
                          <w:rPr>
                            <w:rFonts w:ascii="宋体" w:hAnsi="宋体" w:cs="宋体" w:eastAsia="宋体" w:hint="default"/>
                            <w:sz w:val="18"/>
                            <w:szCs w:val="18"/>
                          </w:rPr>
                          <w:t>、根据公司第一届董事会第二十三次会议和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年度股东大会决议，本公司将超募资金 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万元设立全资子公司深圳中付通用于建立第三方支付平台，后因支付牌照未能申请</w:t>
                        </w:r>
                      </w:p>
                      <w:p>
                        <w:pPr>
                          <w:pStyle w:val="TableParagraph"/>
                          <w:spacing w:line="304" w:lineRule="auto" w:before="13"/>
                          <w:ind w:left="22" w:right="22"/>
                          <w:jc w:val="left"/>
                          <w:rPr>
                            <w:rFonts w:ascii="宋体" w:hAnsi="宋体" w:cs="宋体" w:eastAsia="宋体" w:hint="default"/>
                            <w:sz w:val="18"/>
                            <w:szCs w:val="18"/>
                          </w:rPr>
                        </w:pPr>
                        <w:r>
                          <w:rPr>
                            <w:rFonts w:ascii="宋体" w:hAnsi="宋体" w:cs="宋体" w:eastAsia="宋体" w:hint="default"/>
                            <w:sz w:val="18"/>
                            <w:szCs w:val="18"/>
                          </w:rPr>
                          <w:t>下来，深圳中付通一直未能开展相关业务，经公司第二届董事会第二十八次会议决议和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 </w:t>
                        </w:r>
                        <w:r>
                          <w:rPr>
                            <w:rFonts w:ascii="宋体" w:hAnsi="宋体" w:cs="宋体" w:eastAsia="宋体" w:hint="default"/>
                            <w:spacing w:val="-3"/>
                            <w:sz w:val="18"/>
                            <w:szCs w:val="18"/>
                          </w:rPr>
                          <w:t>东大会决议，本公司将深圳中付通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的股权以人民币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万元的价格出售给宝德控股，同时</w:t>
                        </w:r>
                        <w:r>
                          <w:rPr>
                            <w:rFonts w:ascii="宋体" w:hAnsi="宋体" w:cs="宋体" w:eastAsia="宋体" w:hint="default"/>
                            <w:sz w:val="18"/>
                            <w:szCs w:val="18"/>
                          </w:rPr>
                          <w:t> 将收回的股权转让款变更为永久补充流动资金，转让日深圳中付通募集资金账户余额为人民币 </w:t>
                        </w:r>
                        <w:r>
                          <w:rPr>
                            <w:rFonts w:ascii="Times New Roman" w:hAnsi="Times New Roman" w:cs="Times New Roman" w:eastAsia="Times New Roman" w:hint="default"/>
                            <w:sz w:val="18"/>
                            <w:szCs w:val="18"/>
                          </w:rPr>
                          <w:t>86,078,055.37 </w:t>
                        </w:r>
                        <w:r>
                          <w:rPr>
                            <w:rFonts w:ascii="宋体" w:hAnsi="宋体" w:cs="宋体" w:eastAsia="宋体" w:hint="default"/>
                            <w:sz w:val="18"/>
                            <w:szCs w:val="18"/>
                          </w:rPr>
                          <w:t>元。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年年度股东大会审议通过，公司终止实施苏 州研发中心建设项目，并将该项目剩余募集资金永久补充流动资金。</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日，公司预先已投入募集资金项目的自筹资金合计人民币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58,193,208.64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含预</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先投入人民币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3,750.00 </w:t>
                        </w:r>
                        <w:r>
                          <w:rPr>
                            <w:rFonts w:ascii="宋体" w:hAnsi="宋体" w:cs="宋体" w:eastAsia="宋体" w:hint="default"/>
                            <w:spacing w:val="-2"/>
                            <w:sz w:val="18"/>
                            <w:szCs w:val="18"/>
                          </w:rPr>
                          <w:t>万元投资设立全资子公司苏州华娱创新投资发展有限公司，苏州华娱创新投资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发展有限公司苏州研发中心建设项目实际支出为人民币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6,468,348.86</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元，剩余人民币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31,031,651.14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尚未使用</w:t>
                        </w:r>
                        <w:r>
                          <w:rPr>
                            <w:rFonts w:ascii="Times New Roman" w:hAnsi="Times New Roman" w:cs="Times New Roman" w:eastAsia="Times New Roman" w:hint="default"/>
                            <w:sz w:val="18"/>
                            <w:szCs w:val="18"/>
                          </w:rPr>
                          <w:t>)</w:t>
                        </w:r>
                        <w:r>
                          <w:rPr>
                            <w:rFonts w:ascii="宋体" w:hAnsi="宋体" w:cs="宋体" w:eastAsia="宋体" w:hint="default"/>
                            <w:sz w:val="18"/>
                            <w:szCs w:val="18"/>
                          </w:rPr>
                          <w:t>，实际置换的预先已投入募集资金项目的自筹资金为人民币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27,161,557.50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元。本次置换事</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项已经公司第一届董事会第十八次会议审议通过，且与深圳市鹏城会计师事务所有限公司于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p>
                        <w:pPr>
                          <w:pStyle w:val="TableParagraph"/>
                          <w:spacing w:line="302" w:lineRule="auto" w:before="63"/>
                          <w:ind w:left="22"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日出具的《关于深圳市中青宝网网络科技股份有限公司以自筹资金预先投入募投项目的鉴证 报告》</w:t>
                        </w:r>
                        <w:r>
                          <w:rPr>
                            <w:rFonts w:ascii="Times New Roman" w:hAnsi="Times New Roman" w:cs="Times New Roman" w:eastAsia="Times New Roman" w:hint="default"/>
                            <w:sz w:val="18"/>
                            <w:szCs w:val="18"/>
                          </w:rPr>
                          <w:t>(</w:t>
                        </w:r>
                        <w:r>
                          <w:rPr>
                            <w:rFonts w:ascii="宋体" w:hAnsi="宋体" w:cs="宋体" w:eastAsia="宋体" w:hint="default"/>
                            <w:sz w:val="18"/>
                            <w:szCs w:val="18"/>
                          </w:rPr>
                          <w:t>深鹏所股专字</w:t>
                        </w:r>
                        <w:r>
                          <w:rPr>
                            <w:rFonts w:ascii="Times New Roman" w:hAnsi="Times New Roman" w:cs="Times New Roman" w:eastAsia="Times New Roman" w:hint="default"/>
                            <w:sz w:val="18"/>
                            <w:szCs w:val="18"/>
                          </w:rPr>
                          <w:t>[2010]327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相一致。</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6"/>
                          <w:ind w:left="22" w:right="177"/>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7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日，根据公司第二届董事会第二十二次会议审议通过了公司《关于使用部分闲置募</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集资金暂时补充公司流动资金的议案</w:t>
                        </w:r>
                        <w:r>
                          <w:rPr>
                            <w:rFonts w:ascii="宋体" w:hAnsi="宋体" w:cs="宋体" w:eastAsia="宋体" w:hint="default"/>
                            <w:spacing w:val="-90"/>
                            <w:sz w:val="18"/>
                            <w:szCs w:val="18"/>
                          </w:rPr>
                          <w:t>》</w:t>
                        </w:r>
                        <w:r>
                          <w:rPr>
                            <w:rFonts w:ascii="宋体" w:hAnsi="宋体" w:cs="宋体" w:eastAsia="宋体" w:hint="default"/>
                            <w:spacing w:val="-64"/>
                            <w:sz w:val="18"/>
                            <w:szCs w:val="18"/>
                          </w:rPr>
                          <w:t>，</w:t>
                        </w:r>
                        <w:r>
                          <w:rPr>
                            <w:rFonts w:ascii="宋体" w:hAnsi="宋体" w:cs="宋体" w:eastAsia="宋体" w:hint="default"/>
                            <w:sz w:val="18"/>
                            <w:szCs w:val="18"/>
                          </w:rPr>
                          <w:t>同意使用部分闲置募集资金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4,000.00 </w:t>
                        </w:r>
                        <w:r>
                          <w:rPr>
                            <w:rFonts w:ascii="宋体" w:hAnsi="宋体" w:cs="宋体" w:eastAsia="宋体" w:hint="default"/>
                            <w:sz w:val="18"/>
                            <w:szCs w:val="18"/>
                          </w:rPr>
                          <w:t>万元补充公司流动资金</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4"/>
          <w:szCs w:val="24"/>
        </w:rPr>
      </w:pPr>
    </w:p>
    <w:p>
      <w:pPr>
        <w:pStyle w:val="BodyText"/>
        <w:spacing w:line="240" w:lineRule="auto" w:before="44"/>
        <w:ind w:left="0" w:right="114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before="108"/>
        <w:ind w:left="0" w:right="1145"/>
        <w:jc w:val="right"/>
      </w:pPr>
      <w:r>
        <w:rPr/>
        <w:t>，</w:t>
      </w:r>
    </w:p>
    <w:p>
      <w:pPr>
        <w:spacing w:after="0" w:line="240" w:lineRule="auto"/>
        <w:jc w:val="righ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before="44"/>
        <w:ind w:left="0" w:right="1146"/>
        <w:jc w:val="right"/>
      </w:pPr>
      <w:r>
        <w:rPr/>
        <w:pict>
          <v:shape style="position:absolute;margin-left:56.459999pt;margin-top:-45.608307pt;width:478.9pt;height:613.8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0"/>
                    <w:gridCol w:w="7912"/>
                  </w:tblGrid>
                  <w:tr>
                    <w:trPr>
                      <w:trHeight w:val="6915"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使用期限为自董事会审议通过之日起不超过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日，公司已将人民币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 </w:t>
                        </w:r>
                        <w:r>
                          <w:rPr>
                            <w:rFonts w:ascii="宋体" w:hAnsi="宋体" w:cs="宋体" w:eastAsia="宋体" w:hint="default"/>
                            <w:spacing w:val="-4"/>
                            <w:sz w:val="18"/>
                            <w:szCs w:val="18"/>
                          </w:rPr>
                          <w:t>元归还至公司募集资金专户，同时将上述募集资金的归还情况通知了保荐机构及保荐代表人。</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日，根据公司第二届董事会第二十七次</w:t>
                        </w:r>
                        <w:r>
                          <w:rPr>
                            <w:rFonts w:ascii="Times New Roman" w:hAnsi="Times New Roman" w:cs="Times New Roman" w:eastAsia="Times New Roman" w:hint="default"/>
                            <w:sz w:val="18"/>
                            <w:szCs w:val="18"/>
                          </w:rPr>
                          <w:t>(</w:t>
                        </w:r>
                        <w:r>
                          <w:rPr>
                            <w:rFonts w:ascii="宋体" w:hAnsi="宋体" w:cs="宋体" w:eastAsia="宋体" w:hint="default"/>
                            <w:sz w:val="18"/>
                            <w:szCs w:val="18"/>
                          </w:rPr>
                          <w:t>临时</w:t>
                        </w:r>
                        <w:r>
                          <w:rPr>
                            <w:rFonts w:ascii="Times New Roman" w:hAnsi="Times New Roman" w:cs="Times New Roman" w:eastAsia="Times New Roman" w:hint="default"/>
                            <w:sz w:val="18"/>
                            <w:szCs w:val="18"/>
                          </w:rPr>
                          <w:t>)</w:t>
                        </w:r>
                        <w:r>
                          <w:rPr>
                            <w:rFonts w:ascii="宋体" w:hAnsi="宋体" w:cs="宋体" w:eastAsia="宋体" w:hint="default"/>
                            <w:sz w:val="18"/>
                            <w:szCs w:val="18"/>
                          </w:rPr>
                          <w:t>会议审议通过了公司《关于使用部分闲置募</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集资金暂时补充公司流动资金的议案</w:t>
                        </w:r>
                        <w:r>
                          <w:rPr>
                            <w:rFonts w:ascii="宋体" w:hAnsi="宋体" w:cs="宋体" w:eastAsia="宋体" w:hint="default"/>
                            <w:spacing w:val="-90"/>
                            <w:sz w:val="18"/>
                            <w:szCs w:val="18"/>
                          </w:rPr>
                          <w:t>》，</w:t>
                        </w:r>
                        <w:r>
                          <w:rPr>
                            <w:rFonts w:ascii="宋体" w:hAnsi="宋体" w:cs="宋体" w:eastAsia="宋体" w:hint="default"/>
                            <w:sz w:val="18"/>
                            <w:szCs w:val="18"/>
                          </w:rPr>
                          <w:t>同意使用部分闲置募集资金</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00.00  </w:t>
                        </w:r>
                        <w:r>
                          <w:rPr>
                            <w:rFonts w:ascii="宋体" w:hAnsi="宋体" w:cs="宋体" w:eastAsia="宋体" w:hint="default"/>
                            <w:sz w:val="18"/>
                            <w:szCs w:val="18"/>
                          </w:rPr>
                          <w:t>万元补</w:t>
                        </w:r>
                        <w:r>
                          <w:rPr>
                            <w:rFonts w:ascii="宋体" w:hAnsi="宋体" w:cs="宋体" w:eastAsia="宋体" w:hint="default"/>
                            <w:spacing w:val="-2"/>
                            <w:sz w:val="18"/>
                            <w:szCs w:val="18"/>
                          </w:rPr>
                          <w:t>充</w:t>
                        </w:r>
                        <w:r>
                          <w:rPr>
                            <w:rFonts w:ascii="宋体" w:hAnsi="宋体" w:cs="宋体" w:eastAsia="宋体" w:hint="default"/>
                            <w:sz w:val="18"/>
                            <w:szCs w:val="18"/>
                          </w:rPr>
                          <w:t>公司流动资金</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使用期限为自董事会审议通过之日起不超过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日止，公司已提前归还</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1,000.00  </w:t>
                        </w:r>
                        <w:r>
                          <w:rPr>
                            <w:rFonts w:ascii="宋体" w:hAnsi="宋体" w:cs="宋体" w:eastAsia="宋体" w:hint="default"/>
                            <w:sz w:val="18"/>
                            <w:szCs w:val="18"/>
                          </w:rPr>
                          <w:t>万元至募集资金专用账户，同时将上述募集资金的归还情况通知了保荐机构及保荐代表人。</w:t>
                        </w:r>
                      </w:p>
                      <w:p>
                        <w:pPr>
                          <w:pStyle w:val="TableParagraph"/>
                          <w:spacing w:line="300"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日止，公司已提前归还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万元至募集资金专用账户，同时将上述募集资金 的归还情况通知了保荐机构及保荐代表人。</w:t>
                        </w:r>
                        <w:r>
                          <w:rPr>
                            <w:rFonts w:ascii="宋体" w:hAnsi="宋体" w:cs="宋体" w:eastAsia="宋体" w:hint="default"/>
                            <w:spacing w:val="-31"/>
                            <w:sz w:val="18"/>
                            <w:szCs w:val="18"/>
                          </w:rPr>
                          <w:t> </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日，根据公司第三届董事会第二次</w:t>
                        </w:r>
                        <w:r>
                          <w:rPr>
                            <w:rFonts w:ascii="Times New Roman" w:hAnsi="Times New Roman" w:cs="Times New Roman" w:eastAsia="Times New Roman" w:hint="default"/>
                            <w:sz w:val="18"/>
                            <w:szCs w:val="18"/>
                          </w:rPr>
                          <w:t>(</w:t>
                        </w:r>
                        <w:r>
                          <w:rPr>
                            <w:rFonts w:ascii="宋体" w:hAnsi="宋体" w:cs="宋体" w:eastAsia="宋体" w:hint="default"/>
                            <w:sz w:val="18"/>
                            <w:szCs w:val="18"/>
                          </w:rPr>
                          <w:t>临 </w:t>
                        </w:r>
                        <w:r>
                          <w:rPr>
                            <w:rFonts w:ascii="宋体" w:hAnsi="宋体" w:cs="宋体" w:eastAsia="宋体" w:hint="default"/>
                            <w:spacing w:val="-3"/>
                            <w:sz w:val="18"/>
                            <w:szCs w:val="18"/>
                          </w:rPr>
                          <w:t>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会议审议通过了《关于公司使用部分闲置募集资金暂时补充流动资金的议案》，同意使用公司部分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闲置募集资金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万元，及公司之全资子公司部分闲置募集资金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万元补充流动资金，使</w:t>
                        </w:r>
                      </w:p>
                      <w:p>
                        <w:pPr>
                          <w:pStyle w:val="TableParagraph"/>
                          <w:spacing w:line="240" w:lineRule="auto" w:before="1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用期限为自董事会审议通过之日起不超过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w:t>
                        </w:r>
                        <w:r>
                          <w:rPr>
                            <w:rFonts w:ascii="宋体" w:hAnsi="宋体" w:cs="宋体" w:eastAsia="宋体" w:hint="default"/>
                            <w:sz w:val="18"/>
                            <w:szCs w:val="18"/>
                          </w:rPr>
                          <w:t>以上情况均已知会保荐机构及保荐代表。截至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300"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日止，公司已归还此款至募集资金专用账户，同时将上述募集资金的归还情况通知了保荐机 构及保荐代表人。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日，公司第三届董事会第八次会议审议通过了《关于使用部分 </w:t>
                        </w:r>
                        <w:r>
                          <w:rPr>
                            <w:rFonts w:ascii="宋体" w:hAnsi="宋体" w:cs="宋体" w:eastAsia="宋体" w:hint="default"/>
                            <w:spacing w:val="-3"/>
                            <w:sz w:val="18"/>
                            <w:szCs w:val="18"/>
                          </w:rPr>
                          <w:t>闲置募集资金暂时补充流动资金的议案》，同意使用公司部分闲置募集资金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万元，及公司之</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全资子公司部分闲置募集资金</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万元补充流动资金，使用期限为自董事会审议通过之日起不超</w:t>
                        </w:r>
                      </w:p>
                      <w:p>
                        <w:pPr>
                          <w:pStyle w:val="TableParagraph"/>
                          <w:spacing w:line="307"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日止，公司已归还此款至募集资金专用账户，同时将上述募集资金的 归还情况通知了保荐机构及保荐代表人。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日，公司第三届董事会第十三次</w:t>
                        </w:r>
                        <w:r>
                          <w:rPr>
                            <w:rFonts w:ascii="Times New Roman" w:hAnsi="Times New Roman" w:cs="Times New Roman" w:eastAsia="Times New Roman" w:hint="default"/>
                            <w:sz w:val="18"/>
                            <w:szCs w:val="18"/>
                          </w:rPr>
                          <w:t>(</w:t>
                        </w:r>
                        <w:r>
                          <w:rPr>
                            <w:rFonts w:ascii="宋体" w:hAnsi="宋体" w:cs="宋体" w:eastAsia="宋体" w:hint="default"/>
                            <w:sz w:val="18"/>
                            <w:szCs w:val="18"/>
                          </w:rPr>
                          <w:t>临时</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会议审议通过了《关于使用部分闲置募集资金暂时补充流动资金的议案》，同意使用公司部分闲置募</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集资金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万元，及公司之全资子公司部分闲置募集资金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万元补充流动资金，使用期限</w:t>
                        </w:r>
                      </w:p>
                      <w:p>
                        <w:pPr>
                          <w:pStyle w:val="TableParagraph"/>
                          <w:spacing w:line="240" w:lineRule="auto" w:before="7"/>
                          <w:ind w:left="22" w:right="0"/>
                          <w:jc w:val="both"/>
                          <w:rPr>
                            <w:rFonts w:ascii="宋体" w:hAnsi="宋体" w:cs="宋体" w:eastAsia="宋体" w:hint="default"/>
                            <w:sz w:val="18"/>
                            <w:szCs w:val="18"/>
                          </w:rPr>
                        </w:pPr>
                        <w:r>
                          <w:rPr>
                            <w:rFonts w:ascii="宋体" w:hAnsi="宋体" w:cs="宋体" w:eastAsia="宋体" w:hint="default"/>
                            <w:sz w:val="18"/>
                            <w:szCs w:val="18"/>
                          </w:rPr>
                          <w:t>为自董事会审议通过之日起不超过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日止，公司已提前归还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元至募集资金专用账户，同时将上述募集资金的归还情况通知了保荐机构及保荐代表人。截止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3,000.00 </w:t>
                        </w:r>
                        <w:r>
                          <w:rPr>
                            <w:rFonts w:ascii="宋体" w:hAnsi="宋体" w:cs="宋体" w:eastAsia="宋体" w:hint="default"/>
                            <w:sz w:val="18"/>
                            <w:szCs w:val="18"/>
                          </w:rPr>
                          <w:t>万元尚未归还至募集资金专项账户。</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210"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网络游戏研发技术平台项目已于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月底验收完成，该项目原由网络游戏通用引擎、</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 </w:t>
                        </w:r>
                        <w:r>
                          <w:rPr>
                            <w:rFonts w:ascii="宋体" w:hAnsi="宋体" w:cs="宋体" w:eastAsia="宋体" w:hint="default"/>
                            <w:spacing w:val="-2"/>
                            <w:sz w:val="18"/>
                            <w:szCs w:val="18"/>
                          </w:rPr>
                          <w:t>动作捕捉系统及游戏测试系统组成，现验收的项目包括网络游戏通用引擎和游戏测试系统，该项目完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成后，项目资金结余为人民币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821.10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含利息收入</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158.78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，结余的原因系原计划购买</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游 戏动作捕捉系统</w:t>
                        </w:r>
                        <w:r>
                          <w:rPr>
                            <w:rFonts w:ascii="Times New Roman" w:hAnsi="Times New Roman" w:cs="Times New Roman" w:eastAsia="Times New Roman" w:hint="default"/>
                            <w:sz w:val="18"/>
                            <w:szCs w:val="18"/>
                          </w:rPr>
                          <w:t>(</w:t>
                        </w:r>
                        <w:r>
                          <w:rPr>
                            <w:rFonts w:ascii="宋体" w:hAnsi="宋体" w:cs="宋体" w:eastAsia="宋体" w:hint="default"/>
                            <w:sz w:val="18"/>
                            <w:szCs w:val="18"/>
                          </w:rPr>
                          <w:t>原计划需人民币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因行业情况变化等原因导致购置必要性降低，且公司 </w:t>
                        </w:r>
                        <w:r>
                          <w:rPr>
                            <w:rFonts w:ascii="宋体" w:hAnsi="宋体" w:cs="宋体" w:eastAsia="宋体" w:hint="default"/>
                            <w:spacing w:val="-2"/>
                            <w:sz w:val="18"/>
                            <w:szCs w:val="18"/>
                          </w:rPr>
                          <w:t>已储备由美术中心内部培养的专业人才，其已经具备非常强的专业素养与效率，内部经验分享与沟通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有效快捷，在效果与效率上都达到了动作捕捉系统的成效，因此未实施购置该系统，造成项目资金结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余，此结余资金计划转入永久补充流动资金。</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日，公司第二届董事会第十七次会议审 </w:t>
                        </w:r>
                        <w:r>
                          <w:rPr>
                            <w:rFonts w:ascii="宋体" w:hAnsi="宋体" w:cs="宋体" w:eastAsia="宋体" w:hint="default"/>
                            <w:spacing w:val="-3"/>
                            <w:sz w:val="18"/>
                            <w:szCs w:val="18"/>
                          </w:rPr>
                          <w:t>核通过《关于将募集资金投资项目结余资金永久补充流动资金的议案》，同意公司使用募集资金投资</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项目结余资金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821.10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Times New Roman" w:hAnsi="Times New Roman" w:cs="Times New Roman" w:eastAsia="Times New Roman" w:hint="default"/>
                            <w:sz w:val="18"/>
                            <w:szCs w:val="18"/>
                          </w:rPr>
                          <w:t>(</w:t>
                        </w:r>
                        <w:r>
                          <w:rPr>
                            <w:rFonts w:ascii="宋体" w:hAnsi="宋体" w:cs="宋体" w:eastAsia="宋体" w:hint="default"/>
                            <w:sz w:val="18"/>
                            <w:szCs w:val="18"/>
                          </w:rPr>
                          <w:t>含利息收入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158.78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永久补充流动资金，该事项已经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会审议通过。</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尚未使用的超募资金目前存放于募集资金专户中。</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7"/>
        <w:spacing w:line="240" w:lineRule="auto" w:before="35"/>
        <w:ind w:right="0"/>
        <w:jc w:val="left"/>
        <w:rPr>
          <w:b w:val="0"/>
          <w:bCs w:val="0"/>
        </w:rPr>
      </w:pPr>
      <w:bookmarkStart w:name="(3)募集资金变更项目情况" w:id="50"/>
      <w:bookmarkEnd w:id="50"/>
      <w:r>
        <w:rPr>
          <w:b w:val="0"/>
          <w:bCs w:val="0"/>
        </w:rPr>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after="0" w:line="240" w:lineRule="auto"/>
        <w:jc w:val="righ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增资卓页 网页游戏的 运营和研发 投资</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3"/>
              <w:jc w:val="left"/>
              <w:rPr>
                <w:rFonts w:ascii="宋体" w:hAnsi="宋体" w:cs="宋体" w:eastAsia="宋体" w:hint="default"/>
                <w:sz w:val="18"/>
                <w:szCs w:val="18"/>
              </w:rPr>
            </w:pPr>
            <w:r>
              <w:rPr>
                <w:rFonts w:ascii="宋体" w:hAnsi="宋体" w:cs="宋体" w:eastAsia="宋体" w:hint="default"/>
                <w:sz w:val="18"/>
                <w:szCs w:val="18"/>
              </w:rPr>
              <w:t>中青聚宝项 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3,000</w:t>
            </w: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3,022.02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100.73%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45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09" w:lineRule="auto"/>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上海美峰 数码科技有 限公司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51% </w:t>
            </w:r>
            <w:r>
              <w:rPr>
                <w:rFonts w:ascii="宋体" w:hAnsi="宋体" w:cs="宋体" w:eastAsia="宋体" w:hint="default"/>
                <w:sz w:val="18"/>
                <w:szCs w:val="18"/>
              </w:rPr>
              <w:t>股权收购项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苏州研发中 心建设项 目、 </w:t>
            </w:r>
            <w:r>
              <w:rPr>
                <w:rFonts w:ascii="Times New Roman" w:hAnsi="Times New Roman" w:cs="Times New Roman" w:eastAsia="Times New Roman" w:hint="default"/>
                <w:sz w:val="18"/>
                <w:szCs w:val="18"/>
              </w:rPr>
              <w:t>2.5D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游戏《新宋 演义》开发 项目</w:t>
            </w:r>
            <w:r>
              <w:rPr>
                <w:rFonts w:ascii="Times New Roman" w:hAnsi="Times New Roman" w:cs="Times New Roman" w:eastAsia="Times New Roman" w:hint="default"/>
                <w:sz w:val="18"/>
                <w:szCs w:val="18"/>
              </w:rPr>
              <w:t>(</w:t>
            </w:r>
            <w:r>
              <w:rPr>
                <w:rFonts w:ascii="宋体" w:hAnsi="宋体" w:cs="宋体" w:eastAsia="宋体" w:hint="default"/>
                <w:sz w:val="18"/>
                <w:szCs w:val="18"/>
              </w:rPr>
              <w:t>暂定 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 戏《盟军》 开发项目 </w:t>
            </w:r>
            <w:r>
              <w:rPr>
                <w:rFonts w:ascii="Times New Roman" w:hAnsi="Times New Roman" w:cs="Times New Roman" w:eastAsia="Times New Roman" w:hint="default"/>
                <w:sz w:val="18"/>
                <w:szCs w:val="18"/>
              </w:rPr>
              <w:t>(</w:t>
            </w:r>
            <w:r>
              <w:rPr>
                <w:rFonts w:ascii="宋体" w:hAnsi="宋体" w:cs="宋体" w:eastAsia="宋体" w:hint="default"/>
                <w:sz w:val="18"/>
                <w:szCs w:val="18"/>
              </w:rPr>
              <w:t>暂定名</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w w:val="99"/>
                <w:sz w:val="18"/>
                <w:szCs w:val="18"/>
              </w:rPr>
              <w:t>3D</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21"/>
                <w:sz w:val="18"/>
                <w:szCs w:val="18"/>
              </w:rPr>
              <w:t>游戏《寻</w:t>
            </w:r>
            <w:r>
              <w:rPr>
                <w:rFonts w:ascii="宋体" w:hAnsi="宋体" w:cs="宋体" w:eastAsia="宋体" w:hint="default"/>
                <w:sz w:val="18"/>
                <w:szCs w:val="18"/>
              </w:rPr>
              <w:t> 梦园》开发 项目</w:t>
            </w:r>
            <w:r>
              <w:rPr>
                <w:rFonts w:ascii="Times New Roman" w:hAnsi="Times New Roman" w:cs="Times New Roman" w:eastAsia="Times New Roman" w:hint="default"/>
                <w:sz w:val="18"/>
                <w:szCs w:val="18"/>
              </w:rPr>
              <w:t>(</w:t>
            </w:r>
            <w:r>
              <w:rPr>
                <w:rFonts w:ascii="宋体" w:hAnsi="宋体" w:cs="宋体" w:eastAsia="宋体" w:hint="default"/>
                <w:sz w:val="18"/>
                <w:szCs w:val="18"/>
              </w:rPr>
              <w:t>暂定 名</w:t>
            </w:r>
            <w:r>
              <w:rPr>
                <w:rFonts w:ascii="Times New Roman" w:hAnsi="Times New Roman" w:cs="Times New Roman" w:eastAsia="Times New Roman"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14,280</w:t>
            </w: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14,280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-958.28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深圳市苏 摩科技有限 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 权收购项目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游戏</w:t>
            </w:r>
          </w:p>
          <w:p>
            <w:pPr>
              <w:pStyle w:val="TableParagraph"/>
              <w:spacing w:line="319" w:lineRule="auto" w:before="63"/>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《三国游 侠》开发项 目</w:t>
            </w:r>
            <w:r>
              <w:rPr>
                <w:rFonts w:ascii="Times New Roman" w:hAnsi="Times New Roman" w:cs="Times New Roman" w:eastAsia="Times New Roman" w:hint="default"/>
                <w:sz w:val="18"/>
                <w:szCs w:val="18"/>
              </w:rPr>
              <w:t>(</w:t>
            </w:r>
            <w:r>
              <w:rPr>
                <w:rFonts w:ascii="宋体" w:hAnsi="宋体" w:cs="宋体" w:eastAsia="宋体" w:hint="default"/>
                <w:sz w:val="18"/>
                <w:szCs w:val="18"/>
              </w:rPr>
              <w:t>暂定名</w:t>
            </w:r>
            <w:r>
              <w:rPr>
                <w:rFonts w:ascii="Times New Roman" w:hAnsi="Times New Roman" w:cs="Times New Roman" w:eastAsia="Times New Roman"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2,186.63</w:t>
            </w: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2,186.63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562.55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超募资金 项目：永久 补充流动资 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3"/>
              <w:jc w:val="left"/>
              <w:rPr>
                <w:rFonts w:ascii="宋体" w:hAnsi="宋体" w:cs="宋体" w:eastAsia="宋体" w:hint="default"/>
                <w:sz w:val="18"/>
                <w:szCs w:val="18"/>
              </w:rPr>
            </w:pPr>
            <w:r>
              <w:rPr>
                <w:rFonts w:ascii="宋体" w:hAnsi="宋体" w:cs="宋体" w:eastAsia="宋体" w:hint="default"/>
                <w:sz w:val="18"/>
                <w:szCs w:val="18"/>
              </w:rPr>
              <w:t>第三方支付 平台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5</w:t>
            </w:r>
            <w:r>
              <w:rPr>
                <w:rFonts w:ascii="宋体" w:hAnsi="宋体" w:cs="宋体" w:eastAsia="宋体" w:hint="default"/>
                <w:spacing w:val="-15"/>
                <w:sz w:val="18"/>
                <w:szCs w:val="18"/>
              </w:rPr>
              <w:t>、永久补充</w:t>
            </w:r>
            <w:r>
              <w:rPr>
                <w:rFonts w:ascii="宋体" w:hAnsi="宋体" w:cs="宋体" w:eastAsia="宋体" w:hint="default"/>
                <w:sz w:val="18"/>
                <w:szCs w:val="18"/>
              </w:rPr>
              <w:t> 流动资金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苏州研发中 心建设项目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3,220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3,602.2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3,602.2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3"/>
                <w:sz w:val="18"/>
              </w:rPr>
              <w:t>111.87%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32,686.63</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3,602.2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33,090.85</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-395.73</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2859"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9"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、经本公司第二届董事会第九次会议和</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年年度股东大会审议通过，为加快募集 资金使用效率和提高资金投资回报，公司对中青聚宝项目的部分募集资金进行变更， 将人民币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万元用于增资卓页网页游戏的运营和研发投资项目等方面，投资形 式以深圳中青聚宝信息技术有限公司增资深圳市卓页互动网络科技有限公司。</w:t>
            </w:r>
            <w:r>
              <w:rPr>
                <w:rFonts w:ascii="宋体" w:hAnsi="宋体" w:cs="宋体" w:eastAsia="宋体" w:hint="default"/>
                <w:spacing w:val="-8"/>
                <w:sz w:val="18"/>
                <w:szCs w:val="18"/>
              </w:rPr>
              <w:t> </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、经</w:t>
            </w:r>
            <w:r>
              <w:rPr>
                <w:rFonts w:ascii="宋体" w:hAnsi="宋体" w:cs="宋体" w:eastAsia="宋体" w:hint="default"/>
                <w:spacing w:val="-10"/>
                <w:sz w:val="18"/>
                <w:szCs w:val="18"/>
              </w:rPr>
              <w:t> </w:t>
            </w:r>
            <w:r>
              <w:rPr>
                <w:rFonts w:ascii="宋体" w:hAnsi="宋体" w:cs="宋体" w:eastAsia="宋体" w:hint="default"/>
                <w:sz w:val="18"/>
                <w:szCs w:val="18"/>
              </w:rPr>
              <w:t>本公司第二届董事会第二十三次</w:t>
            </w:r>
            <w:r>
              <w:rPr>
                <w:rFonts w:ascii="Times New Roman" w:hAnsi="Times New Roman" w:cs="Times New Roman" w:eastAsia="Times New Roman" w:hint="default"/>
                <w:sz w:val="18"/>
                <w:szCs w:val="18"/>
              </w:rPr>
              <w:t>(</w:t>
            </w:r>
            <w:r>
              <w:rPr>
                <w:rFonts w:ascii="宋体" w:hAnsi="宋体" w:cs="宋体" w:eastAsia="宋体" w:hint="default"/>
                <w:sz w:val="18"/>
                <w:szCs w:val="18"/>
              </w:rPr>
              <w:t>临时</w:t>
            </w:r>
            <w:r>
              <w:rPr>
                <w:rFonts w:ascii="Times New Roman" w:hAnsi="Times New Roman" w:cs="Times New Roman" w:eastAsia="Times New Roman" w:hint="default"/>
                <w:sz w:val="18"/>
                <w:szCs w:val="18"/>
              </w:rPr>
              <w:t>)</w:t>
            </w:r>
            <w:r>
              <w:rPr>
                <w:rFonts w:ascii="宋体" w:hAnsi="宋体" w:cs="宋体" w:eastAsia="宋体" w:hint="default"/>
                <w:sz w:val="18"/>
                <w:szCs w:val="18"/>
              </w:rPr>
              <w:t>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年度第二次临时股东大会审议通 过，公司变更部分募集资金投资项目及用募集资金和自由资金收购上海美峰数码科技 有限公司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股权和深圳市苏摩科技有限公司</w:t>
            </w:r>
            <w:r>
              <w:rPr>
                <w:rFonts w:ascii="宋体" w:hAnsi="宋体" w:cs="宋体" w:eastAsia="宋体" w:hint="default"/>
                <w:spacing w:val="-63"/>
                <w:sz w:val="18"/>
                <w:szCs w:val="18"/>
              </w:rPr>
              <w:t> </w:t>
            </w:r>
            <w:r>
              <w:rPr>
                <w:rFonts w:ascii="Times New Roman" w:hAnsi="Times New Roman" w:cs="Times New Roman" w:eastAsia="Times New Roman" w:hint="default"/>
                <w:spacing w:val="-5"/>
                <w:w w:val="100"/>
                <w:sz w:val="18"/>
                <w:szCs w:val="18"/>
              </w:rPr>
              <w:t>51%</w:t>
            </w:r>
            <w:r>
              <w:rPr>
                <w:rFonts w:ascii="宋体" w:hAnsi="宋体" w:cs="宋体" w:eastAsia="宋体" w:hint="default"/>
                <w:spacing w:val="-5"/>
                <w:w w:val="100"/>
                <w:sz w:val="18"/>
                <w:szCs w:val="18"/>
              </w:rPr>
              <w:t>股权：本公司将原计划募投项目</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苏</w:t>
            </w:r>
            <w:r>
              <w:rPr>
                <w:rFonts w:ascii="宋体" w:hAnsi="宋体" w:cs="宋体" w:eastAsia="宋体" w:hint="default"/>
                <w:sz w:val="18"/>
                <w:szCs w:val="18"/>
              </w:rPr>
              <w:t> 州研发中心建设项目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8,280.00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“2.5D</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游戏《新宋演义》开发项目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暂定名</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中的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游戏《盟军》开发项目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暂定名</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万元和</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游</w:t>
            </w:r>
          </w:p>
        </w:tc>
      </w:tr>
    </w:tbl>
    <w:p>
      <w:pPr>
        <w:spacing w:after="0" w:line="304"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72"/>
        <w:gridCol w:w="6699"/>
      </w:tblGrid>
      <w:tr>
        <w:trPr>
          <w:trHeight w:val="3795"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49"/>
              <w:jc w:val="left"/>
              <w:rPr>
                <w:rFonts w:ascii="宋体" w:hAnsi="宋体" w:cs="宋体" w:eastAsia="宋体" w:hint="default"/>
                <w:sz w:val="18"/>
                <w:szCs w:val="18"/>
              </w:rPr>
            </w:pPr>
            <w:r>
              <w:rPr>
                <w:rFonts w:ascii="宋体" w:hAnsi="宋体" w:cs="宋体" w:eastAsia="宋体" w:hint="default"/>
                <w:sz w:val="18"/>
                <w:szCs w:val="18"/>
              </w:rPr>
              <w:t>戏《寻梦园》开发项目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暂定名</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万元共计募集资金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14,280.00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 收购上海美峰数码科技有限公司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股权收购项目中；将原计划募投项目</w:t>
            </w: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游戏</w:t>
            </w:r>
          </w:p>
          <w:p>
            <w:pPr>
              <w:pStyle w:val="TableParagraph"/>
              <w:spacing w:line="307" w:lineRule="auto" w:before="13"/>
              <w:ind w:left="23" w:right="20"/>
              <w:jc w:val="left"/>
              <w:rPr>
                <w:rFonts w:ascii="宋体" w:hAnsi="宋体" w:cs="宋体" w:eastAsia="宋体" w:hint="default"/>
                <w:sz w:val="18"/>
                <w:szCs w:val="18"/>
              </w:rPr>
            </w:pPr>
            <w:r>
              <w:rPr>
                <w:rFonts w:ascii="宋体" w:hAnsi="宋体" w:cs="宋体" w:eastAsia="宋体" w:hint="default"/>
                <w:sz w:val="18"/>
                <w:szCs w:val="18"/>
              </w:rPr>
              <w:t>《三国游侠》开发项目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暂定名</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中募集资金</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2,186.63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万元用于收购深圳市苏摩科技有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股权收购项目中。 </w:t>
            </w:r>
            <w:r>
              <w:rPr>
                <w:rFonts w:ascii="Times New Roman" w:hAnsi="Times New Roman" w:cs="Times New Roman" w:eastAsia="Times New Roman" w:hint="default"/>
                <w:sz w:val="18"/>
                <w:szCs w:val="18"/>
              </w:rPr>
              <w:t>3</w:t>
            </w:r>
            <w:r>
              <w:rPr>
                <w:rFonts w:ascii="宋体" w:hAnsi="宋体" w:cs="宋体" w:eastAsia="宋体" w:hint="default"/>
                <w:sz w:val="18"/>
                <w:szCs w:val="18"/>
              </w:rPr>
              <w:t>、根据公司第一届董事会第二十三次会议和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度股东大会决议，本公司将超募资金人民币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 </w:t>
            </w:r>
            <w:r>
              <w:rPr>
                <w:rFonts w:ascii="宋体" w:hAnsi="宋体" w:cs="宋体" w:eastAsia="宋体" w:hint="default"/>
                <w:sz w:val="18"/>
                <w:szCs w:val="18"/>
              </w:rPr>
              <w:t>万元设立全资子公司深圳中付 </w:t>
            </w:r>
            <w:r>
              <w:rPr>
                <w:rFonts w:ascii="宋体" w:hAnsi="宋体" w:cs="宋体" w:eastAsia="宋体" w:hint="default"/>
                <w:spacing w:val="-1"/>
                <w:sz w:val="18"/>
                <w:szCs w:val="18"/>
              </w:rPr>
              <w:t>通用于建立第三方支付平台，后因支付牌照未能申请下来，深圳中付通一直未能开展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相关业务，经公司第二届董事会第二十八次会议决议和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年度股东大会决议，本 公司将深圳中付通</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的股权以人民币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万元的价格出售给宝德控股，同时</w:t>
            </w:r>
            <w:r>
              <w:rPr>
                <w:rFonts w:ascii="宋体" w:hAnsi="宋体" w:cs="宋体" w:eastAsia="宋体" w:hint="default"/>
                <w:sz w:val="18"/>
                <w:szCs w:val="18"/>
              </w:rPr>
              <w:t> </w:t>
            </w:r>
            <w:r>
              <w:rPr>
                <w:rFonts w:ascii="宋体" w:hAnsi="宋体" w:cs="宋体" w:eastAsia="宋体" w:hint="default"/>
                <w:spacing w:val="-1"/>
                <w:sz w:val="18"/>
                <w:szCs w:val="18"/>
              </w:rPr>
              <w:t>将收回的股权转让款变更为永久补充流动资金，转让日深圳中付通募集资金账户余额</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86,078,055.37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年年度股东大会审 </w:t>
            </w:r>
            <w:r>
              <w:rPr>
                <w:rFonts w:ascii="宋体" w:hAnsi="宋体" w:cs="宋体" w:eastAsia="宋体" w:hint="default"/>
                <w:spacing w:val="-1"/>
                <w:sz w:val="18"/>
                <w:szCs w:val="18"/>
              </w:rPr>
              <w:t>议通过，公司终止实施苏州研发中心建设项目，并将该项目剩余募集资金永久补充流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动资金。</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7"/>
        <w:rPr>
          <w:rFonts w:ascii="Times New Roman" w:hAnsi="Times New Roman" w:cs="Times New Roman" w:eastAsia="Times New Roman" w:hint="default"/>
          <w:sz w:val="20"/>
          <w:szCs w:val="20"/>
        </w:rPr>
      </w:pPr>
    </w:p>
    <w:p>
      <w:pPr>
        <w:pStyle w:val="Heading3"/>
        <w:spacing w:line="240" w:lineRule="auto" w:before="26"/>
        <w:ind w:left="1134" w:right="0"/>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left="1133" w:right="0"/>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7"/>
        <w:spacing w:line="240" w:lineRule="auto"/>
        <w:ind w:left="1133" w:right="0"/>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3834"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交易价 格</w:t>
            </w:r>
            <w:r>
              <w:rPr>
                <w:rFonts w:ascii="Times New Roman" w:hAnsi="Times New Roman" w:cs="Times New Roman" w:eastAsia="Times New Roman" w:hint="default"/>
                <w:sz w:val="18"/>
                <w:szCs w:val="18"/>
              </w:rPr>
              <w:t>(</w:t>
            </w:r>
            <w:r>
              <w:rPr>
                <w:rFonts w:ascii="宋体" w:hAnsi="宋体" w:cs="宋体" w:eastAsia="宋体" w:hint="default"/>
                <w:sz w:val="18"/>
                <w:szCs w:val="18"/>
              </w:rPr>
              <w:t>万</w:t>
            </w: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w:t>
            </w:r>
            <w:r>
              <w:rPr>
                <w:rFonts w:ascii="Times New Roman" w:hAnsi="Times New Roman" w:cs="Times New Roman" w:eastAsia="Times New Roman" w:hint="default"/>
                <w:sz w:val="18"/>
                <w:szCs w:val="18"/>
              </w:rPr>
              <w:t>(</w:t>
            </w:r>
            <w:r>
              <w:rPr>
                <w:rFonts w:ascii="宋体" w:hAnsi="宋体" w:cs="宋体" w:eastAsia="宋体" w:hint="default"/>
                <w:sz w:val="18"/>
                <w:szCs w:val="18"/>
              </w:rPr>
              <w:t>万</w:t>
            </w:r>
          </w:p>
          <w:p>
            <w:pPr>
              <w:pStyle w:val="TableParagraph"/>
              <w:spacing w:line="240" w:lineRule="auto"/>
              <w:ind w:left="2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5"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66"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299"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深圳鹏 资创业 投资企 业</w:t>
            </w:r>
            <w:r>
              <w:rPr>
                <w:rFonts w:ascii="Times New Roman" w:hAnsi="Times New Roman" w:cs="Times New Roman" w:eastAsia="Times New Roman" w:hint="default"/>
                <w:sz w:val="18"/>
                <w:szCs w:val="18"/>
              </w:rPr>
              <w:t>(</w:t>
            </w:r>
            <w:r>
              <w:rPr>
                <w:rFonts w:ascii="宋体" w:hAnsi="宋体" w:cs="宋体" w:eastAsia="宋体" w:hint="default"/>
                <w:sz w:val="18"/>
                <w:szCs w:val="18"/>
              </w:rPr>
              <w:t>合伙</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上海跳 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600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211.99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见注 </w:t>
            </w:r>
            <w:r>
              <w:rPr>
                <w:rFonts w:ascii="Times New Roman" w:hAnsi="Times New Roman" w:cs="Times New Roman" w:eastAsia="Times New Roman" w:hint="default"/>
                <w:sz w:val="18"/>
                <w:szCs w:val="18"/>
              </w:rPr>
              <w:t>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3.25%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公允价 值</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巨潮资 讯网</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362"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w:t>
            </w:r>
            <w:r>
              <w:rPr>
                <w:rFonts w:ascii="Times New Roman" w:hAnsi="Times New Roman" w:cs="Times New Roman" w:eastAsia="Times New Roman" w:hint="default"/>
                <w:sz w:val="18"/>
                <w:szCs w:val="18"/>
              </w:rPr>
              <w:t>)</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共青城 先行网 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上海跳 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Times New Roman"/>
                <w:sz w:val="18"/>
              </w:rPr>
              <w:t>9,292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203.54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见注 </w:t>
            </w:r>
            <w:r>
              <w:rPr>
                <w:rFonts w:ascii="Times New Roman" w:hAnsi="Times New Roman" w:cs="Times New Roman" w:eastAsia="Times New Roman" w:hint="default"/>
                <w:sz w:val="18"/>
                <w:szCs w:val="18"/>
              </w:rPr>
              <w:t>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3.12%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公允价 值</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066" w:hRule="exact"/>
        </w:trPr>
        <w:tc>
          <w:tcPr>
            <w:tcW w:w="9565" w:type="dxa"/>
            <w:gridSpan w:val="14"/>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：本次交易通过引入核心技术骨干持股，可进一步将其与公司资产结成共同体，共同投入，共担风险，充分激发和调 动其工作的积极性、创造性，有利于公司长期稳定发展。</w:t>
            </w:r>
          </w:p>
          <w:p>
            <w:pPr>
              <w:pStyle w:val="TableParagraph"/>
              <w:spacing w:line="240" w:lineRule="auto" w:before="72"/>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：本次交易转让参股子公司股权，获取投资收益，为公司下一步转型及战略布局做准备。</w:t>
            </w:r>
          </w:p>
        </w:tc>
      </w:tr>
    </w:tbl>
    <w:p>
      <w:pPr>
        <w:spacing w:line="240" w:lineRule="auto" w:before="2"/>
        <w:rPr>
          <w:rFonts w:ascii="宋体" w:hAnsi="宋体" w:cs="宋体" w:eastAsia="宋体" w:hint="default"/>
          <w:sz w:val="18"/>
          <w:szCs w:val="18"/>
        </w:rPr>
      </w:pPr>
    </w:p>
    <w:p>
      <w:pPr>
        <w:pStyle w:val="Heading3"/>
        <w:spacing w:line="240" w:lineRule="auto" w:before="26"/>
        <w:ind w:left="1134" w:right="0"/>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5829" w:space="3090"/>
            <w:col w:w="299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上海美峰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100,943,327.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68,605,256.5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49,727,474.1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-20,861,709.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-13,377,622.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72</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23,340,223.7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20,257,612.3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19,894,881.2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10,881,143.6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11,030,449.6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bl>
    <w:p>
      <w:pPr>
        <w:pStyle w:val="BodyText"/>
        <w:spacing w:line="240" w:lineRule="auto" w:before="51"/>
        <w:ind w:left="1134" w:right="0"/>
        <w:jc w:val="left"/>
      </w:pPr>
      <w:r>
        <w:rPr/>
        <w:t>报告期内取得和处置子公司的情况</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深圳市五秒传媒技术有限公司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183,312.13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北京幻龙互动科技有限公司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成都市米斗科技有限公司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8"/>
          <w:szCs w:val="18"/>
        </w:rPr>
      </w:pPr>
    </w:p>
    <w:p>
      <w:pPr>
        <w:pStyle w:val="Heading3"/>
        <w:spacing w:line="240" w:lineRule="auto" w:before="26"/>
        <w:ind w:left="1134" w:right="0"/>
        <w:jc w:val="left"/>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九、公司未来发展的展望" w:id="56"/>
      <w:bookmarkEnd w:id="56"/>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宋体" w:hAnsi="宋体" w:cs="宋体" w:eastAsia="宋体" w:hint="default"/>
        </w:rPr>
        <w:t>(</w:t>
      </w:r>
      <w:r>
        <w:rPr/>
        <w:t>一</w:t>
      </w:r>
      <w:r>
        <w:rPr>
          <w:rFonts w:ascii="宋体" w:hAnsi="宋体" w:cs="宋体" w:eastAsia="宋体" w:hint="default"/>
        </w:rPr>
        <w:t>)</w:t>
      </w:r>
      <w:r>
        <w:rPr/>
        <w:t>行业格局和趋势</w:t>
      </w:r>
    </w:p>
    <w:p>
      <w:pPr>
        <w:pStyle w:val="BodyText"/>
        <w:spacing w:line="312" w:lineRule="auto" w:before="76"/>
        <w:ind w:right="1129" w:firstLine="420"/>
        <w:jc w:val="both"/>
      </w:pPr>
      <w:r>
        <w:rPr>
          <w:rFonts w:ascii="Times New Roman" w:hAnsi="Times New Roman" w:cs="Times New Roman" w:eastAsia="Times New Roman" w:hint="default"/>
        </w:rPr>
        <w:t>2015</w:t>
      </w:r>
      <w:r>
        <w:rPr/>
        <w:t>年是变革之年，随着全球智能手机市场的覆盖上升和新技术的爆发，手游行业面临新一轮的洗牌。随着市场的扩 </w:t>
      </w:r>
      <w:r>
        <w:rPr>
          <w:spacing w:val="-2"/>
        </w:rPr>
        <w:t>大，新的竞争者、跨界挑战者也纷纷涌入，老牌游戏公司面临更严峻挑战。众多新老游戏公司将目标集中在</w:t>
      </w:r>
      <w:r>
        <w:rPr>
          <w:rFonts w:ascii="Times New Roman" w:hAnsi="Times New Roman" w:cs="Times New Roman" w:eastAsia="Times New Roman" w:hint="default"/>
          <w:spacing w:val="-2"/>
        </w:rPr>
        <w:t>IP</w:t>
      </w:r>
      <w:r>
        <w:rPr>
          <w:spacing w:val="-2"/>
        </w:rPr>
        <w:t>储备、技术应</w:t>
      </w:r>
      <w:r>
        <w:rPr>
          <w:spacing w:val="-45"/>
        </w:rPr>
        <w:t> </w:t>
      </w:r>
      <w:r>
        <w:rPr>
          <w:spacing w:val="-45"/>
        </w:rPr>
      </w:r>
      <w:r>
        <w:rPr>
          <w:spacing w:val="-2"/>
        </w:rPr>
        <w:t>用、全球化布局、平台打造等方向，多个传统行业公司也通过兼并收购将泛娱乐平台作为新的发展方向。可以预见，随着智</w:t>
      </w:r>
      <w:r>
        <w:rPr>
          <w:spacing w:val="-66"/>
        </w:rPr>
        <w:t> </w:t>
      </w:r>
      <w:r>
        <w:rPr>
          <w:spacing w:val="-66"/>
        </w:rPr>
      </w:r>
      <w:r>
        <w:rPr>
          <w:spacing w:val="-2"/>
        </w:rPr>
        <w:t>能手机的全面铺开以及更多的挑战者进入，手游行业的竞争趋势将逐渐从过去的粗放型扩张迈向精细化运营阶段。不同于传</w:t>
      </w:r>
      <w:r>
        <w:rPr>
          <w:spacing w:val="-64"/>
        </w:rPr>
        <w:t> </w:t>
      </w:r>
      <w:r>
        <w:rPr>
          <w:spacing w:val="-64"/>
        </w:rPr>
      </w:r>
      <w:r>
        <w:rPr>
          <w:spacing w:val="-2"/>
        </w:rPr>
        <w:t>统行业抢占市场占有率的竞争特点，手游行业时刻面临着来自不同维度对手的竞争，新旧竞争对手有着天壤之别，但竞争形</w:t>
      </w:r>
      <w:r>
        <w:rPr>
          <w:spacing w:val="-66"/>
        </w:rPr>
        <w:t> </w:t>
      </w:r>
      <w:r>
        <w:rPr>
          <w:spacing w:val="-66"/>
        </w:rPr>
      </w:r>
      <w:r>
        <w:rPr>
          <w:spacing w:val="-2"/>
        </w:rPr>
        <w:t>态的变化形式更为剧烈。在新的竞争环境下，过往的企业护城河变得更浅，新崛起的企业能更快地在竞争中取得国际上的统</w:t>
      </w:r>
      <w:r>
        <w:rPr>
          <w:spacing w:val="-66"/>
        </w:rPr>
        <w:t> </w:t>
      </w:r>
      <w:r>
        <w:rPr>
          <w:spacing w:val="-66"/>
        </w:rPr>
      </w:r>
      <w:r>
        <w:rPr/>
        <w:t>治地位。如今，能够灵活变通适应市场才会获得竞争优势，竞争永远存在，而优势会逐渐消失。</w:t>
      </w:r>
    </w:p>
    <w:p>
      <w:pPr>
        <w:spacing w:after="0" w:line="312" w:lineRule="auto"/>
        <w:jc w:val="both"/>
        <w:sectPr>
          <w:type w:val="continuous"/>
          <w:pgSz w:w="11910" w:h="16840"/>
          <w:pgMar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553" w:right="1118" w:hanging="420"/>
        <w:jc w:val="left"/>
      </w:pPr>
      <w:r>
        <w:rPr>
          <w:rFonts w:ascii="宋体" w:hAnsi="宋体" w:cs="宋体" w:eastAsia="宋体" w:hint="default"/>
        </w:rPr>
        <w:t>(</w:t>
      </w:r>
      <w:r>
        <w:rPr/>
        <w:t>二</w:t>
      </w:r>
      <w:r>
        <w:rPr>
          <w:rFonts w:ascii="宋体" w:hAnsi="宋体" w:cs="宋体" w:eastAsia="宋体" w:hint="default"/>
        </w:rPr>
        <w:t>)</w:t>
      </w:r>
      <w:r>
        <w:rPr/>
        <w:t>公司发展战略 经历了</w:t>
      </w:r>
      <w:r>
        <w:rPr>
          <w:rFonts w:ascii="Times New Roman" w:hAnsi="Times New Roman" w:cs="Times New Roman" w:eastAsia="Times New Roman" w:hint="default"/>
        </w:rPr>
        <w:t>2013</w:t>
      </w:r>
      <w:r>
        <w:rPr/>
        <w:t>年的突破和</w:t>
      </w:r>
      <w:r>
        <w:rPr>
          <w:rFonts w:ascii="Times New Roman" w:hAnsi="Times New Roman" w:cs="Times New Roman" w:eastAsia="Times New Roman" w:hint="default"/>
        </w:rPr>
        <w:t>2014</w:t>
      </w:r>
      <w:r>
        <w:rPr/>
        <w:t>年的未雨绸缪，公司在</w:t>
      </w:r>
      <w:r>
        <w:rPr>
          <w:rFonts w:ascii="Times New Roman" w:hAnsi="Times New Roman" w:cs="Times New Roman" w:eastAsia="Times New Roman" w:hint="default"/>
        </w:rPr>
        <w:t>2015</w:t>
      </w:r>
      <w:r>
        <w:rPr/>
        <w:t>年延续了对</w:t>
      </w:r>
      <w:r>
        <w:rPr>
          <w:rFonts w:ascii="Times New Roman" w:hAnsi="Times New Roman" w:cs="Times New Roman" w:eastAsia="Times New Roman" w:hint="default"/>
        </w:rPr>
        <w:t>“</w:t>
      </w:r>
      <w:r>
        <w:rPr/>
        <w:t>四横一纵</w:t>
      </w:r>
      <w:r>
        <w:rPr>
          <w:rFonts w:ascii="Times New Roman" w:hAnsi="Times New Roman" w:cs="Times New Roman" w:eastAsia="Times New Roman" w:hint="default"/>
        </w:rPr>
        <w:t>”</w:t>
      </w:r>
      <w:r>
        <w:rPr/>
        <w:t>战略、产业链整合、资源布局的贯彻执</w:t>
      </w:r>
    </w:p>
    <w:p>
      <w:pPr>
        <w:pStyle w:val="BodyText"/>
        <w:spacing w:line="319" w:lineRule="auto"/>
        <w:ind w:right="1131"/>
        <w:jc w:val="both"/>
      </w:pPr>
      <w:r>
        <w:rPr>
          <w:spacing w:val="-5"/>
        </w:rPr>
        <w:t>行。来年，公司将在游戏业务产业链整合以及泛娱乐平台搭建上集中发力，迎来新的突破。不同于以往被动回应市场的寻求，</w:t>
      </w:r>
      <w:r>
        <w:rPr>
          <w:spacing w:val="-82"/>
        </w:rPr>
        <w:t> </w:t>
      </w:r>
      <w:r>
        <w:rPr>
          <w:spacing w:val="-82"/>
        </w:rPr>
      </w:r>
      <w:r>
        <w:rPr>
          <w:spacing w:val="-2"/>
        </w:rPr>
        <w:t>公司现在可以通过网络效应创造市场、重塑市场，网络效应成为了新的护城河。在平台战略中，市场占有率的不再是零和竞</w:t>
      </w:r>
      <w:r>
        <w:rPr>
          <w:spacing w:val="-66"/>
        </w:rPr>
        <w:t> </w:t>
      </w:r>
      <w:r>
        <w:rPr>
          <w:spacing w:val="-66"/>
        </w:rPr>
      </w:r>
      <w:r>
        <w:rPr>
          <w:spacing w:val="-2"/>
        </w:rPr>
        <w:t>争，平台化的公司可以将市场蛋糕不断做大。因此，公司的平台策略不再仅仅受公司内部所控制，随着新的竞争者入场，重</w:t>
      </w:r>
      <w:r>
        <w:rPr>
          <w:spacing w:val="-66"/>
        </w:rPr>
        <w:t> </w:t>
      </w:r>
      <w:r>
        <w:rPr>
          <w:spacing w:val="-66"/>
        </w:rPr>
      </w:r>
      <w:r>
        <w:rPr/>
        <w:t>塑后的市场生态需要与之匹配灵活变通的竞争策略。</w:t>
      </w:r>
    </w:p>
    <w:p>
      <w:pPr>
        <w:pStyle w:val="BodyText"/>
        <w:spacing w:line="240" w:lineRule="auto" w:before="17"/>
        <w:ind w:left="1134" w:right="0"/>
        <w:jc w:val="left"/>
      </w:pPr>
      <w:r>
        <w:rPr>
          <w:rFonts w:ascii="宋体" w:hAnsi="宋体" w:cs="宋体" w:eastAsia="宋体" w:hint="default"/>
        </w:rPr>
        <w:t>(</w:t>
      </w:r>
      <w:r>
        <w:rPr/>
        <w:t>三</w:t>
      </w:r>
      <w:r>
        <w:rPr>
          <w:rFonts w:ascii="宋体" w:hAnsi="宋体" w:cs="宋体" w:eastAsia="宋体" w:hint="default"/>
        </w:rPr>
        <w:t>)</w:t>
      </w:r>
      <w:r>
        <w:rPr/>
        <w:t>经营计划</w:t>
      </w:r>
    </w:p>
    <w:p>
      <w:pPr>
        <w:pStyle w:val="BodyText"/>
        <w:spacing w:line="314" w:lineRule="auto" w:before="76"/>
        <w:ind w:right="0" w:firstLine="420"/>
        <w:jc w:val="left"/>
      </w:pPr>
      <w:r>
        <w:rPr/>
        <w:t>报告期内，公司继续坚持原有的发展战略深耕国内市场和海外市场，大力发展游戏业务，铺垫移动互联网行业资源整 </w:t>
      </w:r>
      <w:r>
        <w:rPr>
          <w:spacing w:val="-5"/>
        </w:rPr>
        <w:t>合，贯彻文化娱乐全产业链发展的泛娱乐平台的战略。与此同时，对于新的技术应用、新的竞争对手保持时刻关注尤为重要。</w:t>
      </w:r>
      <w:r>
        <w:rPr>
          <w:spacing w:val="-82"/>
        </w:rPr>
        <w:t> </w:t>
      </w:r>
      <w:r>
        <w:rPr>
          <w:spacing w:val="-82"/>
        </w:rPr>
      </w:r>
      <w:r>
        <w:rPr>
          <w:spacing w:val="-2"/>
        </w:rPr>
        <w:t>在公司经营中，对于新的竞争态势的把握并及时调整经营模式成为公司在不断变化的市场中立于不败之地的关键。新的一年</w:t>
      </w:r>
      <w:r>
        <w:rPr>
          <w:spacing w:val="-64"/>
        </w:rPr>
        <w:t> </w:t>
      </w:r>
      <w:r>
        <w:rPr>
          <w:spacing w:val="-64"/>
        </w:rPr>
      </w:r>
      <w:r>
        <w:rPr/>
        <w:t>里，公司将继续贯彻实施</w:t>
      </w:r>
      <w:r>
        <w:rPr>
          <w:rFonts w:ascii="Times New Roman" w:hAnsi="Times New Roman" w:cs="Times New Roman" w:eastAsia="Times New Roman" w:hint="default"/>
        </w:rPr>
        <w:t>“</w:t>
      </w:r>
      <w:r>
        <w:rPr/>
        <w:t>四横一纵</w:t>
      </w:r>
      <w:r>
        <w:rPr>
          <w:rFonts w:ascii="Times New Roman" w:hAnsi="Times New Roman" w:cs="Times New Roman" w:eastAsia="Times New Roman" w:hint="default"/>
        </w:rPr>
        <w:t>”</w:t>
      </w:r>
      <w:r>
        <w:rPr/>
        <w:t>战略，将平台化运营、全球市场覆盖作为经营目标；储备</w:t>
      </w:r>
      <w:r>
        <w:rPr>
          <w:rFonts w:ascii="Times New Roman" w:hAnsi="Times New Roman" w:cs="Times New Roman" w:eastAsia="Times New Roman" w:hint="default"/>
        </w:rPr>
        <w:t>IP</w:t>
      </w:r>
      <w:r>
        <w:rPr/>
        <w:t>资源，推出精品移动游戏；</w:t>
      </w:r>
      <w:r>
        <w:rPr>
          <w:spacing w:val="-48"/>
        </w:rPr>
        <w:t> </w:t>
      </w:r>
      <w:r>
        <w:rPr>
          <w:spacing w:val="-48"/>
        </w:rPr>
      </w:r>
      <w:r>
        <w:rPr/>
        <w:t>布局产业链上游，拓展影视文化泛娱乐领域，实现影音双轮驱动。</w:t>
      </w:r>
    </w:p>
    <w:p>
      <w:pPr>
        <w:pStyle w:val="BodyText"/>
        <w:spacing w:line="240" w:lineRule="auto" w:before="20"/>
        <w:ind w:right="0"/>
        <w:jc w:val="left"/>
      </w:pPr>
      <w:r>
        <w:rPr>
          <w:rFonts w:ascii="宋体" w:hAnsi="宋体" w:cs="宋体" w:eastAsia="宋体" w:hint="default"/>
        </w:rPr>
        <w:t>(</w:t>
      </w:r>
      <w:r>
        <w:rPr/>
        <w:t>四</w:t>
      </w:r>
      <w:r>
        <w:rPr>
          <w:rFonts w:ascii="宋体" w:hAnsi="宋体" w:cs="宋体" w:eastAsia="宋体" w:hint="default"/>
        </w:rPr>
        <w:t>)</w:t>
      </w:r>
      <w:r>
        <w:rPr/>
        <w:t>可能面对的风险</w:t>
      </w:r>
    </w:p>
    <w:p>
      <w:pPr>
        <w:pStyle w:val="BodyText"/>
        <w:spacing w:line="300" w:lineRule="auto" w:before="76"/>
        <w:ind w:left="1554" w:right="0" w:hanging="420"/>
        <w:jc w:val="left"/>
      </w:pPr>
      <w:r>
        <w:rPr>
          <w:rFonts w:ascii="Times New Roman" w:hAnsi="Times New Roman" w:cs="Times New Roman" w:eastAsia="Times New Roman" w:hint="default"/>
        </w:rPr>
        <w:t>1</w:t>
      </w:r>
      <w:r>
        <w:rPr/>
        <w:t>、行业和政策风险及应对措施 网络游戏行业受文化和新闻出版、工业信息等部门监管，在在中国境内从事移动网络游戏运营的，需要取得许可，存</w:t>
      </w:r>
    </w:p>
    <w:p>
      <w:pPr>
        <w:pStyle w:val="BodyText"/>
        <w:spacing w:line="316" w:lineRule="auto" w:before="31"/>
        <w:ind w:left="1134" w:right="1131"/>
        <w:jc w:val="both"/>
      </w:pPr>
      <w:r>
        <w:rPr>
          <w:spacing w:val="-2"/>
        </w:rPr>
        <w:t>在不通过的风险。新开发的游戏需要在相关部门备案并通过出版行政部门审批，存在无法上线的风险。游戏内虚拟货币经营</w:t>
      </w:r>
      <w:r>
        <w:rPr>
          <w:spacing w:val="-66"/>
        </w:rPr>
        <w:t> </w:t>
      </w:r>
      <w:r>
        <w:rPr>
          <w:spacing w:val="-66"/>
        </w:rPr>
      </w:r>
      <w:r>
        <w:rPr>
          <w:spacing w:val="-2"/>
        </w:rPr>
        <w:t>业务需取得额外批准或许可，我国尚未出台虚拟资产产权监管的法律法规，因此政策上存在不确定性。作为应对措施，公司</w:t>
      </w:r>
      <w:r>
        <w:rPr>
          <w:spacing w:val="-66"/>
        </w:rPr>
        <w:t> </w:t>
      </w:r>
      <w:r>
        <w:rPr>
          <w:spacing w:val="-66"/>
        </w:rPr>
      </w:r>
      <w:r>
        <w:rPr>
          <w:spacing w:val="-2"/>
        </w:rPr>
        <w:t>全力配合政府和管理机构的工作，确保业务和经营的合法合规，尽可能降低潜在的政策风险。同时对行业最新的法律法规保</w:t>
      </w:r>
      <w:r>
        <w:rPr>
          <w:spacing w:val="-66"/>
        </w:rPr>
        <w:t> </w:t>
      </w:r>
      <w:r>
        <w:rPr>
          <w:spacing w:val="-66"/>
        </w:rPr>
      </w:r>
      <w:r>
        <w:rPr/>
        <w:t>持关注，及时更新避免违规风险。</w:t>
      </w:r>
    </w:p>
    <w:p>
      <w:pPr>
        <w:pStyle w:val="BodyText"/>
        <w:spacing w:line="300" w:lineRule="auto" w:before="19"/>
        <w:ind w:left="1554" w:right="0" w:hanging="420"/>
        <w:jc w:val="left"/>
      </w:pPr>
      <w:r>
        <w:rPr>
          <w:rFonts w:ascii="Times New Roman" w:hAnsi="Times New Roman" w:cs="Times New Roman" w:eastAsia="Times New Roman" w:hint="default"/>
        </w:rPr>
        <w:t>2</w:t>
      </w:r>
      <w:r>
        <w:rPr/>
        <w:t>、市场竞争风险及应对措施 网络游戏行业竞争加剧，网页游戏、手机游戏同质化竞争严重，微创新的同类游戏充斥市场彼此消耗。用户偏好改变</w:t>
      </w:r>
    </w:p>
    <w:p>
      <w:pPr>
        <w:pStyle w:val="BodyText"/>
        <w:spacing w:line="319" w:lineRule="auto" w:before="31"/>
        <w:ind w:left="1134" w:right="1131"/>
        <w:jc w:val="both"/>
      </w:pPr>
      <w:r>
        <w:rPr>
          <w:spacing w:val="-2"/>
        </w:rPr>
        <w:t>快，一款游戏的成功难以复制，厂商面对盈利的不稳定性和游戏周期衔接的不确定性。随着新技术的推广和应用，游戏行业</w:t>
      </w:r>
      <w:r>
        <w:rPr>
          <w:spacing w:val="-66"/>
        </w:rPr>
        <w:t> </w:t>
      </w:r>
      <w:r>
        <w:rPr>
          <w:spacing w:val="-66"/>
        </w:rPr>
      </w:r>
      <w:r>
        <w:rPr>
          <w:spacing w:val="-2"/>
        </w:rPr>
        <w:t>的技术、产品等方面面临重大的变革，网络游戏用户对产品的要求也日趋提高，技术和用户需求的标准提高，让公司的发展</w:t>
      </w:r>
      <w:r>
        <w:rPr>
          <w:spacing w:val="-66"/>
        </w:rPr>
        <w:t> </w:t>
      </w:r>
      <w:r>
        <w:rPr>
          <w:spacing w:val="-66"/>
        </w:rPr>
      </w:r>
      <w:r>
        <w:rPr/>
        <w:t>进一步承压。</w:t>
      </w:r>
    </w:p>
    <w:p>
      <w:pPr>
        <w:pStyle w:val="BodyText"/>
        <w:spacing w:line="316" w:lineRule="auto" w:before="17"/>
        <w:ind w:right="1133" w:firstLine="420"/>
        <w:jc w:val="both"/>
      </w:pPr>
      <w:r>
        <w:rPr/>
        <w:t>为应对以上挑战，公司继续巩固现有的品牌优势并加快产业链上下游整合，凭借多年积累的产品研发经验，持续提高 </w:t>
      </w:r>
      <w:r>
        <w:rPr>
          <w:spacing w:val="-2"/>
        </w:rPr>
        <w:t>游戏产品的可玩性，紧跟行业技术发展趋势，用高品质的游戏和最先进的技术留住玩家，持续提升核心竞争力。同时，继续</w:t>
      </w:r>
      <w:r>
        <w:rPr>
          <w:spacing w:val="-67"/>
        </w:rPr>
        <w:t> </w:t>
      </w:r>
      <w:r>
        <w:rPr>
          <w:spacing w:val="-67"/>
        </w:rPr>
      </w:r>
      <w:r>
        <w:rPr/>
        <w:t>外延发展，通过投资参股、兼并收购等手段向产业链上游布局。</w:t>
      </w:r>
    </w:p>
    <w:p>
      <w:pPr>
        <w:pStyle w:val="BodyText"/>
        <w:spacing w:line="300" w:lineRule="auto" w:before="19"/>
        <w:ind w:left="1554" w:right="0" w:hanging="420"/>
        <w:jc w:val="left"/>
      </w:pPr>
      <w:r>
        <w:rPr>
          <w:rFonts w:ascii="Times New Roman" w:hAnsi="Times New Roman" w:cs="Times New Roman" w:eastAsia="Times New Roman" w:hint="default"/>
        </w:rPr>
        <w:t>3</w:t>
      </w:r>
      <w:r>
        <w:rPr/>
        <w:t>、核心人员流失的风险及应对措施 轻资产的网络游戏企业仰赖核心管理人员和核心技术人员的出色发挥，优秀、稳定的管理团队和技术团队是公司保持</w:t>
      </w:r>
    </w:p>
    <w:p>
      <w:pPr>
        <w:pStyle w:val="BodyText"/>
        <w:spacing w:line="316" w:lineRule="auto" w:before="31"/>
        <w:ind w:left="1134" w:right="1032"/>
        <w:jc w:val="left"/>
      </w:pPr>
      <w:r>
        <w:rPr>
          <w:spacing w:val="-2"/>
        </w:rPr>
        <w:t>技术领先优势的重要保障。核心人员的流失将导致公司人才的积极性、创造性以及行业竞争力的发挥，最终对公司经营造成</w:t>
      </w:r>
      <w:r>
        <w:rPr>
          <w:spacing w:val="-66"/>
        </w:rPr>
        <w:t> </w:t>
      </w:r>
      <w:r>
        <w:rPr>
          <w:spacing w:val="-66"/>
        </w:rPr>
      </w:r>
      <w:r>
        <w:rPr/>
        <w:t>不利影响。为了稳定核心团队，公司对于专业人才的梯队培养工作极其重视，通过富有竞争力的薪酬福利体系、项目分红、</w:t>
      </w:r>
      <w:r>
        <w:rPr>
          <w:spacing w:val="-85"/>
        </w:rPr>
        <w:t> </w:t>
      </w:r>
      <w:r>
        <w:rPr>
          <w:spacing w:val="-85"/>
        </w:rPr>
      </w:r>
      <w:r>
        <w:rPr>
          <w:spacing w:val="-2"/>
        </w:rPr>
        <w:t>培训活动、股权激励等方式吸引了优秀的游戏制作人，留住了忠实的管理层。同时，公司一直注重与核心员工及管理者的交</w:t>
      </w:r>
      <w:r>
        <w:rPr>
          <w:spacing w:val="-66"/>
        </w:rPr>
        <w:t> </w:t>
      </w:r>
      <w:r>
        <w:rPr>
          <w:spacing w:val="-66"/>
        </w:rPr>
      </w:r>
      <w:r>
        <w:rPr/>
        <w:t>流，让他们对公司产生主人翁意识，增强对公司的忠诚度。</w:t>
      </w:r>
    </w:p>
    <w:p>
      <w:pPr>
        <w:spacing w:line="240" w:lineRule="auto" w:before="10"/>
        <w:rPr>
          <w:rFonts w:ascii="宋体" w:hAnsi="宋体" w:cs="宋体" w:eastAsia="宋体" w:hint="default"/>
          <w:sz w:val="20"/>
          <w:szCs w:val="20"/>
        </w:rPr>
      </w:pPr>
    </w:p>
    <w:p>
      <w:pPr>
        <w:pStyle w:val="Heading3"/>
        <w:spacing w:line="240" w:lineRule="auto"/>
        <w:ind w:left="1134" w:right="0"/>
        <w:jc w:val="left"/>
        <w:rPr>
          <w:b w:val="0"/>
          <w:bCs w:val="0"/>
        </w:rPr>
      </w:pPr>
      <w:bookmarkStart w:name="十、接待调研、沟通、采访等活动情况" w:id="57"/>
      <w:bookmarkEnd w:id="57"/>
      <w:r>
        <w:rPr>
          <w:b w:val="0"/>
          <w:bCs w:val="0"/>
        </w:rPr>
      </w: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报告期内接待调研、沟通、采访等活动登记表" w:id="58"/>
      <w:bookmarkEnd w:id="5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3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3"/>
        <w:jc w:val="center"/>
        <w:rPr>
          <w:b w:val="0"/>
          <w:bCs w:val="0"/>
        </w:rPr>
      </w:pPr>
      <w:bookmarkStart w:name="第五节 重要事项" w:id="59"/>
      <w:bookmarkEnd w:id="59"/>
      <w:r>
        <w:rPr>
          <w:b w:val="0"/>
          <w:bCs w:val="0"/>
        </w:rPr>
      </w:r>
      <w:bookmarkStart w:name="_bookmark3" w:id="60"/>
      <w:bookmarkEnd w:id="60"/>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1554" w:right="1152" w:hanging="420"/>
        <w:jc w:val="left"/>
      </w:pPr>
      <w:r>
        <w:rPr>
          <w:rFonts w:ascii="Times New Roman" w:hAnsi="Times New Roman" w:cs="Times New Roman" w:eastAsia="Times New Roman" w:hint="default"/>
        </w:rPr>
        <w:t>1</w:t>
      </w:r>
      <w:r>
        <w:rPr/>
        <w:t>、利润分配政策的调整： 为进一步推动公司建立科学、持续、稳定的股东回报机制，增加利润分配政策决策透明度和可操作性，切实保护公众</w:t>
      </w:r>
    </w:p>
    <w:p>
      <w:pPr>
        <w:pStyle w:val="BodyText"/>
        <w:spacing w:line="309" w:lineRule="auto" w:before="31"/>
        <w:ind w:right="0"/>
        <w:jc w:val="left"/>
      </w:pPr>
      <w:r>
        <w:rPr>
          <w:spacing w:val="-2"/>
        </w:rPr>
        <w:t>投资者合法权益，同时综合考虑公司盈利能力、经营发展规划、股东回报、社会资金成本以及外部融资环境等因素，积极听</w:t>
      </w:r>
      <w:r>
        <w:rPr>
          <w:spacing w:val="-66"/>
        </w:rPr>
        <w:t> </w:t>
      </w:r>
      <w:r>
        <w:rPr>
          <w:spacing w:val="-66"/>
        </w:rPr>
      </w:r>
      <w:r>
        <w:rPr>
          <w:spacing w:val="-4"/>
        </w:rPr>
        <w:t>取独立董事及中小股东的意见，公司制订了《深圳中青宝互动网络股份有限公司未来三年</w:t>
      </w:r>
      <w:r>
        <w:rPr>
          <w:rFonts w:ascii="宋体" w:hAnsi="宋体" w:cs="宋体" w:eastAsia="宋体" w:hint="default"/>
          <w:spacing w:val="-4"/>
        </w:rPr>
        <w:t>(</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6"/>
        </w:rPr>
        <w:t> </w:t>
      </w:r>
      <w:r>
        <w:rPr/>
        <w:t>年</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spacing w:val="-7"/>
        </w:rPr>
        <w:t>年</w:t>
      </w:r>
      <w:r>
        <w:rPr>
          <w:rFonts w:ascii="宋体" w:hAnsi="宋体" w:cs="宋体" w:eastAsia="宋体" w:hint="default"/>
          <w:spacing w:val="-7"/>
        </w:rPr>
        <w:t>)</w:t>
      </w:r>
      <w:r>
        <w:rPr>
          <w:spacing w:val="-7"/>
        </w:rPr>
        <w:t>股东回报规划》，</w:t>
      </w:r>
      <w:r>
        <w:rPr>
          <w:spacing w:val="-87"/>
        </w:rPr>
        <w:t> </w:t>
      </w:r>
      <w:r>
        <w:rPr>
          <w:spacing w:val="-87"/>
        </w:rPr>
      </w:r>
      <w:r>
        <w:rPr/>
        <w:t>并经公司第三届董事会第十五次会议审议通过。</w:t>
      </w: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65"/>
        <w:ind w:left="1134" w:right="0"/>
        <w:jc w:val="left"/>
      </w:pPr>
      <w:r>
        <w:rPr/>
        <w:t>公司报告期利润分配预案及资本公积金转增股本预案与公司章程和分红管理办法等的相关规定一致</w:t>
      </w:r>
    </w:p>
    <w:p>
      <w:pPr>
        <w:pStyle w:val="BodyText"/>
        <w:spacing w:line="348" w:lineRule="auto" w:before="117"/>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14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含税</w:t>
            </w:r>
            <w:r>
              <w:rPr>
                <w:rFonts w:ascii="Times New Roman" w:hAnsi="Times New Roman" w:cs="Times New Roman" w:eastAsia="Times New Roman" w:hint="default"/>
                <w:sz w:val="18"/>
                <w:szCs w:val="18"/>
              </w:rPr>
              <w:t>)</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分配预案的股本基数</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261,038,600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现金分红总额</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含税</w:t>
            </w:r>
            <w:r>
              <w:rPr>
                <w:rFonts w:ascii="Times New Roman" w:hAnsi="Times New Roman" w:cs="Times New Roman" w:eastAsia="Times New Roman" w:hint="default"/>
                <w:sz w:val="18"/>
                <w:szCs w:val="18"/>
              </w:rPr>
              <w:t>)</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5,220,772.00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可分配利润</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97,378,741.96</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公司发展阶段属成长期且有重大资金支出安排的，进行利润分配时，现金分红在本次利润分配中所占比例最低应达到</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674"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综合考虑公司目前经营状况以及未来发展需要，公司决定以</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年末总股本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26103.86</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万股为基数，向全体股东每</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股派</w:t>
            </w:r>
          </w:p>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发人民币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元现金</w:t>
            </w:r>
            <w:r>
              <w:rPr>
                <w:rFonts w:ascii="Times New Roman" w:hAnsi="Times New Roman" w:cs="Times New Roman" w:eastAsia="Times New Roman" w:hint="default"/>
                <w:sz w:val="18"/>
                <w:szCs w:val="18"/>
              </w:rPr>
              <w:t>(</w:t>
            </w:r>
            <w:r>
              <w:rPr>
                <w:rFonts w:ascii="宋体" w:hAnsi="宋体" w:cs="宋体" w:eastAsia="宋体" w:hint="default"/>
                <w:sz w:val="18"/>
                <w:szCs w:val="18"/>
              </w:rPr>
              <w:t>含税</w:t>
            </w:r>
            <w:r>
              <w:rPr>
                <w:rFonts w:ascii="Times New Roman" w:hAnsi="Times New Roman" w:cs="Times New Roman" w:eastAsia="Times New Roman" w:hint="default"/>
                <w:sz w:val="18"/>
                <w:szCs w:val="18"/>
              </w:rPr>
              <w:t>)</w:t>
            </w:r>
            <w:r>
              <w:rPr>
                <w:rFonts w:ascii="宋体" w:hAnsi="宋体" w:cs="宋体" w:eastAsia="宋体" w:hint="default"/>
                <w:sz w:val="18"/>
                <w:szCs w:val="18"/>
              </w:rPr>
              <w:t>，共计派发</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522.0772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万元，剩余未分配利润结转下一年度。该利润分配预案尚需公司</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年年</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2"/>
        <w:rPr>
          <w:rFonts w:ascii="宋体" w:hAnsi="宋体" w:cs="宋体" w:eastAsia="宋体" w:hint="default"/>
          <w:sz w:val="28"/>
          <w:szCs w:val="28"/>
        </w:rPr>
      </w:pPr>
    </w:p>
    <w:p>
      <w:pPr>
        <w:spacing w:line="693" w:lineRule="exact"/>
        <w:ind w:left="1129"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81.75pt;height:34.7pt;mso-position-horizontal-relative:char;mso-position-vertical-relative:line" coordorigin="0,0" coordsize="9635,694">
            <v:group style="position:absolute;left:10;top:10;width:9560;height:2" coordorigin="10,10" coordsize="9560,2">
              <v:shape style="position:absolute;left:10;top:10;width:9560;height:2" coordorigin="10,10" coordsize="9560,0" path="m10,10l9569,10e" filled="false" stroked="true" strokeweight=".48pt" strokecolor="#000000">
                <v:path arrowok="t"/>
              </v:shape>
            </v:group>
            <v:group style="position:absolute;left:5;top:5;width:2;height:684" coordorigin="5,5" coordsize="2,684">
              <v:shape style="position:absolute;left:5;top:5;width:2;height:684" coordorigin="5,5" coordsize="0,684" path="m5,5l5,689e" filled="false" stroked="true" strokeweight=".48pt" strokecolor="#000000">
                <v:path arrowok="t"/>
              </v:shape>
            </v:group>
            <v:group style="position:absolute;left:10;top:684;width:9560;height:2" coordorigin="10,684" coordsize="9560,2">
              <v:shape style="position:absolute;left:10;top:684;width:9560;height:2" coordorigin="10,684" coordsize="9560,0" path="m10,684l9569,684e" filled="false" stroked="true" strokeweight=".48pt" strokecolor="#000000">
                <v:path arrowok="t"/>
              </v:shape>
            </v:group>
            <v:group style="position:absolute;left:9574;top:5;width:2;height:684" coordorigin="9574,5" coordsize="2,684">
              <v:shape style="position:absolute;left:9574;top:5;width:2;height:684" coordorigin="9574,5" coordsize="0,684" path="m9574,5l9574,689e" filled="false" stroked="true" strokeweight=".48pt" strokecolor="#000000">
                <v:path arrowok="t"/>
              </v:shape>
              <v:shape style="position:absolute;left:0;top:0;width:9635;height:694" type="#_x0000_t202" filled="false" stroked="false">
                <v:textbox inset="0,0,0,0">
                  <w:txbxContent>
                    <w:p>
                      <w:pPr>
                        <w:spacing w:line="302" w:lineRule="auto" w:before="25"/>
                        <w:ind w:left="32" w:right="0" w:firstLine="0"/>
                        <w:jc w:val="left"/>
                        <w:rPr>
                          <w:rFonts w:ascii="宋体" w:hAnsi="宋体" w:cs="宋体" w:eastAsia="宋体" w:hint="default"/>
                          <w:sz w:val="18"/>
                          <w:szCs w:val="18"/>
                        </w:rPr>
                      </w:pPr>
                      <w:r>
                        <w:rPr>
                          <w:rFonts w:ascii="宋体" w:hAnsi="宋体" w:cs="宋体" w:eastAsia="宋体" w:hint="default"/>
                          <w:sz w:val="18"/>
                          <w:szCs w:val="18"/>
                        </w:rPr>
                        <w:t>度股东大会审议。</w:t>
                      </w:r>
                      <w:r>
                        <w:rPr>
                          <w:rFonts w:ascii="宋体" w:hAnsi="宋体" w:cs="宋体" w:eastAsia="宋体" w:hint="default"/>
                          <w:spacing w:val="-17"/>
                          <w:sz w:val="18"/>
                          <w:szCs w:val="18"/>
                        </w:rPr>
                        <w:t> </w:t>
                      </w:r>
                      <w:r>
                        <w:rPr>
                          <w:rFonts w:ascii="宋体" w:hAnsi="宋体" w:cs="宋体" w:eastAsia="宋体" w:hint="default"/>
                          <w:sz w:val="18"/>
                          <w:szCs w:val="18"/>
                        </w:rPr>
                        <w:t>本次利润分配预案符合《上市公司监管指引第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上市公司现金分红》的规定，符合《公司章程》 中的利润分配政策，独立董事、监事会已发表同意的意见。</w:t>
                      </w:r>
                    </w:p>
                  </w:txbxContent>
                </v:textbox>
                <w10:wrap type="none"/>
              </v:shape>
            </v:group>
          </v:group>
        </w:pict>
      </w:r>
      <w:r>
        <w:rPr>
          <w:rFonts w:ascii="宋体" w:hAnsi="宋体" w:cs="宋体" w:eastAsia="宋体" w:hint="default"/>
          <w:position w:val="-13"/>
          <w:sz w:val="20"/>
          <w:szCs w:val="20"/>
        </w:rPr>
      </w:r>
    </w:p>
    <w:p>
      <w:pPr>
        <w:pStyle w:val="BodyText"/>
        <w:spacing w:line="240" w:lineRule="auto" w:before="47"/>
        <w:ind w:left="113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w:t>
      </w:r>
      <w:r>
        <w:rPr/>
        <w:t>包括本报告期</w:t>
      </w:r>
      <w:r>
        <w:rPr>
          <w:rFonts w:ascii="Times New Roman" w:hAnsi="Times New Roman" w:cs="Times New Roman" w:eastAsia="Times New Roman" w:hint="default"/>
        </w:rPr>
        <w:t>)</w:t>
      </w:r>
      <w:r>
        <w:rPr/>
        <w:t>的普通股股利分配方案</w:t>
      </w:r>
      <w:r>
        <w:rPr>
          <w:rFonts w:ascii="Times New Roman" w:hAnsi="Times New Roman" w:cs="Times New Roman" w:eastAsia="Times New Roman" w:hint="default"/>
        </w:rPr>
        <w:t>(</w:t>
      </w:r>
      <w:r>
        <w:rPr/>
        <w:t>预案</w:t>
      </w:r>
      <w:r>
        <w:rPr>
          <w:rFonts w:ascii="Times New Roman" w:hAnsi="Times New Roman" w:cs="Times New Roman" w:eastAsia="Times New Roman" w:hint="default"/>
        </w:rPr>
        <w:t>)</w:t>
      </w:r>
      <w:r>
        <w:rPr/>
        <w:t>、资本公积金转增股本方案</w:t>
      </w:r>
      <w:r>
        <w:rPr>
          <w:rFonts w:ascii="Times New Roman" w:hAnsi="Times New Roman" w:cs="Times New Roman" w:eastAsia="Times New Roman" w:hint="default"/>
        </w:rPr>
        <w:t>(</w:t>
      </w:r>
      <w:r>
        <w:rPr/>
        <w:t>预案</w:t>
      </w:r>
      <w:r>
        <w:rPr>
          <w:rFonts w:ascii="Times New Roman" w:hAnsi="Times New Roman" w:cs="Times New Roman" w:eastAsia="Times New Roman" w:hint="default"/>
        </w:rPr>
        <w:t>)</w:t>
      </w:r>
      <w:r>
        <w:rPr/>
        <w:t>情况</w:t>
      </w:r>
    </w:p>
    <w:p>
      <w:pPr>
        <w:pStyle w:val="BodyText"/>
        <w:spacing w:line="300" w:lineRule="auto" w:before="102"/>
        <w:ind w:left="1554" w:right="0" w:hanging="420"/>
        <w:jc w:val="left"/>
      </w:pPr>
      <w:r>
        <w:rPr>
          <w:rFonts w:ascii="Times New Roman" w:hAnsi="Times New Roman" w:cs="Times New Roman" w:eastAsia="Times New Roman" w:hint="default"/>
        </w:rPr>
        <w:t>2013</w:t>
      </w:r>
      <w:r>
        <w:rPr/>
        <w:t>年中期利润分派方案 经</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日公司</w:t>
      </w:r>
      <w:r>
        <w:rPr>
          <w:rFonts w:ascii="Times New Roman" w:hAnsi="Times New Roman" w:cs="Times New Roman" w:eastAsia="Times New Roman" w:hint="default"/>
        </w:rPr>
        <w:t>2013</w:t>
      </w:r>
      <w:r>
        <w:rPr/>
        <w:t>年第二次临时股东大会审议通过，公司以截至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日公司总股本</w:t>
      </w:r>
      <w:r>
        <w:rPr>
          <w:rFonts w:ascii="Times New Roman" w:hAnsi="Times New Roman" w:cs="Times New Roman" w:eastAsia="Times New Roman" w:hint="default"/>
        </w:rPr>
        <w:t>130,000,000</w:t>
      </w:r>
      <w:r>
        <w:rPr/>
        <w:t>股为基</w:t>
      </w:r>
    </w:p>
    <w:p>
      <w:pPr>
        <w:pStyle w:val="BodyText"/>
        <w:spacing w:line="300" w:lineRule="auto" w:before="13"/>
        <w:ind w:right="0"/>
        <w:jc w:val="left"/>
      </w:pPr>
      <w:r>
        <w:rPr>
          <w:spacing w:val="-2"/>
        </w:rPr>
        <w:t>数，以资本公积向全体股东每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股，共计转增</w:t>
      </w:r>
      <w:r>
        <w:rPr>
          <w:rFonts w:ascii="Times New Roman" w:hAnsi="Times New Roman" w:cs="Times New Roman" w:eastAsia="Times New Roman" w:hint="default"/>
          <w:spacing w:val="-2"/>
        </w:rPr>
        <w:t>130,000,000</w:t>
      </w:r>
      <w:r>
        <w:rPr>
          <w:spacing w:val="-2"/>
        </w:rPr>
        <w:t>股，转增后公司总股本将增加至</w:t>
      </w:r>
      <w:r>
        <w:rPr>
          <w:rFonts w:ascii="Times New Roman" w:hAnsi="Times New Roman" w:cs="Times New Roman" w:eastAsia="Times New Roman" w:hint="default"/>
          <w:spacing w:val="-2"/>
        </w:rPr>
        <w:t>260,000,000</w:t>
      </w:r>
      <w:r>
        <w:rPr>
          <w:spacing w:val="-2"/>
        </w:rPr>
        <w:t>股。本次权益</w:t>
      </w:r>
      <w:r>
        <w:rPr>
          <w:spacing w:val="-40"/>
        </w:rPr>
        <w:t> </w:t>
      </w:r>
      <w:r>
        <w:rPr>
          <w:spacing w:val="-40"/>
        </w:rPr>
      </w:r>
      <w:r>
        <w:rPr/>
        <w:t>分派方案已于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9</w:t>
      </w:r>
      <w:r>
        <w:rPr/>
        <w:t>日全部实施完毕。</w:t>
      </w:r>
    </w:p>
    <w:p>
      <w:pPr>
        <w:pStyle w:val="BodyText"/>
        <w:spacing w:line="300" w:lineRule="auto" w:before="13"/>
        <w:ind w:left="1554" w:right="1129" w:hanging="420"/>
        <w:jc w:val="left"/>
      </w:pPr>
      <w:r>
        <w:rPr>
          <w:rFonts w:ascii="Times New Roman" w:hAnsi="Times New Roman" w:cs="Times New Roman" w:eastAsia="Times New Roman" w:hint="default"/>
        </w:rPr>
        <w:t>2013</w:t>
      </w:r>
      <w:r>
        <w:rPr/>
        <w:t>年度权益分派方案 </w:t>
      </w:r>
      <w:r>
        <w:rPr>
          <w:spacing w:val="-1"/>
        </w:rPr>
        <w:t>经</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27</w:t>
      </w:r>
      <w:r>
        <w:rPr>
          <w:spacing w:val="-1"/>
        </w:rPr>
        <w:t>日公司</w:t>
      </w:r>
      <w:r>
        <w:rPr>
          <w:rFonts w:ascii="Times New Roman" w:hAnsi="Times New Roman" w:cs="Times New Roman" w:eastAsia="Times New Roman" w:hint="default"/>
          <w:spacing w:val="-1"/>
        </w:rPr>
        <w:t>2013</w:t>
      </w:r>
      <w:r>
        <w:rPr>
          <w:spacing w:val="-1"/>
        </w:rPr>
        <w:t>年度股东大会审议通过，公司以截至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260,000,000</w:t>
      </w:r>
      <w:r>
        <w:rPr>
          <w:spacing w:val="-1"/>
        </w:rPr>
        <w:t>股为基数，向全</w:t>
      </w:r>
    </w:p>
    <w:p>
      <w:pPr>
        <w:pStyle w:val="BodyText"/>
        <w:spacing w:line="240" w:lineRule="auto" w:before="13"/>
        <w:ind w:right="0"/>
        <w:jc w:val="left"/>
      </w:pPr>
      <w:r>
        <w:rPr/>
        <w:t>体股东每</w:t>
      </w:r>
      <w:r>
        <w:rPr>
          <w:rFonts w:ascii="Times New Roman" w:hAnsi="Times New Roman" w:cs="Times New Roman" w:eastAsia="Times New Roman" w:hint="default"/>
        </w:rPr>
        <w:t>10  </w:t>
      </w:r>
      <w:r>
        <w:rPr/>
        <w:t>股派发人民币</w:t>
      </w:r>
      <w:r>
        <w:rPr>
          <w:rFonts w:ascii="Times New Roman" w:hAnsi="Times New Roman" w:cs="Times New Roman" w:eastAsia="Times New Roman" w:hint="default"/>
        </w:rPr>
        <w:t>0.2</w:t>
      </w:r>
      <w:r>
        <w:rPr>
          <w:rFonts w:ascii="Times New Roman" w:hAnsi="Times New Roman" w:cs="Times New Roman" w:eastAsia="Times New Roman" w:hint="default"/>
          <w:spacing w:val="8"/>
        </w:rPr>
        <w:t> </w:t>
      </w:r>
      <w:r>
        <w:rPr/>
        <w:t>元现金</w:t>
      </w:r>
      <w:r>
        <w:rPr>
          <w:rFonts w:ascii="宋体" w:hAnsi="宋体" w:cs="宋体" w:eastAsia="宋体" w:hint="default"/>
        </w:rPr>
        <w:t>(</w:t>
      </w:r>
      <w:r>
        <w:rPr/>
        <w:t>含税</w:t>
      </w:r>
      <w:r>
        <w:rPr>
          <w:rFonts w:ascii="宋体" w:hAnsi="宋体" w:cs="宋体" w:eastAsia="宋体" w:hint="default"/>
        </w:rPr>
        <w:t>)</w:t>
      </w:r>
      <w:r>
        <w:rPr/>
        <w:t>。本次权益分派方案已于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日全部实施完毕。</w:t>
      </w:r>
    </w:p>
    <w:p>
      <w:pPr>
        <w:pStyle w:val="BodyText"/>
        <w:spacing w:line="300" w:lineRule="auto" w:before="63"/>
        <w:ind w:left="1554" w:right="4752" w:hanging="420"/>
        <w:jc w:val="left"/>
      </w:pPr>
      <w:r>
        <w:rPr>
          <w:rFonts w:ascii="Times New Roman" w:hAnsi="Times New Roman" w:cs="Times New Roman" w:eastAsia="Times New Roman" w:hint="default"/>
        </w:rPr>
        <w:t>2014</w:t>
      </w:r>
      <w:r>
        <w:rPr/>
        <w:t>年度权益分派方案 公司定于</w:t>
      </w:r>
      <w:r>
        <w:rPr>
          <w:rFonts w:ascii="Times New Roman" w:hAnsi="Times New Roman" w:cs="Times New Roman" w:eastAsia="Times New Roman" w:hint="default"/>
        </w:rPr>
        <w:t>2014</w:t>
      </w:r>
      <w:r>
        <w:rPr/>
        <w:t>年度不派发现金红利，不送红股，不以公积金转增股本。</w:t>
      </w:r>
    </w:p>
    <w:p>
      <w:pPr>
        <w:pStyle w:val="BodyText"/>
        <w:spacing w:line="300" w:lineRule="auto" w:before="13"/>
        <w:ind w:left="1554" w:right="0" w:hanging="420"/>
        <w:jc w:val="left"/>
        <w:rPr>
          <w:rFonts w:ascii="Times New Roman" w:hAnsi="Times New Roman" w:cs="Times New Roman" w:eastAsia="Times New Roman" w:hint="default"/>
        </w:rPr>
      </w:pPr>
      <w:r>
        <w:rPr>
          <w:rFonts w:ascii="Times New Roman" w:hAnsi="Times New Roman" w:cs="Times New Roman" w:eastAsia="Times New Roman" w:hint="default"/>
        </w:rPr>
        <w:t>2015</w:t>
      </w:r>
      <w:r>
        <w:rPr/>
        <w:t>年度权益分配方案 公司拟定以</w:t>
      </w:r>
      <w:r>
        <w:rPr>
          <w:rFonts w:ascii="Times New Roman" w:hAnsi="Times New Roman" w:cs="Times New Roman" w:eastAsia="Times New Roman" w:hint="default"/>
        </w:rPr>
        <w:t>2015</w:t>
      </w:r>
      <w:r>
        <w:rPr/>
        <w:t>年末总股本</w:t>
      </w:r>
      <w:r>
        <w:rPr>
          <w:rFonts w:ascii="Times New Roman" w:hAnsi="Times New Roman" w:cs="Times New Roman" w:eastAsia="Times New Roman" w:hint="default"/>
        </w:rPr>
        <w:t>26103.86</w:t>
      </w:r>
      <w:r>
        <w:rPr/>
        <w:t>万股为基数，向全体股东每</w:t>
      </w:r>
      <w:r>
        <w:rPr>
          <w:rFonts w:ascii="Times New Roman" w:hAnsi="Times New Roman" w:cs="Times New Roman" w:eastAsia="Times New Roman" w:hint="default"/>
        </w:rPr>
        <w:t>10</w:t>
      </w:r>
      <w:r>
        <w:rPr/>
        <w:t>股派发人民币</w:t>
      </w:r>
      <w:r>
        <w:rPr>
          <w:rFonts w:ascii="Times New Roman" w:hAnsi="Times New Roman" w:cs="Times New Roman" w:eastAsia="Times New Roman" w:hint="default"/>
        </w:rPr>
        <w:t>0.2</w:t>
      </w:r>
      <w:r>
        <w:rPr/>
        <w:t>元现金</w:t>
      </w:r>
      <w:r>
        <w:rPr>
          <w:rFonts w:ascii="宋体" w:hAnsi="宋体" w:cs="宋体" w:eastAsia="宋体" w:hint="default"/>
        </w:rPr>
        <w:t>(</w:t>
      </w:r>
      <w:r>
        <w:rPr/>
        <w:t>含税</w:t>
      </w:r>
      <w:r>
        <w:rPr>
          <w:rFonts w:ascii="宋体" w:hAnsi="宋体" w:cs="宋体" w:eastAsia="宋体" w:hint="default"/>
        </w:rPr>
        <w:t>)</w:t>
      </w:r>
      <w:r>
        <w:rPr/>
        <w:t>，共计派发</w:t>
      </w:r>
      <w:r>
        <w:rPr>
          <w:rFonts w:ascii="Times New Roman" w:hAnsi="Times New Roman" w:cs="Times New Roman" w:eastAsia="Times New Roman" w:hint="default"/>
        </w:rPr>
        <w:t>522.0772</w:t>
      </w:r>
    </w:p>
    <w:p>
      <w:pPr>
        <w:pStyle w:val="BodyText"/>
        <w:spacing w:line="240" w:lineRule="auto" w:before="13"/>
        <w:ind w:left="1134" w:right="0"/>
        <w:jc w:val="left"/>
      </w:pPr>
      <w:r>
        <w:rPr/>
        <w:t>万元，该利润分配预案尚需公司</w:t>
      </w:r>
      <w:r>
        <w:rPr>
          <w:rFonts w:ascii="Times New Roman" w:hAnsi="Times New Roman" w:cs="Times New Roman" w:eastAsia="Times New Roman" w:hint="default"/>
        </w:rPr>
        <w:t>2015</w:t>
      </w:r>
      <w:r>
        <w:rPr/>
        <w:t>年年度股东大会审议。</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left="1134" w:right="0"/>
        <w:jc w:val="left"/>
      </w:pPr>
      <w:r>
        <w:rPr/>
        <w:t>公司近三年</w:t>
      </w:r>
      <w:r>
        <w:rPr>
          <w:rFonts w:ascii="Times New Roman" w:hAnsi="Times New Roman" w:cs="Times New Roman" w:eastAsia="Times New Roman" w:hint="default"/>
        </w:rPr>
        <w:t>(</w:t>
      </w:r>
      <w:r>
        <w:rPr/>
        <w:t>包括本报告期</w:t>
      </w:r>
      <w:r>
        <w:rPr>
          <w:rFonts w:ascii="Times New Roman" w:hAnsi="Times New Roman" w:cs="Times New Roman" w:eastAsia="Times New Roman" w:hint="default"/>
        </w:rPr>
        <w:t>)</w:t>
      </w:r>
      <w:r>
        <w:rPr/>
        <w:t>普通股现金分红情况表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02" w:lineRule="auto" w:before="51"/>
              <w:ind w:left="672" w:right="131"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现金分红金额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含 税</w:t>
            </w:r>
            <w:r>
              <w:rPr>
                <w:rFonts w:ascii="Times New Roman" w:hAnsi="Times New Roman" w:cs="Times New Roman" w:eastAsia="Times New Roman" w:hint="default"/>
                <w:sz w:val="18"/>
                <w:szCs w:val="18"/>
              </w:rPr>
              <w:t>)</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5,220,772.00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65,202,765.48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-22,035,893.48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51,027,332.23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二、承诺事项履行情况" w:id="62"/>
      <w:bookmarkEnd w:id="62"/>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7"/>
        <w:spacing w:line="259" w:lineRule="auto"/>
        <w:ind w:left="1133" w:right="0"/>
        <w:jc w:val="left"/>
        <w:rPr>
          <w:b w:val="0"/>
          <w:bCs w:val="0"/>
        </w:rPr>
      </w:pPr>
      <w:bookmarkStart w:name="1、公司、股东、实际控制人、收购人、董事、监事、高级管理人员或其他关联方在报告期" w:id="63"/>
      <w:bookmarkEnd w:id="63"/>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813"/>
        <w:gridCol w:w="1137"/>
        <w:gridCol w:w="1126"/>
        <w:gridCol w:w="1127"/>
        <w:gridCol w:w="1126"/>
        <w:gridCol w:w="1121"/>
        <w:gridCol w:w="1108"/>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2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7" w:type="dxa"/>
            <w:vMerge w:val="restart"/>
            <w:tcBorders>
              <w:top w:val="single" w:sz="4" w:space="0" w:color="000000"/>
              <w:left w:val="single" w:sz="9" w:space="0" w:color="D2D2D2"/>
              <w:right w:val="single" w:sz="4" w:space="0" w:color="000000"/>
            </w:tcBorders>
          </w:tcPr>
          <w:p>
            <w:pPr>
              <w:pStyle w:val="TableParagraph"/>
              <w:spacing w:line="316" w:lineRule="auto" w:before="52"/>
              <w:ind w:left="28" w:right="190"/>
              <w:jc w:val="both"/>
              <w:rPr>
                <w:rFonts w:ascii="宋体" w:hAnsi="宋体" w:cs="宋体" w:eastAsia="宋体" w:hint="default"/>
                <w:sz w:val="18"/>
                <w:szCs w:val="18"/>
              </w:rPr>
            </w:pPr>
            <w:r>
              <w:rPr>
                <w:rFonts w:ascii="宋体" w:hAnsi="宋体" w:cs="宋体" w:eastAsia="宋体" w:hint="default"/>
                <w:sz w:val="18"/>
                <w:szCs w:val="18"/>
              </w:rPr>
              <w:t>深圳市宝德 投资控股有 限公司</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vMerge w:val="restart"/>
            <w:tcBorders>
              <w:top w:val="single" w:sz="4" w:space="0" w:color="000000"/>
              <w:left w:val="single" w:sz="4" w:space="0" w:color="000000"/>
              <w:right w:val="single" w:sz="9" w:space="0" w:color="FFFFFF"/>
            </w:tcBorders>
          </w:tcPr>
          <w:p>
            <w:pPr>
              <w:pStyle w:val="TableParagraph"/>
              <w:spacing w:line="309" w:lineRule="auto" w:before="7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税收承诺：</w:t>
            </w:r>
            <w:r>
              <w:rPr>
                <w:rFonts w:ascii="宋体" w:hAnsi="宋体" w:cs="宋体" w:eastAsia="宋体" w:hint="default"/>
                <w:w w:val="99"/>
                <w:sz w:val="18"/>
                <w:szCs w:val="18"/>
              </w:rPr>
              <w:t> </w:t>
            </w:r>
            <w:r>
              <w:rPr>
                <w:rFonts w:ascii="宋体" w:hAnsi="宋体" w:cs="宋体" w:eastAsia="宋体" w:hint="default"/>
                <w:sz w:val="18"/>
                <w:szCs w:val="18"/>
              </w:rPr>
              <w:t>若中青宝网</w:t>
            </w:r>
            <w:r>
              <w:rPr>
                <w:rFonts w:ascii="宋体" w:hAnsi="宋体" w:cs="宋体" w:eastAsia="宋体" w:hint="default"/>
                <w:w w:val="99"/>
                <w:sz w:val="18"/>
                <w:szCs w:val="18"/>
              </w:rPr>
              <w:t> </w:t>
            </w:r>
            <w:r>
              <w:rPr>
                <w:rFonts w:ascii="宋体" w:hAnsi="宋体" w:cs="宋体" w:eastAsia="宋体" w:hint="default"/>
                <w:sz w:val="18"/>
                <w:szCs w:val="18"/>
              </w:rPr>
              <w:t>因在上市之</w:t>
            </w:r>
          </w:p>
        </w:tc>
        <w:tc>
          <w:tcPr>
            <w:tcW w:w="1126" w:type="dxa"/>
            <w:vMerge w:val="restart"/>
            <w:tcBorders>
              <w:top w:val="single" w:sz="4" w:space="0" w:color="000000"/>
              <w:left w:val="single" w:sz="9" w:space="0" w:color="FFFFFF"/>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316" w:lineRule="auto" w:before="71"/>
              <w:ind w:left="22" w:right="20"/>
              <w:jc w:val="left"/>
              <w:rPr>
                <w:rFonts w:ascii="宋体" w:hAnsi="宋体" w:cs="宋体" w:eastAsia="宋体" w:hint="default"/>
                <w:sz w:val="18"/>
                <w:szCs w:val="18"/>
              </w:rPr>
            </w:pPr>
            <w:r>
              <w:rPr>
                <w:rFonts w:ascii="宋体" w:hAnsi="宋体" w:cs="宋体" w:eastAsia="宋体" w:hint="default"/>
                <w:sz w:val="18"/>
                <w:szCs w:val="18"/>
              </w:rPr>
              <w:t>分别为：长 </w:t>
            </w:r>
            <w:r>
              <w:rPr>
                <w:rFonts w:ascii="宋体" w:hAnsi="宋体" w:cs="宋体" w:eastAsia="宋体" w:hint="default"/>
                <w:spacing w:val="-3"/>
                <w:sz w:val="18"/>
                <w:szCs w:val="18"/>
              </w:rPr>
              <w:t>期、长期、在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深圳市宝德</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91" w:hRule="exact"/>
        </w:trPr>
        <w:tc>
          <w:tcPr>
            <w:tcW w:w="2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37"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9" w:space="0" w:color="FFFFFF"/>
            </w:tcBorders>
          </w:tcPr>
          <w:p>
            <w:pPr/>
          </w:p>
        </w:tc>
        <w:tc>
          <w:tcPr>
            <w:tcW w:w="1126" w:type="dxa"/>
            <w:vMerge/>
            <w:tcBorders>
              <w:left w:val="single" w:sz="9" w:space="0" w:color="FFFFFF"/>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7"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9" w:space="0" w:color="FFFFFF"/>
            </w:tcBorders>
          </w:tcPr>
          <w:p>
            <w:pPr/>
          </w:p>
        </w:tc>
        <w:tc>
          <w:tcPr>
            <w:tcW w:w="1126" w:type="dxa"/>
            <w:vMerge/>
            <w:tcBorders>
              <w:left w:val="single" w:sz="9" w:space="0" w:color="FFFFFF"/>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6"/>
              <w:jc w:val="left"/>
              <w:rPr>
                <w:rFonts w:ascii="宋体" w:hAnsi="宋体" w:cs="宋体" w:eastAsia="宋体" w:hint="default"/>
                <w:sz w:val="18"/>
                <w:szCs w:val="18"/>
              </w:rPr>
            </w:pPr>
            <w:r>
              <w:rPr>
                <w:rFonts w:ascii="宋体" w:hAnsi="宋体" w:cs="宋体" w:eastAsia="宋体" w:hint="default"/>
                <w:sz w:val="18"/>
                <w:szCs w:val="18"/>
              </w:rPr>
              <w:t>前的税收缴 纳事宜将来 被主管税务 部门处罚或 遭受其他任 何损失，均由 本公司承担。 </w:t>
            </w:r>
            <w:r>
              <w:rPr>
                <w:rFonts w:ascii="Times New Roman" w:hAnsi="Times New Roman" w:cs="Times New Roman" w:eastAsia="Times New Roman" w:hint="default"/>
                <w:sz w:val="18"/>
                <w:szCs w:val="18"/>
              </w:rPr>
              <w:t>(2)</w:t>
            </w:r>
            <w:r>
              <w:rPr>
                <w:rFonts w:ascii="宋体" w:hAnsi="宋体" w:cs="宋体" w:eastAsia="宋体" w:hint="default"/>
                <w:sz w:val="18"/>
                <w:szCs w:val="18"/>
              </w:rPr>
              <w:t>社保承诺： 如有关社保 主管部门在 任何时候依 法要求中青 宝网补缴在 其首次公开 发行股票之 前任何期间 内应缴的社 会保险费用 </w:t>
            </w:r>
            <w:r>
              <w:rPr>
                <w:rFonts w:ascii="Times New Roman" w:hAnsi="Times New Roman" w:cs="Times New Roman" w:eastAsia="Times New Roman" w:hint="default"/>
                <w:sz w:val="18"/>
                <w:szCs w:val="18"/>
              </w:rPr>
              <w:t>(</w:t>
            </w:r>
            <w:r>
              <w:rPr>
                <w:rFonts w:ascii="宋体" w:hAnsi="宋体" w:cs="宋体" w:eastAsia="宋体" w:hint="default"/>
                <w:sz w:val="18"/>
                <w:szCs w:val="18"/>
              </w:rPr>
              <w:t>包括但不限 于基本养老 保险、基本医 疗保险、失业 保险、工伤保 险、生育保险 五种基本保 险和住房公 </w:t>
            </w:r>
            <w:r>
              <w:rPr>
                <w:rFonts w:ascii="宋体" w:hAnsi="宋体" w:cs="宋体" w:eastAsia="宋体" w:hint="default"/>
                <w:spacing w:val="-10"/>
                <w:sz w:val="18"/>
                <w:szCs w:val="18"/>
              </w:rPr>
              <w:t>积金</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，则本公</w:t>
            </w:r>
            <w:r>
              <w:rPr>
                <w:rFonts w:ascii="宋体" w:hAnsi="宋体" w:cs="宋体" w:eastAsia="宋体" w:hint="default"/>
                <w:sz w:val="18"/>
                <w:szCs w:val="18"/>
              </w:rPr>
              <w:t> 司将无条件 连带地全额 承担相关费 </w:t>
            </w:r>
            <w:r>
              <w:rPr>
                <w:rFonts w:ascii="宋体" w:hAnsi="宋体" w:cs="宋体" w:eastAsia="宋体" w:hint="default"/>
                <w:spacing w:val="-5"/>
                <w:sz w:val="18"/>
                <w:szCs w:val="18"/>
              </w:rPr>
              <w:t>用。</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避免同</w:t>
            </w:r>
            <w:r>
              <w:rPr>
                <w:rFonts w:ascii="宋体" w:hAnsi="宋体" w:cs="宋体" w:eastAsia="宋体" w:hint="default"/>
                <w:sz w:val="18"/>
                <w:szCs w:val="18"/>
              </w:rPr>
              <w:t> 业竞争的承 诺：在本公司</w:t>
            </w:r>
            <w:r>
              <w:rPr>
                <w:rFonts w:ascii="宋体" w:hAnsi="宋体" w:cs="宋体" w:eastAsia="宋体" w:hint="default"/>
                <w:sz w:val="18"/>
                <w:szCs w:val="18"/>
              </w:rPr>
              <w:t> 作为中青宝 网控股股东 期间，保证不 自营或以合 资、合作等方 式经营任何 与中青宝网 现从事的业 务有竞争的 业务，本公司 现有的或将</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86"/>
              <w:jc w:val="both"/>
              <w:rPr>
                <w:rFonts w:ascii="宋体" w:hAnsi="宋体" w:cs="宋体" w:eastAsia="宋体" w:hint="default"/>
                <w:sz w:val="18"/>
                <w:szCs w:val="18"/>
              </w:rPr>
            </w:pPr>
            <w:r>
              <w:rPr>
                <w:rFonts w:ascii="宋体" w:hAnsi="宋体" w:cs="宋体" w:eastAsia="宋体" w:hint="default"/>
                <w:sz w:val="18"/>
                <w:szCs w:val="18"/>
              </w:rPr>
              <w:t>投资控股有 限公司作为 中青宝控股 股东期间。</w:t>
            </w: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17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来成立的全 </w:t>
            </w:r>
            <w:r>
              <w:rPr>
                <w:rFonts w:ascii="宋体" w:hAnsi="宋体" w:cs="宋体" w:eastAsia="宋体" w:hint="default"/>
                <w:spacing w:val="-2"/>
                <w:sz w:val="18"/>
                <w:szCs w:val="18"/>
              </w:rPr>
              <w:t>资子公司、控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股子公司以 及其他受本 公司控制的 企业亦不会 经营与中青 宝网现从事 的业务有竞 争的业务。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95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李瑞杰、张云</w:t>
            </w:r>
            <w:r>
              <w:rPr>
                <w:rFonts w:ascii="宋体" w:hAnsi="宋体" w:cs="宋体" w:eastAsia="宋体" w:hint="default"/>
                <w:sz w:val="18"/>
                <w:szCs w:val="18"/>
              </w:rPr>
              <w:t> 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在本人作为 中青宝网实 际控制人期 间，保证不自 营或以合资、 合作等方式 经营任何与 中青宝网现 从事的业务 有竞争的业 务，本人现有 的或将来成 立的全资子 公司、控股子 公司以及其 他受本公司 控制的企业 亦不会经营 与中青宝网 现从事的业 务有竞争的 业务。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3"/>
                <w:sz w:val="18"/>
                <w:szCs w:val="18"/>
              </w:rPr>
              <w:t>李瑞杰、张云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霞作为中青 宝网实际控 制人期间。</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79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、将严格依 照发行人的 章程、有关法 </w:t>
            </w:r>
            <w:r>
              <w:rPr>
                <w:rFonts w:ascii="宋体" w:hAnsi="宋体" w:cs="宋体" w:eastAsia="宋体" w:hint="default"/>
                <w:spacing w:val="-15"/>
                <w:sz w:val="18"/>
                <w:szCs w:val="18"/>
              </w:rPr>
              <w:t>律法规、《深</w:t>
            </w:r>
            <w:r>
              <w:rPr>
                <w:rFonts w:ascii="宋体" w:hAnsi="宋体" w:cs="宋体" w:eastAsia="宋体" w:hint="default"/>
                <w:sz w:val="18"/>
                <w:szCs w:val="18"/>
              </w:rPr>
              <w:t> 圳证券交易 所创业板股 票上市规则》 及《深圳证券 交易所创业 板上市公司 规范运作指 引》中关于董</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186"/>
              <w:jc w:val="both"/>
              <w:rPr>
                <w:rFonts w:ascii="宋体" w:hAnsi="宋体" w:cs="宋体" w:eastAsia="宋体" w:hint="default"/>
                <w:sz w:val="18"/>
                <w:szCs w:val="18"/>
              </w:rPr>
            </w:pPr>
            <w:r>
              <w:rPr>
                <w:rFonts w:ascii="宋体" w:hAnsi="宋体" w:cs="宋体" w:eastAsia="宋体" w:hint="default"/>
                <w:sz w:val="18"/>
                <w:szCs w:val="18"/>
              </w:rPr>
              <w:t>李瑞杰先生 任职董事长 期间</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1129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事行为规范、</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董事长特别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行为规范的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要求，客观、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公正、独立地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履行董事职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责，保证足够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的时间和精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力来行使董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事职权，切实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维护发行人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及其他股东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的利益。</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作为中青宝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网的实际控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制人，本人未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来仍将不会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在发行人担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任行政职务，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亦不会直接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参与发行人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的日常经营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管理，以避免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可能产生的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利益冲突。</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本人承诺未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来不会利用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的地位，从事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任何可能损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害发行人或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其他股东合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法权益的行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为，包括但不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限于：其及其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所控制的企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业不以借款、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代偿债务、代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垫款项或者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其他方式占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用发行人的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资金，不利用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利润分配、资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065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产重组、对外 投资、资金占 用、借款担保 等方式损害 发行人和社 会公众股股 东的合法权 益，不利用控 制地位损害 发行人和社 会公众股股 东的利益等。 </w:t>
            </w:r>
            <w:r>
              <w:rPr>
                <w:rFonts w:ascii="Times New Roman" w:hAnsi="Times New Roman" w:cs="Times New Roman" w:eastAsia="Times New Roman" w:hint="default"/>
                <w:sz w:val="18"/>
                <w:szCs w:val="18"/>
              </w:rPr>
              <w:t>4</w:t>
            </w:r>
            <w:r>
              <w:rPr>
                <w:rFonts w:ascii="宋体" w:hAnsi="宋体" w:cs="宋体" w:eastAsia="宋体" w:hint="default"/>
                <w:sz w:val="18"/>
                <w:szCs w:val="18"/>
              </w:rPr>
              <w:t>、本人及有 关关联方今 后将尽力避 免与发行人 之间的非经 常性关联交 易；对于发行 人日常经营 所必须的关 联交易事项， 或者任何可 能产生利益 冲突的其他 事项，将依照 发行人的章 程、有关上市 规则等规定， 在董事会或 促使相关关 联股东在股 东大会上回 避表决。</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17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深圳中青宝 互动网络股 份有限公司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公司在激励 计划申报文 件中承诺不 为激励对象 依本激励计 划行使股票 期权提供贷 款以及其他 任何形式的 </w:t>
            </w:r>
            <w:r>
              <w:rPr>
                <w:rFonts w:ascii="宋体" w:hAnsi="宋体" w:cs="宋体" w:eastAsia="宋体" w:hint="default"/>
                <w:spacing w:val="-2"/>
                <w:sz w:val="18"/>
                <w:szCs w:val="18"/>
              </w:rPr>
              <w:t>财务资助，包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186"/>
              <w:jc w:val="left"/>
              <w:rPr>
                <w:rFonts w:ascii="宋体" w:hAnsi="宋体" w:cs="宋体" w:eastAsia="宋体" w:hint="default"/>
                <w:sz w:val="18"/>
                <w:szCs w:val="18"/>
              </w:rPr>
            </w:pPr>
            <w:r>
              <w:rPr>
                <w:rFonts w:ascii="宋体" w:hAnsi="宋体" w:cs="宋体" w:eastAsia="宋体" w:hint="default"/>
                <w:sz w:val="18"/>
                <w:szCs w:val="18"/>
              </w:rPr>
              <w:t>股票期权有 效期内</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67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left"/>
              <w:rPr>
                <w:rFonts w:ascii="宋体" w:hAnsi="宋体" w:cs="宋体" w:eastAsia="宋体" w:hint="default"/>
                <w:sz w:val="18"/>
                <w:szCs w:val="18"/>
              </w:rPr>
            </w:pPr>
            <w:r>
              <w:rPr>
                <w:rFonts w:ascii="宋体" w:hAnsi="宋体" w:cs="宋体" w:eastAsia="宋体" w:hint="default"/>
                <w:sz w:val="18"/>
                <w:szCs w:val="18"/>
              </w:rPr>
              <w:t>括为其贷款 提供担保。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1011"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316" w:lineRule="auto"/>
              <w:ind w:left="23" w:right="190"/>
              <w:jc w:val="both"/>
              <w:rPr>
                <w:rFonts w:ascii="宋体" w:hAnsi="宋体" w:cs="宋体" w:eastAsia="宋体" w:hint="default"/>
                <w:sz w:val="18"/>
                <w:szCs w:val="18"/>
              </w:rPr>
            </w:pPr>
            <w:r>
              <w:rPr>
                <w:rFonts w:ascii="宋体" w:hAnsi="宋体" w:cs="宋体" w:eastAsia="宋体" w:hint="default"/>
                <w:sz w:val="18"/>
                <w:szCs w:val="18"/>
              </w:rPr>
              <w:t>深圳中青宝 互动网络股 份有限公司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公司承诺本 次使用部分 闲置募集资 金暂时性补 充流动资金 后十二个月 内不将上述 资金用于开 展证券投资、 委托理财、衍 生品投资、创 业投资等高 风险投资以 及为他人提 供财务资助 </w:t>
            </w:r>
            <w:r>
              <w:rPr>
                <w:rFonts w:ascii="宋体" w:hAnsi="宋体" w:cs="宋体" w:eastAsia="宋体" w:hint="default"/>
                <w:spacing w:val="-10"/>
                <w:sz w:val="18"/>
                <w:szCs w:val="18"/>
              </w:rPr>
              <w:t>等。</w:t>
            </w:r>
            <w:r>
              <w:rPr>
                <w:rFonts w:ascii="Times New Roman" w:hAnsi="Times New Roman" w:cs="Times New Roman" w:eastAsia="Times New Roman" w:hint="default"/>
                <w:spacing w:val="-10"/>
                <w:sz w:val="18"/>
                <w:szCs w:val="18"/>
              </w:rPr>
              <w:t>(2014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w:t>
            </w:r>
          </w:p>
          <w:p>
            <w:pPr>
              <w:pStyle w:val="TableParagraph"/>
              <w:spacing w:line="314"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 的第二届董 事会第二十 七次</w:t>
            </w:r>
            <w:r>
              <w:rPr>
                <w:rFonts w:ascii="Times New Roman" w:hAnsi="Times New Roman" w:cs="Times New Roman" w:eastAsia="Times New Roman" w:hint="default"/>
                <w:sz w:val="18"/>
                <w:szCs w:val="18"/>
              </w:rPr>
              <w:t>(</w:t>
            </w:r>
            <w:r>
              <w:rPr>
                <w:rFonts w:ascii="宋体" w:hAnsi="宋体" w:cs="宋体" w:eastAsia="宋体" w:hint="default"/>
                <w:sz w:val="18"/>
                <w:szCs w:val="18"/>
              </w:rPr>
              <w:t>临时</w:t>
            </w:r>
            <w:r>
              <w:rPr>
                <w:rFonts w:ascii="Times New Roman" w:hAnsi="Times New Roman" w:cs="Times New Roman" w:eastAsia="Times New Roman" w:hint="default"/>
                <w:sz w:val="18"/>
                <w:szCs w:val="18"/>
              </w:rPr>
              <w:t>)</w:t>
            </w:r>
            <w:r>
              <w:rPr>
                <w:rFonts w:ascii="宋体" w:hAnsi="宋体" w:cs="宋体" w:eastAsia="宋体" w:hint="default"/>
                <w:sz w:val="18"/>
                <w:szCs w:val="18"/>
              </w:rPr>
              <w:t>会 议及第二届 监事会第二 十二次</w:t>
            </w:r>
            <w:r>
              <w:rPr>
                <w:rFonts w:ascii="Times New Roman" w:hAnsi="Times New Roman" w:cs="Times New Roman" w:eastAsia="Times New Roman" w:hint="default"/>
                <w:sz w:val="18"/>
                <w:szCs w:val="18"/>
              </w:rPr>
              <w:t>(</w:t>
            </w:r>
            <w:r>
              <w:rPr>
                <w:rFonts w:ascii="宋体" w:hAnsi="宋体" w:cs="宋体" w:eastAsia="宋体" w:hint="default"/>
                <w:sz w:val="18"/>
                <w:szCs w:val="18"/>
              </w:rPr>
              <w:t>临时</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会议，审议通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过《关于使用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部分闲置募 集资金暂时 补充公司流 动资金的议 </w:t>
            </w:r>
            <w:r>
              <w:rPr>
                <w:rFonts w:ascii="宋体" w:hAnsi="宋体" w:cs="宋体" w:eastAsia="宋体" w:hint="default"/>
                <w:spacing w:val="-15"/>
                <w:sz w:val="18"/>
                <w:szCs w:val="18"/>
              </w:rPr>
              <w:t>案》，同意公</w:t>
            </w:r>
            <w:r>
              <w:rPr>
                <w:rFonts w:ascii="宋体" w:hAnsi="宋体" w:cs="宋体" w:eastAsia="宋体" w:hint="default"/>
                <w:sz w:val="18"/>
                <w:szCs w:val="18"/>
              </w:rPr>
              <w:t> 司使用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万元闲置募 集资金补充 公司流动资 金。</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223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深圳中青宝 互动网络股 份有限公司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公司承诺本 次使用部分 闲置募集资 金暂时性补 充流动资金 后十二个月 内不将上述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097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资金用于开 展证券投资、 委托理财、衍 生品投资、创 业投资等高 风险投资以 及为他人提 供财务资助 </w:t>
            </w:r>
            <w:r>
              <w:rPr>
                <w:rFonts w:ascii="宋体" w:hAnsi="宋体" w:cs="宋体" w:eastAsia="宋体" w:hint="default"/>
                <w:spacing w:val="-10"/>
                <w:sz w:val="18"/>
                <w:szCs w:val="18"/>
              </w:rPr>
              <w:t>等。</w:t>
            </w:r>
            <w:r>
              <w:rPr>
                <w:rFonts w:ascii="Times New Roman" w:hAnsi="Times New Roman" w:cs="Times New Roman" w:eastAsia="Times New Roman" w:hint="default"/>
                <w:spacing w:val="-10"/>
                <w:sz w:val="18"/>
                <w:szCs w:val="18"/>
              </w:rPr>
              <w:t>(2014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4</w:t>
            </w:r>
          </w:p>
          <w:p>
            <w:pPr>
              <w:pStyle w:val="TableParagraph"/>
              <w:spacing w:line="314"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 的第三届董 事会第二次 </w:t>
            </w:r>
            <w:r>
              <w:rPr>
                <w:rFonts w:ascii="Times New Roman" w:hAnsi="Times New Roman" w:cs="Times New Roman" w:eastAsia="Times New Roman" w:hint="default"/>
                <w:sz w:val="18"/>
                <w:szCs w:val="18"/>
              </w:rPr>
              <w:t>(</w:t>
            </w:r>
            <w:r>
              <w:rPr>
                <w:rFonts w:ascii="宋体" w:hAnsi="宋体" w:cs="宋体" w:eastAsia="宋体" w:hint="default"/>
                <w:sz w:val="18"/>
                <w:szCs w:val="18"/>
              </w:rPr>
              <w:t>临时</w:t>
            </w:r>
            <w:r>
              <w:rPr>
                <w:rFonts w:ascii="Times New Roman" w:hAnsi="Times New Roman" w:cs="Times New Roman" w:eastAsia="Times New Roman" w:hint="default"/>
                <w:sz w:val="18"/>
                <w:szCs w:val="18"/>
              </w:rPr>
              <w:t>)</w:t>
            </w:r>
            <w:r>
              <w:rPr>
                <w:rFonts w:ascii="宋体" w:hAnsi="宋体" w:cs="宋体" w:eastAsia="宋体" w:hint="default"/>
                <w:sz w:val="18"/>
                <w:szCs w:val="18"/>
              </w:rPr>
              <w:t>会议及 第三届监事 会第二次</w:t>
            </w:r>
            <w:r>
              <w:rPr>
                <w:rFonts w:ascii="Times New Roman" w:hAnsi="Times New Roman" w:cs="Times New Roman" w:eastAsia="Times New Roman" w:hint="default"/>
                <w:sz w:val="18"/>
                <w:szCs w:val="18"/>
              </w:rPr>
              <w:t>(</w:t>
            </w:r>
            <w:r>
              <w:rPr>
                <w:rFonts w:ascii="宋体" w:hAnsi="宋体" w:cs="宋体" w:eastAsia="宋体" w:hint="default"/>
                <w:sz w:val="18"/>
                <w:szCs w:val="18"/>
              </w:rPr>
              <w:t>临 </w:t>
            </w:r>
            <w:r>
              <w:rPr>
                <w:rFonts w:ascii="宋体" w:hAnsi="宋体" w:cs="宋体" w:eastAsia="宋体" w:hint="default"/>
                <w:spacing w:val="-10"/>
                <w:sz w:val="18"/>
                <w:szCs w:val="18"/>
              </w:rPr>
              <w:t>时</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会议，审议</w:t>
            </w:r>
            <w:r>
              <w:rPr>
                <w:rFonts w:ascii="宋体" w:hAnsi="宋体" w:cs="宋体" w:eastAsia="宋体" w:hint="default"/>
                <w:sz w:val="18"/>
                <w:szCs w:val="18"/>
              </w:rPr>
              <w:t> </w:t>
            </w:r>
            <w:r>
              <w:rPr>
                <w:rFonts w:ascii="宋体" w:hAnsi="宋体" w:cs="宋体" w:eastAsia="宋体" w:hint="default"/>
                <w:spacing w:val="-2"/>
                <w:sz w:val="18"/>
                <w:szCs w:val="18"/>
              </w:rPr>
              <w:t>通过《公司使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用部分闲置 募集资金暂 时补充流动 资金的议 </w:t>
            </w:r>
            <w:r>
              <w:rPr>
                <w:rFonts w:ascii="宋体" w:hAnsi="宋体" w:cs="宋体" w:eastAsia="宋体" w:hint="default"/>
                <w:spacing w:val="-15"/>
                <w:sz w:val="18"/>
                <w:szCs w:val="18"/>
              </w:rPr>
              <w:t>案》，同意公</w:t>
            </w:r>
            <w:r>
              <w:rPr>
                <w:rFonts w:ascii="宋体" w:hAnsi="宋体" w:cs="宋体" w:eastAsia="宋体" w:hint="default"/>
                <w:sz w:val="18"/>
                <w:szCs w:val="18"/>
              </w:rPr>
              <w:t> 司使用部分 闲置募集资 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补充流动资 </w:t>
            </w:r>
            <w:r>
              <w:rPr>
                <w:rFonts w:ascii="宋体" w:hAnsi="宋体" w:cs="宋体" w:eastAsia="宋体" w:hint="default"/>
                <w:spacing w:val="-2"/>
                <w:sz w:val="18"/>
                <w:szCs w:val="18"/>
              </w:rPr>
              <w:t>金，同时公司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之全资子公 司苏州华娱 创新投资发 展有限公司 使用部分闲 置募集资金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万元补 </w:t>
            </w:r>
            <w:r>
              <w:rPr>
                <w:rFonts w:ascii="宋体" w:hAnsi="宋体" w:cs="宋体" w:eastAsia="宋体" w:hint="default"/>
                <w:spacing w:val="-10"/>
                <w:sz w:val="18"/>
                <w:szCs w:val="18"/>
              </w:rPr>
              <w:t>充流动资金。</w:t>
            </w:r>
            <w:r>
              <w:rPr>
                <w:rFonts w:ascii="Times New Roman" w:hAnsi="Times New Roman" w:cs="Times New Roman" w:eastAsia="Times New Roman" w:hint="default"/>
                <w:spacing w:val="-10"/>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285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3" w:right="190"/>
              <w:jc w:val="both"/>
              <w:rPr>
                <w:rFonts w:ascii="宋体" w:hAnsi="宋体" w:cs="宋体" w:eastAsia="宋体" w:hint="default"/>
                <w:sz w:val="18"/>
                <w:szCs w:val="18"/>
              </w:rPr>
            </w:pPr>
            <w:r>
              <w:rPr>
                <w:rFonts w:ascii="宋体" w:hAnsi="宋体" w:cs="宋体" w:eastAsia="宋体" w:hint="default"/>
                <w:sz w:val="18"/>
                <w:szCs w:val="18"/>
              </w:rPr>
              <w:t>深圳中青宝 互动网络股 份有限公司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公司承诺本 次使用部分 闲置募集资 金暂时性补 充流动资金 后十二个月 内不将上述 资金用于开 展证券投资、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034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委托理财、衍 生品投资、创 业投资等高 风险投资以 及为他人提 供财务资助 等。</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 开的公司第 三届董事会 第八次会议、 第三届监事 会第五次会 议审议通过 了《关于使用 部分闲置募 集资金暂时 补充流动资 </w:t>
            </w:r>
            <w:r>
              <w:rPr>
                <w:rFonts w:ascii="宋体" w:hAnsi="宋体" w:cs="宋体" w:eastAsia="宋体" w:hint="default"/>
                <w:spacing w:val="-15"/>
                <w:sz w:val="18"/>
                <w:szCs w:val="18"/>
              </w:rPr>
              <w:t>金的议案》，</w:t>
            </w:r>
            <w:r>
              <w:rPr>
                <w:rFonts w:ascii="宋体" w:hAnsi="宋体" w:cs="宋体" w:eastAsia="宋体" w:hint="default"/>
                <w:sz w:val="18"/>
                <w:szCs w:val="18"/>
              </w:rPr>
              <w:t> 同意公司使 用部分闲置 募集资金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 充流动资金， 同时公司之 全资子公司 苏州华娱创 新投资发展 有限公司使 用部分闲置 募集资金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 </w:t>
            </w:r>
            <w:r>
              <w:rPr>
                <w:rFonts w:ascii="宋体" w:hAnsi="宋体" w:cs="宋体" w:eastAsia="宋体" w:hint="default"/>
                <w:spacing w:val="-10"/>
                <w:sz w:val="18"/>
                <w:szCs w:val="18"/>
              </w:rPr>
              <w:t>充流动资金。</w:t>
            </w:r>
            <w:r>
              <w:rPr>
                <w:rFonts w:ascii="Times New Roman" w:hAnsi="Times New Roman" w:cs="Times New Roman" w:eastAsia="Times New Roman" w:hint="default"/>
                <w:spacing w:val="-10"/>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48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深圳中青宝 互动网络股 份有限公司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公司承诺本 次使用部分 闲置募集资 金暂时性补 充流动资金 后十二个月 内不将上述 资金用于开 展证券投资、 委托理财、衍 生品投资、创</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753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业投资等高 风险投资以 及为他人提 供财务资助 </w:t>
            </w:r>
            <w:r>
              <w:rPr>
                <w:rFonts w:ascii="宋体" w:hAnsi="宋体" w:cs="宋体" w:eastAsia="宋体" w:hint="default"/>
                <w:spacing w:val="-13"/>
                <w:sz w:val="18"/>
                <w:szCs w:val="18"/>
              </w:rPr>
              <w:t>等。（</w:t>
            </w:r>
            <w:r>
              <w:rPr>
                <w:rFonts w:ascii="Times New Roman" w:hAnsi="Times New Roman" w:cs="Times New Roman" w:eastAsia="Times New Roman" w:hint="default"/>
                <w:spacing w:val="-13"/>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日召开 的第二届董 事会第二十 七次（临时） 会议及第二 届监事会第 二十二次（临 时）会议，审 议通过《关于 使用部分闲 置募集资金 暂时补充公 司流动资金 </w:t>
            </w:r>
            <w:r>
              <w:rPr>
                <w:rFonts w:ascii="宋体" w:hAnsi="宋体" w:cs="宋体" w:eastAsia="宋体" w:hint="default"/>
                <w:spacing w:val="-15"/>
                <w:sz w:val="18"/>
                <w:szCs w:val="18"/>
              </w:rPr>
              <w:t>的议案》，同</w:t>
            </w:r>
            <w:r>
              <w:rPr>
                <w:rFonts w:ascii="宋体" w:hAnsi="宋体" w:cs="宋体" w:eastAsia="宋体" w:hint="default"/>
                <w:sz w:val="18"/>
                <w:szCs w:val="18"/>
              </w:rPr>
              <w:t> 意公司使用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 置募集资金 补充公司流 </w:t>
            </w:r>
            <w:r>
              <w:rPr>
                <w:rFonts w:ascii="宋体" w:hAnsi="宋体" w:cs="宋体" w:eastAsia="宋体" w:hint="default"/>
                <w:spacing w:val="-18"/>
                <w:sz w:val="18"/>
                <w:szCs w:val="18"/>
              </w:rPr>
              <w:t>动资金。）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629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深圳中青宝 互动网络股 份有限公司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公司承诺在 本次使用募 投项目结余 资金永久补 充流动资金 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不进行此类 高风险投资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before="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 三届董事会 第十五次会 </w:t>
            </w:r>
            <w:r>
              <w:rPr>
                <w:rFonts w:ascii="宋体" w:hAnsi="宋体" w:cs="宋体" w:eastAsia="宋体" w:hint="default"/>
                <w:spacing w:val="-2"/>
                <w:sz w:val="18"/>
                <w:szCs w:val="18"/>
              </w:rPr>
              <w:t>议，审议通过</w:t>
            </w:r>
          </w:p>
          <w:p>
            <w:pPr>
              <w:pStyle w:val="TableParagraph"/>
              <w:spacing w:line="316" w:lineRule="auto" w:before="22"/>
              <w:ind w:left="22" w:right="21"/>
              <w:jc w:val="left"/>
              <w:rPr>
                <w:rFonts w:ascii="Times New Roman" w:hAnsi="Times New Roman" w:cs="Times New Roman" w:eastAsia="Times New Roman" w:hint="default"/>
                <w:sz w:val="18"/>
                <w:szCs w:val="18"/>
              </w:rPr>
            </w:pPr>
            <w:r>
              <w:rPr>
                <w:rFonts w:ascii="宋体" w:hAnsi="宋体" w:cs="宋体" w:eastAsia="宋体" w:hint="default"/>
                <w:spacing w:val="-15"/>
                <w:sz w:val="18"/>
                <w:szCs w:val="18"/>
              </w:rPr>
              <w:t>《《关于终止</w:t>
            </w:r>
            <w:r>
              <w:rPr>
                <w:rFonts w:ascii="宋体" w:hAnsi="宋体" w:cs="宋体" w:eastAsia="宋体" w:hint="default"/>
                <w:sz w:val="18"/>
                <w:szCs w:val="18"/>
              </w:rPr>
              <w:t> 募投项目并 将剩余募集 资金永久补 充流动资金 </w:t>
            </w:r>
            <w:r>
              <w:rPr>
                <w:rFonts w:ascii="宋体" w:hAnsi="宋体" w:cs="宋体" w:eastAsia="宋体" w:hint="default"/>
                <w:spacing w:val="-28"/>
                <w:sz w:val="18"/>
                <w:szCs w:val="18"/>
              </w:rPr>
              <w:t>的议案》》，该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议案于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660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 召开的公司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 股东大会审 </w:t>
            </w:r>
            <w:r>
              <w:rPr>
                <w:rFonts w:ascii="宋体" w:hAnsi="宋体" w:cs="宋体" w:eastAsia="宋体" w:hint="default"/>
                <w:spacing w:val="-2"/>
                <w:sz w:val="18"/>
                <w:szCs w:val="18"/>
              </w:rPr>
              <w:t>议通过了《关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于终止募投 项目并将剩 余募集资金 永久补充流 动资金的议 </w:t>
            </w:r>
            <w:r>
              <w:rPr>
                <w:rFonts w:ascii="宋体" w:hAnsi="宋体" w:cs="宋体" w:eastAsia="宋体" w:hint="default"/>
                <w:spacing w:val="-15"/>
                <w:sz w:val="18"/>
                <w:szCs w:val="18"/>
              </w:rPr>
              <w:t>案》，同意公</w:t>
            </w:r>
            <w:r>
              <w:rPr>
                <w:rFonts w:ascii="宋体" w:hAnsi="宋体" w:cs="宋体" w:eastAsia="宋体" w:hint="default"/>
                <w:sz w:val="18"/>
                <w:szCs w:val="18"/>
              </w:rPr>
              <w:t> 司终止实施 募投项目中 </w:t>
            </w:r>
            <w:r>
              <w:rPr>
                <w:rFonts w:ascii="Times New Roman" w:hAnsi="Times New Roman" w:cs="Times New Roman" w:eastAsia="Times New Roman" w:hint="default"/>
                <w:sz w:val="18"/>
                <w:szCs w:val="18"/>
              </w:rPr>
              <w:t>“</w:t>
            </w:r>
            <w:r>
              <w:rPr>
                <w:rFonts w:ascii="宋体" w:hAnsi="宋体" w:cs="宋体" w:eastAsia="宋体" w:hint="default"/>
                <w:sz w:val="18"/>
                <w:szCs w:val="18"/>
              </w:rPr>
              <w:t>苏州华娱创 新投资发展 有限公司研 发用房项目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并将该项目 剩余募集资 金永久补充 流动资金。</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90"/>
              <w:jc w:val="both"/>
              <w:rPr>
                <w:rFonts w:ascii="宋体" w:hAnsi="宋体" w:cs="宋体" w:eastAsia="宋体" w:hint="default"/>
                <w:sz w:val="18"/>
                <w:szCs w:val="18"/>
              </w:rPr>
            </w:pPr>
            <w:r>
              <w:rPr>
                <w:rFonts w:ascii="宋体" w:hAnsi="宋体" w:cs="宋体" w:eastAsia="宋体" w:hint="default"/>
                <w:sz w:val="18"/>
                <w:szCs w:val="18"/>
              </w:rPr>
              <w:t>深圳市宝德 投资控股有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191"/>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深圳市宝德 投资控股有 限公司拟通 过合法合规 的形式在中 青宝股票复 牌后择机增 持中青宝股 份，增持比例 不超过中青 宝总股本的 </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，在增持完</w:t>
            </w:r>
            <w:r>
              <w:rPr>
                <w:rFonts w:ascii="宋体" w:hAnsi="宋体" w:cs="宋体" w:eastAsia="宋体" w:hint="default"/>
                <w:sz w:val="18"/>
                <w:szCs w:val="18"/>
              </w:rPr>
              <w:t> 成后六个月 内及法律法 规规定的期 限内，不减持 中青宝股份。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9999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7"/>
        <w:spacing w:line="259" w:lineRule="auto" w:before="35"/>
        <w:ind w:right="0"/>
        <w:jc w:val="left"/>
        <w:rPr>
          <w:b w:val="0"/>
          <w:bCs w:val="0"/>
        </w:rPr>
      </w:pPr>
      <w:bookmarkStart w:name="2、公司资产或项目存在盈利预测，且报告期仍处在盈利预测期间，公司就资产或项目达到" w:id="64"/>
      <w:bookmarkEnd w:id="64"/>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1"/>
        <w:ind w:right="0"/>
        <w:jc w:val="left"/>
        <w:rPr>
          <w:b w:val="0"/>
          <w:bCs w:val="0"/>
        </w:rPr>
      </w:pPr>
      <w:bookmarkStart w:name="三、控股股东及其关联方对上市公司的非经营性占用资金情况" w:id="65"/>
      <w:bookmarkEnd w:id="65"/>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四、董事会对最近一期“非标准审计报告”相关情况的说明" w:id="66"/>
      <w:bookmarkEnd w:id="66"/>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6" w:lineRule="auto" w:before="102"/>
        <w:ind w:right="0" w:firstLine="420"/>
        <w:jc w:val="left"/>
      </w:pPr>
      <w:r>
        <w:rPr/>
        <w:t>大华会计师事务所</w:t>
      </w:r>
      <w:r>
        <w:rPr>
          <w:rFonts w:ascii="宋体" w:hAnsi="宋体" w:cs="宋体" w:eastAsia="宋体" w:hint="default"/>
        </w:rPr>
        <w:t>(</w:t>
      </w:r>
      <w:r>
        <w:rPr/>
        <w:t>特殊普通合伙</w:t>
      </w:r>
      <w:r>
        <w:rPr>
          <w:rFonts w:ascii="宋体" w:hAnsi="宋体" w:cs="宋体" w:eastAsia="宋体" w:hint="default"/>
        </w:rPr>
        <w:t>)</w:t>
      </w:r>
      <w:r>
        <w:rPr/>
        <w:t>对公司</w:t>
      </w:r>
      <w:r>
        <w:rPr>
          <w:rFonts w:ascii="宋体" w:hAnsi="宋体" w:cs="宋体" w:eastAsia="宋体" w:hint="default"/>
        </w:rPr>
        <w:t>2014</w:t>
      </w:r>
      <w:r>
        <w:rPr/>
        <w:t>年度财务报表进行审计，并于</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20</w:t>
      </w:r>
      <w:r>
        <w:rPr/>
        <w:t>日出具了大华审字 </w:t>
      </w:r>
      <w:r>
        <w:rPr>
          <w:rFonts w:ascii="宋体" w:hAnsi="宋体" w:cs="宋体" w:eastAsia="宋体" w:hint="default"/>
          <w:spacing w:val="-2"/>
        </w:rPr>
        <w:t>[2015]003128</w:t>
      </w:r>
      <w:r>
        <w:rPr>
          <w:spacing w:val="-2"/>
        </w:rPr>
        <w:t>号带强调事项段的无保留意见审计报告。强调事项如下：“我们提醒财务报表使用者关注，如财务报表附注十</w:t>
      </w:r>
      <w:r>
        <w:rPr>
          <w:spacing w:val="-55"/>
        </w:rPr>
        <w:t> </w:t>
      </w:r>
      <w:r>
        <w:rPr>
          <w:spacing w:val="-55"/>
        </w:rPr>
      </w:r>
      <w:r>
        <w:rPr>
          <w:spacing w:val="-2"/>
        </w:rPr>
        <w:t>三</w:t>
      </w:r>
      <w:r>
        <w:rPr>
          <w:rFonts w:ascii="宋体" w:hAnsi="宋体" w:cs="宋体" w:eastAsia="宋体" w:hint="default"/>
          <w:spacing w:val="-2"/>
        </w:rPr>
        <w:t>(</w:t>
      </w:r>
      <w:r>
        <w:rPr>
          <w:spacing w:val="-2"/>
        </w:rPr>
        <w:t>一</w:t>
      </w:r>
      <w:r>
        <w:rPr>
          <w:rFonts w:ascii="宋体" w:hAnsi="宋体" w:cs="宋体" w:eastAsia="宋体" w:hint="default"/>
          <w:spacing w:val="-2"/>
        </w:rPr>
        <w:t>)</w:t>
      </w:r>
      <w:r>
        <w:rPr>
          <w:spacing w:val="-2"/>
        </w:rPr>
        <w:t>所述，深圳中青宝公司</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日商誉账面金额为人民币</w:t>
      </w:r>
      <w:r>
        <w:rPr>
          <w:rFonts w:ascii="宋体" w:hAnsi="宋体" w:cs="宋体" w:eastAsia="宋体" w:hint="default"/>
          <w:spacing w:val="-2"/>
        </w:rPr>
        <w:t>418,720,690.46</w:t>
      </w:r>
      <w:r>
        <w:rPr>
          <w:spacing w:val="-2"/>
        </w:rPr>
        <w:t>元，未计提商誉减值准备，深圳中青宝</w:t>
      </w:r>
      <w:r>
        <w:rPr>
          <w:spacing w:val="-43"/>
        </w:rPr>
        <w:t> </w:t>
      </w:r>
      <w:r>
        <w:rPr>
          <w:spacing w:val="-43"/>
        </w:rPr>
      </w:r>
      <w:r>
        <w:rPr>
          <w:spacing w:val="-2"/>
        </w:rPr>
        <w:t>公司已在财务报表附注六注释</w:t>
      </w:r>
      <w:r>
        <w:rPr>
          <w:rFonts w:ascii="宋体" w:hAnsi="宋体" w:cs="宋体" w:eastAsia="宋体" w:hint="default"/>
          <w:spacing w:val="-2"/>
        </w:rPr>
        <w:t>14</w:t>
      </w:r>
      <w:r>
        <w:rPr>
          <w:spacing w:val="-2"/>
        </w:rPr>
        <w:t>和附注十三</w:t>
      </w:r>
      <w:r>
        <w:rPr>
          <w:rFonts w:ascii="宋体" w:hAnsi="宋体" w:cs="宋体" w:eastAsia="宋体" w:hint="default"/>
          <w:spacing w:val="-2"/>
        </w:rPr>
        <w:t>(</w:t>
      </w:r>
      <w:r>
        <w:rPr>
          <w:spacing w:val="-2"/>
        </w:rPr>
        <w:t>一</w:t>
      </w:r>
      <w:r>
        <w:rPr>
          <w:rFonts w:ascii="宋体" w:hAnsi="宋体" w:cs="宋体" w:eastAsia="宋体" w:hint="default"/>
          <w:spacing w:val="-2"/>
        </w:rPr>
        <w:t>)</w:t>
      </w:r>
      <w:r>
        <w:rPr>
          <w:spacing w:val="-2"/>
        </w:rPr>
        <w:t>中充分披露了期末减值测试的具体情况。游戏产品的盈利能力受到多方面因</w:t>
      </w:r>
      <w:r>
        <w:rPr>
          <w:spacing w:val="-60"/>
        </w:rPr>
        <w:t> </w:t>
      </w:r>
      <w:r>
        <w:rPr>
          <w:spacing w:val="-60"/>
        </w:rPr>
      </w:r>
      <w:r>
        <w:rPr/>
        <w:t>素的影响，如果标的资产未来经营状况未达预期</w:t>
      </w:r>
      <w:r>
        <w:rPr>
          <w:rFonts w:ascii="宋体" w:hAnsi="宋体" w:cs="宋体" w:eastAsia="宋体" w:hint="default"/>
        </w:rPr>
        <w:t>,</w:t>
      </w:r>
      <w:r>
        <w:rPr/>
        <w:t>则存在商誉减值的风险。本段内容不影响已发表的审计意见。”</w:t>
      </w:r>
    </w:p>
    <w:p>
      <w:pPr>
        <w:pStyle w:val="BodyText"/>
        <w:spacing w:line="316" w:lineRule="auto" w:before="19"/>
        <w:ind w:right="1123" w:firstLine="420"/>
        <w:jc w:val="left"/>
      </w:pPr>
      <w:r>
        <w:rPr>
          <w:spacing w:val="-1"/>
        </w:rPr>
        <w:t>公司</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日商誉账面金额为人民币</w:t>
      </w:r>
      <w:r>
        <w:rPr>
          <w:rFonts w:ascii="宋体" w:hAnsi="宋体" w:cs="宋体" w:eastAsia="宋体" w:hint="default"/>
          <w:spacing w:val="-1"/>
        </w:rPr>
        <w:t>418,720,690.46</w:t>
      </w:r>
      <w:r>
        <w:rPr>
          <w:spacing w:val="-1"/>
        </w:rPr>
        <w:t>元，其中收购深圳苏摩形成的商誉为</w:t>
      </w:r>
      <w:r>
        <w:rPr>
          <w:rFonts w:ascii="宋体" w:hAnsi="宋体" w:cs="宋体" w:eastAsia="宋体" w:hint="default"/>
          <w:spacing w:val="-1"/>
        </w:rPr>
        <w:t>77,605,352.01</w:t>
      </w:r>
      <w:r>
        <w:rPr>
          <w:spacing w:val="-1"/>
        </w:rPr>
        <w:t>元，收</w:t>
      </w:r>
      <w:r>
        <w:rPr/>
        <w:t> 购上海美峰形成的商誉金额为</w:t>
      </w:r>
      <w:r>
        <w:rPr>
          <w:rFonts w:ascii="宋体" w:hAnsi="宋体" w:cs="宋体" w:eastAsia="宋体" w:hint="default"/>
        </w:rPr>
        <w:t>339,623,757.28</w:t>
      </w:r>
      <w:r>
        <w:rPr/>
        <w:t>元。中瑞国际资产评估</w:t>
      </w:r>
      <w:r>
        <w:rPr>
          <w:rFonts w:ascii="宋体" w:hAnsi="宋体" w:cs="宋体" w:eastAsia="宋体" w:hint="default"/>
        </w:rPr>
        <w:t>(</w:t>
      </w:r>
      <w:r>
        <w:rPr/>
        <w:t>北京</w:t>
      </w:r>
      <w:r>
        <w:rPr>
          <w:rFonts w:ascii="宋体" w:hAnsi="宋体" w:cs="宋体" w:eastAsia="宋体" w:hint="default"/>
        </w:rPr>
        <w:t>)</w:t>
      </w:r>
      <w:r>
        <w:rPr/>
        <w:t>有限公司对深圳苏摩、上海美峰</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 </w:t>
      </w:r>
      <w:r>
        <w:rPr/>
        <w:t>日的净资产进行了评估，并于</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30</w:t>
      </w:r>
      <w:r>
        <w:rPr/>
        <w:t>日出具编号分别为“中瑞评报字</w:t>
      </w:r>
      <w:r>
        <w:rPr>
          <w:rFonts w:ascii="宋体" w:hAnsi="宋体" w:cs="宋体" w:eastAsia="宋体" w:hint="default"/>
        </w:rPr>
        <w:t>[2015]</w:t>
      </w:r>
      <w:r>
        <w:rPr/>
        <w:t>第</w:t>
      </w:r>
      <w:r>
        <w:rPr>
          <w:rFonts w:ascii="宋体" w:hAnsi="宋体" w:cs="宋体" w:eastAsia="宋体" w:hint="default"/>
        </w:rPr>
        <w:t>040002064</w:t>
      </w:r>
      <w:r>
        <w:rPr/>
        <w:t>号”、“中瑞评报字</w:t>
      </w:r>
      <w:r>
        <w:rPr>
          <w:rFonts w:ascii="宋体" w:hAnsi="宋体" w:cs="宋体" w:eastAsia="宋体" w:hint="default"/>
        </w:rPr>
        <w:t>[2015] </w:t>
      </w:r>
      <w:r>
        <w:rPr/>
        <w:t>第</w:t>
      </w:r>
      <w:r>
        <w:rPr>
          <w:rFonts w:ascii="宋体" w:hAnsi="宋体" w:cs="宋体" w:eastAsia="宋体" w:hint="default"/>
        </w:rPr>
        <w:t>040002065</w:t>
      </w:r>
      <w:r>
        <w:rPr/>
        <w:t>号”的评估报告。根据评估结果，深圳苏摩、上海美峰商誉未出现减值迹象，本公司董事会认为，基于上述评 估，截止</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日对上海美峰商誉无需计提减值准备。</w:t>
      </w:r>
    </w:p>
    <w:p>
      <w:pPr>
        <w:pStyle w:val="BodyText"/>
        <w:spacing w:line="240" w:lineRule="auto" w:before="19"/>
        <w:ind w:left="1554" w:right="0"/>
        <w:jc w:val="left"/>
      </w:pPr>
      <w:r>
        <w:rPr/>
        <w:t>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日商誉减值准备计提情况</w:t>
      </w:r>
    </w:p>
    <w:p>
      <w:pPr>
        <w:spacing w:line="240" w:lineRule="auto" w:before="0"/>
        <w:rPr>
          <w:rFonts w:ascii="宋体" w:hAnsi="宋体" w:cs="宋体" w:eastAsia="宋体" w:hint="default"/>
          <w:sz w:val="5"/>
          <w:szCs w:val="5"/>
        </w:rPr>
      </w:pPr>
    </w:p>
    <w:tbl>
      <w:tblPr>
        <w:tblW w:w="0" w:type="auto"/>
        <w:jc w:val="left"/>
        <w:tblInd w:w="990" w:type="dxa"/>
        <w:tblLayout w:type="fixed"/>
        <w:tblCellMar>
          <w:top w:w="0" w:type="dxa"/>
          <w:left w:w="0" w:type="dxa"/>
          <w:bottom w:w="0" w:type="dxa"/>
          <w:right w:w="0" w:type="dxa"/>
        </w:tblCellMar>
        <w:tblLook w:val="01E0"/>
      </w:tblPr>
      <w:tblGrid>
        <w:gridCol w:w="2436"/>
        <w:gridCol w:w="2294"/>
        <w:gridCol w:w="2297"/>
        <w:gridCol w:w="2292"/>
      </w:tblGrid>
      <w:tr>
        <w:trPr>
          <w:trHeight w:val="374" w:hRule="exact"/>
        </w:trPr>
        <w:tc>
          <w:tcPr>
            <w:tcW w:w="2436"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26"/>
              <w:ind w:left="59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2294"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b/>
                <w:bCs/>
                <w:sz w:val="18"/>
                <w:szCs w:val="18"/>
              </w:rPr>
              <w:t>商誉原值</w:t>
            </w:r>
            <w:r>
              <w:rPr>
                <w:rFonts w:ascii="宋体" w:hAnsi="宋体" w:cs="宋体" w:eastAsia="宋体" w:hint="default"/>
                <w:sz w:val="18"/>
                <w:szCs w:val="18"/>
              </w:rPr>
            </w:r>
          </w:p>
        </w:tc>
        <w:tc>
          <w:tcPr>
            <w:tcW w:w="2297"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26"/>
              <w:ind w:left="596" w:right="0"/>
              <w:jc w:val="left"/>
              <w:rPr>
                <w:rFonts w:ascii="宋体" w:hAnsi="宋体" w:cs="宋体" w:eastAsia="宋体" w:hint="default"/>
                <w:sz w:val="18"/>
                <w:szCs w:val="18"/>
              </w:rPr>
            </w:pPr>
            <w:r>
              <w:rPr>
                <w:rFonts w:ascii="宋体" w:hAnsi="宋体" w:cs="宋体" w:eastAsia="宋体" w:hint="default"/>
                <w:b/>
                <w:bCs/>
                <w:sz w:val="18"/>
                <w:szCs w:val="18"/>
              </w:rPr>
              <w:t>商誉减值准备</w:t>
            </w:r>
            <w:r>
              <w:rPr>
                <w:rFonts w:ascii="宋体" w:hAnsi="宋体" w:cs="宋体" w:eastAsia="宋体" w:hint="default"/>
                <w:sz w:val="18"/>
                <w:szCs w:val="18"/>
              </w:rPr>
            </w:r>
          </w:p>
        </w:tc>
        <w:tc>
          <w:tcPr>
            <w:tcW w:w="2292"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26"/>
              <w:ind w:right="9"/>
              <w:jc w:val="center"/>
              <w:rPr>
                <w:rFonts w:ascii="宋体" w:hAnsi="宋体" w:cs="宋体" w:eastAsia="宋体" w:hint="default"/>
                <w:sz w:val="18"/>
                <w:szCs w:val="18"/>
              </w:rPr>
            </w:pPr>
            <w:r>
              <w:rPr>
                <w:rFonts w:ascii="宋体" w:hAnsi="宋体" w:cs="宋体" w:eastAsia="宋体" w:hint="default"/>
                <w:b/>
                <w:bCs/>
                <w:sz w:val="18"/>
                <w:szCs w:val="18"/>
              </w:rPr>
              <w:t>商誉净值</w:t>
            </w:r>
            <w:r>
              <w:rPr>
                <w:rFonts w:ascii="宋体" w:hAnsi="宋体" w:cs="宋体" w:eastAsia="宋体" w:hint="default"/>
                <w:sz w:val="18"/>
                <w:szCs w:val="18"/>
              </w:rPr>
            </w:r>
          </w:p>
        </w:tc>
      </w:tr>
      <w:tr>
        <w:trPr>
          <w:trHeight w:val="360" w:hRule="exact"/>
        </w:trPr>
        <w:tc>
          <w:tcPr>
            <w:tcW w:w="243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9"/>
              <w:ind w:left="542" w:right="0"/>
              <w:jc w:val="left"/>
              <w:rPr>
                <w:rFonts w:ascii="宋体" w:hAnsi="宋体" w:cs="宋体" w:eastAsia="宋体" w:hint="default"/>
                <w:sz w:val="18"/>
                <w:szCs w:val="18"/>
              </w:rPr>
            </w:pPr>
            <w:r>
              <w:rPr>
                <w:rFonts w:ascii="宋体" w:hAnsi="宋体" w:cs="宋体" w:eastAsia="宋体" w:hint="default"/>
                <w:sz w:val="18"/>
                <w:szCs w:val="18"/>
              </w:rPr>
              <w:t>西安掌控力</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Times New Roman" w:hAnsi="Times New Roman" w:cs="Times New Roman" w:eastAsia="Times New Roman" w:hint="default"/>
                <w:sz w:val="18"/>
                <w:szCs w:val="18"/>
              </w:rPr>
            </w:pPr>
            <w:r>
              <w:rPr>
                <w:rFonts w:ascii="Times New Roman"/>
                <w:spacing w:val="-1"/>
                <w:sz w:val="18"/>
              </w:rPr>
              <w:t>1,491,581.17</w:t>
            </w:r>
          </w:p>
        </w:tc>
        <w:tc>
          <w:tcPr>
            <w:tcW w:w="2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7"/>
              <w:jc w:val="right"/>
              <w:rPr>
                <w:rFonts w:ascii="Times New Roman" w:hAnsi="Times New Roman" w:cs="Times New Roman" w:eastAsia="Times New Roman" w:hint="default"/>
                <w:sz w:val="18"/>
                <w:szCs w:val="18"/>
              </w:rPr>
            </w:pPr>
            <w:r>
              <w:rPr>
                <w:rFonts w:ascii="Times New Roman"/>
                <w:spacing w:val="-1"/>
                <w:sz w:val="18"/>
              </w:rPr>
              <w:t>1,491,581.17</w:t>
            </w:r>
          </w:p>
        </w:tc>
        <w:tc>
          <w:tcPr>
            <w:tcW w:w="229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43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9"/>
              <w:ind w:left="542" w:right="0"/>
              <w:jc w:val="left"/>
              <w:rPr>
                <w:rFonts w:ascii="宋体" w:hAnsi="宋体" w:cs="宋体" w:eastAsia="宋体" w:hint="default"/>
                <w:sz w:val="18"/>
                <w:szCs w:val="18"/>
              </w:rPr>
            </w:pPr>
            <w:r>
              <w:rPr>
                <w:rFonts w:ascii="宋体" w:hAnsi="宋体" w:cs="宋体" w:eastAsia="宋体" w:hint="default"/>
                <w:sz w:val="18"/>
                <w:szCs w:val="18"/>
              </w:rPr>
              <w:t>上海美峰</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Times New Roman" w:hAnsi="Times New Roman" w:cs="Times New Roman" w:eastAsia="Times New Roman" w:hint="default"/>
                <w:sz w:val="18"/>
                <w:szCs w:val="18"/>
              </w:rPr>
            </w:pPr>
            <w:r>
              <w:rPr>
                <w:rFonts w:ascii="Times New Roman"/>
                <w:spacing w:val="-1"/>
                <w:sz w:val="18"/>
              </w:rPr>
              <w:t>339,623,757.28</w:t>
            </w:r>
          </w:p>
        </w:tc>
        <w:tc>
          <w:tcPr>
            <w:tcW w:w="2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7"/>
              <w:jc w:val="right"/>
              <w:rPr>
                <w:rFonts w:ascii="Times New Roman" w:hAnsi="Times New Roman" w:cs="Times New Roman" w:eastAsia="Times New Roman" w:hint="default"/>
                <w:sz w:val="18"/>
                <w:szCs w:val="18"/>
              </w:rPr>
            </w:pPr>
            <w:r>
              <w:rPr>
                <w:rFonts w:ascii="Times New Roman"/>
                <w:spacing w:val="-1"/>
                <w:sz w:val="18"/>
              </w:rPr>
              <w:t>159,107,532.00</w:t>
            </w:r>
          </w:p>
        </w:tc>
        <w:tc>
          <w:tcPr>
            <w:tcW w:w="229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9"/>
              <w:ind w:right="105"/>
              <w:jc w:val="right"/>
              <w:rPr>
                <w:rFonts w:ascii="Times New Roman" w:hAnsi="Times New Roman" w:cs="Times New Roman" w:eastAsia="Times New Roman" w:hint="default"/>
                <w:sz w:val="18"/>
                <w:szCs w:val="18"/>
              </w:rPr>
            </w:pPr>
            <w:r>
              <w:rPr>
                <w:rFonts w:ascii="Times New Roman"/>
                <w:spacing w:val="-1"/>
                <w:sz w:val="18"/>
              </w:rPr>
              <w:t>180,516,225.28</w:t>
            </w:r>
          </w:p>
        </w:tc>
      </w:tr>
      <w:tr>
        <w:trPr>
          <w:trHeight w:val="360" w:hRule="exact"/>
        </w:trPr>
        <w:tc>
          <w:tcPr>
            <w:tcW w:w="243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9"/>
              <w:ind w:left="542"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Times New Roman" w:hAnsi="Times New Roman" w:cs="Times New Roman" w:eastAsia="Times New Roman" w:hint="default"/>
                <w:sz w:val="18"/>
                <w:szCs w:val="18"/>
              </w:rPr>
            </w:pPr>
            <w:r>
              <w:rPr>
                <w:rFonts w:ascii="Times New Roman"/>
                <w:spacing w:val="-1"/>
                <w:sz w:val="18"/>
              </w:rPr>
              <w:t>77,605,352.01</w:t>
            </w:r>
          </w:p>
        </w:tc>
        <w:tc>
          <w:tcPr>
            <w:tcW w:w="2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7"/>
              <w:jc w:val="right"/>
              <w:rPr>
                <w:rFonts w:ascii="Times New Roman" w:hAnsi="Times New Roman" w:cs="Times New Roman" w:eastAsia="Times New Roman" w:hint="default"/>
                <w:sz w:val="18"/>
                <w:szCs w:val="18"/>
              </w:rPr>
            </w:pPr>
            <w:r>
              <w:rPr>
                <w:rFonts w:ascii="Times New Roman"/>
                <w:spacing w:val="-1"/>
                <w:sz w:val="18"/>
              </w:rPr>
              <w:t>26,095,400.00</w:t>
            </w:r>
          </w:p>
        </w:tc>
        <w:tc>
          <w:tcPr>
            <w:tcW w:w="229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9"/>
              <w:ind w:right="105"/>
              <w:jc w:val="right"/>
              <w:rPr>
                <w:rFonts w:ascii="Times New Roman" w:hAnsi="Times New Roman" w:cs="Times New Roman" w:eastAsia="Times New Roman" w:hint="default"/>
                <w:sz w:val="18"/>
                <w:szCs w:val="18"/>
              </w:rPr>
            </w:pPr>
            <w:r>
              <w:rPr>
                <w:rFonts w:ascii="Times New Roman"/>
                <w:spacing w:val="-1"/>
                <w:sz w:val="18"/>
              </w:rPr>
              <w:t>51,509,952.01</w:t>
            </w:r>
          </w:p>
        </w:tc>
      </w:tr>
      <w:tr>
        <w:trPr>
          <w:trHeight w:val="373" w:hRule="exact"/>
        </w:trPr>
        <w:tc>
          <w:tcPr>
            <w:tcW w:w="2436"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9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82"/>
              <w:ind w:right="96"/>
              <w:jc w:val="right"/>
              <w:rPr>
                <w:rFonts w:ascii="Times New Roman" w:hAnsi="Times New Roman" w:cs="Times New Roman" w:eastAsia="Times New Roman" w:hint="default"/>
                <w:sz w:val="18"/>
                <w:szCs w:val="18"/>
              </w:rPr>
            </w:pPr>
            <w:r>
              <w:rPr>
                <w:rFonts w:ascii="Times New Roman"/>
                <w:b/>
                <w:spacing w:val="-1"/>
                <w:sz w:val="18"/>
              </w:rPr>
              <w:t>418,720,690.46</w:t>
            </w:r>
            <w:r>
              <w:rPr>
                <w:rFonts w:ascii="Times New Roman"/>
                <w:spacing w:val="-1"/>
                <w:sz w:val="18"/>
              </w:rPr>
            </w:r>
          </w:p>
        </w:tc>
        <w:tc>
          <w:tcPr>
            <w:tcW w:w="2297"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b/>
                <w:spacing w:val="-1"/>
                <w:sz w:val="18"/>
              </w:rPr>
              <w:t>186,694,513.17</w:t>
            </w:r>
            <w:r>
              <w:rPr>
                <w:rFonts w:ascii="Times New Roman"/>
                <w:spacing w:val="-1"/>
                <w:sz w:val="18"/>
              </w:rPr>
            </w:r>
          </w:p>
        </w:tc>
        <w:tc>
          <w:tcPr>
            <w:tcW w:w="2292"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b/>
                <w:spacing w:val="-1"/>
                <w:sz w:val="18"/>
              </w:rPr>
              <w:t>232,026,177.29</w:t>
            </w:r>
            <w:r>
              <w:rPr>
                <w:rFonts w:ascii="Times New Roman"/>
                <w:spacing w:val="-1"/>
                <w:sz w:val="18"/>
              </w:rPr>
            </w:r>
          </w:p>
        </w:tc>
      </w:tr>
    </w:tbl>
    <w:p>
      <w:pPr>
        <w:pStyle w:val="BodyText"/>
        <w:spacing w:line="316" w:lineRule="auto" w:before="10"/>
        <w:ind w:left="1554" w:right="1116"/>
        <w:jc w:val="left"/>
      </w:pPr>
      <w:r>
        <w:rPr>
          <w:rFonts w:ascii="宋体" w:hAnsi="宋体" w:cs="宋体" w:eastAsia="宋体" w:hint="default"/>
        </w:rPr>
        <w:t>(1)</w:t>
      </w:r>
      <w:r>
        <w:rPr/>
        <w:t>西安掌控力商誉减值 </w:t>
      </w:r>
      <w:r>
        <w:rPr>
          <w:spacing w:val="-1"/>
        </w:rPr>
        <w:t>西安掌控力计划在</w:t>
      </w:r>
      <w:r>
        <w:rPr>
          <w:rFonts w:ascii="宋体" w:hAnsi="宋体" w:cs="宋体" w:eastAsia="宋体" w:hint="default"/>
          <w:spacing w:val="-1"/>
        </w:rPr>
        <w:t>2016</w:t>
      </w:r>
      <w:r>
        <w:rPr>
          <w:spacing w:val="-1"/>
        </w:rPr>
        <w:t>年注销，通过预测其未来</w:t>
      </w:r>
      <w:r>
        <w:rPr>
          <w:rFonts w:ascii="宋体" w:hAnsi="宋体" w:cs="宋体" w:eastAsia="宋体" w:hint="default"/>
          <w:spacing w:val="-1"/>
        </w:rPr>
        <w:t>5</w:t>
      </w:r>
      <w:r>
        <w:rPr>
          <w:spacing w:val="-1"/>
        </w:rPr>
        <w:t>年的净现金流量，以该净现金流量的现值作为未来可收回金额，对于</w:t>
      </w:r>
    </w:p>
    <w:p>
      <w:pPr>
        <w:pStyle w:val="BodyText"/>
        <w:spacing w:line="316" w:lineRule="auto" w:before="19"/>
        <w:ind w:left="1553" w:right="1153" w:hanging="420"/>
        <w:jc w:val="left"/>
      </w:pPr>
      <w:r>
        <w:rPr/>
        <w:t>可收回金额低于商誉账面价值的部分，计提减值准备。按照该方法，西安掌控力的商誉全额计提减值准备。 </w:t>
      </w:r>
      <w:r>
        <w:rPr>
          <w:rFonts w:ascii="宋体" w:hAnsi="宋体" w:cs="宋体" w:eastAsia="宋体" w:hint="default"/>
        </w:rPr>
        <w:t>(2)</w:t>
      </w:r>
      <w:r>
        <w:rPr/>
        <w:t>上海美峰商誉减值 北京中林资产评估有限公司根据企业的资产构成和主营业务特点，首先按受益途径采用现金流折现方法，估算企业的</w:t>
      </w:r>
    </w:p>
    <w:p>
      <w:pPr>
        <w:pStyle w:val="BodyText"/>
        <w:spacing w:line="316" w:lineRule="auto" w:before="19"/>
        <w:ind w:left="1134" w:right="0"/>
        <w:jc w:val="left"/>
      </w:pPr>
      <w:r>
        <w:rPr>
          <w:spacing w:val="-2"/>
        </w:rPr>
        <w:t>经营性资产的价值，再加上基准日的其他非经营性、溢余资产的价值得到企业的整体价值，最后由企业整体价值扣减付息债</w:t>
      </w:r>
      <w:r>
        <w:rPr>
          <w:spacing w:val="-66"/>
        </w:rPr>
        <w:t> </w:t>
      </w:r>
      <w:r>
        <w:rPr>
          <w:spacing w:val="-66"/>
        </w:rPr>
      </w:r>
      <w:r>
        <w:rPr/>
        <w:t>务价值后，得出企业的股东全部权益价值。</w:t>
      </w:r>
    </w:p>
    <w:p>
      <w:pPr>
        <w:pStyle w:val="BodyText"/>
        <w:spacing w:line="316" w:lineRule="auto" w:before="19"/>
        <w:ind w:right="1130" w:firstLine="420"/>
        <w:jc w:val="both"/>
      </w:pPr>
      <w:r>
        <w:rPr/>
        <w:t>经收益法评估，上海美峰股东全部权益价值的评估结果为</w:t>
      </w:r>
      <w:r>
        <w:rPr>
          <w:rFonts w:ascii="宋体" w:hAnsi="宋体" w:cs="宋体" w:eastAsia="宋体" w:hint="default"/>
        </w:rPr>
        <w:t>32,072.57</w:t>
      </w:r>
      <w:r>
        <w:rPr/>
        <w:t>万元，北京中林资产评估有限公司于</w:t>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25 </w:t>
      </w:r>
      <w:r>
        <w:rPr/>
        <w:t>日出具了编号为“中林评字</w:t>
      </w:r>
      <w:r>
        <w:rPr>
          <w:rFonts w:ascii="宋体" w:hAnsi="宋体" w:cs="宋体" w:eastAsia="宋体" w:hint="default"/>
        </w:rPr>
        <w:t>[2016]</w:t>
      </w:r>
      <w:r>
        <w:rPr>
          <w:rFonts w:ascii="宋体" w:hAnsi="宋体" w:cs="宋体" w:eastAsia="宋体" w:hint="default"/>
          <w:spacing w:val="-43"/>
        </w:rPr>
        <w:t> </w:t>
      </w:r>
      <w:r>
        <w:rPr>
          <w:rFonts w:ascii="宋体" w:hAnsi="宋体" w:cs="宋体" w:eastAsia="宋体" w:hint="default"/>
          <w:spacing w:val="-1"/>
        </w:rPr>
        <w:t>5</w:t>
      </w:r>
      <w:r>
        <w:rPr>
          <w:spacing w:val="-1"/>
        </w:rPr>
        <w:t>号”的评估报告。本公司董事会认为，基于上述评估，截至</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日对上海美峰</w:t>
      </w:r>
      <w:r>
        <w:rPr/>
        <w:t> 商誉计提</w:t>
      </w:r>
      <w:r>
        <w:rPr>
          <w:rFonts w:ascii="宋体" w:hAnsi="宋体" w:cs="宋体" w:eastAsia="宋体" w:hint="default"/>
        </w:rPr>
        <w:t>159,107,532.00</w:t>
      </w:r>
      <w:r>
        <w:rPr/>
        <w:t>元减值准备。</w:t>
      </w:r>
    </w:p>
    <w:p>
      <w:pPr>
        <w:pStyle w:val="BodyText"/>
        <w:spacing w:line="316" w:lineRule="auto" w:before="19"/>
        <w:ind w:left="1554" w:right="1152"/>
        <w:jc w:val="left"/>
      </w:pPr>
      <w:r>
        <w:rPr>
          <w:rFonts w:ascii="宋体" w:hAnsi="宋体" w:cs="宋体" w:eastAsia="宋体" w:hint="default"/>
        </w:rPr>
        <w:t>(3)</w:t>
      </w:r>
      <w:r>
        <w:rPr/>
        <w:t>深圳苏摩商誉减值 北京中林资产评估有限公司根据企业的资产构成和主营业务特点，首先按受益途径采用现金流折现方法，估算企业的</w:t>
      </w:r>
    </w:p>
    <w:p>
      <w:pPr>
        <w:pStyle w:val="BodyText"/>
        <w:spacing w:line="319" w:lineRule="auto" w:before="19"/>
        <w:ind w:left="1134" w:right="0"/>
        <w:jc w:val="left"/>
      </w:pPr>
      <w:r>
        <w:rPr>
          <w:spacing w:val="-2"/>
        </w:rPr>
        <w:t>经营性资产的价值，再加上基准日的其他非经营性、溢余资产的价值得到企业的整体价值，最后由企业整体价值扣减付息债</w:t>
      </w:r>
      <w:r>
        <w:rPr>
          <w:spacing w:val="-66"/>
        </w:rPr>
        <w:t> </w:t>
      </w:r>
      <w:r>
        <w:rPr>
          <w:spacing w:val="-66"/>
        </w:rPr>
      </w:r>
      <w:r>
        <w:rPr/>
        <w:t>务价值后，得出企业的股东全部权益价值。</w:t>
      </w:r>
    </w:p>
    <w:p>
      <w:pPr>
        <w:pStyle w:val="BodyText"/>
        <w:spacing w:line="316" w:lineRule="auto" w:before="17"/>
        <w:ind w:right="1139" w:firstLine="420"/>
        <w:jc w:val="both"/>
      </w:pPr>
      <w:r>
        <w:rPr/>
        <w:t>经收益法评估，深圳苏摩股东全部权益价值的评估结果为</w:t>
      </w:r>
      <w:r>
        <w:rPr>
          <w:rFonts w:ascii="宋体" w:hAnsi="宋体" w:cs="宋体" w:eastAsia="宋体" w:hint="default"/>
        </w:rPr>
        <w:t>12,155.24</w:t>
      </w:r>
      <w:r>
        <w:rPr/>
        <w:t>万元，北京中林资产评估有限公司于</w:t>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25 </w:t>
      </w:r>
      <w:r>
        <w:rPr/>
        <w:t>日出具了编号为“中林评字</w:t>
      </w:r>
      <w:r>
        <w:rPr>
          <w:rFonts w:ascii="宋体" w:hAnsi="宋体" w:cs="宋体" w:eastAsia="宋体" w:hint="default"/>
        </w:rPr>
        <w:t>[2016] 10</w:t>
      </w:r>
      <w:r>
        <w:rPr/>
        <w:t>号”的评估报告。本公司董事会认为，基于上述评估，截至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日对深圳苏 摩商誉计提</w:t>
      </w:r>
      <w:r>
        <w:rPr>
          <w:rFonts w:ascii="宋体" w:hAnsi="宋体" w:cs="宋体" w:eastAsia="宋体" w:hint="default"/>
        </w:rPr>
        <w:t>26,095,400.00</w:t>
      </w:r>
      <w:r>
        <w:rPr/>
        <w:t>元减值准备。</w:t>
      </w:r>
    </w:p>
    <w:p>
      <w:pPr>
        <w:spacing w:after="0" w:line="316" w:lineRule="auto"/>
        <w:jc w:val="both"/>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五、董事会、监事会、独立董事(如有)对会计师事务所本报告期“非标准审计报告”的说" w:id="67"/>
      <w:bookmarkEnd w:id="67"/>
      <w:r>
        <w:rPr>
          <w:b w:val="0"/>
          <w:bCs w:val="0"/>
        </w:rPr>
      </w:r>
      <w:r>
        <w:rPr/>
        <w:t>五、董事会、监事会、独立董事</w:t>
      </w:r>
      <w:r>
        <w:rPr>
          <w:rFonts w:ascii="Times New Roman" w:hAnsi="Times New Roman" w:cs="Times New Roman" w:eastAsia="Times New Roman" w:hint="default"/>
        </w:rPr>
        <w:t>(</w:t>
      </w:r>
      <w:r>
        <w:rPr/>
        <w:t>如有</w:t>
      </w:r>
      <w:r>
        <w:rPr>
          <w:rFonts w:ascii="Times New Roman" w:hAnsi="Times New Roman" w:cs="Times New Roman" w:eastAsia="Times New Roman" w:hint="default"/>
        </w:rPr>
        <w:t>)</w:t>
      </w:r>
      <w:r>
        <w:rPr/>
        <w:t>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六、董事会关于报告期会计政策、会计估计变更或重大会计差错更正的说明" w:id="68"/>
      <w:bookmarkEnd w:id="68"/>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七、与上年度财务报告相比，合并报表范围发生变化的情况说明" w:id="69"/>
      <w:bookmarkEnd w:id="69"/>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本期纳入合并财务报表范围的主体较上期相比，增加</w:t>
      </w:r>
      <w:r>
        <w:rPr>
          <w:rFonts w:ascii="Times New Roman" w:hAnsi="Times New Roman" w:cs="Times New Roman" w:eastAsia="Times New Roman" w:hint="default"/>
        </w:rPr>
        <w:t>1</w:t>
      </w:r>
      <w:r>
        <w:rPr/>
        <w:t>户，减少</w:t>
      </w:r>
      <w:r>
        <w:rPr>
          <w:rFonts w:ascii="Times New Roman" w:hAnsi="Times New Roman" w:cs="Times New Roman" w:eastAsia="Times New Roman" w:hint="default"/>
        </w:rPr>
        <w:t>2</w:t>
      </w:r>
      <w:r>
        <w:rPr/>
        <w:t>户，其中：</w:t>
      </w:r>
    </w:p>
    <w:p>
      <w:pPr>
        <w:pStyle w:val="BodyText"/>
        <w:spacing w:line="230" w:lineRule="exact"/>
        <w:ind w:right="0"/>
        <w:jc w:val="left"/>
      </w:pPr>
      <w:r>
        <w:rPr>
          <w:rFonts w:ascii="Times New Roman" w:hAnsi="Times New Roman" w:cs="Times New Roman" w:eastAsia="Times New Roman" w:hint="default"/>
        </w:rPr>
        <w:t>1</w:t>
      </w:r>
      <w:r>
        <w:rPr/>
        <w:t>、本期新纳入合并范围的子公司：新设立控股子公司深圳市五秒传媒技术有限公司</w:t>
      </w:r>
      <w:r>
        <w:rPr>
          <w:rFonts w:ascii="宋体" w:hAnsi="宋体" w:cs="宋体" w:eastAsia="宋体" w:hint="default"/>
        </w:rPr>
        <w:t>(</w:t>
      </w:r>
      <w:r>
        <w:rPr/>
        <w:t>以下简称</w:t>
      </w:r>
      <w:r>
        <w:rPr>
          <w:rFonts w:ascii="Times New Roman" w:hAnsi="Times New Roman" w:cs="Times New Roman" w:eastAsia="Times New Roman" w:hint="default"/>
        </w:rPr>
        <w:t>“</w:t>
      </w:r>
      <w:r>
        <w:rPr/>
        <w:t>深圳五秒</w:t>
      </w:r>
      <w:r>
        <w:rPr>
          <w:rFonts w:ascii="Times New Roman" w:hAnsi="Times New Roman" w:cs="Times New Roman" w:eastAsia="Times New Roman" w:hint="default"/>
        </w:rPr>
        <w:t>”</w:t>
      </w:r>
      <w:r>
        <w:rPr>
          <w:rFonts w:ascii="宋体" w:hAnsi="宋体" w:cs="宋体" w:eastAsia="宋体" w:hint="default"/>
        </w:rPr>
        <w:t>)</w:t>
      </w:r>
      <w:r>
        <w:rPr/>
        <w:t>。</w:t>
      </w:r>
    </w:p>
    <w:p>
      <w:pPr>
        <w:pStyle w:val="BodyText"/>
        <w:spacing w:line="300" w:lineRule="auto" w:before="63"/>
        <w:ind w:right="1143"/>
        <w:jc w:val="left"/>
      </w:pPr>
      <w:r>
        <w:rPr>
          <w:rFonts w:ascii="Times New Roman" w:hAnsi="Times New Roman" w:cs="Times New Roman" w:eastAsia="Times New Roman" w:hint="default"/>
        </w:rPr>
        <w:t>2</w:t>
      </w:r>
      <w:r>
        <w:rPr/>
        <w:t>、本期不再纳入合并范围的子公司：注销控股子公司北京幻龙互动科技有限公司</w:t>
      </w:r>
      <w:r>
        <w:rPr>
          <w:rFonts w:ascii="宋体" w:hAnsi="宋体" w:cs="宋体" w:eastAsia="宋体" w:hint="default"/>
        </w:rPr>
        <w:t>(</w:t>
      </w:r>
      <w:r>
        <w:rPr/>
        <w:t>以下简称</w:t>
      </w:r>
      <w:r>
        <w:rPr>
          <w:rFonts w:ascii="Times New Roman" w:hAnsi="Times New Roman" w:cs="Times New Roman" w:eastAsia="Times New Roman" w:hint="default"/>
        </w:rPr>
        <w:t>“</w:t>
      </w:r>
      <w:r>
        <w:rPr/>
        <w:t>北京幻龙</w:t>
      </w:r>
      <w:r>
        <w:rPr>
          <w:rFonts w:ascii="Times New Roman" w:hAnsi="Times New Roman" w:cs="Times New Roman" w:eastAsia="Times New Roman" w:hint="default"/>
        </w:rPr>
        <w:t>”</w:t>
      </w:r>
      <w:r>
        <w:rPr>
          <w:rFonts w:ascii="宋体" w:hAnsi="宋体" w:cs="宋体" w:eastAsia="宋体" w:hint="default"/>
        </w:rPr>
        <w:t>)</w:t>
      </w:r>
      <w:r>
        <w:rPr/>
        <w:t>，注销控股孙公司 成都市米斗科技有限公司</w:t>
      </w:r>
      <w:r>
        <w:rPr>
          <w:rFonts w:ascii="宋体" w:hAnsi="宋体" w:cs="宋体" w:eastAsia="宋体" w:hint="default"/>
        </w:rPr>
        <w:t>(</w:t>
      </w:r>
      <w:r>
        <w:rPr/>
        <w:t>以下简称</w:t>
      </w:r>
      <w:r>
        <w:rPr>
          <w:rFonts w:ascii="Times New Roman" w:hAnsi="Times New Roman" w:cs="Times New Roman" w:eastAsia="Times New Roman" w:hint="default"/>
        </w:rPr>
        <w:t>“</w:t>
      </w:r>
      <w:r>
        <w:rPr/>
        <w:t>成都米斗</w:t>
      </w:r>
      <w:r>
        <w:rPr>
          <w:rFonts w:ascii="Times New Roman" w:hAnsi="Times New Roman" w:cs="Times New Roman" w:eastAsia="Times New Roman" w:hint="default"/>
        </w:rPr>
        <w:t>”</w:t>
      </w:r>
      <w:r>
        <w:rPr>
          <w:rFonts w:ascii="宋体" w:hAnsi="宋体" w:cs="宋体" w:eastAsia="宋体" w:hint="default"/>
        </w:rPr>
        <w:t>)</w:t>
      </w:r>
      <w:r>
        <w:rPr/>
        <w:t>。</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八、聘任、解聘会计师事务所情况" w:id="70"/>
      <w:bookmarkEnd w:id="70"/>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境内会计师事务所报酬</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郭晋龙、邱乐群</w:t>
            </w:r>
          </w:p>
        </w:tc>
      </w:tr>
    </w:tbl>
    <w:p>
      <w:pPr>
        <w:pStyle w:val="BodyText"/>
        <w:spacing w:line="240" w:lineRule="auto" w:before="51"/>
        <w:ind w:left="1134" w:right="0"/>
        <w:jc w:val="left"/>
      </w:pPr>
      <w:r>
        <w:rPr/>
        <w:t>是否改聘会计师事务所</w:t>
      </w:r>
    </w:p>
    <w:p>
      <w:pPr>
        <w:pStyle w:val="BodyText"/>
        <w:spacing w:line="338" w:lineRule="auto" w:before="117"/>
        <w:ind w:right="80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是否在审计期间改聘会计师事务所</w:t>
      </w:r>
    </w:p>
    <w:p>
      <w:pPr>
        <w:pStyle w:val="BodyText"/>
        <w:spacing w:line="338" w:lineRule="auto" w:before="43"/>
        <w:ind w:right="78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更换会计师事务所是否履行审批程序</w:t>
      </w:r>
    </w:p>
    <w:p>
      <w:pPr>
        <w:pStyle w:val="BodyText"/>
        <w:spacing w:line="340" w:lineRule="auto" w:before="42"/>
        <w:ind w:right="80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聘任、解聘会计师事务所情况说明</w:t>
      </w:r>
    </w:p>
    <w:p>
      <w:pPr>
        <w:pStyle w:val="BodyText"/>
        <w:spacing w:line="300" w:lineRule="auto" w:before="39"/>
        <w:ind w:right="0" w:firstLine="420"/>
        <w:jc w:val="left"/>
      </w:pP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日召开了</w:t>
      </w:r>
      <w:r>
        <w:rPr>
          <w:rFonts w:ascii="Times New Roman" w:hAnsi="Times New Roman" w:cs="Times New Roman" w:eastAsia="Times New Roman" w:hint="default"/>
        </w:rPr>
        <w:t>2014</w:t>
      </w:r>
      <w:r>
        <w:rPr/>
        <w:t>年年度股东大会，审议通过了《关于续聘</w:t>
      </w:r>
      <w:r>
        <w:rPr>
          <w:rFonts w:ascii="Times New Roman" w:hAnsi="Times New Roman" w:cs="Times New Roman" w:eastAsia="Times New Roman" w:hint="default"/>
        </w:rPr>
        <w:t>2015</w:t>
      </w:r>
      <w:r>
        <w:rPr/>
        <w:t>年度财务审计机构的议案》，同意续聘 </w:t>
      </w:r>
      <w:r>
        <w:rPr>
          <w:spacing w:val="-2"/>
        </w:rPr>
        <w:t>大华会计师事务所</w:t>
      </w:r>
      <w:r>
        <w:rPr>
          <w:rFonts w:ascii="宋体" w:hAnsi="宋体" w:cs="宋体" w:eastAsia="宋体" w:hint="default"/>
          <w:spacing w:val="-2"/>
        </w:rPr>
        <w:t>(</w:t>
      </w:r>
      <w:r>
        <w:rPr>
          <w:spacing w:val="-2"/>
        </w:rPr>
        <w:t>普通特殊合伙</w:t>
      </w:r>
      <w:r>
        <w:rPr>
          <w:rFonts w:ascii="宋体" w:hAnsi="宋体" w:cs="宋体" w:eastAsia="宋体" w:hint="default"/>
          <w:spacing w:val="-2"/>
        </w:rPr>
        <w:t>)</w:t>
      </w:r>
      <w:r>
        <w:rPr>
          <w:spacing w:val="-2"/>
        </w:rPr>
        <w:t>为公司</w:t>
      </w:r>
      <w:r>
        <w:rPr>
          <w:rFonts w:ascii="Times New Roman" w:hAnsi="Times New Roman" w:cs="Times New Roman" w:eastAsia="Times New Roman" w:hint="default"/>
          <w:spacing w:val="-2"/>
        </w:rPr>
        <w:t>2015</w:t>
      </w:r>
      <w:r>
        <w:rPr>
          <w:spacing w:val="-2"/>
        </w:rPr>
        <w:t>年度财务审计机构。公司于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10</w:t>
      </w:r>
      <w:r>
        <w:rPr>
          <w:spacing w:val="-2"/>
        </w:rPr>
        <w:t>日召开了</w:t>
      </w:r>
      <w:r>
        <w:rPr>
          <w:rFonts w:ascii="Times New Roman" w:hAnsi="Times New Roman" w:cs="Times New Roman" w:eastAsia="Times New Roman" w:hint="default"/>
          <w:spacing w:val="-2"/>
        </w:rPr>
        <w:t>2015</w:t>
      </w:r>
      <w:r>
        <w:rPr>
          <w:spacing w:val="-2"/>
        </w:rPr>
        <w:t>年第一次临时股东大会，</w:t>
      </w:r>
      <w:r>
        <w:rPr>
          <w:spacing w:val="-44"/>
        </w:rPr>
        <w:t> </w:t>
      </w:r>
      <w:r>
        <w:rPr/>
        <w:t>审议通过了《关于改聘年审会计师事务所的议案》，改聘北京兴华会计师事务所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北京兴华</w:t>
      </w:r>
      <w:r>
        <w:rPr>
          <w:rFonts w:ascii="Times New Roman" w:hAnsi="Times New Roman" w:cs="Times New Roman" w:eastAsia="Times New Roman" w:hint="default"/>
        </w:rPr>
        <w:t>”)</w:t>
      </w:r>
      <w:r>
        <w:rPr/>
        <w:t>为公 司</w:t>
      </w:r>
      <w:r>
        <w:rPr>
          <w:rFonts w:ascii="Times New Roman" w:hAnsi="Times New Roman" w:cs="Times New Roman" w:eastAsia="Times New Roman" w:hint="default"/>
        </w:rPr>
        <w:t>2015</w:t>
      </w:r>
      <w:r>
        <w:rPr/>
        <w:t>年度财务审计机构。北京兴华因业务繁忙及人员安排方面的原因，不能承担公司</w:t>
      </w:r>
      <w:r>
        <w:rPr>
          <w:rFonts w:ascii="Times New Roman" w:hAnsi="Times New Roman" w:cs="Times New Roman" w:eastAsia="Times New Roman" w:hint="default"/>
        </w:rPr>
        <w:t>2015</w:t>
      </w:r>
      <w:r>
        <w:rPr/>
        <w:t>年度财务审计工作，公司于</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08</w:t>
      </w:r>
      <w:r>
        <w:rPr/>
        <w:t>日召开</w:t>
      </w:r>
      <w:r>
        <w:rPr>
          <w:rFonts w:ascii="Times New Roman" w:hAnsi="Times New Roman" w:cs="Times New Roman" w:eastAsia="Times New Roman" w:hint="default"/>
        </w:rPr>
        <w:t>2015</w:t>
      </w:r>
      <w:r>
        <w:rPr/>
        <w:t>年第二次临时股东大会，审议通过了《关于改聘年审会计师事务所的议案》，改聘信永中和会计师事务 所</w:t>
      </w:r>
      <w:r>
        <w:rPr>
          <w:rFonts w:ascii="宋体" w:hAnsi="宋体" w:cs="宋体" w:eastAsia="宋体" w:hint="default"/>
        </w:rPr>
        <w:t>(</w:t>
      </w:r>
      <w:r>
        <w:rPr/>
        <w:t>特殊普通合伙</w:t>
      </w:r>
      <w:r>
        <w:rPr>
          <w:rFonts w:ascii="宋体" w:hAnsi="宋体" w:cs="宋体" w:eastAsia="宋体" w:hint="default"/>
        </w:rPr>
        <w:t>)</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信永中和</w:t>
      </w:r>
      <w:r>
        <w:rPr>
          <w:rFonts w:ascii="Times New Roman" w:hAnsi="Times New Roman" w:cs="Times New Roman" w:eastAsia="Times New Roman" w:hint="default"/>
        </w:rPr>
        <w:t>”)</w:t>
      </w:r>
      <w:r>
        <w:rPr/>
        <w:t>为公司</w:t>
      </w:r>
      <w:r>
        <w:rPr>
          <w:rFonts w:ascii="Times New Roman" w:hAnsi="Times New Roman" w:cs="Times New Roman" w:eastAsia="Times New Roman" w:hint="default"/>
        </w:rPr>
        <w:t>2015</w:t>
      </w:r>
      <w:r>
        <w:rPr/>
        <w:t>年度财务审计机构。</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BodyText"/>
        <w:spacing w:line="240" w:lineRule="auto"/>
        <w:ind w:left="1134" w:right="0"/>
        <w:jc w:val="left"/>
      </w:pPr>
      <w:r>
        <w:rPr/>
        <w:t>聘请内部控制审计会计师事务所、财务顾问或保荐人情况</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九、年度报告披露后面临暂停上市和终止上市情况" w:id="71"/>
      <w:bookmarkEnd w:id="71"/>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十、破产重整相关事项" w:id="72"/>
      <w:bookmarkEnd w:id="72"/>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十一、重大诉讼、仲裁事项" w:id="73"/>
      <w:bookmarkEnd w:id="73"/>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bookmarkStart w:name="十二、处罚及整改情况" w:id="74"/>
      <w:bookmarkEnd w:id="74"/>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十三、公司及其控股股东、实际控制人的诚信状况" w:id="75"/>
      <w:bookmarkEnd w:id="75"/>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3"/>
        <w:spacing w:line="240" w:lineRule="auto"/>
        <w:ind w:right="0"/>
        <w:jc w:val="left"/>
        <w:rPr>
          <w:b w:val="0"/>
          <w:bCs w:val="0"/>
        </w:rPr>
      </w:pPr>
      <w:bookmarkStart w:name="十四、公司股权激励计划、员工持股计划或其他员工激励措施的实施情况" w:id="76"/>
      <w:bookmarkEnd w:id="76"/>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9" w:lineRule="auto" w:before="102"/>
        <w:ind w:right="1133" w:firstLine="420"/>
        <w:jc w:val="both"/>
      </w:pP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日的第三届董事会第十四次</w:t>
      </w:r>
      <w:r>
        <w:rPr>
          <w:rFonts w:ascii="宋体" w:hAnsi="宋体" w:cs="宋体" w:eastAsia="宋体" w:hint="default"/>
        </w:rPr>
        <w:t>(</w:t>
      </w:r>
      <w:r>
        <w:rPr/>
        <w:t>临时</w:t>
      </w:r>
      <w:r>
        <w:rPr>
          <w:rFonts w:ascii="宋体" w:hAnsi="宋体" w:cs="宋体" w:eastAsia="宋体" w:hint="default"/>
        </w:rPr>
        <w:t>)</w:t>
      </w:r>
      <w:r>
        <w:rPr/>
        <w:t>会议及第三届监事会第九次</w:t>
      </w:r>
      <w:r>
        <w:rPr>
          <w:rFonts w:ascii="宋体" w:hAnsi="宋体" w:cs="宋体" w:eastAsia="宋体" w:hint="default"/>
        </w:rPr>
        <w:t>(</w:t>
      </w:r>
      <w:r>
        <w:rPr/>
        <w:t>临时</w:t>
      </w:r>
      <w:r>
        <w:rPr>
          <w:rFonts w:ascii="宋体" w:hAnsi="宋体" w:cs="宋体" w:eastAsia="宋体" w:hint="default"/>
        </w:rPr>
        <w:t>)</w:t>
      </w:r>
      <w:r>
        <w:rPr/>
        <w:t>会议审议通过了《关于调整股票 </w:t>
      </w:r>
      <w:r>
        <w:rPr>
          <w:spacing w:val="-2"/>
        </w:rPr>
        <w:t>期权激励计划中行权价格及注销部分已获授但未行权股票期权的议案》，公司独立董事对上述议案发表了独立意见，北京市</w:t>
      </w:r>
      <w:r>
        <w:rPr>
          <w:spacing w:val="-66"/>
        </w:rPr>
        <w:t> </w:t>
      </w:r>
      <w:r>
        <w:rPr>
          <w:spacing w:val="-66"/>
        </w:rPr>
      </w:r>
      <w:r>
        <w:rPr/>
        <w:t>中伦</w:t>
      </w:r>
      <w:r>
        <w:rPr>
          <w:rFonts w:ascii="宋体" w:hAnsi="宋体" w:cs="宋体" w:eastAsia="宋体" w:hint="default"/>
        </w:rPr>
        <w:t>(</w:t>
      </w:r>
      <w:r>
        <w:rPr/>
        <w:t>深圳</w:t>
      </w:r>
      <w:r>
        <w:rPr>
          <w:rFonts w:ascii="宋体" w:hAnsi="宋体" w:cs="宋体" w:eastAsia="宋体" w:hint="default"/>
        </w:rPr>
        <w:t>)</w:t>
      </w:r>
      <w:r>
        <w:rPr/>
        <w:t>律师事务所对公司上述事宜发表了意见。公司于 </w:t>
      </w:r>
      <w:r>
        <w:rPr>
          <w:rFonts w:ascii="Times New Roman" w:hAnsi="Times New Roman" w:cs="Times New Roman" w:eastAsia="Times New Roman" w:hint="default"/>
        </w:rPr>
        <w:t>2014</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29 </w:t>
      </w:r>
      <w:r>
        <w:rPr/>
        <w:t>日完成实施了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年度利润分配方案，向全</w:t>
      </w:r>
    </w:p>
    <w:p>
      <w:pPr>
        <w:pStyle w:val="BodyText"/>
        <w:spacing w:line="240" w:lineRule="auto" w:before="5"/>
        <w:ind w:right="0"/>
        <w:jc w:val="left"/>
      </w:pPr>
      <w:r>
        <w:rPr/>
        <w:t>体股东每 </w:t>
      </w:r>
      <w:r>
        <w:rPr>
          <w:rFonts w:ascii="Times New Roman" w:hAnsi="Times New Roman" w:cs="Times New Roman" w:eastAsia="Times New Roman" w:hint="default"/>
        </w:rPr>
        <w:t>10 </w:t>
      </w:r>
      <w:r>
        <w:rPr/>
        <w:t>股派发现金红利 </w:t>
      </w:r>
      <w:r>
        <w:rPr>
          <w:rFonts w:ascii="Times New Roman" w:hAnsi="Times New Roman" w:cs="Times New Roman" w:eastAsia="Times New Roman" w:hint="default"/>
        </w:rPr>
        <w:t>0.20</w:t>
      </w:r>
      <w:r>
        <w:rPr>
          <w:rFonts w:ascii="Times New Roman" w:hAnsi="Times New Roman" w:cs="Times New Roman" w:eastAsia="Times New Roman" w:hint="default"/>
          <w:spacing w:val="15"/>
        </w:rPr>
        <w:t> </w:t>
      </w:r>
      <w:r>
        <w:rPr/>
        <w:t>元</w:t>
      </w:r>
      <w:r>
        <w:rPr>
          <w:rFonts w:ascii="宋体" w:hAnsi="宋体" w:cs="宋体" w:eastAsia="宋体" w:hint="default"/>
        </w:rPr>
        <w:t>(</w:t>
      </w:r>
      <w:r>
        <w:rPr/>
        <w:t>含税</w:t>
      </w:r>
      <w:r>
        <w:rPr>
          <w:rFonts w:ascii="宋体" w:hAnsi="宋体" w:cs="宋体" w:eastAsia="宋体" w:hint="default"/>
        </w:rPr>
        <w:t>)</w:t>
      </w:r>
      <w:r>
        <w:rPr/>
        <w:t>。基于此，公司董事会根据公司《股票期权激励计划》的有关规定以及公司股</w:t>
      </w:r>
    </w:p>
    <w:p>
      <w:pPr>
        <w:pStyle w:val="BodyText"/>
        <w:spacing w:line="240" w:lineRule="auto" w:before="63"/>
        <w:ind w:left="1134" w:right="0"/>
        <w:jc w:val="left"/>
      </w:pPr>
      <w:r>
        <w:rPr>
          <w:spacing w:val="-3"/>
        </w:rPr>
        <w:t>东大会的授权，对授予的股票期权激励计划的行权价格进行调整：首次授予的股票期权行权价格由 </w:t>
      </w:r>
      <w:r>
        <w:rPr>
          <w:rFonts w:ascii="Times New Roman" w:hAnsi="Times New Roman" w:cs="Times New Roman" w:eastAsia="Times New Roman" w:hint="default"/>
        </w:rPr>
        <w:t>6.56  </w:t>
      </w:r>
      <w:r>
        <w:rPr/>
        <w:t>元调整为 </w:t>
      </w:r>
      <w:r>
        <w:rPr>
          <w:rFonts w:ascii="Times New Roman" w:hAnsi="Times New Roman" w:cs="Times New Roman" w:eastAsia="Times New Roman" w:hint="default"/>
        </w:rPr>
        <w:t>6.54</w:t>
      </w:r>
      <w:r>
        <w:rPr>
          <w:rFonts w:ascii="Times New Roman" w:hAnsi="Times New Roman" w:cs="Times New Roman" w:eastAsia="Times New Roman" w:hint="default"/>
          <w:spacing w:val="3"/>
        </w:rPr>
        <w:t> </w:t>
      </w:r>
      <w:r>
        <w:rPr/>
        <w:t>元；</w:t>
      </w:r>
    </w:p>
    <w:p>
      <w:pPr>
        <w:pStyle w:val="BodyText"/>
        <w:spacing w:line="240" w:lineRule="auto" w:before="63"/>
        <w:ind w:right="0"/>
        <w:jc w:val="left"/>
      </w:pPr>
      <w:r>
        <w:rPr/>
        <w:t>预留授予的股票期权行权价格由 </w:t>
      </w:r>
      <w:r>
        <w:rPr>
          <w:rFonts w:ascii="Times New Roman" w:hAnsi="Times New Roman" w:cs="Times New Roman" w:eastAsia="Times New Roman" w:hint="default"/>
        </w:rPr>
        <w:t>42.22 </w:t>
      </w:r>
      <w:r>
        <w:rPr/>
        <w:t>元调整为 </w:t>
      </w:r>
      <w:r>
        <w:rPr>
          <w:rFonts w:ascii="Times New Roman" w:hAnsi="Times New Roman" w:cs="Times New Roman" w:eastAsia="Times New Roman" w:hint="default"/>
        </w:rPr>
        <w:t>42.20</w:t>
      </w:r>
      <w:r>
        <w:rPr>
          <w:rFonts w:ascii="Times New Roman" w:hAnsi="Times New Roman" w:cs="Times New Roman" w:eastAsia="Times New Roman" w:hint="default"/>
          <w:spacing w:val="16"/>
        </w:rPr>
        <w:t> </w:t>
      </w:r>
      <w:r>
        <w:rPr/>
        <w:t>元。</w:t>
      </w:r>
    </w:p>
    <w:p>
      <w:pPr>
        <w:pStyle w:val="BodyText"/>
        <w:spacing w:line="312" w:lineRule="auto" w:before="63"/>
        <w:ind w:right="1131" w:firstLine="420"/>
        <w:jc w:val="both"/>
      </w:pP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日召开的第三届董事会第十四次</w:t>
      </w:r>
      <w:r>
        <w:rPr>
          <w:rFonts w:ascii="宋体" w:hAnsi="宋体" w:cs="宋体" w:eastAsia="宋体" w:hint="default"/>
        </w:rPr>
        <w:t>(</w:t>
      </w:r>
      <w:r>
        <w:rPr/>
        <w:t>临时</w:t>
      </w:r>
      <w:r>
        <w:rPr>
          <w:rFonts w:ascii="宋体" w:hAnsi="宋体" w:cs="宋体" w:eastAsia="宋体" w:hint="default"/>
        </w:rPr>
        <w:t>)</w:t>
      </w:r>
      <w:r>
        <w:rPr/>
        <w:t>会议及第三届监事会第九次</w:t>
      </w:r>
      <w:r>
        <w:rPr>
          <w:rFonts w:ascii="宋体" w:hAnsi="宋体" w:cs="宋体" w:eastAsia="宋体" w:hint="default"/>
        </w:rPr>
        <w:t>(</w:t>
      </w:r>
      <w:r>
        <w:rPr/>
        <w:t>临时</w:t>
      </w:r>
      <w:r>
        <w:rPr>
          <w:rFonts w:ascii="宋体" w:hAnsi="宋体" w:cs="宋体" w:eastAsia="宋体" w:hint="default"/>
        </w:rPr>
        <w:t>)</w:t>
      </w:r>
      <w:r>
        <w:rPr/>
        <w:t>会议审议通过了《关于调整 </w:t>
      </w:r>
      <w:r>
        <w:rPr>
          <w:spacing w:val="-2"/>
        </w:rPr>
        <w:t>股票期权激励计划中行权价格及注销部分已获授但未行权股票期权的议案》，公司独立董事对上述议案发表了独立意见，北</w:t>
      </w:r>
      <w:r>
        <w:rPr>
          <w:spacing w:val="-66"/>
        </w:rPr>
        <w:t> </w:t>
      </w:r>
      <w:r>
        <w:rPr>
          <w:spacing w:val="-66"/>
        </w:rPr>
      </w:r>
      <w:r>
        <w:rPr>
          <w:spacing w:val="-2"/>
        </w:rPr>
        <w:t>京市中伦</w:t>
      </w:r>
      <w:r>
        <w:rPr>
          <w:rFonts w:ascii="宋体" w:hAnsi="宋体" w:cs="宋体" w:eastAsia="宋体" w:hint="default"/>
          <w:spacing w:val="-2"/>
        </w:rPr>
        <w:t>(</w:t>
      </w:r>
      <w:r>
        <w:rPr>
          <w:spacing w:val="-2"/>
        </w:rPr>
        <w:t>深圳</w:t>
      </w:r>
      <w:r>
        <w:rPr>
          <w:rFonts w:ascii="宋体" w:hAnsi="宋体" w:cs="宋体" w:eastAsia="宋体" w:hint="default"/>
          <w:spacing w:val="-2"/>
        </w:rPr>
        <w:t>)</w:t>
      </w:r>
      <w:r>
        <w:rPr>
          <w:spacing w:val="-2"/>
        </w:rPr>
        <w:t>律师事务所对公司上述事宜发表了意见。鉴于公司股票期权激励计划首次授予激励对象中的范振兴先生、龚</w:t>
      </w:r>
      <w:r>
        <w:rPr>
          <w:spacing w:val="-62"/>
        </w:rPr>
        <w:t> </w:t>
      </w:r>
      <w:r>
        <w:rPr>
          <w:spacing w:val="-62"/>
        </w:rPr>
      </w:r>
      <w:r>
        <w:rPr/>
        <w:t>晓剑先生及张艳女士等共 </w:t>
      </w:r>
      <w:r>
        <w:rPr>
          <w:rFonts w:ascii="Times New Roman" w:hAnsi="Times New Roman" w:cs="Times New Roman" w:eastAsia="Times New Roman" w:hint="default"/>
        </w:rPr>
        <w:t>42 </w:t>
      </w:r>
      <w:r>
        <w:rPr/>
        <w:t>人，预留授予激励对象中的王凯先生、杨冏先生及戚海金先生共 </w:t>
      </w:r>
      <w:r>
        <w:rPr>
          <w:rFonts w:ascii="Times New Roman" w:hAnsi="Times New Roman" w:cs="Times New Roman" w:eastAsia="Times New Roman" w:hint="default"/>
        </w:rPr>
        <w:t>3 </w:t>
      </w:r>
      <w:r>
        <w:rPr>
          <w:spacing w:val="-6"/>
        </w:rPr>
        <w:t>人，合计 </w:t>
      </w:r>
      <w:r>
        <w:rPr>
          <w:rFonts w:ascii="Times New Roman" w:hAnsi="Times New Roman" w:cs="Times New Roman" w:eastAsia="Times New Roman" w:hint="default"/>
        </w:rPr>
        <w:t>45</w:t>
      </w:r>
      <w:r>
        <w:rPr>
          <w:rFonts w:ascii="Times New Roman" w:hAnsi="Times New Roman" w:cs="Times New Roman" w:eastAsia="Times New Roman" w:hint="default"/>
          <w:spacing w:val="-11"/>
        </w:rPr>
        <w:t> </w:t>
      </w:r>
      <w:r>
        <w:rPr/>
        <w:t>人因个人原因</w:t>
      </w:r>
    </w:p>
    <w:p>
      <w:pPr>
        <w:pStyle w:val="BodyText"/>
        <w:spacing w:line="307" w:lineRule="auto" w:before="3"/>
        <w:ind w:right="1118"/>
        <w:jc w:val="left"/>
      </w:pPr>
      <w:r>
        <w:rPr/>
        <w:t>离职自愿放弃获授但未行权的 </w:t>
      </w:r>
      <w:r>
        <w:rPr>
          <w:rFonts w:ascii="Times New Roman" w:hAnsi="Times New Roman" w:cs="Times New Roman" w:eastAsia="Times New Roman" w:hint="default"/>
        </w:rPr>
        <w:t>311.5</w:t>
      </w:r>
      <w:r>
        <w:rPr>
          <w:rFonts w:ascii="Times New Roman" w:hAnsi="Times New Roman" w:cs="Times New Roman" w:eastAsia="Times New Roman" w:hint="default"/>
          <w:spacing w:val="8"/>
        </w:rPr>
        <w:t> </w:t>
      </w:r>
      <w:r>
        <w:rPr/>
        <w:t>万份股票期权。根据公司《股票期权激励计划》的有关规定，上述人员已不具备股票 </w:t>
      </w:r>
      <w:r>
        <w:rPr>
          <w:spacing w:val="-2"/>
        </w:rPr>
        <w:t>期权激励计划的激励对象资格。公司董事会根据相关规定以及公司股东大会的授权，对上述获授但未行权的股票期权进行注</w:t>
      </w:r>
      <w:r>
        <w:rPr>
          <w:spacing w:val="-64"/>
        </w:rPr>
        <w:t> </w:t>
      </w:r>
      <w:r>
        <w:rPr>
          <w:spacing w:val="-64"/>
        </w:rPr>
      </w:r>
      <w:r>
        <w:rPr/>
        <w:t>销。</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13 </w:t>
      </w:r>
      <w:r>
        <w:rPr/>
        <w:t>日，经中国证券登记结算有限责任公司深圳分公司审核确认，上述 </w:t>
      </w:r>
      <w:r>
        <w:rPr>
          <w:rFonts w:ascii="Times New Roman" w:hAnsi="Times New Roman" w:cs="Times New Roman" w:eastAsia="Times New Roman" w:hint="default"/>
        </w:rPr>
        <w:t>311.5</w:t>
      </w:r>
      <w:r>
        <w:rPr>
          <w:rFonts w:ascii="Times New Roman" w:hAnsi="Times New Roman" w:cs="Times New Roman" w:eastAsia="Times New Roman" w:hint="default"/>
          <w:spacing w:val="2"/>
        </w:rPr>
        <w:t> </w:t>
      </w:r>
      <w:r>
        <w:rPr/>
        <w:t>万份预留股票期权已完成了 注销工作。</w:t>
      </w:r>
    </w:p>
    <w:p>
      <w:pPr>
        <w:pStyle w:val="BodyText"/>
        <w:spacing w:line="312" w:lineRule="auto" w:before="26"/>
        <w:ind w:right="1033" w:firstLine="420"/>
        <w:jc w:val="left"/>
      </w:pP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日召开的第三届董事会第十八次</w:t>
      </w:r>
      <w:r>
        <w:rPr>
          <w:rFonts w:ascii="宋体" w:hAnsi="宋体" w:cs="宋体" w:eastAsia="宋体" w:hint="default"/>
        </w:rPr>
        <w:t>(</w:t>
      </w:r>
      <w:r>
        <w:rPr/>
        <w:t>临时</w:t>
      </w:r>
      <w:r>
        <w:rPr>
          <w:rFonts w:ascii="宋体" w:hAnsi="宋体" w:cs="宋体" w:eastAsia="宋体" w:hint="default"/>
        </w:rPr>
        <w:t>)</w:t>
      </w:r>
      <w:r>
        <w:rPr/>
        <w:t>会议及第三届监事会第十二次</w:t>
      </w:r>
      <w:r>
        <w:rPr>
          <w:rFonts w:ascii="宋体" w:hAnsi="宋体" w:cs="宋体" w:eastAsia="宋体" w:hint="default"/>
        </w:rPr>
        <w:t>(</w:t>
      </w:r>
      <w:r>
        <w:rPr/>
        <w:t>临时</w:t>
      </w:r>
      <w:r>
        <w:rPr>
          <w:rFonts w:ascii="宋体" w:hAnsi="宋体" w:cs="宋体" w:eastAsia="宋体" w:hint="default"/>
        </w:rPr>
        <w:t>)</w:t>
      </w:r>
      <w:r>
        <w:rPr/>
        <w:t>会议审议通过了《关于 </w:t>
      </w:r>
      <w:r>
        <w:rPr>
          <w:spacing w:val="-4"/>
        </w:rPr>
        <w:t>调整股票期权激励计划中激励对象及注销部分已获授但未行权股票期权的议案》，公司独立董事对上述议案发表了独立意见，</w:t>
      </w:r>
      <w:r>
        <w:rPr>
          <w:spacing w:val="-43"/>
        </w:rPr>
        <w:t> </w:t>
      </w:r>
      <w:r>
        <w:rPr>
          <w:spacing w:val="-43"/>
        </w:rPr>
      </w:r>
      <w:r>
        <w:rPr/>
        <w:t>北京市中伦</w:t>
      </w:r>
      <w:r>
        <w:rPr>
          <w:rFonts w:ascii="宋体" w:hAnsi="宋体" w:cs="宋体" w:eastAsia="宋体" w:hint="default"/>
        </w:rPr>
        <w:t>(</w:t>
      </w:r>
      <w:r>
        <w:rPr/>
        <w:t>深圳</w:t>
      </w:r>
      <w:r>
        <w:rPr>
          <w:rFonts w:ascii="宋体" w:hAnsi="宋体" w:cs="宋体" w:eastAsia="宋体" w:hint="default"/>
        </w:rPr>
        <w:t>)</w:t>
      </w:r>
      <w:r>
        <w:rPr/>
        <w:t>律师事务所对公司上述事宜发表了意见。鉴于公司股票期权激励计划首次授予激励对象中的李明辉先生、</w:t>
      </w:r>
      <w:r>
        <w:rPr>
          <w:spacing w:val="-85"/>
        </w:rPr>
        <w:t> </w:t>
      </w:r>
      <w:r>
        <w:rPr>
          <w:spacing w:val="-85"/>
        </w:rPr>
      </w:r>
      <w:r>
        <w:rPr/>
        <w:t>张涛先生、王祎先生等共 </w:t>
      </w:r>
      <w:r>
        <w:rPr>
          <w:rFonts w:ascii="Times New Roman" w:hAnsi="Times New Roman" w:cs="Times New Roman" w:eastAsia="Times New Roman" w:hint="default"/>
        </w:rPr>
        <w:t>16 </w:t>
      </w:r>
      <w:r>
        <w:rPr/>
        <w:t>人，预留授予激励对象中的刘立先生、李泽文先生、张文亮先生共 </w:t>
      </w:r>
      <w:r>
        <w:rPr>
          <w:rFonts w:ascii="Times New Roman" w:hAnsi="Times New Roman" w:cs="Times New Roman" w:eastAsia="Times New Roman" w:hint="default"/>
        </w:rPr>
        <w:t>3</w:t>
      </w:r>
      <w:r>
        <w:rPr/>
        <w:t>人，合计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人因个人原</w:t>
      </w:r>
    </w:p>
    <w:p>
      <w:pPr>
        <w:spacing w:after="0" w:line="312"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r>
        <w:rPr/>
        <w:pict>
          <v:group style="position:absolute;margin-left:199.940002pt;margin-top:621.279968pt;width:33.5pt;height:7.8pt;mso-position-horizontal-relative:page;mso-position-vertical-relative:page;z-index:-1112872" coordorigin="3999,12426" coordsize="670,156">
            <v:shape style="position:absolute;left:3999;top:12426;width:670;height:156" coordorigin="3999,12426" coordsize="670,156" path="m3999,12582l4668,12582,4668,12426,3999,12426,3999,12582xe" filled="true" fillcolor="#ffffff" stroked="false">
              <v:path arrowok="t"/>
              <v:fill type="solid"/>
            </v:shape>
            <w10:wrap type="none"/>
          </v:group>
        </w:pict>
      </w:r>
      <w:r>
        <w:rPr/>
        <w:pict>
          <v:group style="position:absolute;margin-left:199.940002pt;margin-top:672.579956pt;width:33.5pt;height:7.8pt;mso-position-horizontal-relative:page;mso-position-vertical-relative:page;z-index:-1112848" coordorigin="3999,13452" coordsize="670,156">
            <v:shape style="position:absolute;left:3999;top:13452;width:670;height:156" coordorigin="3999,13452" coordsize="670,156" path="m3999,13608l4668,13608,4668,13452,3999,13452,3999,13608xe" filled="true" fillcolor="#ffffff" stroked="false">
              <v:path arrowok="t"/>
              <v:fill type="solid"/>
            </v:shape>
            <w10:wrap type="none"/>
          </v:group>
        </w:pict>
      </w:r>
    </w:p>
    <w:p>
      <w:pPr>
        <w:pStyle w:val="BodyText"/>
        <w:spacing w:line="309" w:lineRule="auto" w:before="44"/>
        <w:ind w:right="1129"/>
        <w:jc w:val="both"/>
        <w:rPr>
          <w:rFonts w:ascii="Times New Roman" w:hAnsi="Times New Roman" w:cs="Times New Roman" w:eastAsia="Times New Roman" w:hint="default"/>
        </w:rPr>
      </w:pPr>
      <w:r>
        <w:rPr/>
        <w:t>因离职自愿放弃获授但未行权的合计 </w:t>
      </w:r>
      <w:r>
        <w:rPr>
          <w:rFonts w:ascii="Times New Roman" w:hAnsi="Times New Roman" w:cs="Times New Roman" w:eastAsia="Times New Roman" w:hint="default"/>
        </w:rPr>
        <w:t>228.78</w:t>
      </w:r>
      <w:r>
        <w:rPr>
          <w:rFonts w:ascii="Times New Roman" w:hAnsi="Times New Roman" w:cs="Times New Roman" w:eastAsia="Times New Roman" w:hint="default"/>
          <w:spacing w:val="5"/>
        </w:rPr>
        <w:t> </w:t>
      </w:r>
      <w:r>
        <w:rPr/>
        <w:t>万份股票期权，根据《股票期权激励计划》的有关规定，上述人员已不具备股 </w:t>
      </w:r>
      <w:r>
        <w:rPr>
          <w:spacing w:val="-2"/>
        </w:rPr>
        <w:t>票期权激励计划的激励对象资格；首次授予股票期权的激励对象郑楠芳女士、张宇庆先生及夏玄先生第二个行权期可行权的</w:t>
      </w:r>
      <w:r>
        <w:rPr>
          <w:spacing w:val="-64"/>
        </w:rPr>
        <w:t> </w:t>
      </w:r>
      <w:r>
        <w:rPr>
          <w:spacing w:val="-64"/>
        </w:rPr>
      </w:r>
      <w:r>
        <w:rPr>
          <w:rFonts w:ascii="Times New Roman" w:hAnsi="Times New Roman" w:cs="Times New Roman" w:eastAsia="Times New Roman" w:hint="default"/>
        </w:rPr>
        <w:t>38.1  </w:t>
      </w:r>
      <w:r>
        <w:rPr>
          <w:spacing w:val="-4"/>
        </w:rPr>
        <w:t>万份期权放弃行权。公司根据相关规定，对上述获授但未行权的合计 </w:t>
      </w:r>
      <w:r>
        <w:rPr>
          <w:rFonts w:ascii="Times New Roman" w:hAnsi="Times New Roman" w:cs="Times New Roman" w:eastAsia="Times New Roman" w:hint="default"/>
        </w:rPr>
        <w:t>266.88  </w:t>
      </w:r>
      <w:r>
        <w:rPr>
          <w:spacing w:val="-4"/>
        </w:rPr>
        <w:t>万份股票期权进行注销。</w:t>
      </w:r>
      <w:r>
        <w:rPr>
          <w:rFonts w:ascii="Times New Roman" w:hAnsi="Times New Roman" w:cs="Times New Roman" w:eastAsia="Times New Roman" w:hint="default"/>
          <w:spacing w:val="-4"/>
        </w:rPr>
        <w:t>2015  </w:t>
      </w:r>
      <w:r>
        <w:rPr/>
        <w:t>年 </w:t>
      </w:r>
      <w:r>
        <w:rPr>
          <w:rFonts w:ascii="Times New Roman" w:hAnsi="Times New Roman" w:cs="Times New Roman" w:eastAsia="Times New Roman" w:hint="default"/>
        </w:rPr>
        <w:t>10 </w:t>
      </w:r>
      <w:r>
        <w:rPr/>
        <w:t>月</w:t>
      </w:r>
      <w:r>
        <w:rPr>
          <w:spacing w:val="-29"/>
        </w:rPr>
        <w:t> </w:t>
      </w:r>
      <w:r>
        <w:rPr>
          <w:rFonts w:ascii="Times New Roman" w:hAnsi="Times New Roman" w:cs="Times New Roman" w:eastAsia="Times New Roman" w:hint="default"/>
        </w:rPr>
        <w:t>23</w:t>
      </w:r>
    </w:p>
    <w:p>
      <w:pPr>
        <w:pStyle w:val="BodyText"/>
        <w:spacing w:line="240" w:lineRule="auto" w:before="5"/>
        <w:ind w:left="1134" w:right="0"/>
        <w:jc w:val="both"/>
      </w:pPr>
      <w:r>
        <w:rPr/>
        <w:t>日，经中国证券登记结算有限责任公司深圳分公司审核确认，上述 </w:t>
      </w:r>
      <w:r>
        <w:rPr>
          <w:rFonts w:ascii="Times New Roman" w:hAnsi="Times New Roman" w:cs="Times New Roman" w:eastAsia="Times New Roman" w:hint="default"/>
        </w:rPr>
        <w:t>266.88</w:t>
      </w:r>
      <w:r>
        <w:rPr>
          <w:rFonts w:ascii="Times New Roman" w:hAnsi="Times New Roman" w:cs="Times New Roman" w:eastAsia="Times New Roman" w:hint="default"/>
          <w:spacing w:val="8"/>
        </w:rPr>
        <w:t> </w:t>
      </w:r>
      <w:r>
        <w:rPr/>
        <w:t>万份股票期权已完成了注销工作。</w:t>
      </w:r>
    </w:p>
    <w:p>
      <w:pPr>
        <w:pStyle w:val="BodyText"/>
        <w:spacing w:line="240" w:lineRule="auto" w:before="63"/>
        <w:ind w:left="1134" w:right="0"/>
        <w:jc w:val="both"/>
      </w:pPr>
      <w:r>
        <w:rPr/>
        <w:t>公司于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16</w:t>
      </w:r>
      <w:r>
        <w:rPr>
          <w:rFonts w:ascii="Times New Roman" w:hAnsi="Times New Roman" w:cs="Times New Roman" w:eastAsia="Times New Roman" w:hint="default"/>
          <w:spacing w:val="23"/>
        </w:rPr>
        <w:t> </w:t>
      </w:r>
      <w:r>
        <w:rPr/>
        <w:t>日召开的第三届董事会第十八次</w:t>
      </w:r>
      <w:r>
        <w:rPr>
          <w:rFonts w:ascii="宋体" w:hAnsi="宋体" w:cs="宋体" w:eastAsia="宋体" w:hint="default"/>
        </w:rPr>
        <w:t>(</w:t>
      </w:r>
      <w:r>
        <w:rPr/>
        <w:t>临时</w:t>
      </w:r>
      <w:r>
        <w:rPr>
          <w:rFonts w:ascii="宋体" w:hAnsi="宋体" w:cs="宋体" w:eastAsia="宋体" w:hint="default"/>
        </w:rPr>
        <w:t>)</w:t>
      </w:r>
      <w:r>
        <w:rPr/>
        <w:t>会议审议通过了《关于股票期权激励计划中首次授予的期</w:t>
      </w:r>
    </w:p>
    <w:p>
      <w:pPr>
        <w:pStyle w:val="BodyText"/>
        <w:spacing w:line="240" w:lineRule="auto" w:before="63"/>
        <w:ind w:right="0"/>
        <w:jc w:val="both"/>
      </w:pPr>
      <w:r>
        <w:rPr/>
        <w:t>权第二个行权期可行权的议案</w:t>
      </w:r>
      <w:r>
        <w:rPr>
          <w:spacing w:val="-76"/>
        </w:rPr>
        <w:t>》，</w:t>
      </w:r>
      <w:r>
        <w:rPr/>
        <w:t>符合行权条件的</w:t>
      </w:r>
      <w:r>
        <w:rPr>
          <w:spacing w:val="-16"/>
        </w:rPr>
        <w:t> </w:t>
      </w:r>
      <w:r>
        <w:rPr>
          <w:rFonts w:ascii="Times New Roman" w:hAnsi="Times New Roman" w:cs="Times New Roman" w:eastAsia="Times New Roman" w:hint="default"/>
        </w:rPr>
        <w:t>59 </w:t>
      </w:r>
      <w:r>
        <w:rPr>
          <w:rFonts w:ascii="Times New Roman" w:hAnsi="Times New Roman" w:cs="Times New Roman" w:eastAsia="Times New Roman" w:hint="default"/>
          <w:spacing w:val="-19"/>
        </w:rPr>
        <w:t> </w:t>
      </w:r>
      <w:r>
        <w:rPr/>
        <w:t>名</w:t>
      </w:r>
      <w:r>
        <w:rPr>
          <w:spacing w:val="-2"/>
        </w:rPr>
        <w:t>激</w:t>
      </w:r>
      <w:r>
        <w:rPr/>
        <w:t>励对象全部申请行权</w:t>
      </w:r>
      <w:r>
        <w:rPr>
          <w:spacing w:val="-76"/>
        </w:rPr>
        <w:t>，</w:t>
      </w:r>
      <w:r>
        <w:rPr/>
        <w:t>行权人员名单及行权数量与公告情况一致。</w:t>
      </w:r>
    </w:p>
    <w:p>
      <w:pPr>
        <w:pStyle w:val="BodyText"/>
        <w:spacing w:line="304" w:lineRule="auto" w:before="63"/>
        <w:ind w:right="1132" w:firstLine="420"/>
        <w:jc w:val="left"/>
      </w:pPr>
      <w:r>
        <w:rPr/>
        <w:t>行权股份的上市时间为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日。其中激励对象张宇庆先生作为公司高级管理人员，在任职期间每年转让 的股份不得超过其所持有本公司股份总数的</w:t>
      </w:r>
      <w:r>
        <w:rPr>
          <w:spacing w:val="-19"/>
        </w:rPr>
        <w:t> </w:t>
      </w:r>
      <w:r>
        <w:rPr>
          <w:rFonts w:ascii="Times New Roman" w:hAnsi="Times New Roman" w:cs="Times New Roman" w:eastAsia="Times New Roman" w:hint="default"/>
        </w:rPr>
        <w:t>25%</w:t>
      </w:r>
      <w:r>
        <w:rPr/>
        <w:t>，在离职后半年内，不得转让其所持有的本公司股份；同时其行权后所获 </w:t>
      </w:r>
      <w:r>
        <w:rPr>
          <w:spacing w:val="-5"/>
        </w:rPr>
        <w:t>股票将遵守《证券法》第四十七条和《上市公司董事、监事和高级管理人员所持本公司股份及其变动管理规则》中关于董事、</w:t>
      </w:r>
      <w:r>
        <w:rPr>
          <w:spacing w:val="-79"/>
        </w:rPr>
        <w:t> </w:t>
      </w:r>
      <w:r>
        <w:rPr>
          <w:spacing w:val="-79"/>
        </w:rPr>
      </w:r>
      <w:r>
        <w:rPr/>
        <w:t>监事、高级管理人员禁止短线交易的相关规定。其余 </w:t>
      </w:r>
      <w:r>
        <w:rPr>
          <w:rFonts w:ascii="Times New Roman" w:hAnsi="Times New Roman" w:cs="Times New Roman" w:eastAsia="Times New Roman" w:hint="default"/>
        </w:rPr>
        <w:t>58</w:t>
      </w:r>
      <w:r>
        <w:rPr>
          <w:rFonts w:ascii="Times New Roman" w:hAnsi="Times New Roman" w:cs="Times New Roman" w:eastAsia="Times New Roman" w:hint="default"/>
          <w:spacing w:val="9"/>
        </w:rPr>
        <w:t> </w:t>
      </w:r>
      <w:r>
        <w:rPr/>
        <w:t>名激励对象本次行权的股份无禁售期。 具体实施情况可参见中青宝</w:t>
      </w:r>
      <w:r>
        <w:rPr>
          <w:rFonts w:ascii="Times New Roman" w:hAnsi="Times New Roman" w:cs="Times New Roman" w:eastAsia="Times New Roman" w:hint="default"/>
        </w:rPr>
        <w:t>2015-078</w:t>
      </w:r>
      <w:r>
        <w:rPr/>
        <w:t>号公告。</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bookmarkStart w:name="十五、重大关联交易" w:id="77"/>
      <w:bookmarkEnd w:id="77"/>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left="1133" w:right="0"/>
        <w:jc w:val="both"/>
        <w:rPr>
          <w:b w:val="0"/>
          <w:bCs w:val="0"/>
        </w:rPr>
      </w:pPr>
      <w:bookmarkStart w:name="1、与日常经营相关的关联交易" w:id="78"/>
      <w:bookmarkEnd w:id="78"/>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pict>
          <v:group style="position:absolute;margin-left:199.940002pt;margin-top:84.431717pt;width:33.5pt;height:15.65pt;mso-position-horizontal-relative:page;mso-position-vertical-relative:paragraph;z-index:-1112896" coordorigin="3999,1689" coordsize="670,313">
            <v:shape style="position:absolute;left:3999;top:1689;width:670;height:313" coordorigin="3999,1689" coordsize="670,313" path="m3999,2001l4668,2001,4668,1689,3999,1689,3999,2001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337"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 w:right="6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1"/>
              <w:jc w:val="both"/>
              <w:rPr>
                <w:rFonts w:ascii="Times New Roman" w:hAnsi="Times New Roman" w:cs="Times New Roman" w:eastAsia="Times New Roman" w:hint="default"/>
                <w:sz w:val="18"/>
                <w:szCs w:val="18"/>
              </w:rPr>
            </w:pPr>
            <w:r>
              <w:rPr>
                <w:rFonts w:ascii="宋体" w:hAnsi="宋体" w:cs="宋体" w:eastAsia="宋体" w:hint="default"/>
                <w:sz w:val="18"/>
                <w:szCs w:val="18"/>
              </w:rPr>
              <w:t>关联交 易金额 </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w:t>
            </w:r>
            <w:r>
              <w:rPr>
                <w:rFonts w:ascii="Times New Roman" w:hAnsi="Times New Roman" w:cs="Times New Roman" w:eastAsia="Times New Roman" w:hint="default"/>
                <w:sz w:val="18"/>
                <w:szCs w:val="18"/>
              </w:rPr>
              <w:t>(</w:t>
            </w:r>
            <w:r>
              <w:rPr>
                <w:rFonts w:ascii="宋体" w:hAnsi="宋体" w:cs="宋体" w:eastAsia="宋体" w:hint="default"/>
                <w:sz w:val="18"/>
                <w:szCs w:val="18"/>
              </w:rPr>
              <w:t>万</w:t>
            </w:r>
          </w:p>
          <w:p>
            <w:pPr>
              <w:pStyle w:val="TableParagraph"/>
              <w:spacing w:line="240" w:lineRule="auto"/>
              <w:ind w:left="2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46"/>
              <w:jc w:val="both"/>
              <w:rPr>
                <w:rFonts w:ascii="宋体" w:hAnsi="宋体" w:cs="宋体" w:eastAsia="宋体" w:hint="default"/>
                <w:sz w:val="18"/>
                <w:szCs w:val="18"/>
              </w:rPr>
            </w:pPr>
            <w:r>
              <w:rPr>
                <w:rFonts w:ascii="宋体" w:hAnsi="宋体" w:cs="宋体" w:eastAsia="宋体" w:hint="default"/>
                <w:sz w:val="18"/>
                <w:szCs w:val="18"/>
              </w:rPr>
              <w:t>深圳市宝 德计算机 系统有限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母公司 控制的 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2"/>
              <w:jc w:val="left"/>
              <w:rPr>
                <w:rFonts w:ascii="宋体" w:hAnsi="宋体" w:cs="宋体" w:eastAsia="宋体" w:hint="default"/>
                <w:sz w:val="18"/>
                <w:szCs w:val="18"/>
              </w:rPr>
            </w:pPr>
            <w:r>
              <w:rPr>
                <w:rFonts w:ascii="宋体" w:hAnsi="宋体" w:cs="宋体" w:eastAsia="宋体" w:hint="default"/>
                <w:sz w:val="18"/>
                <w:szCs w:val="18"/>
              </w:rPr>
              <w:t>购买商 品</w:t>
            </w:r>
          </w:p>
        </w:tc>
        <w:tc>
          <w:tcPr>
            <w:tcW w:w="70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服务器、 电脑及 配件</w:t>
            </w:r>
          </w:p>
        </w:tc>
        <w:tc>
          <w:tcPr>
            <w:tcW w:w="67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1" w:right="104"/>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0"/>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0.32%</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79"/>
              <w:jc w:val="righ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0.6</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67"/>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深圳市速 必拓网络 科技有限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2"/>
              <w:jc w:val="both"/>
              <w:rPr>
                <w:rFonts w:ascii="宋体" w:hAnsi="宋体" w:cs="宋体" w:eastAsia="宋体" w:hint="default"/>
                <w:sz w:val="18"/>
                <w:szCs w:val="18"/>
              </w:rPr>
            </w:pPr>
            <w:r>
              <w:rPr>
                <w:rFonts w:ascii="宋体" w:hAnsi="宋体" w:cs="宋体" w:eastAsia="宋体" w:hint="default"/>
                <w:sz w:val="18"/>
                <w:szCs w:val="18"/>
              </w:rPr>
              <w:t>受同一 控制人 控制的 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2"/>
              <w:jc w:val="left"/>
              <w:rPr>
                <w:rFonts w:ascii="宋体" w:hAnsi="宋体" w:cs="宋体" w:eastAsia="宋体" w:hint="default"/>
                <w:sz w:val="18"/>
                <w:szCs w:val="18"/>
              </w:rPr>
            </w:pPr>
            <w:r>
              <w:rPr>
                <w:rFonts w:ascii="宋体" w:hAnsi="宋体" w:cs="宋体" w:eastAsia="宋体" w:hint="default"/>
                <w:sz w:val="18"/>
                <w:szCs w:val="18"/>
              </w:rPr>
              <w:t>接受劳 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机柜及 宽带租 赁服务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4"/>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0"/>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317.88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23.66%</w:t>
            </w:r>
          </w:p>
        </w:tc>
        <w:tc>
          <w:tcPr>
            <w:tcW w:w="674" w:type="dxa"/>
            <w:vMerge/>
            <w:tcBorders>
              <w:left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79"/>
              <w:jc w:val="righ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317.88</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67"/>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深圳市宝 德软件开 发有限公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母公司 控制的 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2"/>
              <w:jc w:val="left"/>
              <w:rPr>
                <w:rFonts w:ascii="宋体" w:hAnsi="宋体" w:cs="宋体" w:eastAsia="宋体" w:hint="default"/>
                <w:sz w:val="18"/>
                <w:szCs w:val="18"/>
              </w:rPr>
            </w:pPr>
            <w:r>
              <w:rPr>
                <w:rFonts w:ascii="宋体" w:hAnsi="宋体" w:cs="宋体" w:eastAsia="宋体" w:hint="default"/>
                <w:sz w:val="18"/>
                <w:szCs w:val="18"/>
              </w:rPr>
              <w:t>接受劳 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机柜及 宽带租 赁服务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4"/>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0"/>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86.13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6.41%</w:t>
            </w:r>
          </w:p>
        </w:tc>
        <w:tc>
          <w:tcPr>
            <w:tcW w:w="674" w:type="dxa"/>
            <w:vMerge/>
            <w:tcBorders>
              <w:left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79"/>
              <w:jc w:val="righ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86.13</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67"/>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2"/>
              <w:jc w:val="both"/>
              <w:rPr>
                <w:rFonts w:ascii="宋体" w:hAnsi="宋体" w:cs="宋体" w:eastAsia="宋体" w:hint="default"/>
                <w:sz w:val="18"/>
                <w:szCs w:val="18"/>
              </w:rPr>
            </w:pPr>
            <w:r>
              <w:rPr>
                <w:rFonts w:ascii="宋体" w:hAnsi="宋体" w:cs="宋体" w:eastAsia="宋体" w:hint="default"/>
                <w:sz w:val="18"/>
                <w:szCs w:val="18"/>
              </w:rPr>
              <w:t>母公司 控制的 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购买商 品</w:t>
            </w:r>
          </w:p>
        </w:tc>
        <w:tc>
          <w:tcPr>
            <w:tcW w:w="706"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59"/>
              <w:jc w:val="left"/>
              <w:rPr>
                <w:rFonts w:ascii="宋体" w:hAnsi="宋体" w:cs="宋体" w:eastAsia="宋体" w:hint="default"/>
                <w:sz w:val="18"/>
                <w:szCs w:val="18"/>
              </w:rPr>
            </w:pPr>
            <w:r>
              <w:rPr>
                <w:rFonts w:ascii="宋体" w:hAnsi="宋体" w:cs="宋体" w:eastAsia="宋体" w:hint="default"/>
                <w:sz w:val="18"/>
                <w:szCs w:val="18"/>
              </w:rPr>
              <w:t>服务器、 电脑及 配件</w:t>
            </w:r>
          </w:p>
        </w:tc>
        <w:tc>
          <w:tcPr>
            <w:tcW w:w="67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1" w:right="104"/>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0"/>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36.27</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19.44%</w:t>
            </w:r>
          </w:p>
        </w:tc>
        <w:tc>
          <w:tcPr>
            <w:tcW w:w="674" w:type="dxa"/>
            <w:vMerge/>
            <w:tcBorders>
              <w:left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79"/>
              <w:jc w:val="righ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36.27</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67"/>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四川宝腾 互联科技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02"/>
              <w:jc w:val="both"/>
              <w:rPr>
                <w:rFonts w:ascii="宋体" w:hAnsi="宋体" w:cs="宋体" w:eastAsia="宋体" w:hint="default"/>
                <w:sz w:val="18"/>
                <w:szCs w:val="18"/>
              </w:rPr>
            </w:pPr>
            <w:r>
              <w:rPr>
                <w:rFonts w:ascii="宋体" w:hAnsi="宋体" w:cs="宋体" w:eastAsia="宋体" w:hint="default"/>
                <w:sz w:val="18"/>
                <w:szCs w:val="18"/>
              </w:rPr>
              <w:t>母公司 参股企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2"/>
              <w:ind w:left="22" w:right="-59"/>
              <w:jc w:val="left"/>
              <w:rPr>
                <w:rFonts w:ascii="宋体" w:hAnsi="宋体" w:cs="宋体" w:eastAsia="宋体" w:hint="default"/>
                <w:sz w:val="18"/>
                <w:szCs w:val="18"/>
              </w:rPr>
            </w:pPr>
            <w:r>
              <w:rPr>
                <w:rFonts w:ascii="宋体" w:hAnsi="宋体" w:cs="宋体" w:eastAsia="宋体" w:hint="default"/>
                <w:sz w:val="18"/>
                <w:szCs w:val="18"/>
              </w:rPr>
              <w:t>服务器、 电脑及 配件</w:t>
            </w:r>
          </w:p>
        </w:tc>
        <w:tc>
          <w:tcPr>
            <w:tcW w:w="67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1" w:right="104"/>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100"/>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vMerge/>
            <w:tcBorders>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79"/>
              <w:jc w:val="righ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1.66</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67"/>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715"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442.54</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3,153.9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70"/>
              <w:jc w:val="righ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before="44"/>
        <w:ind w:left="0" w:right="1138"/>
        <w:jc w:val="right"/>
      </w:pPr>
      <w:r>
        <w:rPr/>
        <w:pict>
          <v:shape style="position:absolute;margin-left:56.459999pt;margin-top:-98.968292pt;width:479.25pt;height:170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59"/>
                    <w:gridCol w:w="6711"/>
                  </w:tblGrid>
                  <w:tr>
                    <w:trPr>
                      <w:trHeight w:val="402" w:hRule="exact"/>
                    </w:trPr>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274" w:hRule="exact"/>
                    </w:trPr>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w:t>
                        </w:r>
                        <w:r>
                          <w:rPr>
                            <w:rFonts w:ascii="Times New Roman" w:hAnsi="Times New Roman" w:cs="Times New Roman" w:eastAsia="Times New Roman" w:hint="default"/>
                            <w:sz w:val="18"/>
                            <w:szCs w:val="18"/>
                          </w:rPr>
                          <w:t>(</w:t>
                        </w: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p>
                    </w:tc>
                    <w:tc>
                      <w:tcPr>
                        <w:tcW w:w="671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9"/>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年向关联人采购服务器电脑及其他配件软件等的预计额度为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万元，实际</w:t>
                        </w:r>
                        <w:r>
                          <w:rPr>
                            <w:rFonts w:ascii="宋体" w:hAnsi="宋体" w:cs="宋体" w:eastAsia="宋体" w:hint="default"/>
                            <w:sz w:val="18"/>
                            <w:szCs w:val="18"/>
                          </w:rPr>
                          <w:t> 使用金额为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36.87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万元，由于前期采购库存过多，延至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年继续使用，且新产品需 求没有预期大，故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年此项关联交易额少于预计额度。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年向关联方销售 服务器电脑及其他配件软件等的预计额度为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3"/>
                            <w:sz w:val="18"/>
                            <w:szCs w:val="18"/>
                          </w:rPr>
                          <w:t> </w:t>
                        </w:r>
                        <w:r>
                          <w:rPr>
                            <w:rFonts w:ascii="宋体" w:hAnsi="宋体" w:cs="宋体" w:eastAsia="宋体" w:hint="default"/>
                            <w:spacing w:val="-9"/>
                            <w:sz w:val="18"/>
                            <w:szCs w:val="18"/>
                          </w:rPr>
                          <w:t>万元，实际使用金额为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1.66</w:t>
                        </w:r>
                        <w:r>
                          <w:rPr>
                            <w:rFonts w:ascii="Times New Roman" w:hAnsi="Times New Roman" w:cs="Times New Roman" w:eastAsia="Times New Roman" w:hint="default"/>
                            <w:spacing w:val="-13"/>
                            <w:sz w:val="18"/>
                            <w:szCs w:val="18"/>
                          </w:rPr>
                          <w:t> </w:t>
                        </w:r>
                        <w:r>
                          <w:rPr>
                            <w:rFonts w:ascii="宋体" w:hAnsi="宋体" w:cs="宋体" w:eastAsia="宋体" w:hint="default"/>
                            <w:spacing w:val="-13"/>
                            <w:sz w:val="18"/>
                            <w:szCs w:val="18"/>
                          </w:rPr>
                          <w:t>万元，</w:t>
                        </w:r>
                        <w:r>
                          <w:rPr>
                            <w:rFonts w:ascii="Times New Roman" w:hAnsi="Times New Roman" w:cs="Times New Roman" w:eastAsia="Times New Roman" w:hint="default"/>
                            <w:spacing w:val="-13"/>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年此项关联交易额少于预计额度。 </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年向关联方采购机柜及宽带租赁服务等的 预计额度为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万元，实际使用金额为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404.01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万元，由于公司对上述资源进一步优化</w:t>
                        </w:r>
                      </w:p>
                      <w:p>
                        <w:pPr>
                          <w:pStyle w:val="TableParagraph"/>
                          <w:spacing w:line="240" w:lineRule="auto" w:before="14"/>
                          <w:ind w:left="23" w:right="0"/>
                          <w:jc w:val="both"/>
                          <w:rPr>
                            <w:rFonts w:ascii="宋体" w:hAnsi="宋体" w:cs="宋体" w:eastAsia="宋体" w:hint="default"/>
                            <w:sz w:val="18"/>
                            <w:szCs w:val="18"/>
                          </w:rPr>
                        </w:pPr>
                        <w:r>
                          <w:rPr>
                            <w:rFonts w:ascii="宋体" w:hAnsi="宋体" w:cs="宋体" w:eastAsia="宋体" w:hint="default"/>
                            <w:sz w:val="18"/>
                            <w:szCs w:val="18"/>
                          </w:rPr>
                          <w:t>提高利用率，故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年此项关联交易额少于预计额度。</w:t>
                        </w:r>
                      </w:p>
                    </w:tc>
                  </w:tr>
                  <w:tr>
                    <w:trPr>
                      <w:trHeight w:val="714" w:hRule="exact"/>
                    </w:trPr>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6"/>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交易价格与市场参考价格差异较大 的原因</w:t>
                        </w:r>
                        <w:r>
                          <w:rPr>
                            <w:rFonts w:ascii="Times New Roman" w:hAnsi="Times New Roman" w:cs="Times New Roman" w:eastAsia="Times New Roman" w:hint="default"/>
                            <w:sz w:val="18"/>
                            <w:szCs w:val="18"/>
                          </w:rPr>
                          <w:t>(</w:t>
                        </w:r>
                        <w:r>
                          <w:rPr>
                            <w:rFonts w:ascii="宋体" w:hAnsi="宋体" w:cs="宋体" w:eastAsia="宋体" w:hint="default"/>
                            <w:sz w:val="18"/>
                            <w:szCs w:val="18"/>
                          </w:rPr>
                          <w:t>如适用</w:t>
                        </w:r>
                        <w:r>
                          <w:rPr>
                            <w:rFonts w:ascii="Times New Roman" w:hAnsi="Times New Roman" w:cs="Times New Roman" w:eastAsia="Times New Roman" w:hint="default"/>
                            <w:sz w:val="18"/>
                            <w:szCs w:val="18"/>
                          </w:rPr>
                          <w:t>)</w:t>
                        </w:r>
                      </w:p>
                    </w:tc>
                    <w:tc>
                      <w:tcPr>
                        <w:tcW w:w="6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7"/>
        <w:spacing w:line="240" w:lineRule="auto" w:before="35"/>
        <w:ind w:right="0"/>
        <w:jc w:val="left"/>
        <w:rPr>
          <w:b w:val="0"/>
          <w:bCs w:val="0"/>
        </w:rPr>
      </w:pPr>
      <w:bookmarkStart w:name="2、资产或股权收购、出售发生的关联交易" w:id="79"/>
      <w:bookmarkEnd w:id="79"/>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2"/>
        <w:rPr>
          <w:rFonts w:ascii="宋体" w:hAnsi="宋体" w:cs="宋体" w:eastAsia="宋体" w:hint="default"/>
          <w:sz w:val="20"/>
          <w:szCs w:val="20"/>
        </w:rPr>
      </w:pPr>
    </w:p>
    <w:p>
      <w:pPr>
        <w:pStyle w:val="Heading7"/>
        <w:spacing w:line="240" w:lineRule="auto"/>
        <w:ind w:right="0"/>
        <w:jc w:val="left"/>
        <w:rPr>
          <w:b w:val="0"/>
          <w:bCs w:val="0"/>
        </w:rPr>
      </w:pPr>
      <w:bookmarkStart w:name="3、共同对外投资的关联交易" w:id="80"/>
      <w:bookmarkEnd w:id="80"/>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077"/>
        <w:gridCol w:w="1073"/>
        <w:gridCol w:w="1076"/>
        <w:gridCol w:w="1224"/>
        <w:gridCol w:w="1080"/>
        <w:gridCol w:w="1350"/>
        <w:gridCol w:w="1347"/>
        <w:gridCol w:w="1342"/>
      </w:tblGrid>
      <w:tr>
        <w:trPr>
          <w:trHeight w:val="1026"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82"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62" w:right="83"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 w:right="83"/>
              <w:jc w:val="center"/>
              <w:rPr>
                <w:rFonts w:ascii="宋体" w:hAnsi="宋体" w:cs="宋体" w:eastAsia="宋体" w:hint="default"/>
                <w:sz w:val="18"/>
                <w:szCs w:val="18"/>
              </w:rPr>
            </w:pPr>
            <w:r>
              <w:rPr>
                <w:rFonts w:ascii="宋体" w:hAnsi="宋体" w:cs="宋体" w:eastAsia="宋体" w:hint="default"/>
                <w:sz w:val="18"/>
                <w:szCs w:val="18"/>
              </w:rPr>
              <w:t>被投资企业 的注册资本</w:t>
            </w:r>
          </w:p>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9" w:right="38" w:hanging="90"/>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8" w:right="36" w:hanging="91"/>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6" w:right="35" w:hanging="90"/>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3522"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深圳市前海 鹏德移动互 联网创业投 </w:t>
            </w:r>
            <w:r>
              <w:rPr>
                <w:rFonts w:ascii="宋体" w:hAnsi="宋体" w:cs="宋体" w:eastAsia="宋体" w:hint="default"/>
                <w:spacing w:val="-10"/>
                <w:sz w:val="18"/>
                <w:szCs w:val="18"/>
              </w:rPr>
              <w:t>资基金（有限</w:t>
            </w:r>
            <w:r>
              <w:rPr>
                <w:rFonts w:ascii="宋体" w:hAnsi="宋体" w:cs="宋体" w:eastAsia="宋体" w:hint="default"/>
                <w:sz w:val="18"/>
                <w:szCs w:val="18"/>
              </w:rPr>
              <w:t> 合伙）</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公司与控股 股东深圳市 宝德投资控 股有限公司 及其他公司 共同投资设 </w:t>
            </w:r>
            <w:r>
              <w:rPr>
                <w:rFonts w:ascii="宋体" w:hAnsi="宋体" w:cs="宋体" w:eastAsia="宋体" w:hint="default"/>
                <w:spacing w:val="-11"/>
                <w:sz w:val="18"/>
                <w:szCs w:val="18"/>
              </w:rPr>
              <w:t>立的企业，为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公司的关联 </w:t>
            </w:r>
            <w:r>
              <w:rPr>
                <w:rFonts w:ascii="宋体" w:hAnsi="宋体" w:cs="宋体" w:eastAsia="宋体" w:hint="default"/>
                <w:spacing w:val="-11"/>
                <w:sz w:val="18"/>
                <w:szCs w:val="18"/>
              </w:rPr>
              <w:t>法人，公司的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出资比例为</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143"/>
              <w:jc w:val="both"/>
              <w:rPr>
                <w:rFonts w:ascii="宋体" w:hAnsi="宋体" w:cs="宋体" w:eastAsia="宋体" w:hint="default"/>
                <w:sz w:val="18"/>
                <w:szCs w:val="18"/>
              </w:rPr>
            </w:pPr>
            <w:r>
              <w:rPr>
                <w:rFonts w:ascii="宋体" w:hAnsi="宋体" w:cs="宋体" w:eastAsia="宋体" w:hint="default"/>
                <w:sz w:val="18"/>
                <w:szCs w:val="18"/>
              </w:rPr>
              <w:t>深圳市五秒 传媒科技有 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广告业务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pacing w:val="-4"/>
                <w:sz w:val="18"/>
              </w:rPr>
              <w:t>111,111.00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21" w:right="0"/>
              <w:jc w:val="left"/>
              <w:rPr>
                <w:rFonts w:ascii="Times New Roman" w:hAnsi="Times New Roman" w:cs="Times New Roman" w:eastAsia="Times New Roman" w:hint="default"/>
                <w:sz w:val="18"/>
                <w:szCs w:val="18"/>
              </w:rPr>
            </w:pPr>
            <w:r>
              <w:rPr>
                <w:rFonts w:ascii="Times New Roman"/>
                <w:sz w:val="18"/>
              </w:rPr>
              <w:t>500.03</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19" w:right="0"/>
              <w:jc w:val="left"/>
              <w:rPr>
                <w:rFonts w:ascii="Times New Roman" w:hAnsi="Times New Roman" w:cs="Times New Roman" w:eastAsia="Times New Roman" w:hint="default"/>
                <w:sz w:val="18"/>
                <w:szCs w:val="18"/>
              </w:rPr>
            </w:pPr>
            <w:r>
              <w:rPr>
                <w:rFonts w:ascii="Times New Roman"/>
                <w:sz w:val="18"/>
              </w:rPr>
              <w:t>428.33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18.33</w:t>
            </w:r>
          </w:p>
        </w:tc>
      </w:tr>
      <w:tr>
        <w:trPr>
          <w:trHeight w:val="715" w:hRule="exact"/>
        </w:trPr>
        <w:tc>
          <w:tcPr>
            <w:tcW w:w="215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35"/>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4、关联债权债务往来" w:id="81"/>
      <w:bookmarkEnd w:id="81"/>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公司报告期不存在非经营性关联债权债务往来。</w:t>
      </w:r>
    </w:p>
    <w:p>
      <w:pPr>
        <w:spacing w:line="240" w:lineRule="auto" w:before="10"/>
        <w:rPr>
          <w:rFonts w:ascii="宋体" w:hAnsi="宋体" w:cs="宋体" w:eastAsia="宋体" w:hint="default"/>
          <w:sz w:val="26"/>
          <w:szCs w:val="26"/>
        </w:rPr>
      </w:pPr>
    </w:p>
    <w:p>
      <w:pPr>
        <w:pStyle w:val="Heading7"/>
        <w:spacing w:line="240" w:lineRule="auto"/>
        <w:ind w:left="1133" w:right="0"/>
        <w:jc w:val="left"/>
        <w:rPr>
          <w:b w:val="0"/>
          <w:bCs w:val="0"/>
        </w:rPr>
      </w:pPr>
      <w:bookmarkStart w:name="5、其他重大关联交易" w:id="82"/>
      <w:bookmarkEnd w:id="82"/>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6"/>
        <w:rPr>
          <w:rFonts w:ascii="宋体" w:hAnsi="宋体" w:cs="宋体" w:eastAsia="宋体" w:hint="default"/>
          <w:sz w:val="19"/>
          <w:szCs w:val="19"/>
        </w:rPr>
      </w:pPr>
    </w:p>
    <w:p>
      <w:pPr>
        <w:spacing w:line="496" w:lineRule="auto" w:before="0"/>
        <w:ind w:left="1133" w:right="7557" w:firstLine="0"/>
        <w:jc w:val="left"/>
        <w:rPr>
          <w:rFonts w:ascii="宋体" w:hAnsi="宋体" w:cs="宋体" w:eastAsia="宋体" w:hint="default"/>
          <w:sz w:val="21"/>
          <w:szCs w:val="21"/>
        </w:rPr>
      </w:pPr>
      <w:bookmarkStart w:name="十六、重大合同及其履行情况" w:id="83"/>
      <w:bookmarkEnd w:id="83"/>
      <w:r>
        <w:rPr/>
      </w:r>
      <w:r>
        <w:rPr>
          <w:rFonts w:ascii="宋体" w:hAnsi="宋体" w:cs="宋体" w:eastAsia="宋体" w:hint="default"/>
          <w:b/>
          <w:bCs/>
          <w:w w:val="95"/>
          <w:sz w:val="24"/>
          <w:szCs w:val="24"/>
        </w:rPr>
        <w:t>十六、重大合同及其履行情况</w:t>
      </w:r>
      <w:r>
        <w:rPr>
          <w:rFonts w:ascii="宋体" w:hAnsi="宋体" w:cs="宋体" w:eastAsia="宋体" w:hint="default"/>
          <w:b/>
          <w:bCs/>
          <w:spacing w:val="29"/>
          <w:w w:val="95"/>
          <w:sz w:val="24"/>
          <w:szCs w:val="24"/>
        </w:rPr>
        <w:t> </w:t>
      </w:r>
      <w:bookmarkStart w:name="1、托管、承包、租赁事项情况" w:id="84"/>
      <w:bookmarkEnd w:id="84"/>
      <w:r>
        <w:rPr>
          <w:rFonts w:ascii="宋体" w:hAnsi="宋体" w:cs="宋体" w:eastAsia="宋体" w:hint="default"/>
          <w:b/>
          <w:bCs/>
          <w:spacing w:val="29"/>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b/>
          <w:bCs/>
          <w:w w:val="99"/>
          <w:sz w:val="21"/>
          <w:szCs w:val="21"/>
        </w:rPr>
        <w:t> </w:t>
      </w:r>
      <w:bookmarkStart w:name="(1)托管情况" w:id="85"/>
      <w:bookmarkEnd w:id="85"/>
      <w:r>
        <w:rPr>
          <w:rFonts w:ascii="宋体" w:hAnsi="宋体" w:cs="宋体" w:eastAsia="宋体" w:hint="default"/>
          <w:b/>
          <w:bCs/>
          <w:w w:val="99"/>
          <w:sz w:val="21"/>
          <w:szCs w:val="21"/>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pStyle w:val="BodyText"/>
        <w:spacing w:line="338" w:lineRule="auto" w:before="99"/>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
        <w:rPr>
          <w:rFonts w:ascii="宋体" w:hAnsi="宋体" w:cs="宋体" w:eastAsia="宋体" w:hint="default"/>
          <w:sz w:val="21"/>
          <w:szCs w:val="21"/>
        </w:rPr>
      </w:pPr>
    </w:p>
    <w:p>
      <w:pPr>
        <w:pStyle w:val="Heading7"/>
        <w:spacing w:line="240" w:lineRule="auto"/>
        <w:ind w:left="1133" w:right="0"/>
        <w:jc w:val="left"/>
        <w:rPr>
          <w:b w:val="0"/>
          <w:bCs w:val="0"/>
        </w:rPr>
      </w:pPr>
      <w:bookmarkStart w:name="(2)承包情况" w:id="86"/>
      <w:bookmarkEnd w:id="86"/>
      <w:r>
        <w:rPr>
          <w:b w:val="0"/>
          <w:bCs w:val="0"/>
        </w:rPr>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7"/>
        <w:spacing w:line="240" w:lineRule="auto"/>
        <w:ind w:left="1133" w:right="0"/>
        <w:jc w:val="left"/>
        <w:rPr>
          <w:b w:val="0"/>
          <w:bCs w:val="0"/>
        </w:rPr>
      </w:pPr>
      <w:bookmarkStart w:name="(3)租赁情况" w:id="87"/>
      <w:bookmarkEnd w:id="87"/>
      <w:r>
        <w:rPr>
          <w:b w:val="0"/>
          <w:bCs w:val="0"/>
        </w:rPr>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7"/>
        <w:spacing w:line="240" w:lineRule="auto"/>
        <w:ind w:left="1133" w:right="0"/>
        <w:jc w:val="left"/>
        <w:rPr>
          <w:b w:val="0"/>
          <w:bCs w:val="0"/>
        </w:rPr>
      </w:pPr>
      <w:bookmarkStart w:name="2、重大担保" w:id="88"/>
      <w:bookmarkEnd w:id="88"/>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55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7"/>
        <w:spacing w:line="506" w:lineRule="auto"/>
        <w:ind w:left="1133" w:right="7486"/>
        <w:jc w:val="left"/>
        <w:rPr>
          <w:b w:val="0"/>
          <w:bCs w:val="0"/>
        </w:rPr>
      </w:pPr>
      <w:bookmarkStart w:name="3、委托他人进行现金资产管理情况" w:id="89"/>
      <w:bookmarkEnd w:id="89"/>
      <w:r>
        <w:rPr>
          <w:b w:val="0"/>
          <w:bCs w:val="0"/>
        </w:rPr>
      </w:r>
      <w:r>
        <w:rPr>
          <w:rFonts w:ascii="Times New Roman" w:hAnsi="Times New Roman" w:cs="Times New Roman" w:eastAsia="Times New Roman" w:hint="default"/>
        </w:rPr>
        <w:t>3</w:t>
      </w:r>
      <w:r>
        <w:rPr/>
        <w:t>、委托他人进行现金资产管理情况</w:t>
      </w:r>
      <w:r>
        <w:rPr>
          <w:w w:val="99"/>
        </w:rPr>
        <w:t> </w:t>
      </w:r>
      <w:bookmarkStart w:name="(1)委托理财情况" w:id="90"/>
      <w:bookmarkEnd w:id="90"/>
      <w:r>
        <w:rPr>
          <w:w w:val="99"/>
        </w:rPr>
      </w:r>
      <w:r>
        <w:rPr>
          <w:rFonts w:ascii="Times New Roman" w:hAnsi="Times New Roman" w:cs="Times New Roman" w:eastAsia="Times New Roman" w:hint="default"/>
        </w:rPr>
        <w:t>(1)</w:t>
      </w:r>
      <w:r>
        <w:rPr/>
        <w:t>委托理财情况</w:t>
      </w:r>
      <w:r>
        <w:rPr>
          <w:b w:val="0"/>
          <w:bCs w:val="0"/>
        </w:rPr>
      </w:r>
    </w:p>
    <w:p>
      <w:pPr>
        <w:pStyle w:val="BodyText"/>
        <w:spacing w:line="340" w:lineRule="auto" w:before="9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2"/>
        <w:rPr>
          <w:rFonts w:ascii="宋体" w:hAnsi="宋体" w:cs="宋体" w:eastAsia="宋体" w:hint="default"/>
          <w:sz w:val="20"/>
          <w:szCs w:val="20"/>
        </w:rPr>
      </w:pPr>
    </w:p>
    <w:p>
      <w:pPr>
        <w:pStyle w:val="Heading7"/>
        <w:spacing w:line="240" w:lineRule="auto"/>
        <w:ind w:left="1133" w:right="0"/>
        <w:jc w:val="left"/>
        <w:rPr>
          <w:b w:val="0"/>
          <w:bCs w:val="0"/>
        </w:rPr>
      </w:pPr>
      <w:bookmarkStart w:name="(2)委托贷款情况" w:id="91"/>
      <w:bookmarkEnd w:id="91"/>
      <w:r>
        <w:rPr>
          <w:b w:val="0"/>
          <w:bCs w:val="0"/>
        </w:rPr>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r>
        <w:rPr/>
        <w:pict>
          <v:group style="position:absolute;margin-left:473.100006pt;margin-top:384.679993pt;width:29.1pt;height:33.2pt;mso-position-horizontal-relative:page;mso-position-vertical-relative:page;z-index:-1112800" coordorigin="9462,7694" coordsize="582,664">
            <v:group style="position:absolute;left:9462;top:7694;width:582;height:312" coordorigin="9462,7694" coordsize="582,312">
              <v:shape style="position:absolute;left:9462;top:7694;width:582;height:312" coordorigin="9462,7694" coordsize="582,312" path="m9462,8006l10044,8006,10044,7694,9462,7694,9462,8006xe" filled="true" fillcolor="#ffffff" stroked="false">
                <v:path arrowok="t"/>
                <v:fill type="solid"/>
              </v:shape>
            </v:group>
            <v:group style="position:absolute;left:9462;top:8006;width:582;height:352" coordorigin="9462,8006" coordsize="582,352">
              <v:shape style="position:absolute;left:9462;top:8006;width:582;height:352" coordorigin="9462,8006" coordsize="582,352" path="m9462,8357l10044,8357,10044,8006,9462,8006,9462,8357xe" filled="true" fillcolor="#ffffff" stroked="false">
                <v:path arrowok="t"/>
                <v:fill type="solid"/>
              </v:shape>
            </v:group>
            <w10:wrap type="none"/>
          </v:group>
        </w:pict>
      </w:r>
    </w:p>
    <w:p>
      <w:pPr>
        <w:pStyle w:val="Heading7"/>
        <w:spacing w:line="240" w:lineRule="auto" w:before="35"/>
        <w:ind w:left="1133" w:right="0"/>
        <w:jc w:val="left"/>
        <w:rPr>
          <w:b w:val="0"/>
          <w:bCs w:val="0"/>
        </w:rPr>
      </w:pPr>
      <w:bookmarkStart w:name="4、其他重大合同" w:id="92"/>
      <w:bookmarkEnd w:id="92"/>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2274"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2" w:right="42"/>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4" w:right="43"/>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4" w:right="42"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4" w:right="43"/>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5" w:right="42"/>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9" w:lineRule="auto" w:before="19"/>
              <w:ind w:left="24" w:right="20"/>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2"/>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9" w:lineRule="auto" w:before="19"/>
              <w:ind w:left="22" w:right="2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5" w:right="42"/>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9" w:lineRule="auto" w:before="19"/>
              <w:ind w:left="135"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33" w:right="43" w:hanging="90"/>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9" w:lineRule="auto" w:before="19"/>
              <w:ind w:left="133" w:right="133"/>
              <w:jc w:val="left"/>
              <w:rPr>
                <w:rFonts w:ascii="宋体" w:hAnsi="宋体" w:cs="宋体" w:eastAsia="宋体" w:hint="default"/>
                <w:sz w:val="18"/>
                <w:szCs w:val="18"/>
              </w:rPr>
            </w:pPr>
            <w:r>
              <w:rPr>
                <w:rFonts w:ascii="宋体" w:hAnsi="宋体" w:cs="宋体" w:eastAsia="宋体" w:hint="default"/>
                <w:sz w:val="18"/>
                <w:szCs w:val="18"/>
              </w:rPr>
              <w:t>（如 有）</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3" w:right="42"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 w:right="45"/>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3" w:right="4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3"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2" w:right="4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633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22" w:right="63"/>
              <w:jc w:val="both"/>
              <w:rPr>
                <w:rFonts w:ascii="宋体" w:hAnsi="宋体" w:cs="宋体" w:eastAsia="宋体" w:hint="default"/>
                <w:sz w:val="18"/>
                <w:szCs w:val="18"/>
              </w:rPr>
            </w:pPr>
            <w:r>
              <w:rPr>
                <w:rFonts w:ascii="宋体" w:hAnsi="宋体" w:cs="宋体" w:eastAsia="宋体" w:hint="default"/>
                <w:sz w:val="18"/>
                <w:szCs w:val="18"/>
              </w:rPr>
              <w:t>共青城 先行网 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上海跳 跃</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581.68</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9,243.7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北京中 林资产 评估有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公允价 值</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9,292</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2"/>
              <w:ind w:left="22" w:right="15"/>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 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4" w:lineRule="auto" w:before="63"/>
              <w:ind w:left="22" w:right="56"/>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日收到 第一笔 股权转 让款人 民币</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8,500.0</w:t>
            </w:r>
          </w:p>
          <w:p>
            <w:pPr>
              <w:pStyle w:val="TableParagraph"/>
              <w:spacing w:line="240" w:lineRule="auto" w:before="6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4" w:lineRule="auto" w:before="63"/>
              <w:ind w:left="22" w:right="15"/>
              <w:jc w:val="both"/>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日收 到第二 笔股权 转让款 人民币</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3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03" w:lineRule="exact" w:before="61"/>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w:t>
            </w:r>
          </w:p>
          <w:p>
            <w:pPr>
              <w:pStyle w:val="TableParagraph"/>
              <w:spacing w:line="150"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巨潮资 讯网</w:t>
            </w:r>
          </w:p>
        </w:tc>
      </w:tr>
    </w:tbl>
    <w:p>
      <w:pPr>
        <w:spacing w:line="240" w:lineRule="auto" w:before="2"/>
        <w:rPr>
          <w:rFonts w:ascii="宋体" w:hAnsi="宋体" w:cs="宋体" w:eastAsia="宋体" w:hint="default"/>
          <w:sz w:val="18"/>
          <w:szCs w:val="18"/>
        </w:rPr>
      </w:pPr>
    </w:p>
    <w:p>
      <w:pPr>
        <w:pStyle w:val="Heading3"/>
        <w:spacing w:line="240" w:lineRule="auto" w:before="26"/>
        <w:ind w:left="1134" w:right="0"/>
        <w:jc w:val="left"/>
        <w:rPr>
          <w:b w:val="0"/>
          <w:bCs w:val="0"/>
        </w:rPr>
      </w:pPr>
      <w:bookmarkStart w:name="十七、其他重大事项的说明" w:id="93"/>
      <w:bookmarkEnd w:id="93"/>
      <w:r>
        <w:rPr>
          <w:b w:val="0"/>
          <w:bCs w:val="0"/>
        </w:rPr>
      </w:r>
      <w:r>
        <w:rPr/>
        <w:t>十七、其他重大事项的说明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376" w:lineRule="auto"/>
        <w:ind w:left="1554" w:right="0" w:hanging="420"/>
        <w:jc w:val="left"/>
      </w:pPr>
      <w:r>
        <w:rPr>
          <w:rFonts w:ascii="Times New Roman" w:hAnsi="Times New Roman" w:cs="Times New Roman" w:eastAsia="Times New Roman" w:hint="default"/>
        </w:rPr>
        <w:t>1</w:t>
      </w:r>
      <w:r>
        <w:rPr/>
        <w:t>、重大资产重组进展 由于并购标的所处行业的竞争环境及其实际业绩发生了较大变化，原有的并购方案已不符合目前的市场情况。公司于</w:t>
      </w:r>
    </w:p>
    <w:p>
      <w:pPr>
        <w:pStyle w:val="BodyText"/>
        <w:spacing w:line="209" w:lineRule="exact"/>
        <w:ind w:left="1134" w:right="0"/>
        <w:jc w:val="left"/>
      </w:pPr>
      <w:r>
        <w:rPr>
          <w:rFonts w:ascii="宋体" w:hAnsi="宋体" w:cs="宋体" w:eastAsia="宋体" w:hint="default"/>
        </w:rPr>
        <w:t>2015 </w:t>
      </w:r>
      <w:r>
        <w:rPr/>
        <w:t>年 </w:t>
      </w:r>
      <w:r>
        <w:rPr>
          <w:rFonts w:ascii="宋体" w:hAnsi="宋体" w:cs="宋体" w:eastAsia="宋体" w:hint="default"/>
        </w:rPr>
        <w:t>10 </w:t>
      </w:r>
      <w:r>
        <w:rPr/>
        <w:t>月 </w:t>
      </w:r>
      <w:r>
        <w:rPr>
          <w:rFonts w:ascii="宋体" w:hAnsi="宋体" w:cs="宋体" w:eastAsia="宋体" w:hint="default"/>
        </w:rPr>
        <w:t>21</w:t>
      </w:r>
      <w:r>
        <w:rPr>
          <w:rFonts w:ascii="宋体" w:hAnsi="宋体" w:cs="宋体" w:eastAsia="宋体" w:hint="default"/>
          <w:spacing w:val="7"/>
        </w:rPr>
        <w:t> </w:t>
      </w:r>
      <w:r>
        <w:rPr/>
        <w:t>日召开了第三届董事会第十九次</w:t>
      </w:r>
      <w:r>
        <w:rPr>
          <w:rFonts w:ascii="宋体" w:hAnsi="宋体" w:cs="宋体" w:eastAsia="宋体" w:hint="default"/>
        </w:rPr>
        <w:t>(</w:t>
      </w:r>
      <w:r>
        <w:rPr/>
        <w:t>临时</w:t>
      </w:r>
      <w:r>
        <w:rPr>
          <w:rFonts w:ascii="宋体" w:hAnsi="宋体" w:cs="宋体" w:eastAsia="宋体" w:hint="default"/>
        </w:rPr>
        <w:t>)</w:t>
      </w:r>
      <w:r>
        <w:rPr/>
        <w:t>会议，审议通过了《关于公司终止以发行股份及现金方式购买资</w:t>
      </w:r>
    </w:p>
    <w:p>
      <w:pPr>
        <w:pStyle w:val="BodyText"/>
        <w:spacing w:line="316" w:lineRule="auto" w:before="76"/>
        <w:ind w:left="1134" w:right="0"/>
        <w:jc w:val="left"/>
      </w:pPr>
      <w:r>
        <w:rPr/>
        <w:t>产并募集配套资金事项的议案》。该议案已经</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10</w:t>
      </w:r>
      <w:r>
        <w:rPr/>
        <w:t>日召开的</w:t>
      </w:r>
      <w:r>
        <w:rPr>
          <w:rFonts w:ascii="宋体" w:hAnsi="宋体" w:cs="宋体" w:eastAsia="宋体" w:hint="default"/>
        </w:rPr>
        <w:t>2015</w:t>
      </w:r>
      <w:r>
        <w:rPr/>
        <w:t>年第一次临时股东大会审议通过，并于</w:t>
      </w:r>
      <w:r>
        <w:rPr>
          <w:rFonts w:ascii="宋体" w:hAnsi="宋体" w:cs="宋体" w:eastAsia="宋体" w:hint="default"/>
        </w:rPr>
        <w:t>2015</w:t>
      </w:r>
      <w:r>
        <w:rPr/>
        <w:t>年</w:t>
      </w:r>
      <w:r>
        <w:rPr>
          <w:rFonts w:ascii="宋体" w:hAnsi="宋体" w:cs="宋体" w:eastAsia="宋体" w:hint="default"/>
        </w:rPr>
        <w:t>11</w:t>
      </w:r>
      <w:r>
        <w:rPr>
          <w:rFonts w:ascii="宋体" w:hAnsi="宋体" w:cs="宋体" w:eastAsia="宋体" w:hint="default"/>
          <w:spacing w:val="-3"/>
        </w:rPr>
        <w:t> </w:t>
      </w:r>
      <w:r>
        <w:rPr/>
        <w:t>月</w:t>
      </w:r>
      <w:r>
        <w:rPr>
          <w:rFonts w:ascii="宋体" w:hAnsi="宋体" w:cs="宋体" w:eastAsia="宋体" w:hint="default"/>
        </w:rPr>
        <w:t>17</w:t>
      </w:r>
      <w:r>
        <w:rPr/>
        <w:t>日收到中国证券监督管理委员会《行政许可申请终止审查通知书》。</w:t>
      </w:r>
    </w:p>
    <w:p>
      <w:pPr>
        <w:pStyle w:val="BodyText"/>
        <w:spacing w:line="316" w:lineRule="auto" w:before="19"/>
        <w:ind w:right="0" w:firstLine="420"/>
        <w:jc w:val="left"/>
      </w:pPr>
      <w:r>
        <w:rPr/>
        <w:t>根据签订的相关终止协议，公司预付给北京中科奥科技有限公司股东的</w:t>
      </w:r>
      <w:r>
        <w:rPr>
          <w:rFonts w:ascii="宋体" w:hAnsi="宋体" w:cs="宋体" w:eastAsia="宋体" w:hint="default"/>
        </w:rPr>
        <w:t>8,480.00</w:t>
      </w:r>
      <w:r>
        <w:rPr/>
        <w:t>万元及利息</w:t>
      </w:r>
      <w:r>
        <w:rPr>
          <w:rFonts w:ascii="宋体" w:hAnsi="宋体" w:cs="宋体" w:eastAsia="宋体" w:hint="default"/>
        </w:rPr>
        <w:t>254.40</w:t>
      </w:r>
      <w:r>
        <w:rPr/>
        <w:t>万元已于</w:t>
      </w:r>
      <w:r>
        <w:rPr>
          <w:rFonts w:ascii="宋体" w:hAnsi="宋体" w:cs="宋体" w:eastAsia="宋体" w:hint="default"/>
        </w:rPr>
        <w:t>2015</w:t>
      </w:r>
      <w:r>
        <w:rPr/>
        <w:t>年</w:t>
      </w:r>
      <w:r>
        <w:rPr>
          <w:rFonts w:ascii="宋体" w:hAnsi="宋体" w:cs="宋体" w:eastAsia="宋体" w:hint="default"/>
        </w:rPr>
        <w:t>11</w:t>
      </w:r>
      <w:r>
        <w:rPr>
          <w:rFonts w:ascii="宋体" w:hAnsi="宋体" w:cs="宋体" w:eastAsia="宋体" w:hint="default"/>
          <w:spacing w:val="1"/>
        </w:rPr>
        <w:t> </w:t>
      </w:r>
      <w:r>
        <w:rPr/>
        <w:t>月</w:t>
      </w:r>
      <w:r>
        <w:rPr>
          <w:rFonts w:ascii="宋体" w:hAnsi="宋体" w:cs="宋体" w:eastAsia="宋体" w:hint="default"/>
        </w:rPr>
        <w:t>12</w:t>
      </w:r>
      <w:r>
        <w:rPr/>
        <w:t>日全额收回，公司预付给江苏名通信息科技有限公司股东的</w:t>
      </w:r>
      <w:r>
        <w:rPr>
          <w:rFonts w:ascii="宋体" w:hAnsi="宋体" w:cs="宋体" w:eastAsia="宋体" w:hint="default"/>
        </w:rPr>
        <w:t>9,000.00</w:t>
      </w:r>
      <w:r>
        <w:rPr/>
        <w:t>万元已于</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23</w:t>
      </w:r>
      <w:r>
        <w:rPr/>
        <w:t>日全额收回。</w:t>
      </w:r>
    </w:p>
    <w:p>
      <w:pPr>
        <w:pStyle w:val="BodyText"/>
        <w:spacing w:line="240" w:lineRule="auto" w:before="97"/>
        <w:ind w:right="0"/>
        <w:jc w:val="left"/>
      </w:pPr>
      <w:r>
        <w:rPr>
          <w:rFonts w:ascii="宋体" w:hAnsi="宋体" w:cs="宋体" w:eastAsia="宋体" w:hint="default"/>
        </w:rPr>
        <w:t>2</w:t>
      </w:r>
      <w:r>
        <w:rPr/>
        <w:t>、处置上海跳跃部分股权事项</w:t>
      </w:r>
    </w:p>
    <w:p>
      <w:pPr>
        <w:pStyle w:val="BodyText"/>
        <w:spacing w:line="240" w:lineRule="auto" w:before="154"/>
        <w:ind w:left="1554"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日本公司第三届董事会第九次</w:t>
      </w:r>
      <w:r>
        <w:rPr>
          <w:rFonts w:ascii="宋体" w:hAnsi="宋体" w:cs="宋体" w:eastAsia="宋体" w:hint="default"/>
        </w:rPr>
        <w:t>(</w:t>
      </w:r>
      <w:r>
        <w:rPr/>
        <w:t>临时</w:t>
      </w:r>
      <w:r>
        <w:rPr>
          <w:rFonts w:ascii="宋体" w:hAnsi="宋体" w:cs="宋体" w:eastAsia="宋体" w:hint="default"/>
        </w:rPr>
        <w:t>)</w:t>
      </w:r>
      <w:r>
        <w:rPr/>
        <w:t>会议审议通过了《转让控股子公司部分股权》的议案，公司以人民币</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2" w:lineRule="auto" w:before="44"/>
        <w:ind w:right="1123"/>
        <w:jc w:val="left"/>
      </w:pPr>
      <w:r>
        <w:rPr>
          <w:rFonts w:ascii="Times New Roman" w:hAnsi="Times New Roman" w:cs="Times New Roman" w:eastAsia="Times New Roman" w:hint="default"/>
          <w:spacing w:val="-1"/>
        </w:rPr>
        <w:t>1,500.00</w:t>
      </w:r>
      <w:r>
        <w:rPr>
          <w:spacing w:val="-1"/>
        </w:rPr>
        <w:t>万元将持有控股子公司上海跳跃网络科技有限公司</w:t>
      </w:r>
      <w:r>
        <w:rPr>
          <w:rFonts w:ascii="宋体" w:hAnsi="宋体" w:cs="宋体" w:eastAsia="宋体" w:hint="default"/>
          <w:spacing w:val="-1"/>
        </w:rPr>
        <w:t>(</w:t>
      </w:r>
      <w:r>
        <w:rPr>
          <w:spacing w:val="-1"/>
        </w:rPr>
        <w:t>以下简称</w:t>
      </w:r>
      <w:r>
        <w:rPr>
          <w:rFonts w:ascii="Times New Roman" w:hAnsi="Times New Roman" w:cs="Times New Roman" w:eastAsia="Times New Roman" w:hint="default"/>
          <w:spacing w:val="-1"/>
        </w:rPr>
        <w:t>“</w:t>
      </w:r>
      <w:r>
        <w:rPr>
          <w:spacing w:val="-1"/>
        </w:rPr>
        <w:t>上海跳跃</w:t>
      </w:r>
      <w:r>
        <w:rPr>
          <w:rFonts w:ascii="Times New Roman" w:hAnsi="Times New Roman" w:cs="Times New Roman" w:eastAsia="Times New Roman" w:hint="default"/>
          <w:spacing w:val="-1"/>
        </w:rPr>
        <w:t>”</w:t>
      </w:r>
      <w:r>
        <w:rPr>
          <w:rFonts w:ascii="宋体" w:hAnsi="宋体" w:cs="宋体" w:eastAsia="宋体" w:hint="default"/>
          <w:spacing w:val="-1"/>
        </w:rPr>
        <w:t>)</w:t>
      </w:r>
      <w:r>
        <w:rPr>
          <w:rFonts w:ascii="Times New Roman" w:hAnsi="Times New Roman" w:cs="Times New Roman" w:eastAsia="Times New Roman" w:hint="default"/>
          <w:spacing w:val="-1"/>
        </w:rPr>
        <w:t>15%</w:t>
      </w:r>
      <w:r>
        <w:rPr>
          <w:spacing w:val="-1"/>
        </w:rPr>
        <w:t>股权转让给赵增社，</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25</w:t>
      </w:r>
      <w:r>
        <w:rPr>
          <w:spacing w:val="-1"/>
        </w:rPr>
        <w:t>日办</w:t>
      </w:r>
      <w:r>
        <w:rPr>
          <w:spacing w:val="-60"/>
        </w:rPr>
        <w:t> </w:t>
      </w:r>
      <w:r>
        <w:rPr/>
        <w:t>理完成股权转让的工商变更手续，本公司于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日收到第一笔股权转让款人民币</w:t>
      </w:r>
      <w:r>
        <w:rPr>
          <w:rFonts w:ascii="Times New Roman" w:hAnsi="Times New Roman" w:cs="Times New Roman" w:eastAsia="Times New Roman" w:hint="default"/>
        </w:rPr>
        <w:t>800.00</w:t>
      </w:r>
      <w:r>
        <w:rPr/>
        <w:t>万元，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日收到</w:t>
      </w:r>
      <w:r>
        <w:rPr>
          <w:spacing w:val="-44"/>
        </w:rPr>
        <w:t> </w:t>
      </w:r>
      <w:r>
        <w:rPr>
          <w:spacing w:val="-1"/>
        </w:rPr>
        <w:t>第二笔股权转让款人民币</w:t>
      </w:r>
      <w:r>
        <w:rPr>
          <w:rFonts w:ascii="Times New Roman" w:hAnsi="Times New Roman" w:cs="Times New Roman" w:eastAsia="Times New Roman" w:hint="default"/>
          <w:spacing w:val="-1"/>
        </w:rPr>
        <w:t>700.00</w:t>
      </w:r>
      <w:r>
        <w:rPr>
          <w:spacing w:val="-1"/>
        </w:rPr>
        <w:t>万元。该项股权转让完成后本公司持有上海跳跃</w:t>
      </w:r>
      <w:r>
        <w:rPr>
          <w:rFonts w:ascii="Times New Roman" w:hAnsi="Times New Roman" w:cs="Times New Roman" w:eastAsia="Times New Roman" w:hint="default"/>
          <w:spacing w:val="-1"/>
        </w:rPr>
        <w:t>36%</w:t>
      </w:r>
      <w:r>
        <w:rPr>
          <w:spacing w:val="-1"/>
        </w:rPr>
        <w:t>股权，对上海跳跃不再具有控制权，上</w:t>
      </w:r>
      <w:r>
        <w:rPr>
          <w:spacing w:val="-42"/>
        </w:rPr>
        <w:t> </w:t>
      </w:r>
      <w:r>
        <w:rPr>
          <w:spacing w:val="-42"/>
        </w:rPr>
      </w:r>
      <w:r>
        <w:rPr>
          <w:spacing w:val="-2"/>
        </w:rPr>
        <w:t>海跳跃成为本公司的联营企业，本公司依据会计准则要求对上海跳跃长期股权投资改为权益法核算，同时按照准则要求对剩</w:t>
      </w:r>
      <w:r>
        <w:rPr>
          <w:spacing w:val="-64"/>
        </w:rPr>
        <w:t> </w:t>
      </w:r>
      <w:r>
        <w:rPr>
          <w:spacing w:val="-64"/>
        </w:rPr>
      </w:r>
      <w:r>
        <w:rPr/>
        <w:t>余</w:t>
      </w:r>
      <w:r>
        <w:rPr>
          <w:rFonts w:ascii="Times New Roman" w:hAnsi="Times New Roman" w:cs="Times New Roman" w:eastAsia="Times New Roman" w:hint="default"/>
        </w:rPr>
        <w:t>36%</w:t>
      </w:r>
      <w:r>
        <w:rPr/>
        <w:t>股权按照其在丧失控制权日的公允价值进行重新计量并调增长期股权投资和投资收益人民币</w:t>
      </w:r>
      <w:r>
        <w:rPr>
          <w:rFonts w:ascii="Times New Roman" w:hAnsi="Times New Roman" w:cs="Times New Roman" w:eastAsia="Times New Roman" w:hint="default"/>
        </w:rPr>
        <w:t>34,733,237.76</w:t>
      </w:r>
      <w:r>
        <w:rPr/>
        <w:t>元。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日本公司第三届董事会第十五次</w:t>
      </w:r>
      <w:r>
        <w:rPr>
          <w:rFonts w:ascii="宋体" w:hAnsi="宋体" w:cs="宋体" w:eastAsia="宋体" w:hint="default"/>
        </w:rPr>
        <w:t>(</w:t>
      </w:r>
      <w:r>
        <w:rPr/>
        <w:t>临时</w:t>
      </w:r>
      <w:r>
        <w:rPr>
          <w:rFonts w:ascii="宋体" w:hAnsi="宋体" w:cs="宋体" w:eastAsia="宋体" w:hint="default"/>
        </w:rPr>
        <w:t>)</w:t>
      </w:r>
      <w:r>
        <w:rPr/>
        <w:t>会议审议并通过了《关于转让参股公司部分股权的议案》，本公司将其</w:t>
      </w:r>
      <w:r>
        <w:rPr>
          <w:spacing w:val="-83"/>
        </w:rPr>
        <w:t> </w:t>
      </w:r>
      <w:r>
        <w:rPr>
          <w:spacing w:val="-83"/>
        </w:rPr>
      </w:r>
      <w:r>
        <w:rPr>
          <w:spacing w:val="-2"/>
        </w:rPr>
        <w:t>持有上海跳跃全部</w:t>
      </w:r>
      <w:r>
        <w:rPr>
          <w:rFonts w:ascii="Times New Roman" w:hAnsi="Times New Roman" w:cs="Times New Roman" w:eastAsia="Times New Roman" w:hint="default"/>
          <w:spacing w:val="-2"/>
        </w:rPr>
        <w:t>36%</w:t>
      </w:r>
      <w:r>
        <w:rPr>
          <w:spacing w:val="-2"/>
        </w:rPr>
        <w:t>股权中的</w:t>
      </w:r>
      <w:r>
        <w:rPr>
          <w:rFonts w:ascii="Times New Roman" w:hAnsi="Times New Roman" w:cs="Times New Roman" w:eastAsia="Times New Roman" w:hint="default"/>
          <w:spacing w:val="-2"/>
        </w:rPr>
        <w:t>6%</w:t>
      </w:r>
      <w:r>
        <w:rPr>
          <w:spacing w:val="-2"/>
        </w:rPr>
        <w:t>转让给深圳鹏资创业投资企业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，股权转让价款为</w:t>
      </w:r>
      <w:r>
        <w:rPr>
          <w:rFonts w:ascii="Times New Roman" w:hAnsi="Times New Roman" w:cs="Times New Roman" w:eastAsia="Times New Roman" w:hint="default"/>
          <w:spacing w:val="-2"/>
        </w:rPr>
        <w:t>600.00</w:t>
      </w:r>
      <w:r>
        <w:rPr>
          <w:spacing w:val="-2"/>
        </w:rPr>
        <w:t>万元，本公司确认投资</w:t>
      </w:r>
      <w:r>
        <w:rPr>
          <w:spacing w:val="-39"/>
        </w:rPr>
        <w:t> </w:t>
      </w:r>
      <w:r>
        <w:rPr>
          <w:spacing w:val="-39"/>
        </w:rPr>
      </w:r>
      <w:r>
        <w:rPr/>
        <w:t>收益</w:t>
      </w:r>
      <w:r>
        <w:rPr>
          <w:rFonts w:ascii="Times New Roman" w:hAnsi="Times New Roman" w:cs="Times New Roman" w:eastAsia="Times New Roman" w:hint="default"/>
        </w:rPr>
        <w:t>3,721,077.23</w:t>
      </w:r>
      <w:r>
        <w:rPr/>
        <w:t>元。本公司于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日收到第一笔股权转让款人民币</w:t>
      </w:r>
      <w:r>
        <w:rPr>
          <w:rFonts w:ascii="Times New Roman" w:hAnsi="Times New Roman" w:cs="Times New Roman" w:eastAsia="Times New Roman" w:hint="default"/>
        </w:rPr>
        <w:t>300.00</w:t>
      </w:r>
      <w:r>
        <w:rPr/>
        <w:t>万元，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日收到第二笔股权转</w:t>
      </w:r>
      <w:r>
        <w:rPr>
          <w:spacing w:val="-85"/>
        </w:rPr>
        <w:t> </w:t>
      </w:r>
      <w:r>
        <w:rPr>
          <w:spacing w:val="-85"/>
        </w:rPr>
      </w:r>
      <w:r>
        <w:rPr/>
        <w:t>让款人民币</w:t>
      </w:r>
      <w:r>
        <w:rPr>
          <w:rFonts w:ascii="Times New Roman" w:hAnsi="Times New Roman" w:cs="Times New Roman" w:eastAsia="Times New Roman" w:hint="default"/>
        </w:rPr>
        <w:t>300.00</w:t>
      </w:r>
      <w:r>
        <w:rPr/>
        <w:t>万元。</w:t>
      </w:r>
    </w:p>
    <w:p>
      <w:pPr>
        <w:pStyle w:val="BodyText"/>
        <w:spacing w:line="316" w:lineRule="auto" w:before="11"/>
        <w:ind w:right="1129" w:firstLine="420"/>
        <w:jc w:val="both"/>
      </w:pP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20</w:t>
      </w:r>
      <w:r>
        <w:rPr/>
        <w:t>日本公司第三届董事会第二十一次（临时）会议审议并通过了《关于转让参股公司部分股权的议案》， 本公司将其持有上海跳跃</w:t>
      </w:r>
      <w:r>
        <w:rPr>
          <w:rFonts w:ascii="宋体" w:hAnsi="宋体" w:cs="宋体" w:eastAsia="宋体" w:hint="default"/>
        </w:rPr>
        <w:t>30%</w:t>
      </w:r>
      <w:r>
        <w:rPr/>
        <w:t>股权中的</w:t>
      </w:r>
      <w:r>
        <w:rPr>
          <w:rFonts w:ascii="宋体" w:hAnsi="宋体" w:cs="宋体" w:eastAsia="宋体" w:hint="default"/>
        </w:rPr>
        <w:t>10.1%</w:t>
      </w:r>
      <w:r>
        <w:rPr/>
        <w:t>转让给共青城先行网游投资管理合伙企业（有限合伙），股权转让价款为</w:t>
      </w:r>
      <w:r>
        <w:rPr>
          <w:rFonts w:ascii="宋体" w:hAnsi="宋体" w:cs="宋体" w:eastAsia="宋体" w:hint="default"/>
        </w:rPr>
        <w:t>9,292</w:t>
      </w:r>
      <w:r>
        <w:rPr>
          <w:rFonts w:ascii="宋体" w:hAnsi="宋体" w:cs="宋体" w:eastAsia="宋体" w:hint="default"/>
          <w:spacing w:val="-82"/>
        </w:rPr>
        <w:t> </w:t>
      </w:r>
      <w:r>
        <w:rPr/>
        <w:t>万元，本公司确认投资收益</w:t>
      </w:r>
      <w:r>
        <w:rPr>
          <w:rFonts w:ascii="宋体" w:hAnsi="宋体" w:cs="宋体" w:eastAsia="宋体" w:hint="default"/>
        </w:rPr>
        <w:t>90,053,988.78</w:t>
      </w:r>
      <w:r>
        <w:rPr/>
        <w:t>元。本公司于</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30</w:t>
      </w:r>
      <w:r>
        <w:rPr/>
        <w:t>日收到第一笔股权转让款人民币</w:t>
      </w:r>
      <w:r>
        <w:rPr>
          <w:rFonts w:ascii="宋体" w:hAnsi="宋体" w:cs="宋体" w:eastAsia="宋体" w:hint="default"/>
        </w:rPr>
        <w:t>8,500.00</w:t>
      </w:r>
      <w:r>
        <w:rPr/>
        <w:t>万元，</w:t>
      </w:r>
      <w:r>
        <w:rPr>
          <w:rFonts w:ascii="宋体" w:hAnsi="宋体" w:cs="宋体" w:eastAsia="宋体" w:hint="default"/>
        </w:rPr>
        <w:t>2015</w:t>
      </w:r>
      <w:r>
        <w:rPr>
          <w:rFonts w:ascii="宋体" w:hAnsi="宋体" w:cs="宋体" w:eastAsia="宋体" w:hint="default"/>
          <w:spacing w:val="-85"/>
        </w:rPr>
        <w:t> </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日收到第二笔股权转让款人民币</w:t>
      </w:r>
      <w:r>
        <w:rPr>
          <w:rFonts w:ascii="宋体" w:hAnsi="宋体" w:cs="宋体" w:eastAsia="宋体" w:hint="default"/>
          <w:spacing w:val="-2"/>
        </w:rPr>
        <w:t>400,00</w:t>
      </w:r>
      <w:r>
        <w:rPr>
          <w:spacing w:val="-2"/>
        </w:rPr>
        <w:t>万元，</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4</w:t>
      </w:r>
      <w:r>
        <w:rPr>
          <w:spacing w:val="-2"/>
        </w:rPr>
        <w:t>日收到第三笔股权转让款人民币</w:t>
      </w:r>
      <w:r>
        <w:rPr>
          <w:rFonts w:ascii="宋体" w:hAnsi="宋体" w:cs="宋体" w:eastAsia="宋体" w:hint="default"/>
          <w:spacing w:val="-2"/>
        </w:rPr>
        <w:t>392.00</w:t>
      </w:r>
      <w:r>
        <w:rPr>
          <w:spacing w:val="-2"/>
        </w:rPr>
        <w:t>万元。该项股权转</w:t>
      </w:r>
      <w:r>
        <w:rPr>
          <w:spacing w:val="-42"/>
        </w:rPr>
        <w:t> </w:t>
      </w:r>
      <w:r>
        <w:rPr>
          <w:spacing w:val="-42"/>
        </w:rPr>
      </w:r>
      <w:r>
        <w:rPr>
          <w:spacing w:val="-2"/>
        </w:rPr>
        <w:t>让完成后本公司持有上海跳跃</w:t>
      </w:r>
      <w:r>
        <w:rPr>
          <w:rFonts w:ascii="宋体" w:hAnsi="宋体" w:cs="宋体" w:eastAsia="宋体" w:hint="default"/>
          <w:spacing w:val="-2"/>
        </w:rPr>
        <w:t>19.90%</w:t>
      </w:r>
      <w:r>
        <w:rPr>
          <w:spacing w:val="-2"/>
        </w:rPr>
        <w:t>股权，对上海跳跃不再具有重大影响，由权益法核算转为可供出售金融资产按公允价值</w:t>
      </w:r>
      <w:r>
        <w:rPr>
          <w:spacing w:val="-58"/>
        </w:rPr>
        <w:t> </w:t>
      </w:r>
      <w:r>
        <w:rPr>
          <w:spacing w:val="-58"/>
        </w:rPr>
      </w:r>
      <w:r>
        <w:rPr/>
        <w:t>重新计量，确认投资收益</w:t>
      </w:r>
      <w:r>
        <w:rPr>
          <w:rFonts w:ascii="宋体" w:hAnsi="宋体" w:cs="宋体" w:eastAsia="宋体" w:hint="default"/>
        </w:rPr>
        <w:t>141,592,095.55</w:t>
      </w:r>
      <w:r>
        <w:rPr/>
        <w:t>元。</w:t>
      </w:r>
    </w:p>
    <w:p>
      <w:pPr>
        <w:pStyle w:val="BodyText"/>
        <w:spacing w:line="240" w:lineRule="auto" w:before="97"/>
        <w:ind w:right="0"/>
        <w:jc w:val="left"/>
      </w:pPr>
      <w:r>
        <w:rPr>
          <w:rFonts w:ascii="宋体" w:hAnsi="宋体" w:cs="宋体" w:eastAsia="宋体" w:hint="default"/>
        </w:rPr>
        <w:t>3</w:t>
      </w:r>
      <w:r>
        <w:rPr/>
        <w:t>、对上海美峰、深圳苏摩进行商誉减值</w:t>
      </w:r>
    </w:p>
    <w:p>
      <w:pPr>
        <w:pStyle w:val="BodyText"/>
        <w:spacing w:line="300" w:lineRule="auto" w:before="154"/>
        <w:ind w:right="1130" w:firstLine="420"/>
        <w:jc w:val="both"/>
      </w:pPr>
      <w:r>
        <w:rPr/>
        <w:t>经收益法评估，深圳苏摩股东全部权益价值的评估结果为</w:t>
      </w:r>
      <w:r>
        <w:rPr>
          <w:rFonts w:ascii="Times New Roman" w:hAnsi="Times New Roman" w:cs="Times New Roman" w:eastAsia="Times New Roman" w:hint="default"/>
        </w:rPr>
        <w:t>12,155.24</w:t>
      </w:r>
      <w:r>
        <w:rPr/>
        <w:t>万元，北京中林资产评估有限公司于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 </w:t>
      </w:r>
      <w:r>
        <w:rPr/>
        <w:t>日出具了编号为</w:t>
      </w:r>
      <w:r>
        <w:rPr>
          <w:rFonts w:ascii="Times New Roman" w:hAnsi="Times New Roman" w:cs="Times New Roman" w:eastAsia="Times New Roman" w:hint="default"/>
        </w:rPr>
        <w:t>“</w:t>
      </w:r>
      <w:r>
        <w:rPr/>
        <w:t>中林评字</w:t>
      </w:r>
      <w:r>
        <w:rPr>
          <w:rFonts w:ascii="Times New Roman" w:hAnsi="Times New Roman" w:cs="Times New Roman" w:eastAsia="Times New Roman" w:hint="default"/>
        </w:rPr>
        <w:t>[2016]10</w:t>
      </w:r>
      <w:r>
        <w:rPr/>
        <w:t>号</w:t>
      </w:r>
      <w:r>
        <w:rPr>
          <w:rFonts w:ascii="Times New Roman" w:hAnsi="Times New Roman" w:cs="Times New Roman" w:eastAsia="Times New Roman" w:hint="default"/>
        </w:rPr>
        <w:t>”</w:t>
      </w:r>
      <w:r>
        <w:rPr/>
        <w:t>的评估报告。本公司董事会认为，基于上述评估，截至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日对深圳苏摩商 誉计提</w:t>
      </w:r>
      <w:r>
        <w:rPr>
          <w:rFonts w:ascii="Times New Roman" w:hAnsi="Times New Roman" w:cs="Times New Roman" w:eastAsia="Times New Roman" w:hint="default"/>
        </w:rPr>
        <w:t>26,095,400.00</w:t>
      </w:r>
      <w:r>
        <w:rPr/>
        <w:t>元减值准备。</w:t>
      </w:r>
    </w:p>
    <w:p>
      <w:pPr>
        <w:pStyle w:val="BodyText"/>
        <w:spacing w:line="300" w:lineRule="auto" w:before="13"/>
        <w:ind w:right="1130" w:firstLine="420"/>
        <w:jc w:val="both"/>
      </w:pPr>
      <w:r>
        <w:rPr/>
        <w:t>经收益法评估，上海美峰股东全部权益价值的评估结果为</w:t>
      </w:r>
      <w:r>
        <w:rPr>
          <w:rFonts w:ascii="Times New Roman" w:hAnsi="Times New Roman" w:cs="Times New Roman" w:eastAsia="Times New Roman" w:hint="default"/>
        </w:rPr>
        <w:t>32,072.57</w:t>
      </w:r>
      <w:r>
        <w:rPr/>
        <w:t>万元，北京中林资产评估有限公司于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 </w:t>
      </w:r>
      <w:r>
        <w:rPr/>
        <w:t>日出具了编号为</w:t>
      </w:r>
      <w:r>
        <w:rPr>
          <w:rFonts w:ascii="Times New Roman" w:hAnsi="Times New Roman" w:cs="Times New Roman" w:eastAsia="Times New Roman" w:hint="default"/>
        </w:rPr>
        <w:t>“</w:t>
      </w:r>
      <w:r>
        <w:rPr/>
        <w:t>中林评字</w:t>
      </w:r>
      <w:r>
        <w:rPr>
          <w:rFonts w:ascii="Times New Roman" w:hAnsi="Times New Roman" w:cs="Times New Roman" w:eastAsia="Times New Roman" w:hint="default"/>
        </w:rPr>
        <w:t>[2016]5</w:t>
      </w:r>
      <w:r>
        <w:rPr/>
        <w:t>号</w:t>
      </w:r>
      <w:r>
        <w:rPr>
          <w:rFonts w:ascii="Times New Roman" w:hAnsi="Times New Roman" w:cs="Times New Roman" w:eastAsia="Times New Roman" w:hint="default"/>
        </w:rPr>
        <w:t>”</w:t>
      </w:r>
      <w:r>
        <w:rPr/>
        <w:t>的评估报告。本公司董事会认为，基于上述评估，截至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日对上海美峰商</w:t>
      </w:r>
      <w:r>
        <w:rPr>
          <w:spacing w:val="-14"/>
        </w:rPr>
        <w:t> </w:t>
      </w:r>
      <w:r>
        <w:rPr>
          <w:spacing w:val="-14"/>
        </w:rPr>
      </w:r>
      <w:r>
        <w:rPr/>
        <w:t>誉计提</w:t>
      </w:r>
      <w:r>
        <w:rPr>
          <w:rFonts w:ascii="Times New Roman" w:hAnsi="Times New Roman" w:cs="Times New Roman" w:eastAsia="Times New Roman" w:hint="default"/>
        </w:rPr>
        <w:t>159,107,532.00</w:t>
      </w:r>
      <w:r>
        <w:rPr/>
        <w:t>元减值准备。</w:t>
      </w:r>
    </w:p>
    <w:p>
      <w:pPr>
        <w:pStyle w:val="BodyText"/>
        <w:spacing w:line="300" w:lineRule="auto" w:before="13"/>
        <w:ind w:right="1130" w:firstLine="420"/>
        <w:jc w:val="both"/>
      </w:pPr>
      <w:r>
        <w:rPr/>
        <w:t>报告期内公司分别与上海美峰、深圳苏摩原股东签署了股权转让补充协议，对未付投资款</w:t>
      </w:r>
      <w:r>
        <w:rPr>
          <w:rFonts w:ascii="Times New Roman" w:hAnsi="Times New Roman" w:cs="Times New Roman" w:eastAsia="Times New Roman" w:hint="default"/>
        </w:rPr>
        <w:t>13,334</w:t>
      </w:r>
      <w:r>
        <w:rPr/>
        <w:t>万元及定向分红少数 </w:t>
      </w:r>
      <w:r>
        <w:rPr>
          <w:spacing w:val="-2"/>
        </w:rPr>
        <w:t>股东让渡分红权的金额</w:t>
      </w:r>
      <w:r>
        <w:rPr>
          <w:rFonts w:ascii="Times New Roman" w:hAnsi="Times New Roman" w:cs="Times New Roman" w:eastAsia="Times New Roman" w:hint="default"/>
          <w:spacing w:val="-2"/>
        </w:rPr>
        <w:t>2,866</w:t>
      </w:r>
      <w:r>
        <w:rPr>
          <w:spacing w:val="-2"/>
        </w:rPr>
        <w:t>万元，按会计准则确认营业外收入，两项合计金额为</w:t>
      </w:r>
      <w:r>
        <w:rPr>
          <w:rFonts w:ascii="Times New Roman" w:hAnsi="Times New Roman" w:cs="Times New Roman" w:eastAsia="Times New Roman" w:hint="default"/>
          <w:spacing w:val="-2"/>
        </w:rPr>
        <w:t>16,200</w:t>
      </w:r>
      <w:r>
        <w:rPr>
          <w:spacing w:val="-2"/>
        </w:rPr>
        <w:t>万元。同时公司财务部对上述两公司</w:t>
      </w:r>
      <w:r>
        <w:rPr>
          <w:spacing w:val="-56"/>
        </w:rPr>
        <w:t> </w:t>
      </w:r>
      <w:r>
        <w:rPr>
          <w:spacing w:val="-56"/>
        </w:rPr>
      </w:r>
      <w:r>
        <w:rPr/>
        <w:t>的合并商誉做初步减值测试，合计商誉减值金额约为</w:t>
      </w:r>
      <w:r>
        <w:rPr>
          <w:rFonts w:ascii="Times New Roman" w:hAnsi="Times New Roman" w:cs="Times New Roman" w:eastAsia="Times New Roman" w:hint="default"/>
        </w:rPr>
        <w:t>1.85</w:t>
      </w:r>
      <w:r>
        <w:rPr/>
        <w:t>亿元。</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十八、公司子公司重大事项" w:id="94"/>
      <w:bookmarkEnd w:id="94"/>
      <w:r>
        <w:rPr>
          <w:b w:val="0"/>
          <w:bCs w:val="0"/>
        </w:rPr>
      </w:r>
      <w:r>
        <w:rPr/>
        <w:t>十八、公司子公司重大事项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十九、社会责任情况" w:id="95"/>
      <w:bookmarkEnd w:id="95"/>
      <w:r>
        <w:rPr>
          <w:b w:val="0"/>
          <w:bCs w:val="0"/>
        </w:rPr>
      </w:r>
      <w:r>
        <w:rPr/>
        <w:t>十九、社会责任情况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二十、公司债券相关情况" w:id="96"/>
      <w:bookmarkEnd w:id="96"/>
      <w:r>
        <w:rPr>
          <w:b w:val="0"/>
          <w:bCs w:val="0"/>
        </w:rPr>
      </w:r>
      <w:r>
        <w:rPr/>
        <w:t>二十、公司债券相关情况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2113"/>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0"/>
        <w:jc w:val="left"/>
        <w:rPr>
          <w:b w:val="0"/>
          <w:bCs w:val="0"/>
        </w:rPr>
      </w:pPr>
      <w:bookmarkStart w:name="第六节 股份变动及股东情况" w:id="97"/>
      <w:bookmarkEnd w:id="97"/>
      <w:r>
        <w:rPr>
          <w:b w:val="0"/>
          <w:bCs w:val="0"/>
        </w:rPr>
      </w:r>
      <w:bookmarkStart w:name="_bookmark4" w:id="98"/>
      <w:bookmarkEnd w:id="98"/>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股份变动情况" w:id="99"/>
      <w:bookmarkEnd w:id="99"/>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left="1133" w:right="0"/>
        <w:jc w:val="left"/>
        <w:rPr>
          <w:b w:val="0"/>
          <w:bCs w:val="0"/>
        </w:rPr>
      </w:pPr>
      <w:bookmarkStart w:name="1、股份变动情况" w:id="100"/>
      <w:bookmarkEnd w:id="100"/>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204"/>
        <w:gridCol w:w="835"/>
        <w:gridCol w:w="824"/>
        <w:gridCol w:w="822"/>
        <w:gridCol w:w="822"/>
        <w:gridCol w:w="822"/>
        <w:gridCol w:w="822"/>
        <w:gridCol w:w="822"/>
        <w:gridCol w:w="794"/>
        <w:gridCol w:w="794"/>
      </w:tblGrid>
      <w:tr>
        <w:trPr>
          <w:trHeight w:val="402" w:hRule="exact"/>
        </w:trPr>
        <w:tc>
          <w:tcPr>
            <w:tcW w:w="2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7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04" w:type="dxa"/>
            <w:vMerge w:val="restart"/>
            <w:tcBorders>
              <w:top w:val="nil" w:sz="6" w:space="0" w:color="auto"/>
              <w:left w:val="single" w:sz="4" w:space="0" w:color="000000"/>
              <w:right w:val="single" w:sz="4" w:space="0" w:color="000000"/>
            </w:tcBorders>
            <w:shd w:val="clear" w:color="auto" w:fill="D2D2D2"/>
          </w:tcPr>
          <w:p>
            <w:pPr/>
          </w:p>
        </w:tc>
        <w:tc>
          <w:tcPr>
            <w:tcW w:w="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04" w:type="dxa"/>
            <w:vMerge/>
            <w:tcBorders>
              <w:left w:val="single" w:sz="4" w:space="0" w:color="000000"/>
              <w:bottom w:val="nil" w:sz="6" w:space="0" w:color="auto"/>
              <w:right w:val="single" w:sz="4" w:space="0" w:color="000000"/>
            </w:tcBorders>
            <w:shd w:val="clear" w:color="auto" w:fill="D2D2D2"/>
          </w:tcPr>
          <w:p>
            <w:pPr/>
          </w:p>
        </w:tc>
        <w:tc>
          <w:tcPr>
            <w:tcW w:w="8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04" w:type="dxa"/>
            <w:vMerge w:val="restart"/>
            <w:tcBorders>
              <w:top w:val="nil" w:sz="6" w:space="0" w:color="auto"/>
              <w:left w:val="single" w:sz="4" w:space="0" w:color="000000"/>
              <w:right w:val="single" w:sz="4" w:space="0" w:color="000000"/>
            </w:tcBorders>
            <w:shd w:val="clear" w:color="auto" w:fill="D2D2D2"/>
          </w:tcPr>
          <w:p>
            <w:pPr/>
          </w:p>
        </w:tc>
        <w:tc>
          <w:tcPr>
            <w:tcW w:w="835"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04" w:type="dxa"/>
            <w:vMerge/>
            <w:tcBorders>
              <w:left w:val="single" w:sz="4" w:space="0" w:color="000000"/>
              <w:bottom w:val="single" w:sz="4" w:space="0" w:color="000000"/>
              <w:right w:val="single" w:sz="4" w:space="0" w:color="000000"/>
            </w:tcBorders>
            <w:shd w:val="clear" w:color="auto" w:fill="D2D2D2"/>
          </w:tcPr>
          <w:p>
            <w:pPr/>
          </w:p>
        </w:tc>
        <w:tc>
          <w:tcPr>
            <w:tcW w:w="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835"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933,600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933,600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260,933,6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99.96%</w:t>
            </w:r>
          </w:p>
        </w:tc>
      </w:tr>
      <w:tr>
        <w:trPr>
          <w:trHeight w:val="392" w:hRule="exact"/>
        </w:trPr>
        <w:tc>
          <w:tcPr>
            <w:tcW w:w="22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35"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835"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835"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933,600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933,600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260,933,6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99.96%</w:t>
            </w:r>
          </w:p>
        </w:tc>
      </w:tr>
      <w:tr>
        <w:trPr>
          <w:trHeight w:val="392" w:hRule="exact"/>
        </w:trPr>
        <w:tc>
          <w:tcPr>
            <w:tcW w:w="22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35"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835"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835"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1,038,600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1,038,600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261,038,6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35"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835"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29" w:firstLine="420"/>
        <w:jc w:val="both"/>
      </w:pPr>
      <w:r>
        <w:rPr>
          <w:spacing w:val="-1"/>
        </w:rPr>
        <w:t>经公司董事会申请，深圳证券交易所确认、中国证券登记结算有限责任公司深圳分公司核准登记，以</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4</w:t>
      </w:r>
      <w:r>
        <w:rPr>
          <w:spacing w:val="-1"/>
        </w:rPr>
        <w:t>日为</w:t>
      </w:r>
      <w:r>
        <w:rPr/>
        <w:t> </w:t>
      </w:r>
      <w:r>
        <w:rPr>
          <w:spacing w:val="-2"/>
        </w:rPr>
        <w:t>股票期权行权登记日，对提出申请的</w:t>
      </w:r>
      <w:r>
        <w:rPr>
          <w:rFonts w:ascii="Times New Roman" w:hAnsi="Times New Roman" w:cs="Times New Roman" w:eastAsia="Times New Roman" w:hint="default"/>
          <w:spacing w:val="-2"/>
        </w:rPr>
        <w:t>59</w:t>
      </w:r>
      <w:r>
        <w:rPr>
          <w:spacing w:val="-2"/>
        </w:rPr>
        <w:t>名激励对象的</w:t>
      </w:r>
      <w:r>
        <w:rPr>
          <w:rFonts w:ascii="Times New Roman" w:hAnsi="Times New Roman" w:cs="Times New Roman" w:eastAsia="Times New Roman" w:hint="default"/>
          <w:spacing w:val="-2"/>
        </w:rPr>
        <w:t>1,038,600</w:t>
      </w:r>
      <w:r>
        <w:rPr>
          <w:spacing w:val="-2"/>
        </w:rPr>
        <w:t>份股票期权予以行权。其中，由于公司副总经理张宇庆先生于</w:t>
      </w:r>
      <w:r>
        <w:rPr>
          <w:spacing w:val="-57"/>
        </w:rPr>
        <w:t> </w:t>
      </w:r>
      <w:r>
        <w:rPr>
          <w:spacing w:val="-57"/>
        </w:rPr>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20</w:t>
      </w:r>
      <w:r>
        <w:rPr>
          <w:spacing w:val="-2"/>
        </w:rPr>
        <w:t>日离职，按照相关法律、法规的规定，张宇庆先生在离任后六个月内不得转让其所持上述股份。</w:t>
      </w:r>
      <w:r>
        <w:rPr>
          <w:rFonts w:ascii="Times New Roman" w:hAnsi="Times New Roman" w:cs="Times New Roman" w:eastAsia="Times New Roman" w:hint="default"/>
          <w:spacing w:val="-2"/>
        </w:rPr>
        <w:t>2015</w:t>
      </w:r>
      <w:r>
        <w:rPr>
          <w:spacing w:val="-2"/>
        </w:rPr>
        <w:t>年的限售</w:t>
      </w:r>
      <w:r>
        <w:rPr>
          <w:spacing w:val="-53"/>
        </w:rPr>
        <w:t> </w:t>
      </w:r>
      <w:r>
        <w:rPr/>
        <w:t>股由</w:t>
      </w:r>
      <w:r>
        <w:rPr>
          <w:rFonts w:ascii="Times New Roman" w:hAnsi="Times New Roman" w:cs="Times New Roman" w:eastAsia="Times New Roman" w:hint="default"/>
        </w:rPr>
        <w:t>0</w:t>
      </w:r>
      <w:r>
        <w:rPr/>
        <w:t>股变为</w:t>
      </w:r>
      <w:r>
        <w:rPr>
          <w:rFonts w:ascii="Times New Roman" w:hAnsi="Times New Roman" w:cs="Times New Roman" w:eastAsia="Times New Roman" w:hint="default"/>
        </w:rPr>
        <w:t>105,000</w:t>
      </w:r>
      <w:r>
        <w:rPr/>
        <w:t>股，因此高管锁定股增加了</w:t>
      </w:r>
      <w:r>
        <w:rPr>
          <w:rFonts w:ascii="Times New Roman" w:hAnsi="Times New Roman" w:cs="Times New Roman" w:eastAsia="Times New Roman" w:hint="default"/>
        </w:rPr>
        <w:t>105,000</w:t>
      </w:r>
      <w:r>
        <w:rPr/>
        <w:t>股。</w:t>
      </w:r>
    </w:p>
    <w:p>
      <w:pPr>
        <w:pStyle w:val="BodyText"/>
        <w:spacing w:line="240" w:lineRule="auto" w:before="76"/>
        <w:ind w:left="1134" w:right="0"/>
        <w:jc w:val="left"/>
      </w:pPr>
      <w:r>
        <w:rPr/>
        <w:t>股份变动的批准情况</w:t>
      </w:r>
    </w:p>
    <w:p>
      <w:pPr>
        <w:pStyle w:val="BodyText"/>
        <w:spacing w:line="240" w:lineRule="auto" w:before="99"/>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118" w:firstLine="420"/>
        <w:jc w:val="lef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9</w:t>
      </w:r>
      <w:r>
        <w:rPr>
          <w:spacing w:val="-1"/>
        </w:rPr>
        <w:t>日，公司</w:t>
      </w:r>
      <w:r>
        <w:rPr>
          <w:rFonts w:ascii="Times New Roman" w:hAnsi="Times New Roman" w:cs="Times New Roman" w:eastAsia="Times New Roman" w:hint="default"/>
          <w:spacing w:val="-1"/>
        </w:rPr>
        <w:t>2015-078</w:t>
      </w:r>
      <w:r>
        <w:rPr>
          <w:spacing w:val="-1"/>
        </w:rPr>
        <w:t>号《关于股票期权激励计划中首次授予的期权第二个行权期行权情况的公告》披露：公</w:t>
      </w:r>
      <w:r>
        <w:rPr/>
        <w:t> 司于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16</w:t>
      </w:r>
      <w:r>
        <w:rPr>
          <w:rFonts w:ascii="Times New Roman" w:hAnsi="Times New Roman" w:cs="Times New Roman" w:eastAsia="Times New Roman" w:hint="default"/>
          <w:spacing w:val="-21"/>
        </w:rPr>
        <w:t> </w:t>
      </w:r>
      <w:r>
        <w:rPr/>
        <w:t>日召开的第三届董事会第十八次</w:t>
      </w:r>
      <w:r>
        <w:rPr>
          <w:rFonts w:ascii="宋体" w:hAnsi="宋体" w:cs="宋体" w:eastAsia="宋体" w:hint="default"/>
        </w:rPr>
        <w:t>(</w:t>
      </w:r>
      <w:r>
        <w:rPr/>
        <w:t>临时</w:t>
      </w:r>
      <w:r>
        <w:rPr>
          <w:rFonts w:ascii="宋体" w:hAnsi="宋体" w:cs="宋体" w:eastAsia="宋体" w:hint="default"/>
        </w:rPr>
        <w:t>)</w:t>
      </w:r>
      <w:r>
        <w:rPr/>
        <w:t>会议审议通过了《关于股票期权激励计划中首次授予的期权</w:t>
      </w:r>
    </w:p>
    <w:p>
      <w:pPr>
        <w:pStyle w:val="BodyText"/>
        <w:spacing w:line="300" w:lineRule="auto" w:before="13"/>
        <w:ind w:right="1129"/>
        <w:jc w:val="both"/>
      </w:pPr>
      <w:r>
        <w:rPr>
          <w:spacing w:val="-9"/>
        </w:rPr>
        <w:t>第二个行权期可行权的议案》，符合行权条件的</w:t>
      </w:r>
      <w:r>
        <w:rPr/>
        <w:t> </w:t>
      </w:r>
      <w:r>
        <w:rPr>
          <w:rFonts w:ascii="Times New Roman" w:hAnsi="Times New Roman" w:cs="Times New Roman" w:eastAsia="Times New Roman" w:hint="default"/>
        </w:rPr>
        <w:t>59 </w:t>
      </w:r>
      <w:r>
        <w:rPr>
          <w:spacing w:val="-3"/>
        </w:rPr>
        <w:t>名激励对象全部申请行权，在第二个行权期可行权的股票期权共计</w:t>
      </w:r>
      <w:r>
        <w:rPr>
          <w:spacing w:val="-36"/>
        </w:rPr>
        <w:t> </w:t>
      </w:r>
      <w:r>
        <w:rPr>
          <w:rFonts w:ascii="Times New Roman" w:hAnsi="Times New Roman" w:cs="Times New Roman" w:eastAsia="Times New Roman" w:hint="default"/>
        </w:rPr>
        <w:t>103.86 </w:t>
      </w:r>
      <w:r>
        <w:rPr/>
        <w:t>万份股票期权，为其获授期权总量的 </w:t>
      </w:r>
      <w:r>
        <w:rPr>
          <w:rFonts w:ascii="Times New Roman" w:hAnsi="Times New Roman" w:cs="Times New Roman" w:eastAsia="Times New Roman" w:hint="default"/>
        </w:rPr>
        <w:t>30%</w:t>
      </w:r>
      <w:r>
        <w:rPr/>
        <w:t>，行权价格为</w:t>
      </w:r>
      <w:r>
        <w:rPr>
          <w:rFonts w:ascii="Times New Roman" w:hAnsi="Times New Roman" w:cs="Times New Roman" w:eastAsia="Times New Roman" w:hint="default"/>
        </w:rPr>
        <w:t>6.54</w:t>
      </w:r>
      <w:r>
        <w:rPr>
          <w:rFonts w:ascii="Times New Roman" w:hAnsi="Times New Roman" w:cs="Times New Roman" w:eastAsia="Times New Roman" w:hint="default"/>
          <w:spacing w:val="-15"/>
        </w:rPr>
        <w:t> </w:t>
      </w:r>
      <w:r>
        <w:rPr/>
        <w:t>元</w:t>
      </w:r>
      <w:r>
        <w:rPr>
          <w:rFonts w:ascii="Times New Roman" w:hAnsi="Times New Roman" w:cs="Times New Roman" w:eastAsia="Times New Roman" w:hint="default"/>
        </w:rPr>
        <w:t>/</w:t>
      </w:r>
      <w:r>
        <w:rPr/>
        <w:t>股。经公司董事会申请，深圳证券交易所确认、中国证券登 记结算有限责任公司深圳分公司核准登记，以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4 </w:t>
      </w:r>
      <w:r>
        <w:rPr/>
        <w:t>日为股票期权行权登记日，对本次提出申请的 </w:t>
      </w:r>
      <w:r>
        <w:rPr>
          <w:rFonts w:ascii="Times New Roman" w:hAnsi="Times New Roman" w:cs="Times New Roman" w:eastAsia="Times New Roman" w:hint="default"/>
        </w:rPr>
        <w:t>59</w:t>
      </w:r>
      <w:r>
        <w:rPr>
          <w:rFonts w:ascii="Times New Roman" w:hAnsi="Times New Roman" w:cs="Times New Roman" w:eastAsia="Times New Roman" w:hint="default"/>
          <w:spacing w:val="3"/>
        </w:rPr>
        <w:t> </w:t>
      </w:r>
      <w:r>
        <w:rPr/>
        <w:t>名激励对</w:t>
      </w:r>
    </w:p>
    <w:p>
      <w:pPr>
        <w:pStyle w:val="BodyText"/>
        <w:spacing w:line="362" w:lineRule="auto" w:before="13"/>
        <w:ind w:left="1134" w:right="7774"/>
        <w:jc w:val="left"/>
      </w:pPr>
      <w:r>
        <w:rPr/>
        <w:t>象的 </w:t>
      </w:r>
      <w:r>
        <w:rPr>
          <w:rFonts w:ascii="Times New Roman" w:hAnsi="Times New Roman" w:cs="Times New Roman" w:eastAsia="Times New Roman" w:hint="default"/>
        </w:rPr>
        <w:t>103.86</w:t>
      </w:r>
      <w:r>
        <w:rPr>
          <w:rFonts w:ascii="Times New Roman" w:hAnsi="Times New Roman" w:cs="Times New Roman" w:eastAsia="Times New Roman" w:hint="default"/>
          <w:spacing w:val="8"/>
        </w:rPr>
        <w:t> </w:t>
      </w:r>
      <w:r>
        <w:rPr/>
        <w:t>万份股票期权予以行权。 股份变动的过户情况</w:t>
      </w:r>
    </w:p>
    <w:p>
      <w:pPr>
        <w:pStyle w:val="BodyText"/>
        <w:spacing w:line="240" w:lineRule="auto" w:before="49"/>
        <w:ind w:left="11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1553" w:right="0"/>
        <w:jc w:val="left"/>
        <w:rPr>
          <w:rFonts w:ascii="Times New Roman" w:hAnsi="Times New Roman" w:cs="Times New Roman" w:eastAsia="Times New Roman" w:hint="default"/>
        </w:rPr>
      </w:pPr>
      <w:r>
        <w:rPr/>
        <w:t>经公司董事会申请，深圳证券交易所确认、中国证券登记结算有限责任公司深圳分公司核准登记，以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11 </w:t>
      </w:r>
      <w:r>
        <w:rPr/>
        <w:t>月</w:t>
      </w:r>
      <w:r>
        <w:rPr>
          <w:spacing w:val="-52"/>
        </w:rPr>
        <w:t> </w:t>
      </w:r>
      <w:r>
        <w:rPr>
          <w:rFonts w:ascii="Times New Roman" w:hAnsi="Times New Roman" w:cs="Times New Roman" w:eastAsia="Times New Roman" w:hint="default"/>
        </w:rPr>
        <w:t>4</w:t>
      </w:r>
    </w:p>
    <w:p>
      <w:pPr>
        <w:pStyle w:val="BodyText"/>
        <w:spacing w:line="240" w:lineRule="auto" w:before="63"/>
        <w:ind w:left="1134" w:right="0"/>
        <w:jc w:val="both"/>
      </w:pPr>
      <w:r>
        <w:rPr/>
        <w:t>日为股票期权行权登记日，对本次提出申请的 </w:t>
      </w:r>
      <w:r>
        <w:rPr>
          <w:rFonts w:ascii="Times New Roman" w:hAnsi="Times New Roman" w:cs="Times New Roman" w:eastAsia="Times New Roman" w:hint="default"/>
        </w:rPr>
        <w:t>59 </w:t>
      </w:r>
      <w:r>
        <w:rPr/>
        <w:t>名激励对象的 </w:t>
      </w:r>
      <w:r>
        <w:rPr>
          <w:rFonts w:ascii="Times New Roman" w:hAnsi="Times New Roman" w:cs="Times New Roman" w:eastAsia="Times New Roman" w:hint="default"/>
        </w:rPr>
        <w:t>103.86</w:t>
      </w:r>
      <w:r>
        <w:rPr>
          <w:rFonts w:ascii="Times New Roman" w:hAnsi="Times New Roman" w:cs="Times New Roman" w:eastAsia="Times New Roman" w:hint="default"/>
          <w:spacing w:val="17"/>
        </w:rPr>
        <w:t> </w:t>
      </w:r>
      <w:r>
        <w:rPr/>
        <w:t>万份股票期权予以行权。</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left="1134" w:right="0"/>
        <w:jc w:val="both"/>
      </w:pPr>
      <w:r>
        <w:rPr/>
        <w:t>股份变动对最近一年和最近一期基本每股收益和稀释每股收益、归属于公司普通股股东的每股净资产等财务指标的影响</w:t>
      </w:r>
    </w:p>
    <w:p>
      <w:pPr>
        <w:pStyle w:val="BodyText"/>
        <w:spacing w:line="240" w:lineRule="auto" w:before="116"/>
        <w:ind w:left="11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left="1134" w:right="1123" w:firstLine="420"/>
        <w:jc w:val="left"/>
      </w:pPr>
      <w:r>
        <w:rPr>
          <w:spacing w:val="-9"/>
        </w:rPr>
        <w:t>报告期内，由于总股本变动（增加）小于</w:t>
      </w:r>
      <w:r>
        <w:rPr>
          <w:spacing w:val="-22"/>
        </w:rPr>
        <w:t> </w:t>
      </w:r>
      <w:r>
        <w:rPr>
          <w:rFonts w:ascii="Times New Roman" w:hAnsi="Times New Roman" w:cs="Times New Roman" w:eastAsia="Times New Roman" w:hint="default"/>
          <w:spacing w:val="-2"/>
        </w:rPr>
        <w:t>0.4%</w:t>
      </w:r>
      <w:r>
        <w:rPr>
          <w:spacing w:val="-2"/>
        </w:rPr>
        <w:t>，采用加权平均法计算总股本后的归属于公司普通股股东的每股净资产、</w:t>
      </w:r>
      <w:r>
        <w:rPr/>
        <w:t> 基本每股收益和稀释每股收益等财务指标均保持不变。</w:t>
      </w:r>
    </w:p>
    <w:p>
      <w:pPr>
        <w:pStyle w:val="BodyText"/>
        <w:spacing w:line="240" w:lineRule="auto" w:before="70"/>
        <w:ind w:left="1134" w:right="0"/>
        <w:jc w:val="both"/>
      </w:pPr>
      <w:r>
        <w:rPr/>
        <w:t>公司认为必要或证券监管机构要求披露的其他内容</w:t>
      </w:r>
    </w:p>
    <w:p>
      <w:pPr>
        <w:pStyle w:val="BodyText"/>
        <w:spacing w:line="240" w:lineRule="auto" w:before="116"/>
        <w:ind w:left="11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240" w:lineRule="auto"/>
        <w:ind w:left="1133" w:right="0"/>
        <w:jc w:val="both"/>
        <w:rPr>
          <w:b w:val="0"/>
          <w:bCs w:val="0"/>
        </w:rPr>
      </w:pPr>
      <w:bookmarkStart w:name="2、限售股份变动情况" w:id="101"/>
      <w:bookmarkEnd w:id="101"/>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714"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78" w:right="39"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78" w:right="3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张宇庆</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离职锁定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105,000</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3"/>
        <w:spacing w:line="240" w:lineRule="auto" w:before="26"/>
        <w:ind w:left="1134" w:right="0"/>
        <w:jc w:val="left"/>
        <w:rPr>
          <w:b w:val="0"/>
          <w:bCs w:val="0"/>
        </w:rPr>
      </w:pPr>
      <w:bookmarkStart w:name="二、证券发行与上市情况" w:id="102"/>
      <w:bookmarkEnd w:id="102"/>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left="1133" w:right="0"/>
        <w:jc w:val="left"/>
        <w:rPr>
          <w:b w:val="0"/>
          <w:bCs w:val="0"/>
        </w:rPr>
      </w:pPr>
      <w:bookmarkStart w:name="1、报告期内证券发行(不含优先股)情况" w:id="103"/>
      <w:bookmarkEnd w:id="103"/>
      <w:r>
        <w:rPr>
          <w:b w:val="0"/>
          <w:bCs w:val="0"/>
        </w:rPr>
      </w:r>
      <w:r>
        <w:rPr>
          <w:rFonts w:ascii="Times New Roman" w:hAnsi="Times New Roman" w:cs="Times New Roman" w:eastAsia="Times New Roman" w:hint="default"/>
        </w:rPr>
        <w:t>1</w:t>
      </w:r>
      <w:r>
        <w:rPr/>
        <w:t>、报告期内证券发行</w:t>
      </w:r>
      <w:r>
        <w:rPr>
          <w:rFonts w:ascii="Times New Roman" w:hAnsi="Times New Roman" w:cs="Times New Roman" w:eastAsia="Times New Roman" w:hint="default"/>
        </w:rPr>
        <w:t>(</w:t>
      </w:r>
      <w:r>
        <w:rPr/>
        <w:t>不含优先股</w:t>
      </w:r>
      <w:r>
        <w:rPr>
          <w:rFonts w:ascii="Times New Roman" w:hAnsi="Times New Roman" w:cs="Times New Roman" w:eastAsia="Times New Roman" w:hint="default"/>
        </w:rPr>
        <w:t>)</w:t>
      </w:r>
      <w:r>
        <w:rPr/>
        <w:t>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22" w:right="71" w:hanging="450"/>
              <w:jc w:val="left"/>
              <w:rPr>
                <w:rFonts w:ascii="Times New Roman" w:hAnsi="Times New Roman" w:cs="Times New Roman" w:eastAsia="Times New Roman" w:hint="default"/>
                <w:sz w:val="18"/>
                <w:szCs w:val="18"/>
              </w:rPr>
            </w:pPr>
            <w:r>
              <w:rPr>
                <w:rFonts w:ascii="宋体" w:hAnsi="宋体" w:cs="宋体" w:eastAsia="宋体" w:hint="default"/>
                <w:sz w:val="18"/>
                <w:szCs w:val="18"/>
              </w:rPr>
              <w:t>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或利 率</w:t>
            </w:r>
            <w:r>
              <w:rPr>
                <w:rFonts w:ascii="Times New Roman" w:hAnsi="Times New Roman" w:cs="Times New Roman" w:eastAsia="Times New Roman"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6.54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1,038,600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1" w:right="0"/>
              <w:jc w:val="left"/>
              <w:rPr>
                <w:rFonts w:ascii="Times New Roman" w:hAnsi="Times New Roman" w:cs="Times New Roman" w:eastAsia="Times New Roman" w:hint="default"/>
                <w:sz w:val="18"/>
                <w:szCs w:val="18"/>
              </w:rPr>
            </w:pPr>
            <w:r>
              <w:rPr>
                <w:rFonts w:ascii="Times New Roman"/>
                <w:sz w:val="18"/>
              </w:rPr>
              <w:t>1,038,600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before="44"/>
        <w:ind w:left="1553" w:right="1153" w:hanging="420"/>
        <w:jc w:val="left"/>
      </w:pPr>
      <w:r>
        <w:rPr/>
        <w:t>报告期内证券发行</w:t>
      </w:r>
      <w:r>
        <w:rPr>
          <w:rFonts w:ascii="Times New Roman" w:hAnsi="Times New Roman" w:cs="Times New Roman" w:eastAsia="Times New Roman" w:hint="default"/>
        </w:rPr>
        <w:t>(</w:t>
      </w:r>
      <w:r>
        <w:rPr/>
        <w:t>不含优先股</w:t>
      </w:r>
      <w:r>
        <w:rPr>
          <w:rFonts w:ascii="Times New Roman" w:hAnsi="Times New Roman" w:cs="Times New Roman" w:eastAsia="Times New Roman" w:hint="default"/>
        </w:rPr>
        <w:t>)</w:t>
      </w:r>
      <w:r>
        <w:rPr/>
        <w:t>情况的说明 经公司第三届董事会第十八次</w:t>
      </w:r>
      <w:r>
        <w:rPr>
          <w:rFonts w:ascii="宋体" w:hAnsi="宋体" w:cs="宋体" w:eastAsia="宋体" w:hint="default"/>
        </w:rPr>
        <w:t>(</w:t>
      </w:r>
      <w:r>
        <w:rPr/>
        <w:t>临时</w:t>
      </w:r>
      <w:r>
        <w:rPr>
          <w:rFonts w:ascii="宋体" w:hAnsi="宋体" w:cs="宋体" w:eastAsia="宋体" w:hint="default"/>
        </w:rPr>
        <w:t>)</w:t>
      </w:r>
      <w:r>
        <w:rPr/>
        <w:t>会议通过，深圳证券交易所确认、中国证券登记结算有限责任公司深圳分公司核</w:t>
      </w:r>
    </w:p>
    <w:p>
      <w:pPr>
        <w:pStyle w:val="BodyText"/>
        <w:spacing w:line="240" w:lineRule="auto" w:before="2"/>
        <w:ind w:right="0"/>
        <w:jc w:val="left"/>
      </w:pPr>
      <w:r>
        <w:rPr/>
        <w:t>准登记，以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日为股票期权行权登记日，对提出申请的</w:t>
      </w:r>
      <w:r>
        <w:rPr>
          <w:rFonts w:ascii="Times New Roman" w:hAnsi="Times New Roman" w:cs="Times New Roman" w:eastAsia="Times New Roman" w:hint="default"/>
        </w:rPr>
        <w:t>59</w:t>
      </w:r>
      <w:r>
        <w:rPr/>
        <w:t>名激励对象的</w:t>
      </w:r>
      <w:r>
        <w:rPr>
          <w:rFonts w:ascii="Times New Roman" w:hAnsi="Times New Roman" w:cs="Times New Roman" w:eastAsia="Times New Roman" w:hint="default"/>
        </w:rPr>
        <w:t>103.86</w:t>
      </w:r>
      <w:r>
        <w:rPr/>
        <w:t>万份股票期权予以行权。</w:t>
      </w:r>
    </w:p>
    <w:p>
      <w:pPr>
        <w:spacing w:line="240" w:lineRule="auto" w:before="12"/>
        <w:rPr>
          <w:rFonts w:ascii="宋体" w:hAnsi="宋体" w:cs="宋体" w:eastAsia="宋体" w:hint="default"/>
          <w:sz w:val="25"/>
          <w:szCs w:val="25"/>
        </w:rPr>
      </w:pPr>
    </w:p>
    <w:p>
      <w:pPr>
        <w:pStyle w:val="Heading7"/>
        <w:spacing w:line="240" w:lineRule="auto"/>
        <w:ind w:right="0"/>
        <w:jc w:val="left"/>
        <w:rPr>
          <w:b w:val="0"/>
          <w:bCs w:val="0"/>
        </w:rPr>
      </w:pPr>
      <w:bookmarkStart w:name="2、公司股份总数及股东结构的变动、公司资产和负债结构的变动情况说明" w:id="104"/>
      <w:bookmarkEnd w:id="104"/>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9" w:lineRule="auto" w:before="102"/>
        <w:ind w:right="1171" w:firstLine="420"/>
        <w:jc w:val="both"/>
      </w:pPr>
      <w:r>
        <w:rPr/>
        <w:t>经公司第三届董事会第十八次</w:t>
      </w:r>
      <w:r>
        <w:rPr>
          <w:rFonts w:ascii="宋体" w:hAnsi="宋体" w:cs="宋体" w:eastAsia="宋体" w:hint="default"/>
        </w:rPr>
        <w:t>(</w:t>
      </w:r>
      <w:r>
        <w:rPr/>
        <w:t>临时</w:t>
      </w:r>
      <w:r>
        <w:rPr>
          <w:rFonts w:ascii="宋体" w:hAnsi="宋体" w:cs="宋体" w:eastAsia="宋体" w:hint="default"/>
        </w:rPr>
        <w:t>)</w:t>
      </w:r>
      <w:r>
        <w:rPr/>
        <w:t>会议审议通过，深圳证券交易所确认、中国证券登记结算有限责任公司深圳分公 司核准登记，以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日为股票期权行权登记日，对提出申请的</w:t>
      </w:r>
      <w:r>
        <w:rPr>
          <w:rFonts w:ascii="Times New Roman" w:hAnsi="Times New Roman" w:cs="Times New Roman" w:eastAsia="Times New Roman" w:hint="default"/>
        </w:rPr>
        <w:t>59</w:t>
      </w:r>
      <w:r>
        <w:rPr/>
        <w:t>名激励对象的</w:t>
      </w:r>
      <w:r>
        <w:rPr>
          <w:rFonts w:ascii="Times New Roman" w:hAnsi="Times New Roman" w:cs="Times New Roman" w:eastAsia="Times New Roman" w:hint="default"/>
        </w:rPr>
        <w:t>103.86</w:t>
      </w:r>
      <w:r>
        <w:rPr/>
        <w:t>万份股票期权予以行权。发行 后，股份总数有</w:t>
      </w:r>
      <w:r>
        <w:rPr>
          <w:rFonts w:ascii="Times New Roman" w:hAnsi="Times New Roman" w:cs="Times New Roman" w:eastAsia="Times New Roman" w:hint="default"/>
        </w:rPr>
        <w:t>260,000,000</w:t>
      </w:r>
      <w:r>
        <w:rPr/>
        <w:t>股变为</w:t>
      </w:r>
      <w:r>
        <w:rPr>
          <w:rFonts w:ascii="Times New Roman" w:hAnsi="Times New Roman" w:cs="Times New Roman" w:eastAsia="Times New Roman" w:hint="default"/>
        </w:rPr>
        <w:t>261,038,600</w:t>
      </w:r>
      <w:r>
        <w:rPr/>
        <w:t>股，公司已于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日完成工商变更。</w:t>
      </w:r>
    </w:p>
    <w:p>
      <w:pPr>
        <w:spacing w:line="240" w:lineRule="auto" w:before="6"/>
        <w:rPr>
          <w:rFonts w:ascii="宋体" w:hAnsi="宋体" w:cs="宋体" w:eastAsia="宋体" w:hint="default"/>
          <w:sz w:val="21"/>
          <w:szCs w:val="21"/>
        </w:rPr>
      </w:pPr>
    </w:p>
    <w:p>
      <w:pPr>
        <w:pStyle w:val="Heading7"/>
        <w:spacing w:line="240" w:lineRule="auto"/>
        <w:ind w:left="1133" w:right="0"/>
        <w:jc w:val="left"/>
        <w:rPr>
          <w:b w:val="0"/>
          <w:bCs w:val="0"/>
        </w:rPr>
      </w:pPr>
      <w:bookmarkStart w:name="3、现存的内部职工股情况" w:id="105"/>
      <w:bookmarkEnd w:id="105"/>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三、股东和实际控制人情况" w:id="106"/>
      <w:bookmarkEnd w:id="106"/>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left="1133" w:right="0"/>
        <w:jc w:val="left"/>
        <w:rPr>
          <w:b w:val="0"/>
          <w:bCs w:val="0"/>
        </w:rPr>
      </w:pPr>
      <w:bookmarkStart w:name="1、公司股东数量及持股情况" w:id="107"/>
      <w:bookmarkEnd w:id="107"/>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35"/>
        <w:gridCol w:w="134"/>
        <w:gridCol w:w="673"/>
        <w:gridCol w:w="739"/>
        <w:gridCol w:w="744"/>
        <w:gridCol w:w="831"/>
        <w:gridCol w:w="344"/>
        <w:gridCol w:w="445"/>
        <w:gridCol w:w="824"/>
        <w:gridCol w:w="802"/>
        <w:gridCol w:w="323"/>
        <w:gridCol w:w="1027"/>
        <w:gridCol w:w="279"/>
        <w:gridCol w:w="1071"/>
      </w:tblGrid>
      <w:tr>
        <w:trPr>
          <w:trHeight w:val="162"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33,507</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31,006</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2"/>
              <w:ind w:left="11"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年度报告披露日 前上一月末表决 权恢复的优先股 股东总数</w:t>
            </w:r>
            <w:r>
              <w:rPr>
                <w:rFonts w:ascii="Times New Roman" w:hAnsi="Times New Roman" w:cs="Times New Roman" w:eastAsia="Times New Roman" w:hint="default"/>
                <w:sz w:val="18"/>
                <w:szCs w:val="18"/>
              </w:rPr>
              <w:t>(</w:t>
            </w:r>
            <w:r>
              <w:rPr>
                <w:rFonts w:ascii="宋体" w:hAnsi="宋体" w:cs="宋体" w:eastAsia="宋体" w:hint="default"/>
                <w:sz w:val="18"/>
                <w:szCs w:val="18"/>
              </w:rPr>
              <w:t>如 有</w:t>
            </w:r>
            <w:r>
              <w:rPr>
                <w:rFonts w:ascii="Times New Roman" w:hAnsi="Times New Roman" w:cs="Times New Roman" w:eastAsia="Times New Roman" w:hint="default"/>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tc>
        <w:tc>
          <w:tcPr>
            <w:tcW w:w="1071"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2" w:lineRule="auto" w:before="51"/>
              <w:ind w:left="11" w:right="-13"/>
              <w:jc w:val="both"/>
              <w:rPr>
                <w:rFonts w:ascii="Times New Roman" w:hAnsi="Times New Roman" w:cs="Times New Roman" w:eastAsia="Times New Roman" w:hint="default"/>
                <w:sz w:val="18"/>
                <w:szCs w:val="18"/>
              </w:rPr>
            </w:pPr>
            <w:r>
              <w:rPr>
                <w:rFonts w:ascii="宋体" w:hAnsi="宋体" w:cs="宋体" w:eastAsia="宋体" w:hint="default"/>
                <w:sz w:val="18"/>
                <w:szCs w:val="18"/>
              </w:rPr>
              <w:t>报告期末表决权 恢复的优先股股 东总数</w:t>
            </w:r>
            <w:r>
              <w:rPr>
                <w:rFonts w:ascii="Times New Roman" w:hAnsi="Times New Roman" w:cs="Times New Roman" w:eastAsia="Times New Roman" w:hint="default"/>
                <w:sz w:val="18"/>
                <w:szCs w:val="18"/>
              </w:rPr>
              <w:t>(</w:t>
            </w: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r>
              <w:rPr>
                <w:rFonts w:ascii="宋体" w:hAnsi="宋体" w:cs="宋体" w:eastAsia="宋体" w:hint="default"/>
                <w:sz w:val="18"/>
                <w:szCs w:val="18"/>
              </w:rPr>
              <w:t>参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71" w:type="dxa"/>
            <w:vMerge/>
            <w:tcBorders>
              <w:left w:val="single" w:sz="13" w:space="0" w:color="D2D2D2"/>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71" w:type="dxa"/>
            <w:vMerge/>
            <w:tcBorders>
              <w:left w:val="single" w:sz="13" w:space="0" w:color="D2D2D2"/>
              <w:right w:val="single" w:sz="4" w:space="0" w:color="000000"/>
            </w:tcBorders>
          </w:tcPr>
          <w:p>
            <w:pPr/>
          </w:p>
        </w:tc>
      </w:tr>
      <w:tr>
        <w:trPr>
          <w:trHeight w:val="704"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71" w:type="dxa"/>
            <w:vMerge/>
            <w:tcBorders>
              <w:left w:val="single" w:sz="13" w:space="0" w:color="D2D2D2"/>
              <w:right w:val="single" w:sz="4" w:space="0" w:color="000000"/>
            </w:tcBorders>
          </w:tcPr>
          <w:p>
            <w:pP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71" w:type="dxa"/>
            <w:vMerge/>
            <w:tcBorders>
              <w:left w:val="single" w:sz="13" w:space="0" w:color="D2D2D2"/>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71" w:type="dxa"/>
            <w:vMerge/>
            <w:tcBorders>
              <w:left w:val="single" w:sz="13" w:space="0" w:color="D2D2D2"/>
              <w:right w:val="single" w:sz="4" w:space="0" w:color="000000"/>
            </w:tcBorders>
          </w:tcPr>
          <w:p>
            <w:pPr/>
          </w:p>
        </w:tc>
      </w:tr>
      <w:tr>
        <w:trPr>
          <w:trHeight w:val="167"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1071" w:type="dxa"/>
            <w:vMerge/>
            <w:tcBorders>
              <w:left w:val="single" w:sz="13" w:space="0" w:color="D2D2D2"/>
              <w:bottom w:val="single" w:sz="4" w:space="0" w:color="000000"/>
              <w:right w:val="single" w:sz="4" w:space="0" w:color="000000"/>
            </w:tcBorders>
          </w:tcPr>
          <w:p>
            <w:pPr/>
          </w:p>
        </w:tc>
      </w:tr>
      <w:tr>
        <w:trPr>
          <w:trHeight w:val="391"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FFFFFF"/>
            </w:tcBorders>
            <w:shd w:val="clear" w:color="auto" w:fill="D2D2D2"/>
          </w:tcPr>
          <w:p>
            <w:pPr/>
          </w:p>
        </w:tc>
        <w:tc>
          <w:tcPr>
            <w:tcW w:w="831" w:type="dxa"/>
            <w:tcBorders>
              <w:top w:val="single" w:sz="4" w:space="0" w:color="000000"/>
              <w:left w:val="single" w:sz="4" w:space="0" w:color="FFFFFF"/>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FFFFFF"/>
            </w:tcBorders>
            <w:shd w:val="clear" w:color="auto" w:fill="D2D2D2"/>
          </w:tcPr>
          <w:p>
            <w:pPr/>
          </w:p>
        </w:tc>
        <w:tc>
          <w:tcPr>
            <w:tcW w:w="831"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FFFFFF"/>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FFFFFF"/>
            </w:tcBorders>
            <w:shd w:val="clear" w:color="auto" w:fill="D2D2D2"/>
          </w:tcPr>
          <w:p>
            <w:pPr/>
          </w:p>
        </w:tc>
        <w:tc>
          <w:tcPr>
            <w:tcW w:w="831" w:type="dxa"/>
            <w:vMerge/>
            <w:tcBorders>
              <w:left w:val="single" w:sz="4" w:space="0" w:color="FFFFFF"/>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FFFFFF"/>
            </w:tcBorders>
            <w:shd w:val="clear" w:color="auto" w:fill="D2D2D2"/>
          </w:tcPr>
          <w:p>
            <w:pPr/>
          </w:p>
        </w:tc>
        <w:tc>
          <w:tcPr>
            <w:tcW w:w="831" w:type="dxa"/>
            <w:vMerge/>
            <w:tcBorders>
              <w:left w:val="single" w:sz="4" w:space="0" w:color="FFFFFF"/>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FFFFFF"/>
            </w:tcBorders>
            <w:shd w:val="clear" w:color="auto" w:fill="D2D2D2"/>
          </w:tcPr>
          <w:p>
            <w:pPr/>
          </w:p>
        </w:tc>
        <w:tc>
          <w:tcPr>
            <w:tcW w:w="831" w:type="dxa"/>
            <w:tcBorders>
              <w:top w:val="nil" w:sz="6" w:space="0" w:color="auto"/>
              <w:left w:val="single" w:sz="4" w:space="0" w:color="FFFFFF"/>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深圳市宝德投资 控股有限公司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27.28%</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71,214,88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71,214,88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349" w:type="dxa"/>
            <w:gridSpan w:val="2"/>
            <w:tcBorders>
              <w:top w:val="single" w:sz="48" w:space="0" w:color="D2D2D2"/>
              <w:left w:val="single" w:sz="4" w:space="0" w:color="000000"/>
              <w:bottom w:val="single" w:sz="4" w:space="0" w:color="000000"/>
              <w:right w:val="single" w:sz="4" w:space="0" w:color="000000"/>
            </w:tcBorders>
          </w:tcPr>
          <w:p>
            <w:pPr/>
          </w:p>
        </w:tc>
        <w:tc>
          <w:tcPr>
            <w:tcW w:w="1350" w:type="dxa"/>
            <w:gridSpan w:val="2"/>
            <w:tcBorders>
              <w:top w:val="single" w:sz="48" w:space="0" w:color="D2D2D2"/>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宝德科技集团股 份有限公司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15.24%</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39,780,00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39,780,00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both"/>
              <w:rPr>
                <w:rFonts w:ascii="宋体" w:hAnsi="宋体" w:cs="宋体" w:eastAsia="宋体" w:hint="default"/>
                <w:sz w:val="18"/>
                <w:szCs w:val="18"/>
              </w:rPr>
            </w:pPr>
            <w:r>
              <w:rPr>
                <w:rFonts w:ascii="宋体" w:hAnsi="宋体" w:cs="宋体" w:eastAsia="宋体" w:hint="default"/>
                <w:sz w:val="18"/>
                <w:szCs w:val="18"/>
              </w:rPr>
              <w:t>乌鲁木齐南博股 权投资管理合伙 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0.61%</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1,587,628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-391,700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587,628</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74"/>
              <w:jc w:val="both"/>
              <w:rPr>
                <w:rFonts w:ascii="宋体" w:hAnsi="宋体" w:cs="宋体" w:eastAsia="宋体" w:hint="default"/>
                <w:sz w:val="18"/>
                <w:szCs w:val="18"/>
              </w:rPr>
            </w:pPr>
            <w:r>
              <w:rPr>
                <w:rFonts w:ascii="宋体" w:hAnsi="宋体" w:cs="宋体" w:eastAsia="宋体" w:hint="default"/>
                <w:sz w:val="18"/>
                <w:szCs w:val="18"/>
              </w:rPr>
              <w:t>中国建设银行股 份有限公司－富 国创业板指数分 级证券投资基金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0.40%</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1,052,572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+301,263</w:t>
            </w:r>
          </w:p>
        </w:tc>
        <w:tc>
          <w:tcPr>
            <w:tcW w:w="82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1,052,572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中信信托有限责 任公司－基金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0.38%</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+980,000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5.9pt;mso-position-horizontal-relative:page;mso-position-vertical-relative:page;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罗桂泗</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778,500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+778,500</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778,500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陈国义</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+760,000</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李梅</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694,838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+694,838</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694,838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孟令东</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635,000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+15,000</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635,000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中国工商银行股 份有限公司－易 方达创业板交易 型开放式指数证 券投资基金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543,281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+543,281</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543,281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302" w:lineRule="auto" w:before="51"/>
                          <w:ind w:left="16" w:right="53"/>
                          <w:jc w:val="left"/>
                          <w:rPr>
                            <w:rFonts w:ascii="宋体" w:hAnsi="宋体" w:cs="宋体" w:eastAsia="宋体" w:hint="default"/>
                            <w:sz w:val="18"/>
                            <w:szCs w:val="18"/>
                          </w:rPr>
                        </w:pPr>
                        <w:r>
                          <w:rPr>
                            <w:rFonts w:ascii="宋体" w:hAnsi="宋体" w:cs="宋体" w:eastAsia="宋体" w:hint="default"/>
                            <w:sz w:val="18"/>
                            <w:szCs w:val="18"/>
                          </w:rPr>
                          <w:t>股东深圳市宝德投资控股有限公司和宝德科技集团股份有限公司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最终</w:t>
                        </w: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实际控制人均 为李瑞杰、张云霞夫妇。</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71,214,882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71,214,882</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宝德科技集团股份有限公司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39,780,000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39,780,000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乌鲁木齐南博股权投资管理合伙企 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587,628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587,628</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中国建设银行股份有限公司－富国 创业板指数分级证券投资基金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1,052,572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1,052,572</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中信信托有限责任公司－基金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罗桂泗</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778,500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陈国义</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李梅</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694,838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694,838</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孟令东</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635,000</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中国工商银行股份有限公司－易方 达创业板交易型开放式指数证券投 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543,281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543,281</w:t>
                        </w:r>
                      </w:p>
                    </w:tc>
                  </w:tr>
                  <w:tr>
                    <w:trPr>
                      <w:trHeight w:val="1338"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22" w:right="53"/>
                          <w:jc w:val="left"/>
                          <w:rPr>
                            <w:rFonts w:ascii="宋体" w:hAnsi="宋体" w:cs="宋体" w:eastAsia="宋体" w:hint="default"/>
                            <w:sz w:val="18"/>
                            <w:szCs w:val="18"/>
                          </w:rPr>
                        </w:pPr>
                        <w:r>
                          <w:rPr>
                            <w:rFonts w:ascii="宋体" w:hAnsi="宋体" w:cs="宋体" w:eastAsia="宋体" w:hint="default"/>
                            <w:sz w:val="18"/>
                            <w:szCs w:val="18"/>
                          </w:rPr>
                          <w:t>股东深圳市宝德投资控股有限公司和宝德科技集团股份有限公司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最终</w:t>
                        </w: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实际控制人均 为李瑞杰、张云霞夫妇。</w:t>
                        </w:r>
                      </w:p>
                    </w:tc>
                  </w:tr>
                  <w:tr>
                    <w:trPr>
                      <w:trHeight w:val="1923"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00" w:lineRule="auto"/>
                          <w:ind w:left="22" w:right="85"/>
                          <w:jc w:val="left"/>
                          <w:rPr>
                            <w:rFonts w:ascii="Times New Roman" w:hAnsi="Times New Roman" w:cs="Times New Roman" w:eastAsia="Times New Roman" w:hint="default"/>
                            <w:sz w:val="18"/>
                            <w:szCs w:val="18"/>
                          </w:rPr>
                        </w:pPr>
                        <w:r>
                          <w:rPr>
                            <w:rFonts w:ascii="宋体" w:hAnsi="宋体" w:cs="宋体" w:eastAsia="宋体" w:hint="default"/>
                            <w:sz w:val="18"/>
                            <w:szCs w:val="18"/>
                          </w:rPr>
                          <w:t>参与融资融券业务股东情况说明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如 有</w:t>
                        </w:r>
                        <w:r>
                          <w:rPr>
                            <w:rFonts w:ascii="Times New Roman" w:hAnsi="Times New Roman" w:cs="Times New Roman" w:eastAsia="Times New Roman" w:hint="default"/>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66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、控股股东深圳市宝德投资控股有限公司通过普通证券账户持有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21,814,882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过长江证券股份有限公司客户信用交易担保证券账户持有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49,400,000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股，实际合计持</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71,214,882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r>
                          <w:rPr>
                            <w:rFonts w:ascii="宋体" w:hAnsi="宋体" w:cs="宋体" w:eastAsia="宋体" w:hint="default"/>
                            <w:spacing w:val="-57"/>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、股东宝德科技集团股份有限公司通过普通证券账户持有</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874,737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股，通过广发证券股份有限公司客户信用交易担保证券账户持有</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38,905,263</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股，实际</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合计持有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39,780,000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、股东罗桂泗通过普通证券账户持有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股，通过中泰证券</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股份有限公司客户信用交易担保证券账户持有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778,500 </w:t>
                        </w:r>
                        <w:r>
                          <w:rPr>
                            <w:rFonts w:ascii="宋体" w:hAnsi="宋体" w:cs="宋体" w:eastAsia="宋体" w:hint="default"/>
                            <w:spacing w:val="-4"/>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778,500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240" w:lineRule="auto" w:before="44"/>
        <w:ind w:left="0" w:right="1141"/>
        <w:jc w:val="right"/>
      </w:pPr>
      <w:r>
        <w:rPr/>
        <w:t>；</w:t>
      </w:r>
    </w:p>
    <w:p>
      <w:pPr>
        <w:spacing w:after="0" w:line="240" w:lineRule="auto"/>
        <w:jc w:val="right"/>
        <w:sectPr>
          <w:pgSz w:w="11910" w:h="16840"/>
          <w:pgMar w:header="747" w:footer="979" w:top="1060" w:bottom="1160" w:left="0" w:right="0"/>
        </w:sectPr>
      </w:pPr>
    </w:p>
    <w:p>
      <w:pPr>
        <w:spacing w:line="240" w:lineRule="auto" w:before="2"/>
        <w:rPr>
          <w:rFonts w:ascii="宋体" w:hAnsi="宋体" w:cs="宋体" w:eastAsia="宋体" w:hint="default"/>
          <w:sz w:val="28"/>
          <w:szCs w:val="28"/>
        </w:rPr>
      </w:pPr>
    </w:p>
    <w:p>
      <w:pPr>
        <w:spacing w:line="1942" w:lineRule="exact"/>
        <w:ind w:left="1129" w:right="0" w:firstLine="0"/>
        <w:rPr>
          <w:rFonts w:ascii="宋体" w:hAnsi="宋体" w:cs="宋体" w:eastAsia="宋体" w:hint="default"/>
          <w:sz w:val="20"/>
          <w:szCs w:val="20"/>
        </w:rPr>
      </w:pPr>
      <w:r>
        <w:rPr>
          <w:rFonts w:ascii="宋体" w:hAnsi="宋体" w:cs="宋体" w:eastAsia="宋体" w:hint="default"/>
          <w:position w:val="-38"/>
          <w:sz w:val="20"/>
          <w:szCs w:val="20"/>
        </w:rPr>
        <w:pict>
          <v:group style="width:480.85pt;height:97.1pt;mso-position-horizontal-relative:char;mso-position-vertical-relative:line" coordorigin="0,0" coordsize="9617,1942">
            <v:group style="position:absolute;left:10;top:14;width:2871;height:1914" coordorigin="10,14" coordsize="2871,1914">
              <v:shape style="position:absolute;left:10;top:14;width:2871;height:1914" coordorigin="10,14" coordsize="2871,1914" path="m10,1928l2880,1928,2880,14,10,14,10,1928xe" filled="true" fillcolor="#d2d2d2" stroked="false">
                <v:path arrowok="t"/>
                <v:fill type="solid"/>
              </v:shape>
            </v:group>
            <v:group style="position:absolute;left:10;top:10;width:2871;height:2" coordorigin="10,10" coordsize="2871,2">
              <v:shape style="position:absolute;left:10;top:10;width:2871;height:2" coordorigin="10,10" coordsize="2871,0" path="m10,10l2880,10e" filled="false" stroked="true" strokeweight=".48pt" strokecolor="#000000">
                <v:path arrowok="t"/>
              </v:shape>
            </v:group>
            <v:group style="position:absolute;left:2890;top:10;width:6679;height:2" coordorigin="2890,10" coordsize="6679,2">
              <v:shape style="position:absolute;left:2890;top:10;width:6679;height:2" coordorigin="2890,10" coordsize="6679,0" path="m2890,10l9569,10e" filled="false" stroked="true" strokeweight=".48pt" strokecolor="#000000">
                <v:path arrowok="t"/>
              </v:shape>
            </v:group>
            <v:group style="position:absolute;left:5;top:5;width:2;height:1933" coordorigin="5,5" coordsize="2,1933">
              <v:shape style="position:absolute;left:5;top:5;width:2;height:1933" coordorigin="5,5" coordsize="0,1933" path="m5,5l5,1937e" filled="false" stroked="true" strokeweight=".48pt" strokecolor="#000000">
                <v:path arrowok="t"/>
              </v:shape>
            </v:group>
            <v:group style="position:absolute;left:10;top:1932;width:2871;height:2" coordorigin="10,1932" coordsize="2871,2">
              <v:shape style="position:absolute;left:10;top:1932;width:2871;height:2" coordorigin="10,1932" coordsize="2871,0" path="m10,1932l2880,1932e" filled="false" stroked="true" strokeweight=".48pt" strokecolor="#000000">
                <v:path arrowok="t"/>
              </v:shape>
            </v:group>
            <v:group style="position:absolute;left:2885;top:5;width:2;height:1933" coordorigin="2885,5" coordsize="2,1933">
              <v:shape style="position:absolute;left:2885;top:5;width:2;height:1933" coordorigin="2885,5" coordsize="0,1933" path="m2885,5l2885,1937e" filled="false" stroked="true" strokeweight=".48pt" strokecolor="#000000">
                <v:path arrowok="t"/>
              </v:shape>
            </v:group>
            <v:group style="position:absolute;left:2890;top:1932;width:6679;height:2" coordorigin="2890,1932" coordsize="6679,2">
              <v:shape style="position:absolute;left:2890;top:1932;width:6679;height:2" coordorigin="2890,1932" coordsize="6679,0" path="m2890,1932l9569,1932e" filled="false" stroked="true" strokeweight=".48pt" strokecolor="#000000">
                <v:path arrowok="t"/>
              </v:shape>
            </v:group>
            <v:group style="position:absolute;left:9574;top:5;width:2;height:1933" coordorigin="9574,5" coordsize="2,1933">
              <v:shape style="position:absolute;left:9574;top:5;width:2;height:1933" coordorigin="9574,5" coordsize="0,1933" path="m9574,5l9574,1937e" filled="false" stroked="true" strokeweight=".48pt" strokecolor="#000000">
                <v:path arrowok="t"/>
              </v:shape>
              <v:shape style="position:absolute;left:2885;top:10;width:6689;height:1923" type="#_x0000_t202" filled="false" stroked="false">
                <v:textbox inset="0,0,0,0">
                  <w:txbxContent>
                    <w:p>
                      <w:pPr>
                        <w:spacing w:before="15"/>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、股东陈国义通过普通证券账户持有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股，通过申万宏源证券有限公司客户信用交</w:t>
                      </w:r>
                    </w:p>
                    <w:p>
                      <w:pPr>
                        <w:spacing w:before="63"/>
                        <w:ind w:left="27" w:right="0" w:firstLine="0"/>
                        <w:jc w:val="left"/>
                        <w:rPr>
                          <w:rFonts w:ascii="宋体" w:hAnsi="宋体" w:cs="宋体" w:eastAsia="宋体" w:hint="default"/>
                          <w:sz w:val="18"/>
                          <w:szCs w:val="18"/>
                        </w:rPr>
                      </w:pPr>
                      <w:r>
                        <w:rPr>
                          <w:rFonts w:ascii="宋体" w:hAnsi="宋体" w:cs="宋体" w:eastAsia="宋体" w:hint="default"/>
                          <w:sz w:val="18"/>
                          <w:szCs w:val="18"/>
                        </w:rPr>
                        <w:t>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760,000 </w:t>
                      </w:r>
                      <w:r>
                        <w:rPr>
                          <w:rFonts w:ascii="宋体" w:hAnsi="宋体" w:cs="宋体" w:eastAsia="宋体" w:hint="default"/>
                          <w:sz w:val="18"/>
                          <w:szCs w:val="18"/>
                        </w:rPr>
                        <w:t>股； </w:t>
                      </w:r>
                      <w:r>
                        <w:rPr>
                          <w:rFonts w:ascii="Times New Roman" w:hAnsi="Times New Roman" w:cs="Times New Roman" w:eastAsia="Times New Roman" w:hint="default"/>
                          <w:sz w:val="18"/>
                          <w:szCs w:val="18"/>
                        </w:rPr>
                        <w:t>5</w:t>
                      </w:r>
                      <w:r>
                        <w:rPr>
                          <w:rFonts w:ascii="宋体" w:hAnsi="宋体" w:cs="宋体" w:eastAsia="宋体" w:hint="default"/>
                          <w:sz w:val="18"/>
                          <w:szCs w:val="18"/>
                        </w:rPr>
                        <w:t>、股东李梅通过普通</w:t>
                      </w:r>
                    </w:p>
                    <w:p>
                      <w:pPr>
                        <w:spacing w:before="63"/>
                        <w:ind w:left="27" w:right="0" w:firstLine="0"/>
                        <w:jc w:val="left"/>
                        <w:rPr>
                          <w:rFonts w:ascii="宋体" w:hAnsi="宋体" w:cs="宋体" w:eastAsia="宋体" w:hint="default"/>
                          <w:sz w:val="18"/>
                          <w:szCs w:val="18"/>
                        </w:rPr>
                      </w:pPr>
                      <w:r>
                        <w:rPr>
                          <w:rFonts w:ascii="宋体" w:hAnsi="宋体" w:cs="宋体" w:eastAsia="宋体" w:hint="default"/>
                          <w:sz w:val="18"/>
                          <w:szCs w:val="18"/>
                        </w:rPr>
                        <w:t>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股，通过光大证券股份有限公司客户信用交易担保证券账户持有</w:t>
                      </w:r>
                    </w:p>
                    <w:p>
                      <w:pPr>
                        <w:spacing w:before="63"/>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694,838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694,838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w:t>
                      </w:r>
                      <w:r>
                        <w:rPr>
                          <w:rFonts w:ascii="Times New Roman" w:hAnsi="Times New Roman" w:cs="Times New Roman" w:eastAsia="Times New Roman" w:hint="default"/>
                          <w:sz w:val="18"/>
                          <w:szCs w:val="18"/>
                        </w:rPr>
                        <w:t>6</w:t>
                      </w:r>
                      <w:r>
                        <w:rPr>
                          <w:rFonts w:ascii="宋体" w:hAnsi="宋体" w:cs="宋体" w:eastAsia="宋体" w:hint="default"/>
                          <w:sz w:val="18"/>
                          <w:szCs w:val="18"/>
                        </w:rPr>
                        <w:t>、股东孟令东通过普通证券账户持有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spacing w:before="63"/>
                        <w:ind w:left="27" w:right="0" w:firstLine="0"/>
                        <w:jc w:val="left"/>
                        <w:rPr>
                          <w:rFonts w:ascii="宋体" w:hAnsi="宋体" w:cs="宋体" w:eastAsia="宋体" w:hint="default"/>
                          <w:sz w:val="18"/>
                          <w:szCs w:val="18"/>
                        </w:rPr>
                      </w:pPr>
                      <w:r>
                        <w:rPr>
                          <w:rFonts w:ascii="宋体" w:hAnsi="宋体" w:cs="宋体" w:eastAsia="宋体" w:hint="default"/>
                          <w:sz w:val="18"/>
                          <w:szCs w:val="18"/>
                        </w:rPr>
                        <w:t>通过英大证券有限责任公司客户信用交易担保证券账户持有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635,000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w:t>
                      </w:r>
                    </w:p>
                    <w:p>
                      <w:pPr>
                        <w:spacing w:before="64"/>
                        <w:ind w:left="27" w:right="0" w:firstLine="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635,000 </w:t>
                      </w:r>
                      <w:r>
                        <w:rPr>
                          <w:rFonts w:ascii="宋体" w:hAnsi="宋体" w:cs="宋体" w:eastAsia="宋体" w:hint="default"/>
                          <w:sz w:val="18"/>
                          <w:szCs w:val="18"/>
                        </w:rPr>
                        <w:t>股；</w:t>
                      </w:r>
                    </w:p>
                  </w:txbxContent>
                </v:textbox>
                <w10:wrap type="none"/>
              </v:shape>
              <v:shape style="position:absolute;left:9437;top:101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38"/>
          <w:sz w:val="20"/>
          <w:szCs w:val="20"/>
        </w:rPr>
      </w:r>
    </w:p>
    <w:p>
      <w:pPr>
        <w:pStyle w:val="BodyText"/>
        <w:spacing w:line="240" w:lineRule="auto" w:before="46"/>
        <w:ind w:left="113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7"/>
        <w:spacing w:line="240" w:lineRule="auto"/>
        <w:ind w:left="1133" w:right="0"/>
        <w:jc w:val="left"/>
        <w:rPr>
          <w:b w:val="0"/>
          <w:bCs w:val="0"/>
        </w:rPr>
      </w:pPr>
      <w:bookmarkStart w:name="2、公司控股股东情况" w:id="108"/>
      <w:bookmarkEnd w:id="108"/>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3"/>
        <w:jc w:val="left"/>
      </w:pPr>
      <w:r>
        <w:rPr/>
        <w:t>控股股东性质：自然人控股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before="44"/>
        <w:ind w:left="0" w:right="1152"/>
        <w:jc w:val="right"/>
      </w:pPr>
      <w:r>
        <w:rPr/>
        <w:pict>
          <v:shape style="position:absolute;margin-left:56.459999pt;margin-top:-192.508286pt;width:479.2pt;height:404.0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5"/>
                    <w:gridCol w:w="1616"/>
                    <w:gridCol w:w="1423"/>
                    <w:gridCol w:w="2067"/>
                    <w:gridCol w:w="2198"/>
                  </w:tblGrid>
                  <w:tr>
                    <w:trPr>
                      <w:trHeight w:val="714"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控股股东名称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621" w:right="57"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6018"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6" w:lineRule="auto"/>
                          <w:ind w:left="22" w:right="70"/>
                          <w:jc w:val="left"/>
                          <w:rPr>
                            <w:rFonts w:ascii="宋体" w:hAnsi="宋体" w:cs="宋体" w:eastAsia="宋体" w:hint="default"/>
                            <w:sz w:val="18"/>
                            <w:szCs w:val="18"/>
                          </w:rPr>
                        </w:pPr>
                        <w:r>
                          <w:rPr>
                            <w:rFonts w:ascii="宋体" w:hAnsi="宋体" w:cs="宋体" w:eastAsia="宋体" w:hint="default"/>
                            <w:sz w:val="18"/>
                            <w:szCs w:val="18"/>
                          </w:rPr>
                          <w:t>深圳市宝德投资控股有限公 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77270248-3</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投资兴办实业</w:t>
                        </w:r>
                        <w:r>
                          <w:rPr>
                            <w:rFonts w:ascii="Times New Roman" w:hAnsi="Times New Roman" w:cs="Times New Roman" w:eastAsia="Times New Roman" w:hint="default"/>
                            <w:sz w:val="18"/>
                            <w:szCs w:val="18"/>
                          </w:rPr>
                          <w:t>(</w:t>
                        </w:r>
                        <w:r>
                          <w:rPr>
                            <w:rFonts w:ascii="宋体" w:hAnsi="宋体" w:cs="宋体" w:eastAsia="宋体" w:hint="default"/>
                            <w:sz w:val="18"/>
                            <w:szCs w:val="18"/>
                          </w:rPr>
                          <w:t>具体项目另 </w:t>
                        </w:r>
                        <w:r>
                          <w:rPr>
                            <w:rFonts w:ascii="宋体" w:hAnsi="宋体" w:cs="宋体" w:eastAsia="宋体" w:hint="default"/>
                            <w:spacing w:val="-6"/>
                            <w:sz w:val="18"/>
                            <w:szCs w:val="18"/>
                          </w:rPr>
                          <w:t>行申报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；计算机软硬件系统</w:t>
                        </w:r>
                        <w:r>
                          <w:rPr>
                            <w:rFonts w:ascii="宋体" w:hAnsi="宋体" w:cs="宋体" w:eastAsia="宋体" w:hint="default"/>
                            <w:sz w:val="18"/>
                            <w:szCs w:val="18"/>
                          </w:rPr>
                          <w:t> 开发、电子通讯产品开发设 计、计算机网络系统工程的 设计、计算机及网络通讯技 术的咨询、投资管理顾问、 信息咨询</w:t>
                        </w:r>
                        <w:r>
                          <w:rPr>
                            <w:rFonts w:ascii="Times New Roman" w:hAnsi="Times New Roman" w:cs="Times New Roman" w:eastAsia="Times New Roman" w:hint="default"/>
                            <w:sz w:val="18"/>
                            <w:szCs w:val="18"/>
                          </w:rPr>
                          <w:t>(</w:t>
                        </w:r>
                        <w:r>
                          <w:rPr>
                            <w:rFonts w:ascii="宋体" w:hAnsi="宋体" w:cs="宋体" w:eastAsia="宋体" w:hint="default"/>
                            <w:sz w:val="18"/>
                            <w:szCs w:val="18"/>
                          </w:rPr>
                          <w:t>以上不含限制项 </w:t>
                        </w:r>
                        <w:r>
                          <w:rPr>
                            <w:rFonts w:ascii="宋体" w:hAnsi="宋体" w:cs="宋体" w:eastAsia="宋体" w:hint="default"/>
                            <w:spacing w:val="-6"/>
                            <w:sz w:val="18"/>
                            <w:szCs w:val="18"/>
                          </w:rPr>
                          <w:t>目</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；电子产品、计算机软硬</w:t>
                        </w:r>
                        <w:r>
                          <w:rPr>
                            <w:rFonts w:ascii="宋体" w:hAnsi="宋体" w:cs="宋体" w:eastAsia="宋体" w:hint="default"/>
                            <w:sz w:val="18"/>
                            <w:szCs w:val="18"/>
                          </w:rPr>
                          <w:t> 件及外围设备、金银制品的 </w:t>
                        </w:r>
                        <w:r>
                          <w:rPr>
                            <w:rFonts w:ascii="宋体" w:hAnsi="宋体" w:cs="宋体" w:eastAsia="宋体" w:hint="default"/>
                            <w:spacing w:val="-6"/>
                            <w:sz w:val="18"/>
                            <w:szCs w:val="18"/>
                          </w:rPr>
                          <w:t>购销，其他国内贸易</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以上不</w:t>
                        </w:r>
                        <w:r>
                          <w:rPr>
                            <w:rFonts w:ascii="宋体" w:hAnsi="宋体" w:cs="宋体" w:eastAsia="宋体" w:hint="default"/>
                            <w:sz w:val="18"/>
                            <w:szCs w:val="18"/>
                          </w:rPr>
                          <w:t> 含专营、专控、专卖商品</w:t>
                        </w:r>
                        <w:r>
                          <w:rPr>
                            <w:rFonts w:ascii="Times New Roman" w:hAnsi="Times New Roman" w:cs="Times New Roman" w:eastAsia="Times New Roman" w:hint="default"/>
                            <w:sz w:val="18"/>
                            <w:szCs w:val="18"/>
                          </w:rPr>
                          <w:t>) </w:t>
                        </w:r>
                        <w:r>
                          <w:rPr>
                            <w:rFonts w:ascii="宋体" w:hAnsi="宋体" w:cs="宋体" w:eastAsia="宋体" w:hint="default"/>
                            <w:spacing w:val="-6"/>
                            <w:sz w:val="18"/>
                            <w:szCs w:val="18"/>
                          </w:rPr>
                          <w:t>经营进出口业务</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法律、行政</w:t>
                        </w:r>
                        <w:r>
                          <w:rPr>
                            <w:rFonts w:ascii="宋体" w:hAnsi="宋体" w:cs="宋体" w:eastAsia="宋体" w:hint="default"/>
                            <w:sz w:val="18"/>
                            <w:szCs w:val="18"/>
                          </w:rPr>
                          <w:t> 法规、国务院决定禁止的项 目除外，限制的项目须取得 </w:t>
                        </w:r>
                        <w:r>
                          <w:rPr>
                            <w:rFonts w:ascii="宋体" w:hAnsi="宋体" w:cs="宋体" w:eastAsia="宋体" w:hint="default"/>
                            <w:spacing w:val="-6"/>
                            <w:sz w:val="18"/>
                            <w:szCs w:val="18"/>
                          </w:rPr>
                          <w:t>许可后方可经营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；投资天然</w:t>
                        </w:r>
                        <w:r>
                          <w:rPr>
                            <w:rFonts w:ascii="宋体" w:hAnsi="宋体" w:cs="宋体" w:eastAsia="宋体" w:hint="default"/>
                            <w:sz w:val="18"/>
                            <w:szCs w:val="18"/>
                          </w:rPr>
                          <w:t> 气加气站</w:t>
                        </w:r>
                        <w:r>
                          <w:rPr>
                            <w:rFonts w:ascii="Times New Roman" w:hAnsi="Times New Roman" w:cs="Times New Roman" w:eastAsia="Times New Roman" w:hint="default"/>
                            <w:sz w:val="18"/>
                            <w:szCs w:val="18"/>
                          </w:rPr>
                          <w:t>(</w:t>
                        </w:r>
                        <w:r>
                          <w:rPr>
                            <w:rFonts w:ascii="宋体" w:hAnsi="宋体" w:cs="宋体" w:eastAsia="宋体" w:hint="default"/>
                            <w:sz w:val="18"/>
                            <w:szCs w:val="18"/>
                          </w:rPr>
                          <w:t>具体项目另行申 </w:t>
                        </w:r>
                        <w:r>
                          <w:rPr>
                            <w:rFonts w:ascii="宋体" w:hAnsi="宋体" w:cs="宋体" w:eastAsia="宋体" w:hint="default"/>
                            <w:spacing w:val="-7"/>
                            <w:sz w:val="18"/>
                            <w:szCs w:val="18"/>
                          </w:rPr>
                          <w:t>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；燃料油、润滑油、化工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产品的销售</w:t>
                        </w:r>
                        <w:r>
                          <w:rPr>
                            <w:rFonts w:ascii="Times New Roman" w:hAnsi="Times New Roman" w:cs="Times New Roman" w:eastAsia="Times New Roman" w:hint="default"/>
                            <w:sz w:val="18"/>
                            <w:szCs w:val="18"/>
                          </w:rPr>
                          <w:t>(</w:t>
                        </w:r>
                        <w:r>
                          <w:rPr>
                            <w:rFonts w:ascii="宋体" w:hAnsi="宋体" w:cs="宋体" w:eastAsia="宋体" w:hint="default"/>
                            <w:sz w:val="18"/>
                            <w:szCs w:val="18"/>
                          </w:rPr>
                          <w:t>不含危险化学 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338"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宝德科技集团股份有限公司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27937209-7</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计算机软、硬件及接口设 </w:t>
                        </w:r>
                        <w:r>
                          <w:rPr>
                            <w:rFonts w:ascii="宋体" w:hAnsi="宋体" w:cs="宋体" w:eastAsia="宋体" w:hint="default"/>
                            <w:spacing w:val="-2"/>
                            <w:sz w:val="18"/>
                            <w:szCs w:val="18"/>
                          </w:rPr>
                          <w:t>备，计算机配件的开发、生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产、销售自产产品；进出口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before="44"/>
        <w:ind w:left="113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40" w:lineRule="auto" w:before="35"/>
        <w:ind w:left="1133" w:right="0"/>
        <w:jc w:val="left"/>
        <w:rPr>
          <w:b w:val="0"/>
          <w:bCs w:val="0"/>
        </w:rPr>
      </w:pPr>
      <w:bookmarkStart w:name="3、公司实际控制人情况" w:id="109"/>
      <w:bookmarkEnd w:id="109"/>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28"/>
        <w:gridCol w:w="2121"/>
        <w:gridCol w:w="4120"/>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深圳中青宝互动网络股份有限公司、宝德科技集团股份有限公司</w:t>
            </w:r>
          </w:p>
        </w:tc>
      </w:tr>
    </w:tbl>
    <w:p>
      <w:pPr>
        <w:pStyle w:val="BodyText"/>
        <w:spacing w:line="240" w:lineRule="auto" w:before="68"/>
        <w:ind w:left="113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4"/>
        <w:rPr>
          <w:rFonts w:ascii="宋体" w:hAnsi="宋体" w:cs="宋体" w:eastAsia="宋体" w:hint="default"/>
          <w:sz w:val="19"/>
          <w:szCs w:val="19"/>
        </w:rPr>
      </w:pPr>
    </w:p>
    <w:p>
      <w:pPr>
        <w:spacing w:line="5810" w:lineRule="exact"/>
        <w:ind w:left="1963" w:right="0" w:firstLine="0"/>
        <w:rPr>
          <w:rFonts w:ascii="宋体" w:hAnsi="宋体" w:cs="宋体" w:eastAsia="宋体" w:hint="default"/>
          <w:sz w:val="20"/>
          <w:szCs w:val="20"/>
        </w:rPr>
      </w:pPr>
      <w:r>
        <w:rPr>
          <w:rFonts w:ascii="宋体" w:hAnsi="宋体" w:cs="宋体" w:eastAsia="宋体" w:hint="default"/>
          <w:position w:val="-115"/>
          <w:sz w:val="20"/>
          <w:szCs w:val="20"/>
        </w:rPr>
        <w:drawing>
          <wp:inline distT="0" distB="0" distL="0" distR="0">
            <wp:extent cx="5094754" cy="3689889"/>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5094754" cy="3689889"/>
                    </a:xfrm>
                    <a:prstGeom prst="rect">
                      <a:avLst/>
                    </a:prstGeom>
                  </pic:spPr>
                </pic:pic>
              </a:graphicData>
            </a:graphic>
          </wp:inline>
        </w:drawing>
      </w:r>
      <w:r>
        <w:rPr>
          <w:rFonts w:ascii="宋体" w:hAnsi="宋体" w:cs="宋体" w:eastAsia="宋体" w:hint="default"/>
          <w:position w:val="-115"/>
          <w:sz w:val="20"/>
          <w:szCs w:val="20"/>
        </w:rPr>
      </w:r>
    </w:p>
    <w:p>
      <w:pPr>
        <w:spacing w:line="240" w:lineRule="auto" w:before="2"/>
        <w:rPr>
          <w:rFonts w:ascii="宋体" w:hAnsi="宋体" w:cs="宋体" w:eastAsia="宋体" w:hint="default"/>
          <w:sz w:val="16"/>
          <w:szCs w:val="16"/>
        </w:rPr>
      </w:pPr>
    </w:p>
    <w:p>
      <w:pPr>
        <w:pStyle w:val="Heading4"/>
        <w:spacing w:line="240" w:lineRule="auto"/>
        <w:ind w:right="0" w:firstLine="0"/>
        <w:jc w:val="left"/>
      </w:pPr>
      <w:r>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7"/>
        <w:spacing w:line="240" w:lineRule="auto"/>
        <w:ind w:left="1133" w:right="0"/>
        <w:jc w:val="left"/>
        <w:rPr>
          <w:b w:val="0"/>
          <w:bCs w:val="0"/>
        </w:rPr>
      </w:pPr>
      <w:bookmarkStart w:name="4、其他持股在10%以上的法人股东" w:id="110"/>
      <w:bookmarkEnd w:id="110"/>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7"/>
        <w:spacing w:line="240" w:lineRule="auto"/>
        <w:ind w:left="1133" w:right="0"/>
        <w:jc w:val="left"/>
        <w:rPr>
          <w:b w:val="0"/>
          <w:bCs w:val="0"/>
        </w:rPr>
      </w:pPr>
      <w:bookmarkStart w:name="5、控股股东、实际控制人、重组方及其他承诺主体股份限制减持情况" w:id="111"/>
      <w:bookmarkEnd w:id="111"/>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1113"/>
        <w:jc w:val="center"/>
        <w:rPr>
          <w:b w:val="0"/>
          <w:bCs w:val="0"/>
        </w:rPr>
      </w:pPr>
      <w:bookmarkStart w:name="第七节 优先股相关情况" w:id="112"/>
      <w:bookmarkEnd w:id="112"/>
      <w:r>
        <w:rPr>
          <w:b w:val="0"/>
          <w:bCs w:val="0"/>
        </w:rPr>
      </w:r>
      <w:bookmarkStart w:name="_bookmark5" w:id="113"/>
      <w:bookmarkEnd w:id="113"/>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0"/>
        <w:jc w:val="left"/>
        <w:rPr>
          <w:b w:val="0"/>
          <w:bCs w:val="0"/>
        </w:rPr>
      </w:pPr>
      <w:bookmarkStart w:name="第八节 董事、监事、高级管理人员和员工情况" w:id="114"/>
      <w:bookmarkEnd w:id="114"/>
      <w:r>
        <w:rPr>
          <w:b w:val="0"/>
          <w:bCs w:val="0"/>
        </w:rPr>
      </w:r>
      <w:bookmarkStart w:name="_bookmark6" w:id="115"/>
      <w:bookmarkEnd w:id="115"/>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董事、监事和高级管理人员持股变动" w:id="116"/>
      <w:bookmarkEnd w:id="116"/>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53" w:right="3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期初持股 数</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本期增持 股份数量 </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本期减持 股份数量 </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3" w:right="32" w:hanging="3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其他增减 变动</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53" w:right="3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期末持股 数</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杨国志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王一江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黎伟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王红波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马竹茂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胡浪涛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崔美玲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夏玄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张宇庆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申睿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李泽文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许岳明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副总经 理、董事 会秘书、 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105,000</w:t>
            </w:r>
          </w:p>
        </w:tc>
      </w:tr>
    </w:tbl>
    <w:p>
      <w:pPr>
        <w:spacing w:line="240" w:lineRule="auto" w:before="2"/>
        <w:rPr>
          <w:rFonts w:ascii="宋体" w:hAnsi="宋体" w:cs="宋体" w:eastAsia="宋体" w:hint="default"/>
          <w:b/>
          <w:bCs/>
          <w:sz w:val="18"/>
          <w:szCs w:val="18"/>
        </w:rPr>
      </w:pPr>
    </w:p>
    <w:p>
      <w:pPr>
        <w:pStyle w:val="Heading3"/>
        <w:spacing w:line="240" w:lineRule="auto" w:before="26"/>
        <w:ind w:left="1134" w:right="0"/>
        <w:jc w:val="left"/>
        <w:rPr>
          <w:b w:val="0"/>
          <w:bCs w:val="0"/>
        </w:rPr>
      </w:pPr>
      <w:bookmarkStart w:name="二、公司董事、监事、高级管理人员变动情况" w:id="117"/>
      <w:bookmarkEnd w:id="117"/>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张宇庆</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李泽文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胡浪涛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张炯</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杨国志</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bl>
    <w:p>
      <w:pPr>
        <w:spacing w:line="240" w:lineRule="auto" w:before="2"/>
        <w:rPr>
          <w:rFonts w:ascii="宋体" w:hAnsi="宋体" w:cs="宋体" w:eastAsia="宋体" w:hint="default"/>
          <w:b/>
          <w:bCs/>
          <w:sz w:val="18"/>
          <w:szCs w:val="18"/>
        </w:rPr>
      </w:pPr>
    </w:p>
    <w:p>
      <w:pPr>
        <w:pStyle w:val="Heading3"/>
        <w:spacing w:line="240" w:lineRule="auto" w:before="26"/>
        <w:ind w:left="1134" w:right="0"/>
        <w:jc w:val="both"/>
        <w:rPr>
          <w:b w:val="0"/>
          <w:bCs w:val="0"/>
        </w:rPr>
      </w:pPr>
      <w:bookmarkStart w:name="三、任职情况" w:id="118"/>
      <w:bookmarkEnd w:id="118"/>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3733"/>
        <w:jc w:val="left"/>
      </w:pPr>
      <w:r>
        <w:rPr/>
        <w:t>公司现任董事、监事、高级管理人员专业背景、主要工作经历以及目前在公司的主要职责 公司现任董事、监事、高级管理人员最近</w:t>
      </w:r>
      <w:r>
        <w:rPr>
          <w:rFonts w:ascii="Times New Roman" w:hAnsi="Times New Roman" w:cs="Times New Roman" w:eastAsia="Times New Roman" w:hint="default"/>
        </w:rPr>
        <w:t>5</w:t>
      </w:r>
      <w:r>
        <w:rPr/>
        <w:t>年的主要工作经历</w:t>
      </w:r>
    </w:p>
    <w:p>
      <w:pPr>
        <w:pStyle w:val="BodyText"/>
        <w:spacing w:line="214" w:lineRule="exact"/>
        <w:ind w:left="1134" w:right="0"/>
        <w:jc w:val="both"/>
      </w:pPr>
      <w:r>
        <w:rPr>
          <w:rFonts w:ascii="Times New Roman" w:hAnsi="Times New Roman" w:cs="Times New Roman" w:eastAsia="Times New Roman" w:hint="default"/>
        </w:rPr>
        <w:t>1</w:t>
      </w:r>
      <w:r>
        <w:rPr/>
        <w:t>、公司董事会成员</w:t>
      </w:r>
    </w:p>
    <w:p>
      <w:pPr>
        <w:pStyle w:val="BodyText"/>
        <w:spacing w:line="300" w:lineRule="auto" w:before="63"/>
        <w:ind w:left="1134" w:right="1132" w:firstLine="420"/>
        <w:jc w:val="both"/>
      </w:pPr>
      <w:r>
        <w:rPr>
          <w:spacing w:val="-1"/>
        </w:rPr>
        <w:t>报告期内，公司董事会由</w:t>
      </w:r>
      <w:r>
        <w:rPr>
          <w:rFonts w:ascii="Times New Roman" w:hAnsi="Times New Roman" w:cs="Times New Roman" w:eastAsia="Times New Roman" w:hint="default"/>
          <w:spacing w:val="-1"/>
        </w:rPr>
        <w:t>7</w:t>
      </w:r>
      <w:r>
        <w:rPr>
          <w:spacing w:val="-1"/>
        </w:rPr>
        <w:t>名董事组成，其中独立董事</w:t>
      </w:r>
      <w:r>
        <w:rPr>
          <w:rFonts w:ascii="Times New Roman" w:hAnsi="Times New Roman" w:cs="Times New Roman" w:eastAsia="Times New Roman" w:hint="default"/>
          <w:spacing w:val="-1"/>
        </w:rPr>
        <w:t>3</w:t>
      </w:r>
      <w:r>
        <w:rPr>
          <w:spacing w:val="-1"/>
        </w:rPr>
        <w:t>名，均由股东大会选举产生，每届任期</w:t>
      </w:r>
      <w:r>
        <w:rPr>
          <w:rFonts w:ascii="Times New Roman" w:hAnsi="Times New Roman" w:cs="Times New Roman" w:eastAsia="Times New Roman" w:hint="default"/>
          <w:spacing w:val="-1"/>
        </w:rPr>
        <w:t>3</w:t>
      </w:r>
      <w:r>
        <w:rPr>
          <w:spacing w:val="-1"/>
        </w:rPr>
        <w:t>年，第三届董事会由李</w:t>
      </w:r>
      <w:r>
        <w:rPr/>
        <w:t> 瑞杰、张云霞、郑楠芳、王立、黎伟、王红波、王一江组成，任期自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月。前述人员的简介如下：</w:t>
      </w:r>
    </w:p>
    <w:p>
      <w:pPr>
        <w:spacing w:line="240" w:lineRule="auto" w:before="0"/>
        <w:rPr>
          <w:rFonts w:ascii="宋体" w:hAnsi="宋体" w:cs="宋体" w:eastAsia="宋体" w:hint="default"/>
          <w:sz w:val="18"/>
          <w:szCs w:val="18"/>
        </w:rPr>
      </w:pPr>
    </w:p>
    <w:p>
      <w:pPr>
        <w:pStyle w:val="BodyText"/>
        <w:tabs>
          <w:tab w:pos="2742" w:val="left" w:leader="none"/>
        </w:tabs>
        <w:spacing w:line="316" w:lineRule="auto" w:before="130"/>
        <w:ind w:left="1553" w:right="1132"/>
        <w:jc w:val="left"/>
      </w:pPr>
      <w:r>
        <w:rPr/>
        <w:t>李瑞杰先生</w:t>
        <w:tab/>
        <w:t>公司董事长、总经理 中国国籍，有香港居留权，</w:t>
      </w:r>
      <w:r>
        <w:rPr>
          <w:rFonts w:ascii="Times New Roman" w:hAnsi="Times New Roman" w:cs="Times New Roman" w:eastAsia="Times New Roman" w:hint="default"/>
        </w:rPr>
        <w:t>49</w:t>
      </w:r>
      <w:r>
        <w:rPr/>
        <w:t>岁，于</w:t>
      </w:r>
      <w:r>
        <w:rPr>
          <w:rFonts w:ascii="Times New Roman" w:hAnsi="Times New Roman" w:cs="Times New Roman" w:eastAsia="Times New Roman" w:hint="default"/>
        </w:rPr>
        <w:t>1989</w:t>
      </w:r>
      <w:r>
        <w:rPr/>
        <w:t>年毕业于南开大学，获经济学与电子学双学士学位。现任深圳中青宝互动网</w:t>
      </w:r>
    </w:p>
    <w:p>
      <w:pPr>
        <w:pStyle w:val="BodyText"/>
        <w:spacing w:line="314" w:lineRule="auto"/>
        <w:ind w:right="1033"/>
        <w:jc w:val="left"/>
      </w:pPr>
      <w:r>
        <w:rPr>
          <w:spacing w:val="-2"/>
        </w:rPr>
        <w:t>络股份有限公司董事长、总经理，深圳市宝德投资控股有限公司董事长、宝德科技集团股份有限公司副董事长；同时担任工</w:t>
      </w:r>
      <w:r>
        <w:rPr>
          <w:spacing w:val="-66"/>
        </w:rPr>
        <w:t> </w:t>
      </w:r>
      <w:r>
        <w:rPr>
          <w:spacing w:val="-66"/>
        </w:rPr>
      </w:r>
      <w:r>
        <w:rPr/>
        <w:t>业和信息化部软件与集成电路促进中心云计算研究中心专家；中国计算机协会云计算委员会副主任委员。深圳市政协常委，</w:t>
      </w:r>
      <w:r>
        <w:rPr>
          <w:spacing w:val="-84"/>
        </w:rPr>
        <w:t> </w:t>
      </w:r>
      <w:r>
        <w:rPr>
          <w:spacing w:val="-84"/>
        </w:rPr>
      </w:r>
      <w:r>
        <w:rPr>
          <w:spacing w:val="-2"/>
        </w:rPr>
        <w:t>深圳市总商会</w:t>
      </w:r>
      <w:r>
        <w:rPr>
          <w:rFonts w:ascii="宋体" w:hAnsi="宋体" w:cs="宋体" w:eastAsia="宋体" w:hint="default"/>
          <w:spacing w:val="-2"/>
        </w:rPr>
        <w:t>(</w:t>
      </w:r>
      <w:r>
        <w:rPr>
          <w:spacing w:val="-2"/>
        </w:rPr>
        <w:t>工商联</w:t>
      </w:r>
      <w:r>
        <w:rPr>
          <w:rFonts w:ascii="宋体" w:hAnsi="宋体" w:cs="宋体" w:eastAsia="宋体" w:hint="default"/>
          <w:spacing w:val="-2"/>
        </w:rPr>
        <w:t>)</w:t>
      </w:r>
      <w:r>
        <w:rPr>
          <w:spacing w:val="-2"/>
        </w:rPr>
        <w:t>常务理事，潮汕星河基金会聘请为永远荣誉会长。</w:t>
      </w:r>
      <w:r>
        <w:rPr>
          <w:rFonts w:ascii="Times New Roman" w:hAnsi="Times New Roman" w:cs="Times New Roman" w:eastAsia="Times New Roman" w:hint="default"/>
          <w:spacing w:val="-2"/>
        </w:rPr>
        <w:t>2012</w:t>
      </w:r>
      <w:r>
        <w:rPr>
          <w:spacing w:val="-2"/>
        </w:rPr>
        <w:t>年被深圳揭阳商会聘请为名誉会长。</w:t>
      </w:r>
      <w:r>
        <w:rPr>
          <w:rFonts w:ascii="Times New Roman" w:hAnsi="Times New Roman" w:cs="Times New Roman" w:eastAsia="Times New Roman" w:hint="default"/>
          <w:spacing w:val="-2"/>
        </w:rPr>
        <w:t>2013</w:t>
      </w:r>
      <w:r>
        <w:rPr>
          <w:spacing w:val="-2"/>
        </w:rPr>
        <w:t>年被</w:t>
      </w:r>
      <w:r>
        <w:rPr>
          <w:spacing w:val="-56"/>
        </w:rPr>
        <w:t> </w:t>
      </w:r>
      <w:r>
        <w:rPr>
          <w:spacing w:val="-2"/>
        </w:rPr>
        <w:t>中国致公党任命为第十四届中央委员会科技委员会委员、社会服务会委员，深圳致公党龙华二支部主委，中国手游产业联盟</w:t>
      </w:r>
      <w:r>
        <w:rPr>
          <w:spacing w:val="-66"/>
        </w:rPr>
        <w:t> </w:t>
      </w:r>
      <w:r>
        <w:rPr>
          <w:spacing w:val="-66"/>
        </w:rPr>
      </w:r>
      <w:r>
        <w:rPr/>
        <w:t>理事长。</w:t>
      </w:r>
    </w:p>
    <w:p>
      <w:pPr>
        <w:pStyle w:val="BodyText"/>
        <w:tabs>
          <w:tab w:pos="2742" w:val="left" w:leader="none"/>
        </w:tabs>
        <w:spacing w:line="319" w:lineRule="auto" w:before="20"/>
        <w:ind w:left="1553" w:right="1132"/>
        <w:jc w:val="left"/>
      </w:pPr>
      <w:r>
        <w:rPr/>
        <w:t>张云霞女士</w:t>
        <w:tab/>
        <w:t>公司董事 中国国籍，有香港居留权，</w:t>
      </w:r>
      <w:r>
        <w:rPr>
          <w:rFonts w:ascii="Times New Roman" w:hAnsi="Times New Roman" w:cs="Times New Roman" w:eastAsia="Times New Roman" w:hint="default"/>
        </w:rPr>
        <w:t>51</w:t>
      </w:r>
      <w:r>
        <w:rPr/>
        <w:t>岁，于</w:t>
      </w:r>
      <w:r>
        <w:rPr>
          <w:rFonts w:ascii="Times New Roman" w:hAnsi="Times New Roman" w:cs="Times New Roman" w:eastAsia="Times New Roman" w:hint="default"/>
        </w:rPr>
        <w:t>1988</w:t>
      </w:r>
      <w:r>
        <w:rPr/>
        <w:t>年毕业于南开大学计算机软件工程系，</w:t>
      </w:r>
      <w:r>
        <w:rPr>
          <w:rFonts w:ascii="Times New Roman" w:hAnsi="Times New Roman" w:cs="Times New Roman" w:eastAsia="Times New Roman" w:hint="default"/>
        </w:rPr>
        <w:t>1990</w:t>
      </w:r>
      <w:r>
        <w:rPr/>
        <w:t>年获天津南开大学旅游业管理硕</w:t>
      </w:r>
    </w:p>
    <w:p>
      <w:pPr>
        <w:pStyle w:val="BodyText"/>
        <w:spacing w:line="307" w:lineRule="auto"/>
        <w:ind w:right="1130"/>
        <w:jc w:val="both"/>
      </w:pPr>
      <w:r>
        <w:rPr>
          <w:spacing w:val="-2"/>
        </w:rPr>
        <w:t>士学位。曾任职于深圳万通软件工程有限公司，</w:t>
      </w:r>
      <w:r>
        <w:rPr>
          <w:rFonts w:ascii="Times New Roman" w:hAnsi="Times New Roman" w:cs="Times New Roman" w:eastAsia="Times New Roman" w:hint="default"/>
          <w:spacing w:val="-2"/>
        </w:rPr>
        <w:t>1991</w:t>
      </w:r>
      <w:r>
        <w:rPr>
          <w:spacing w:val="-2"/>
        </w:rPr>
        <w:t>年与李瑞杰共同创办深圳市乐和电子有限公司，</w:t>
      </w:r>
      <w:r>
        <w:rPr>
          <w:rFonts w:ascii="Times New Roman" w:hAnsi="Times New Roman" w:cs="Times New Roman" w:eastAsia="Times New Roman" w:hint="default"/>
          <w:spacing w:val="-2"/>
        </w:rPr>
        <w:t>1997</w:t>
      </w:r>
      <w:r>
        <w:rPr>
          <w:spacing w:val="-2"/>
        </w:rPr>
        <w:t>年与李瑞杰先生共</w:t>
      </w:r>
      <w:r>
        <w:rPr>
          <w:spacing w:val="-58"/>
        </w:rPr>
        <w:t> </w:t>
      </w:r>
      <w:r>
        <w:rPr/>
        <w:t>同创办深圳市宝德科技股份有限公司。</w:t>
      </w:r>
      <w:r>
        <w:rPr>
          <w:rFonts w:ascii="Times New Roman" w:hAnsi="Times New Roman" w:cs="Times New Roman" w:eastAsia="Times New Roman" w:hint="default"/>
        </w:rPr>
        <w:t>2008</w:t>
      </w:r>
      <w:r>
        <w:rPr/>
        <w:t>年至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月担任本公司总经理，现任本公司董事、深圳市宝德投资控股公司</w:t>
      </w:r>
      <w:r>
        <w:rPr>
          <w:spacing w:val="-83"/>
        </w:rPr>
        <w:t> </w:t>
      </w:r>
      <w:r>
        <w:rPr>
          <w:spacing w:val="-83"/>
        </w:rPr>
      </w:r>
      <w:r>
        <w:rPr>
          <w:spacing w:val="-2"/>
        </w:rPr>
        <w:t>的副董事长、总裁、宝德科技集团股份有限公司董事长、深圳市宝德计算机系统有限公司董事。同时任深圳市软件行业协会</w:t>
      </w:r>
      <w:r>
        <w:rPr>
          <w:spacing w:val="-66"/>
        </w:rPr>
        <w:t> </w:t>
      </w:r>
      <w:r>
        <w:rPr>
          <w:spacing w:val="-66"/>
        </w:rPr>
      </w:r>
      <w:r>
        <w:rPr/>
        <w:t>副会长</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深圳市总商会女企业家商会副会长、天津商会副会长。</w:t>
      </w:r>
    </w:p>
    <w:p>
      <w:pPr>
        <w:pStyle w:val="BodyText"/>
        <w:tabs>
          <w:tab w:pos="2670" w:val="left" w:leader="none"/>
        </w:tabs>
        <w:spacing w:line="240" w:lineRule="auto" w:before="7"/>
        <w:ind w:left="1554" w:right="0"/>
        <w:jc w:val="left"/>
      </w:pPr>
      <w:r>
        <w:rPr/>
        <w:t>郑楠芳女士</w:t>
        <w:tab/>
        <w:t>公司董事</w:t>
      </w:r>
    </w:p>
    <w:p>
      <w:pPr>
        <w:pStyle w:val="BodyText"/>
        <w:spacing w:line="300" w:lineRule="auto" w:before="76"/>
        <w:ind w:right="1130" w:firstLine="420"/>
        <w:jc w:val="both"/>
      </w:pPr>
      <w:r>
        <w:rPr/>
        <w:t>中国国籍</w:t>
      </w: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spacing w:val="-2"/>
        </w:rPr>
        <w:t>有香港居留权，</w:t>
      </w:r>
      <w:r>
        <w:rPr>
          <w:rFonts w:ascii="Times New Roman" w:hAnsi="Times New Roman" w:cs="Times New Roman" w:eastAsia="Times New Roman" w:hint="default"/>
          <w:spacing w:val="-2"/>
        </w:rPr>
        <w:t>39</w:t>
      </w:r>
      <w:r>
        <w:rPr>
          <w:spacing w:val="-2"/>
        </w:rPr>
        <w:t>岁，本科学历。任公司第三届董事会董事、副总经理。曾担任深圳市宝德科技股份有限公</w:t>
      </w:r>
      <w:r>
        <w:rPr/>
        <w:t> 司投资与投资者关系经理，协助宝德科技股份有限公司完成于香港联交所的上市，并负责后期维护与投资者的关系。</w:t>
      </w:r>
    </w:p>
    <w:p>
      <w:pPr>
        <w:pStyle w:val="BodyText"/>
        <w:tabs>
          <w:tab w:pos="2491" w:val="left" w:leader="none"/>
        </w:tabs>
        <w:spacing w:line="316" w:lineRule="auto" w:before="31"/>
        <w:ind w:left="1553" w:right="1132"/>
        <w:jc w:val="left"/>
      </w:pPr>
      <w:r>
        <w:rPr/>
        <w:t>王立先生</w:t>
        <w:tab/>
        <w:t>公司董事 </w:t>
      </w:r>
      <w:r>
        <w:rPr>
          <w:spacing w:val="-3"/>
        </w:rPr>
        <w:t>王立先生，中国国籍，</w:t>
      </w:r>
      <w:r>
        <w:rPr>
          <w:rFonts w:ascii="Times New Roman" w:hAnsi="Times New Roman" w:cs="Times New Roman" w:eastAsia="Times New Roman" w:hint="default"/>
          <w:spacing w:val="-3"/>
        </w:rPr>
        <w:t>35</w:t>
      </w:r>
      <w:r>
        <w:rPr>
          <w:spacing w:val="-3"/>
        </w:rPr>
        <w:t>岁，毕业于中南大学，获得金融学硕士学位，曾任深圳宝德科技集团股份有限公司资金经理、</w:t>
      </w:r>
    </w:p>
    <w:p>
      <w:pPr>
        <w:pStyle w:val="BodyText"/>
        <w:spacing w:line="316" w:lineRule="auto"/>
        <w:ind w:left="1134" w:right="1133"/>
        <w:jc w:val="both"/>
      </w:pPr>
      <w:r>
        <w:rPr>
          <w:spacing w:val="-2"/>
        </w:rPr>
        <w:t>资金总监，深圳市宝德投资控股有限公司资金总监，现任深圳市宝德投资控股有限公司董事，深圳宝德科技集团股份有限公</w:t>
      </w:r>
      <w:r>
        <w:rPr>
          <w:spacing w:val="-66"/>
        </w:rPr>
        <w:t> </w:t>
      </w:r>
      <w:r>
        <w:rPr>
          <w:spacing w:val="-66"/>
        </w:rPr>
      </w:r>
      <w:r>
        <w:rPr/>
        <w:t>司副总裁。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月起担任本公司董事。</w:t>
      </w:r>
    </w:p>
    <w:p>
      <w:pPr>
        <w:pStyle w:val="BodyText"/>
        <w:tabs>
          <w:tab w:pos="2635" w:val="left" w:leader="none"/>
        </w:tabs>
        <w:spacing w:line="316" w:lineRule="auto"/>
        <w:ind w:left="1554" w:right="1132"/>
        <w:jc w:val="left"/>
      </w:pPr>
      <w:r>
        <w:rPr/>
        <w:t>张炯先生</w:t>
        <w:tab/>
        <w:t>公司独立董事 中国国籍，</w:t>
      </w:r>
      <w:r>
        <w:rPr>
          <w:rFonts w:ascii="Times New Roman" w:hAnsi="Times New Roman" w:cs="Times New Roman" w:eastAsia="Times New Roman" w:hint="default"/>
        </w:rPr>
        <w:t>46</w:t>
      </w:r>
      <w:r>
        <w:rPr/>
        <w:t>岁，于</w:t>
      </w:r>
      <w:r>
        <w:rPr>
          <w:rFonts w:ascii="Times New Roman" w:hAnsi="Times New Roman" w:cs="Times New Roman" w:eastAsia="Times New Roman" w:hint="default"/>
        </w:rPr>
        <w:t>1991</w:t>
      </w:r>
      <w:r>
        <w:rPr/>
        <w:t>年毕业于西南政法大学经济法系，获法学学士学位；</w:t>
      </w:r>
      <w:r>
        <w:rPr>
          <w:rFonts w:ascii="Times New Roman" w:hAnsi="Times New Roman" w:cs="Times New Roman" w:eastAsia="Times New Roman" w:hint="default"/>
        </w:rPr>
        <w:t>2003</w:t>
      </w:r>
      <w:r>
        <w:rPr/>
        <w:t>年毕业于英国伦敦大学，获公司及</w:t>
      </w:r>
    </w:p>
    <w:p>
      <w:pPr>
        <w:pStyle w:val="BodyText"/>
        <w:spacing w:line="312" w:lineRule="auto"/>
        <w:ind w:right="1131"/>
        <w:jc w:val="both"/>
      </w:pPr>
      <w:r>
        <w:rPr>
          <w:spacing w:val="-2"/>
        </w:rPr>
        <w:t>证券类法律硕士学位。</w:t>
      </w:r>
      <w:r>
        <w:rPr>
          <w:rFonts w:ascii="Times New Roman" w:hAnsi="Times New Roman" w:cs="Times New Roman" w:eastAsia="Times New Roman" w:hint="default"/>
          <w:spacing w:val="-2"/>
        </w:rPr>
        <w:t>1995</w:t>
      </w:r>
      <w:r>
        <w:rPr>
          <w:spacing w:val="-2"/>
        </w:rPr>
        <w:t>年至今一直在律师事务所执业，主要从事境内外证券发行上市、公司收购兼并、外商投资等方面</w:t>
      </w:r>
      <w:r>
        <w:rPr>
          <w:spacing w:val="-61"/>
        </w:rPr>
        <w:t> </w:t>
      </w:r>
      <w:r>
        <w:rPr>
          <w:spacing w:val="-61"/>
        </w:rPr>
      </w:r>
      <w:r>
        <w:rPr>
          <w:spacing w:val="-2"/>
        </w:rPr>
        <w:t>的中国法律业务，先后主持或参与过数十家公司的改制上市、上市公司再融资以及上市公司并购等项目的法律业务。现任广</w:t>
      </w:r>
      <w:r>
        <w:rPr>
          <w:spacing w:val="-66"/>
        </w:rPr>
        <w:t> </w:t>
      </w:r>
      <w:r>
        <w:rPr>
          <w:spacing w:val="-66"/>
        </w:rPr>
      </w:r>
      <w:r>
        <w:rPr>
          <w:spacing w:val="-2"/>
        </w:rPr>
        <w:t>东信达律师事务所高级合伙人、深圳证券交易所企业培训中心法律讲师、深圳市企业改制上市专家服务团成员，同时兼任深</w:t>
      </w:r>
      <w:r>
        <w:rPr>
          <w:spacing w:val="-66"/>
        </w:rPr>
        <w:t> </w:t>
      </w:r>
      <w:r>
        <w:rPr>
          <w:spacing w:val="-66"/>
        </w:rPr>
      </w:r>
      <w:r>
        <w:rPr/>
        <w:t>圳世联地产顾问股份有限公司的独立董事，</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月担任本公司独立董事，已于</w:t>
      </w:r>
      <w:r>
        <w:rPr>
          <w:rFonts w:ascii="宋体" w:hAnsi="宋体" w:cs="宋体" w:eastAsia="宋体" w:hint="default"/>
        </w:rPr>
        <w:t>2015</w:t>
      </w:r>
      <w:r>
        <w:rPr/>
        <w:t>年</w:t>
      </w:r>
      <w:r>
        <w:rPr>
          <w:rFonts w:ascii="宋体" w:hAnsi="宋体" w:cs="宋体" w:eastAsia="宋体" w:hint="default"/>
        </w:rPr>
        <w:t>5</w:t>
      </w:r>
      <w:r>
        <w:rPr/>
        <w:t>月任期届满离任。</w:t>
      </w:r>
    </w:p>
    <w:p>
      <w:pPr>
        <w:pStyle w:val="BodyText"/>
        <w:tabs>
          <w:tab w:pos="2670" w:val="left" w:leader="none"/>
        </w:tabs>
        <w:spacing w:line="240" w:lineRule="auto" w:before="3"/>
        <w:ind w:left="1553" w:right="0"/>
        <w:jc w:val="left"/>
      </w:pPr>
      <w:r>
        <w:rPr/>
        <w:t>杨国志先生</w:t>
        <w:tab/>
        <w:t>公司独立董事</w:t>
      </w:r>
    </w:p>
    <w:p>
      <w:pPr>
        <w:pStyle w:val="BodyText"/>
        <w:spacing w:line="300" w:lineRule="auto" w:before="76"/>
        <w:ind w:right="1130" w:firstLine="420"/>
        <w:jc w:val="both"/>
      </w:pPr>
      <w:r>
        <w:rPr/>
        <w:t>中国国籍，</w:t>
      </w:r>
      <w:r>
        <w:rPr>
          <w:rFonts w:ascii="Times New Roman" w:hAnsi="Times New Roman" w:cs="Times New Roman" w:eastAsia="Times New Roman" w:hint="default"/>
        </w:rPr>
        <w:t>62</w:t>
      </w:r>
      <w:r>
        <w:rPr/>
        <w:t>岁，于</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2</w:t>
      </w:r>
      <w:r>
        <w:rPr/>
        <w:t>月毕业于四川省达县财贸学校</w:t>
      </w:r>
      <w:r>
        <w:rPr>
          <w:rFonts w:ascii="宋体" w:hAnsi="宋体" w:cs="宋体" w:eastAsia="宋体" w:hint="default"/>
        </w:rPr>
        <w:t>(</w:t>
      </w:r>
      <w:r>
        <w:rPr/>
        <w:t>财务会计专业中专</w:t>
      </w:r>
      <w:r>
        <w:rPr>
          <w:rFonts w:ascii="宋体" w:hAnsi="宋体" w:cs="宋体" w:eastAsia="宋体" w:hint="default"/>
        </w:rPr>
        <w:t>)</w:t>
      </w:r>
      <w:r>
        <w:rPr/>
        <w:t>；</w:t>
      </w:r>
      <w:r>
        <w:rPr>
          <w:rFonts w:ascii="Times New Roman" w:hAnsi="Times New Roman" w:cs="Times New Roman" w:eastAsia="Times New Roman" w:hint="default"/>
        </w:rPr>
        <w:t>1986</w:t>
      </w:r>
      <w:r>
        <w:rPr>
          <w:rFonts w:ascii="Times New Roman" w:hAnsi="Times New Roman" w:cs="Times New Roman" w:eastAsia="Times New Roman" w:hint="default"/>
          <w:spacing w:val="-6"/>
        </w:rPr>
        <w:t> </w:t>
      </w:r>
      <w:r>
        <w:rPr/>
        <w:t>年毕业于四川电视大学</w:t>
      </w:r>
      <w:r>
        <w:rPr>
          <w:rFonts w:ascii="宋体" w:hAnsi="宋体" w:cs="宋体" w:eastAsia="宋体" w:hint="default"/>
        </w:rPr>
        <w:t>(</w:t>
      </w:r>
      <w:r>
        <w:rPr/>
        <w:t>全日制 </w:t>
      </w:r>
      <w:r>
        <w:rPr>
          <w:spacing w:val="-2"/>
        </w:rPr>
        <w:t>大专企业管理专业</w:t>
      </w:r>
      <w:r>
        <w:rPr>
          <w:rFonts w:ascii="宋体" w:hAnsi="宋体" w:cs="宋体" w:eastAsia="宋体" w:hint="default"/>
          <w:spacing w:val="-2"/>
        </w:rPr>
        <w:t>)</w:t>
      </w:r>
      <w:r>
        <w:rPr>
          <w:spacing w:val="-2"/>
        </w:rPr>
        <w:t>；</w:t>
      </w:r>
      <w:r>
        <w:rPr>
          <w:rFonts w:ascii="Times New Roman" w:hAnsi="Times New Roman" w:cs="Times New Roman" w:eastAsia="Times New Roman" w:hint="default"/>
          <w:spacing w:val="-2"/>
        </w:rPr>
        <w:t>1996</w:t>
      </w:r>
      <w:r>
        <w:rPr>
          <w:rFonts w:ascii="Times New Roman" w:hAnsi="Times New Roman" w:cs="Times New Roman" w:eastAsia="Times New Roman" w:hint="default"/>
          <w:spacing w:val="25"/>
        </w:rPr>
        <w:t> </w:t>
      </w:r>
      <w:r>
        <w:rPr>
          <w:spacing w:val="-2"/>
        </w:rPr>
        <w:t>年毕业于西南财经大学</w:t>
      </w:r>
      <w:r>
        <w:rPr>
          <w:rFonts w:ascii="宋体" w:hAnsi="宋体" w:cs="宋体" w:eastAsia="宋体" w:hint="default"/>
          <w:spacing w:val="-2"/>
        </w:rPr>
        <w:t>(</w:t>
      </w:r>
      <w:r>
        <w:rPr>
          <w:spacing w:val="-2"/>
        </w:rPr>
        <w:t>本科自考会计专业</w:t>
      </w:r>
      <w:r>
        <w:rPr>
          <w:rFonts w:ascii="宋体" w:hAnsi="宋体" w:cs="宋体" w:eastAsia="宋体" w:hint="default"/>
          <w:spacing w:val="-2"/>
        </w:rPr>
        <w:t>)</w:t>
      </w:r>
      <w:r>
        <w:rPr>
          <w:spacing w:val="-2"/>
        </w:rPr>
        <w:t>，高级财会讲师，全国优秀教师，中国管理科学研究</w:t>
      </w:r>
      <w:r>
        <w:rPr>
          <w:spacing w:val="-85"/>
        </w:rPr>
        <w:t> </w:t>
      </w:r>
      <w:r>
        <w:rPr>
          <w:spacing w:val="-85"/>
        </w:rPr>
      </w:r>
      <w:r>
        <w:rPr>
          <w:spacing w:val="-2"/>
        </w:rPr>
        <w:t>院特约研究员。</w:t>
      </w:r>
      <w:r>
        <w:rPr>
          <w:rFonts w:ascii="Times New Roman" w:hAnsi="Times New Roman" w:cs="Times New Roman" w:eastAsia="Times New Roman" w:hint="default"/>
          <w:spacing w:val="-2"/>
        </w:rPr>
        <w:t>1978</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6</w:t>
      </w:r>
      <w:r>
        <w:rPr>
          <w:spacing w:val="-2"/>
        </w:rPr>
        <w:t>月，先后担任四川省达州财贸学校财会讲师、高级财会讲师、教务科副科长、培训科科</w:t>
      </w:r>
      <w:r>
        <w:rPr>
          <w:spacing w:val="-56"/>
        </w:rPr>
        <w:t> </w:t>
      </w:r>
      <w:r>
        <w:rPr>
          <w:spacing w:val="-56"/>
        </w:rPr>
      </w:r>
      <w:r>
        <w:rPr>
          <w:spacing w:val="-2"/>
        </w:rPr>
        <w:t>长等职；</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w:t>
      </w:r>
      <w:r>
        <w:rPr>
          <w:spacing w:val="-2"/>
        </w:rPr>
        <w:t>月，先后担任深圳市三九企业集团下属全资子公司深圳市三九经贸发展有限公司财务经理、融</w:t>
      </w:r>
    </w:p>
    <w:p>
      <w:pPr>
        <w:spacing w:after="0" w:line="30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128"/>
        <w:jc w:val="both"/>
      </w:pPr>
      <w:r>
        <w:rPr/>
        <w:t>资部经理、财务总监；</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月，担任深圳市世纪华银投资管理有限公司副总经理。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w:t>
      </w:r>
      <w:r>
        <w:rPr>
          <w:spacing w:val="-82"/>
        </w:rPr>
        <w:t> </w:t>
      </w:r>
      <w:r>
        <w:rPr>
          <w:spacing w:val="-2"/>
        </w:rPr>
        <w:t>任深圳市华南产权投资管理有限公司财务总监。</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月至今担任深圳市华邦投资管理有限公司总经理，</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月至今</w:t>
      </w:r>
      <w:r>
        <w:rPr>
          <w:spacing w:val="-51"/>
        </w:rPr>
        <w:t> </w:t>
      </w:r>
      <w:r>
        <w:rPr/>
        <w:t>兼任深圳市华邦投资管理有限公司执行董事。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月担任深圳键桥通讯技术股份有限公司独立董事，</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5</w:t>
      </w:r>
      <w:r>
        <w:rPr/>
        <w:t>月担任本公司独立董事，已于</w:t>
      </w:r>
      <w:r>
        <w:rPr>
          <w:rFonts w:ascii="宋体" w:hAnsi="宋体" w:cs="宋体" w:eastAsia="宋体" w:hint="default"/>
        </w:rPr>
        <w:t>2015</w:t>
      </w:r>
      <w:r>
        <w:rPr/>
        <w:t>年</w:t>
      </w:r>
      <w:r>
        <w:rPr>
          <w:rFonts w:ascii="宋体" w:hAnsi="宋体" w:cs="宋体" w:eastAsia="宋体" w:hint="default"/>
        </w:rPr>
        <w:t>5</w:t>
      </w:r>
      <w:r>
        <w:rPr/>
        <w:t>月任期届满离任。</w:t>
      </w:r>
    </w:p>
    <w:p>
      <w:pPr>
        <w:pStyle w:val="BodyText"/>
        <w:spacing w:line="316" w:lineRule="auto" w:before="13"/>
        <w:ind w:left="1553" w:right="0"/>
        <w:jc w:val="left"/>
      </w:pPr>
      <w:r>
        <w:rPr/>
        <w:t>黎伟先生</w:t>
      </w:r>
      <w:r>
        <w:rPr>
          <w:spacing w:val="-17"/>
        </w:rPr>
        <w:t> </w:t>
      </w:r>
      <w:r>
        <w:rPr/>
        <w:t>公司独立董事</w:t>
      </w:r>
      <w:r>
        <w:rPr/>
        <w:t> </w:t>
      </w:r>
      <w:r>
        <w:rPr>
          <w:spacing w:val="-3"/>
        </w:rPr>
        <w:t>中国国籍，</w:t>
      </w:r>
      <w:r>
        <w:rPr>
          <w:rFonts w:ascii="Times New Roman" w:hAnsi="Times New Roman" w:cs="Times New Roman" w:eastAsia="Times New Roman" w:hint="default"/>
          <w:spacing w:val="-3"/>
        </w:rPr>
        <w:t>51</w:t>
      </w:r>
      <w:r>
        <w:rPr>
          <w:spacing w:val="-3"/>
        </w:rPr>
        <w:t>岁，无境外永久居留权，于</w:t>
      </w:r>
      <w:r>
        <w:rPr>
          <w:rFonts w:ascii="Times New Roman" w:hAnsi="Times New Roman" w:cs="Times New Roman" w:eastAsia="Times New Roman" w:hint="default"/>
          <w:spacing w:val="-3"/>
        </w:rPr>
        <w:t>1987</w:t>
      </w:r>
      <w:r>
        <w:rPr>
          <w:spacing w:val="-3"/>
        </w:rPr>
        <w:t>年毕业于西南政法大学，获法学学士学位；</w:t>
      </w:r>
      <w:r>
        <w:rPr>
          <w:rFonts w:ascii="Times New Roman" w:hAnsi="Times New Roman" w:cs="Times New Roman" w:eastAsia="Times New Roman" w:hint="default"/>
          <w:spacing w:val="-3"/>
        </w:rPr>
        <w:t>1988</w:t>
      </w:r>
      <w:r>
        <w:rPr>
          <w:spacing w:val="-3"/>
        </w:rPr>
        <w:t>年获律师执业资格证书；</w:t>
      </w:r>
    </w:p>
    <w:p>
      <w:pPr>
        <w:pStyle w:val="BodyText"/>
        <w:spacing w:line="300" w:lineRule="auto"/>
        <w:ind w:right="1134"/>
        <w:jc w:val="both"/>
      </w:pPr>
      <w:r>
        <w:rPr>
          <w:rFonts w:ascii="Times New Roman" w:hAnsi="Times New Roman" w:cs="Times New Roman" w:eastAsia="Times New Roman" w:hint="default"/>
        </w:rPr>
        <w:t>2003</w:t>
      </w:r>
      <w:r>
        <w:rPr/>
        <w:t>年至</w:t>
      </w:r>
      <w:r>
        <w:rPr>
          <w:rFonts w:ascii="Times New Roman" w:hAnsi="Times New Roman" w:cs="Times New Roman" w:eastAsia="Times New Roman" w:hint="default"/>
        </w:rPr>
        <w:t>2004</w:t>
      </w:r>
      <w:r>
        <w:rPr/>
        <w:t>年在美国芝加哥肯特法学院参加国际法和比较法</w:t>
      </w:r>
      <w:r>
        <w:rPr>
          <w:rFonts w:ascii="Times New Roman" w:hAnsi="Times New Roman" w:cs="Times New Roman" w:eastAsia="Times New Roman" w:hint="default"/>
        </w:rPr>
        <w:t>LLM</w:t>
      </w:r>
      <w:r>
        <w:rPr/>
        <w:t>课程学习，获法学硕士学位。</w:t>
      </w:r>
      <w:r>
        <w:rPr>
          <w:rFonts w:ascii="Times New Roman" w:hAnsi="Times New Roman" w:cs="Times New Roman" w:eastAsia="Times New Roman" w:hint="default"/>
        </w:rPr>
        <w:t>2008</w:t>
      </w:r>
      <w:r>
        <w:rPr/>
        <w:t>年至今，为广东晟典</w:t>
      </w:r>
      <w:r>
        <w:rPr>
          <w:spacing w:val="-24"/>
        </w:rPr>
        <w:t> </w:t>
      </w:r>
      <w:r>
        <w:rPr>
          <w:spacing w:val="-24"/>
        </w:rPr>
      </w:r>
      <w:r>
        <w:rPr/>
        <w:t>律师事务所合伙人。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月起担任本公司独立董事。</w:t>
      </w:r>
    </w:p>
    <w:p>
      <w:pPr>
        <w:pStyle w:val="BodyText"/>
        <w:spacing w:line="316" w:lineRule="auto" w:before="13"/>
        <w:ind w:left="1554" w:right="0"/>
        <w:jc w:val="left"/>
      </w:pPr>
      <w:r>
        <w:rPr/>
        <w:t>王红波先生</w:t>
      </w:r>
      <w:r>
        <w:rPr>
          <w:spacing w:val="-17"/>
        </w:rPr>
        <w:t> </w:t>
      </w:r>
      <w:r>
        <w:rPr/>
        <w:t>公司独立董事</w:t>
      </w:r>
      <w:r>
        <w:rPr/>
        <w:t> 中国国籍，</w:t>
      </w:r>
      <w:r>
        <w:rPr>
          <w:rFonts w:ascii="Times New Roman" w:hAnsi="Times New Roman" w:cs="Times New Roman" w:eastAsia="Times New Roman" w:hint="default"/>
        </w:rPr>
        <w:t>47</w:t>
      </w:r>
      <w:r>
        <w:rPr/>
        <w:t>岁，无境外永久居留权，硕士学历，毕业于南开大学会计学系，中山大学经济学硕士，英国特许公认会</w:t>
      </w:r>
    </w:p>
    <w:p>
      <w:pPr>
        <w:pStyle w:val="BodyText"/>
        <w:spacing w:line="300" w:lineRule="auto"/>
        <w:ind w:right="1131"/>
        <w:jc w:val="both"/>
      </w:pPr>
      <w:r>
        <w:rPr/>
        <w:t>计师 </w:t>
      </w:r>
      <w:r>
        <w:rPr>
          <w:rFonts w:ascii="Times New Roman" w:hAnsi="Times New Roman" w:cs="Times New Roman" w:eastAsia="Times New Roman" w:hint="default"/>
        </w:rPr>
        <w:t>(ACCA) </w:t>
      </w:r>
      <w:r>
        <w:rPr>
          <w:spacing w:val="-6"/>
        </w:rPr>
        <w:t>、中国注册会计师 </w:t>
      </w:r>
      <w:r>
        <w:rPr>
          <w:rFonts w:ascii="Times New Roman" w:hAnsi="Times New Roman" w:cs="Times New Roman" w:eastAsia="Times New Roman" w:hint="default"/>
        </w:rPr>
        <w:t>(CICPA)</w:t>
      </w:r>
      <w:r>
        <w:rPr>
          <w:rFonts w:ascii="Times New Roman" w:hAnsi="Times New Roman" w:cs="Times New Roman" w:eastAsia="Times New Roman" w:hint="default"/>
          <w:spacing w:val="15"/>
        </w:rPr>
        <w:t> </w:t>
      </w:r>
      <w:r>
        <w:rPr>
          <w:spacing w:val="-4"/>
        </w:rPr>
        <w:t>。先后任职于国家审计署驻太原特派办、深房集团，</w:t>
      </w:r>
      <w:r>
        <w:rPr>
          <w:rFonts w:ascii="Times New Roman" w:hAnsi="Times New Roman" w:cs="Times New Roman" w:eastAsia="Times New Roman" w:hint="default"/>
          <w:spacing w:val="-4"/>
        </w:rPr>
        <w:t>2005</w:t>
      </w:r>
      <w:r>
        <w:rPr>
          <w:spacing w:val="-4"/>
        </w:rPr>
        <w:t>年</w:t>
      </w:r>
      <w:r>
        <w:rPr>
          <w:rFonts w:ascii="Times New Roman" w:hAnsi="Times New Roman" w:cs="Times New Roman" w:eastAsia="Times New Roman" w:hint="default"/>
          <w:spacing w:val="-4"/>
        </w:rPr>
        <w:t>10</w:t>
      </w:r>
      <w:r>
        <w:rPr>
          <w:spacing w:val="-4"/>
        </w:rPr>
        <w:t>月至</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TCL</w:t>
      </w:r>
      <w:r>
        <w:rPr>
          <w:rFonts w:ascii="Times New Roman" w:hAnsi="Times New Roman" w:cs="Times New Roman" w:eastAsia="Times New Roman" w:hint="default"/>
        </w:rPr>
        <w:t> </w:t>
      </w:r>
      <w:r>
        <w:rPr>
          <w:spacing w:val="-1"/>
        </w:rPr>
        <w:t>集团股份有限公司董事会秘书，</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w:t>
      </w:r>
      <w:r>
        <w:rPr>
          <w:spacing w:val="-1"/>
        </w:rPr>
        <w:t>月至</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3</w:t>
      </w:r>
      <w:r>
        <w:rPr>
          <w:spacing w:val="-1"/>
        </w:rPr>
        <w:t>月起任</w:t>
      </w:r>
      <w:r>
        <w:rPr>
          <w:rFonts w:ascii="Times New Roman" w:hAnsi="Times New Roman" w:cs="Times New Roman" w:eastAsia="Times New Roman" w:hint="default"/>
          <w:spacing w:val="-1"/>
        </w:rPr>
        <w:t>TCL</w:t>
      </w:r>
      <w:r>
        <w:rPr>
          <w:spacing w:val="-1"/>
        </w:rPr>
        <w:t>创投董事总经理，</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4</w:t>
      </w:r>
      <w:r>
        <w:rPr>
          <w:spacing w:val="-1"/>
        </w:rPr>
        <w:t>月至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月任平安财智投资管</w:t>
      </w:r>
      <w:r>
        <w:rPr/>
        <w:t> 理有限公司首席投资官，</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月至今任招银国际资本管理公司有限公司首席投资官，在深圳欧菲光科技股份有限公司、</w:t>
      </w:r>
      <w:r>
        <w:rPr>
          <w:spacing w:val="-83"/>
        </w:rPr>
        <w:t> </w:t>
      </w:r>
      <w:r>
        <w:rPr>
          <w:spacing w:val="-83"/>
        </w:rPr>
      </w:r>
      <w:r>
        <w:rPr/>
        <w:t>深圳光韵达光电科技股份有限公司担任独立董事，</w:t>
      </w:r>
      <w:r>
        <w:rPr>
          <w:rFonts w:ascii="Times New Roman" w:hAnsi="Times New Roman" w:cs="Times New Roman" w:eastAsia="Times New Roman" w:hint="default"/>
        </w:rPr>
        <w:t>CATL</w:t>
      </w:r>
      <w:r>
        <w:rPr/>
        <w:t>及韵达快递董事。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月起担任本公司独立董事。</w:t>
      </w:r>
    </w:p>
    <w:p>
      <w:pPr>
        <w:pStyle w:val="BodyText"/>
        <w:tabs>
          <w:tab w:pos="2670" w:val="left" w:leader="none"/>
        </w:tabs>
        <w:spacing w:line="316" w:lineRule="auto" w:before="13"/>
        <w:ind w:left="1553" w:right="1132"/>
        <w:jc w:val="left"/>
      </w:pPr>
      <w:r>
        <w:rPr/>
        <w:t>王一江先生</w:t>
        <w:tab/>
        <w:t>公司独立董事 美国国籍，</w:t>
      </w:r>
      <w:r>
        <w:rPr>
          <w:rFonts w:ascii="Times New Roman" w:hAnsi="Times New Roman" w:cs="Times New Roman" w:eastAsia="Times New Roman" w:hint="default"/>
        </w:rPr>
        <w:t>62</w:t>
      </w:r>
      <w:r>
        <w:rPr/>
        <w:t>岁，美国哈佛大学经济学博士，现为长江商学院深圳校区副院长、经济学及人力资源学教授，前明尼苏</w:t>
      </w:r>
    </w:p>
    <w:p>
      <w:pPr>
        <w:pStyle w:val="BodyText"/>
        <w:spacing w:line="307" w:lineRule="auto"/>
        <w:ind w:left="1134" w:right="1129"/>
        <w:jc w:val="both"/>
      </w:pPr>
      <w:r>
        <w:rPr>
          <w:spacing w:val="-2"/>
        </w:rPr>
        <w:t>达大学卡尔森管理学院终身教授，美国密歇根大学戴维逊研究所研究员。</w:t>
      </w:r>
      <w:r>
        <w:rPr>
          <w:rFonts w:ascii="Times New Roman" w:hAnsi="Times New Roman" w:cs="Times New Roman" w:eastAsia="Times New Roman" w:hint="default"/>
          <w:spacing w:val="-2"/>
        </w:rPr>
        <w:t>1989</w:t>
      </w:r>
      <w:r>
        <w:rPr>
          <w:spacing w:val="-2"/>
        </w:rPr>
        <w:t>年后曾兼职担任世界银行顾问，清华大学经济</w:t>
      </w:r>
      <w:r>
        <w:rPr>
          <w:spacing w:val="-61"/>
        </w:rPr>
        <w:t> </w:t>
      </w:r>
      <w:r>
        <w:rPr>
          <w:spacing w:val="-61"/>
        </w:rPr>
      </w:r>
      <w:r>
        <w:rPr>
          <w:spacing w:val="-2"/>
        </w:rPr>
        <w:t>管理学院中国经济研究所高级研究员，中国留美经济学会副会长。研究兴趣主要集中在组织理论、劳动经济学与人力资源管</w:t>
      </w:r>
      <w:r>
        <w:rPr>
          <w:spacing w:val="-66"/>
        </w:rPr>
        <w:t> </w:t>
      </w:r>
      <w:r>
        <w:rPr>
          <w:spacing w:val="-66"/>
        </w:rPr>
      </w:r>
      <w:r>
        <w:rPr>
          <w:spacing w:val="-2"/>
        </w:rPr>
        <w:t>理、中国经济、货币与公共金融等。在过去几年中，王一江博士在国际和国内著名期刊发表多篇论文，并被大量引用。</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年</w:t>
      </w:r>
      <w:r>
        <w:rPr>
          <w:rFonts w:ascii="Times New Roman" w:hAnsi="Times New Roman" w:cs="Times New Roman" w:eastAsia="Times New Roman" w:hint="default"/>
        </w:rPr>
        <w:t>3</w:t>
      </w:r>
      <w:r>
        <w:rPr/>
        <w:t>月起担任本公司独立董事。</w:t>
      </w:r>
    </w:p>
    <w:p>
      <w:pPr>
        <w:pStyle w:val="BodyText"/>
        <w:spacing w:line="240" w:lineRule="auto" w:before="7"/>
        <w:ind w:left="1134" w:right="0"/>
        <w:jc w:val="both"/>
      </w:pPr>
      <w:r>
        <w:rPr>
          <w:rFonts w:ascii="Times New Roman" w:hAnsi="Times New Roman" w:cs="Times New Roman" w:eastAsia="Times New Roman" w:hint="default"/>
        </w:rPr>
        <w:t>2</w:t>
      </w:r>
      <w:r>
        <w:rPr/>
        <w:t>、监事会成员</w:t>
      </w:r>
    </w:p>
    <w:p>
      <w:pPr>
        <w:pStyle w:val="BodyText"/>
        <w:spacing w:line="300" w:lineRule="auto" w:before="63"/>
        <w:ind w:left="1134" w:right="0" w:firstLine="420"/>
        <w:jc w:val="left"/>
      </w:pPr>
      <w:r>
        <w:rPr/>
        <w:t>公司监事会由</w:t>
      </w:r>
      <w:r>
        <w:rPr>
          <w:rFonts w:ascii="Times New Roman" w:hAnsi="Times New Roman" w:cs="Times New Roman" w:eastAsia="Times New Roman" w:hint="default"/>
        </w:rPr>
        <w:t>3</w:t>
      </w:r>
      <w:r>
        <w:rPr/>
        <w:t>名监事组成，监事每届任期</w:t>
      </w:r>
      <w:r>
        <w:rPr>
          <w:rFonts w:ascii="Times New Roman" w:hAnsi="Times New Roman" w:cs="Times New Roman" w:eastAsia="Times New Roman" w:hint="default"/>
        </w:rPr>
        <w:t>3</w:t>
      </w:r>
      <w:r>
        <w:rPr/>
        <w:t>年。现任监事会由马竹茂、崔美玲和王涛组成，其中崔美玲为职工代表监 事，任期均为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月。前述人员的简介如下：</w:t>
      </w:r>
    </w:p>
    <w:p>
      <w:pPr>
        <w:spacing w:line="240" w:lineRule="auto" w:before="11"/>
        <w:rPr>
          <w:rFonts w:ascii="宋体" w:hAnsi="宋体" w:cs="宋体" w:eastAsia="宋体" w:hint="default"/>
          <w:sz w:val="24"/>
          <w:szCs w:val="24"/>
        </w:rPr>
      </w:pPr>
    </w:p>
    <w:p>
      <w:pPr>
        <w:pStyle w:val="BodyText"/>
        <w:tabs>
          <w:tab w:pos="2670" w:val="left" w:leader="none"/>
        </w:tabs>
        <w:spacing w:line="316" w:lineRule="auto"/>
        <w:ind w:left="1554" w:right="1132"/>
        <w:jc w:val="left"/>
      </w:pPr>
      <w:r>
        <w:rPr/>
        <w:t>马竹茂先生</w:t>
        <w:tab/>
        <w:t>公司监事 中国国籍，</w:t>
      </w:r>
      <w:r>
        <w:rPr>
          <w:rFonts w:ascii="Times New Roman" w:hAnsi="Times New Roman" w:cs="Times New Roman" w:eastAsia="Times New Roman" w:hint="default"/>
        </w:rPr>
        <w:t>52</w:t>
      </w:r>
      <w:r>
        <w:rPr/>
        <w:t>岁，于</w:t>
      </w:r>
      <w:r>
        <w:rPr>
          <w:rFonts w:ascii="Times New Roman" w:hAnsi="Times New Roman" w:cs="Times New Roman" w:eastAsia="Times New Roman" w:hint="default"/>
        </w:rPr>
        <w:t>1988</w:t>
      </w:r>
      <w:r>
        <w:rPr/>
        <w:t>年毕业于天津大学计算机系，工学硕士学位；并于</w:t>
      </w:r>
      <w:r>
        <w:rPr>
          <w:rFonts w:ascii="Times New Roman" w:hAnsi="Times New Roman" w:cs="Times New Roman" w:eastAsia="Times New Roman" w:hint="default"/>
        </w:rPr>
        <w:t>2003</w:t>
      </w:r>
      <w:r>
        <w:rPr/>
        <w:t>年获得北京大学光华管理学院工商管</w:t>
      </w:r>
    </w:p>
    <w:p>
      <w:pPr>
        <w:pStyle w:val="BodyText"/>
        <w:spacing w:line="312" w:lineRule="auto"/>
        <w:ind w:right="1131"/>
        <w:jc w:val="both"/>
      </w:pPr>
      <w:r>
        <w:rPr>
          <w:spacing w:val="-2"/>
        </w:rPr>
        <w:t>理硕士学位。曾任天津计算机应用技术研究所工程师，深圳万通软件有限公司助理总经理，深圳爱华电子有限公司高级工程</w:t>
      </w:r>
      <w:r>
        <w:rPr>
          <w:spacing w:val="-66"/>
        </w:rPr>
        <w:t> </w:t>
      </w:r>
      <w:r>
        <w:rPr>
          <w:spacing w:val="-66"/>
        </w:rPr>
      </w:r>
      <w:r>
        <w:rPr>
          <w:spacing w:val="-2"/>
        </w:rPr>
        <w:t>师和下属公司副总经理及总工程师，深圳宝德科技集团股份有限公司董事、副总经理、总工程师，</w:t>
      </w:r>
      <w:r>
        <w:rPr>
          <w:rFonts w:ascii="Times New Roman" w:hAnsi="Times New Roman" w:cs="Times New Roman" w:eastAsia="Times New Roman" w:hint="default"/>
          <w:spacing w:val="-2"/>
        </w:rPr>
        <w:t>TCL</w:t>
      </w:r>
      <w:r>
        <w:rPr>
          <w:spacing w:val="-2"/>
        </w:rPr>
        <w:t>电脑有限公司技术总</w:t>
      </w:r>
      <w:r>
        <w:rPr>
          <w:spacing w:val="-45"/>
        </w:rPr>
        <w:t> </w:t>
      </w:r>
      <w:r>
        <w:rPr>
          <w:spacing w:val="-45"/>
        </w:rPr>
      </w:r>
      <w:r>
        <w:rPr>
          <w:spacing w:val="-2"/>
        </w:rPr>
        <w:t>监和绵阳聚星超级计算技术有限公司董事、副总经理。现任公司监事，同时担任深圳宝德科技集团股份有限公司董事、深圳</w:t>
      </w:r>
      <w:r>
        <w:rPr>
          <w:spacing w:val="-66"/>
        </w:rPr>
        <w:t> </w:t>
      </w:r>
      <w:r>
        <w:rPr>
          <w:spacing w:val="-66"/>
        </w:rPr>
      </w:r>
      <w:r>
        <w:rPr/>
        <w:t>市宝德计算机系统有限公司总经理。</w:t>
      </w:r>
    </w:p>
    <w:p>
      <w:pPr>
        <w:pStyle w:val="BodyText"/>
        <w:tabs>
          <w:tab w:pos="2670" w:val="left" w:leader="none"/>
        </w:tabs>
        <w:spacing w:line="316" w:lineRule="auto" w:before="22"/>
        <w:ind w:left="1553" w:right="1133"/>
        <w:jc w:val="left"/>
      </w:pPr>
      <w:r>
        <w:rPr/>
        <w:t>胡浪涛先生</w:t>
        <w:tab/>
        <w:t>公司监事 中国国籍，</w:t>
      </w:r>
      <w:r>
        <w:rPr>
          <w:rFonts w:ascii="Times New Roman" w:hAnsi="Times New Roman" w:cs="Times New Roman" w:eastAsia="Times New Roman" w:hint="default"/>
        </w:rPr>
        <w:t>37</w:t>
      </w:r>
      <w:r>
        <w:rPr/>
        <w:t>岁，于</w:t>
      </w:r>
      <w:r>
        <w:rPr>
          <w:rFonts w:ascii="Times New Roman" w:hAnsi="Times New Roman" w:cs="Times New Roman" w:eastAsia="Times New Roman" w:hint="default"/>
        </w:rPr>
        <w:t>2001</w:t>
      </w:r>
      <w:r>
        <w:rPr/>
        <w:t>年毕业于广东海洋大学经济管理学院，经济学学士学位。曾任深圳经济特区发展集团公司干</w:t>
      </w:r>
    </w:p>
    <w:p>
      <w:pPr>
        <w:pStyle w:val="BodyText"/>
        <w:spacing w:line="316" w:lineRule="auto"/>
        <w:ind w:left="1134" w:right="1133"/>
        <w:jc w:val="both"/>
      </w:pPr>
      <w:r>
        <w:rPr>
          <w:spacing w:val="-2"/>
        </w:rPr>
        <w:t>部，深圳市腾码信息技术有限公司总经理，深圳市宝德投资控股有限公司董事会秘书、投资总监。现任公司监事，同时兼任</w:t>
      </w:r>
      <w:r>
        <w:rPr>
          <w:spacing w:val="-66"/>
        </w:rPr>
        <w:t> </w:t>
      </w:r>
      <w:r>
        <w:rPr>
          <w:spacing w:val="-66"/>
        </w:rPr>
      </w:r>
      <w:r>
        <w:rPr/>
        <w:t>深圳市鹏德创业投资有限公司副总裁。于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日离职。</w:t>
      </w:r>
    </w:p>
    <w:p>
      <w:pPr>
        <w:pStyle w:val="BodyText"/>
        <w:spacing w:line="316" w:lineRule="auto"/>
        <w:ind w:left="1554" w:right="1122"/>
        <w:jc w:val="left"/>
      </w:pPr>
      <w:r>
        <w:rPr/>
        <w:t>王涛先生</w:t>
      </w:r>
      <w:r>
        <w:rPr>
          <w:spacing w:val="-17"/>
        </w:rPr>
        <w:t> </w:t>
      </w:r>
      <w:r>
        <w:rPr/>
        <w:t>公司监事</w:t>
      </w:r>
      <w:r>
        <w:rPr/>
        <w:t> </w:t>
      </w:r>
      <w:r>
        <w:rPr>
          <w:spacing w:val="-1"/>
        </w:rPr>
        <w:t>中国国籍，</w:t>
      </w:r>
      <w:r>
        <w:rPr>
          <w:rFonts w:ascii="Times New Roman" w:hAnsi="Times New Roman" w:cs="Times New Roman" w:eastAsia="Times New Roman" w:hint="default"/>
          <w:spacing w:val="-1"/>
        </w:rPr>
        <w:t>40</w:t>
      </w:r>
      <w:r>
        <w:rPr>
          <w:spacing w:val="-1"/>
        </w:rPr>
        <w:t>岁，于</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3</w:t>
      </w:r>
      <w:r>
        <w:rPr>
          <w:spacing w:val="-1"/>
        </w:rPr>
        <w:t>月毕业于上海财经大学，获工商管理硕士学位。</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w:t>
      </w:r>
      <w:r>
        <w:rPr>
          <w:spacing w:val="-1"/>
        </w:rPr>
        <w:t>月至</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w:t>
      </w:r>
      <w:r>
        <w:rPr>
          <w:spacing w:val="-1"/>
        </w:rPr>
        <w:t>月在深圳裕鼎投资公</w:t>
      </w:r>
    </w:p>
    <w:p>
      <w:pPr>
        <w:pStyle w:val="BodyText"/>
        <w:spacing w:line="300" w:lineRule="auto"/>
        <w:ind w:left="1134" w:right="1131"/>
        <w:jc w:val="both"/>
      </w:pPr>
      <w:r>
        <w:rPr/>
        <w:t>司任职常务副总经理，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月至今在深圳市宝德投资控股有限公司任职直投部投资总监及下属公司鹏德创投公司任职投</w:t>
      </w:r>
      <w:r>
        <w:rPr>
          <w:spacing w:val="-83"/>
        </w:rPr>
        <w:t> </w:t>
      </w:r>
      <w:r>
        <w:rPr>
          <w:spacing w:val="-83"/>
        </w:rPr>
      </w:r>
      <w:r>
        <w:rPr/>
        <w:t>资总监。</w:t>
      </w:r>
      <w:r>
        <w:rPr>
          <w:spacing w:val="30"/>
        </w:rPr>
        <w:t> </w:t>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月起担任本公司监事。</w:t>
      </w:r>
    </w:p>
    <w:p>
      <w:pPr>
        <w:pStyle w:val="BodyText"/>
        <w:tabs>
          <w:tab w:pos="2670" w:val="left" w:leader="none"/>
        </w:tabs>
        <w:spacing w:line="316" w:lineRule="auto" w:before="13"/>
        <w:ind w:left="1553" w:right="2971"/>
        <w:jc w:val="left"/>
      </w:pPr>
      <w:r>
        <w:rPr/>
        <w:t>崔美玲女士</w:t>
        <w:tab/>
        <w:t>公司监事 中国国籍，</w:t>
      </w:r>
      <w:r>
        <w:rPr>
          <w:rFonts w:ascii="Times New Roman" w:hAnsi="Times New Roman" w:cs="Times New Roman" w:eastAsia="Times New Roman" w:hint="default"/>
        </w:rPr>
        <w:t>28</w:t>
      </w:r>
      <w:r>
        <w:rPr/>
        <w:t>岁，专科学历。曾任公司推广部导师，现任公司监事、公司广告投放部门经理。</w:t>
      </w:r>
    </w:p>
    <w:p>
      <w:pPr>
        <w:pStyle w:val="BodyText"/>
        <w:spacing w:line="249" w:lineRule="exact"/>
        <w:ind w:right="0"/>
        <w:jc w:val="both"/>
      </w:pPr>
      <w:r>
        <w:rPr>
          <w:rFonts w:ascii="Times New Roman" w:hAnsi="Times New Roman" w:cs="Times New Roman" w:eastAsia="Times New Roman" w:hint="default"/>
        </w:rPr>
        <w:t>3</w:t>
      </w:r>
      <w:r>
        <w:rPr/>
        <w:t>、高级管理人员</w:t>
      </w:r>
    </w:p>
    <w:p>
      <w:pPr>
        <w:pStyle w:val="BodyText"/>
        <w:spacing w:line="300" w:lineRule="auto" w:before="63"/>
        <w:ind w:right="0" w:firstLine="420"/>
        <w:jc w:val="left"/>
      </w:pPr>
      <w:r>
        <w:rPr/>
        <w:t>公司高级管理人员包括总经理、副总经理、财务总监和董事会秘书。本届高管人员任期自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月。公 司各高级管理人员简介如下：</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553" w:right="4251"/>
        <w:jc w:val="left"/>
      </w:pPr>
      <w:r>
        <w:rPr/>
        <w:t>李瑞杰先生 公司董事长、总经理</w:t>
      </w:r>
      <w:r>
        <w:rPr>
          <w:spacing w:val="-38"/>
        </w:rPr>
        <w:t> </w:t>
      </w:r>
      <w:r>
        <w:rPr/>
        <w:t>简介详见本节前述董事会成员介绍的内容。</w:t>
      </w:r>
      <w:r>
        <w:rPr/>
        <w:t> 郑楠芳女士</w:t>
      </w:r>
      <w:r>
        <w:rPr>
          <w:spacing w:val="-19"/>
        </w:rPr>
        <w:t> </w:t>
      </w:r>
      <w:r>
        <w:rPr/>
        <w:t>公司董事、副总经理简介详见本节前述董事会成员介绍的内容。</w:t>
      </w:r>
    </w:p>
    <w:p>
      <w:pPr>
        <w:spacing w:line="240" w:lineRule="auto" w:before="4"/>
        <w:rPr>
          <w:rFonts w:ascii="宋体" w:hAnsi="宋体" w:cs="宋体" w:eastAsia="宋体" w:hint="default"/>
          <w:sz w:val="25"/>
          <w:szCs w:val="25"/>
        </w:rPr>
      </w:pPr>
    </w:p>
    <w:p>
      <w:pPr>
        <w:pStyle w:val="BodyText"/>
        <w:spacing w:line="319" w:lineRule="auto"/>
        <w:ind w:left="1553" w:right="0"/>
        <w:jc w:val="left"/>
      </w:pPr>
      <w:r>
        <w:rPr/>
        <w:t>夏玄先生</w:t>
      </w:r>
      <w:r>
        <w:rPr>
          <w:spacing w:val="54"/>
        </w:rPr>
        <w:t> </w:t>
      </w:r>
      <w:r>
        <w:rPr/>
        <w:t>公司副总经理</w:t>
      </w:r>
      <w:r>
        <w:rPr/>
        <w:t> 中国国籍，</w:t>
      </w:r>
      <w:r>
        <w:rPr>
          <w:rFonts w:ascii="Times New Roman" w:hAnsi="Times New Roman" w:cs="Times New Roman" w:eastAsia="Times New Roman" w:hint="default"/>
        </w:rPr>
        <w:t>42</w:t>
      </w:r>
      <w:r>
        <w:rPr/>
        <w:t>岁，于</w:t>
      </w:r>
      <w:r>
        <w:rPr>
          <w:rFonts w:ascii="Times New Roman" w:hAnsi="Times New Roman" w:cs="Times New Roman" w:eastAsia="Times New Roman" w:hint="default"/>
        </w:rPr>
        <w:t>1999</w:t>
      </w:r>
      <w:r>
        <w:rPr/>
        <w:t>年毕业于郑州大学。曾担任河南省航天金穗技术有限公司市场部经理；北京中机电亿万商务</w:t>
      </w:r>
    </w:p>
    <w:p>
      <w:pPr>
        <w:pStyle w:val="BodyText"/>
        <w:spacing w:line="300" w:lineRule="auto"/>
        <w:ind w:left="1134" w:right="1118"/>
        <w:jc w:val="left"/>
      </w:pPr>
      <w:r>
        <w:rPr>
          <w:spacing w:val="-2"/>
        </w:rPr>
        <w:t>有限公司商务部副经理；深圳市宝德科技股份有限公司解决方案工程师等职务。</w:t>
      </w:r>
      <w:r>
        <w:rPr>
          <w:rFonts w:ascii="Times New Roman" w:hAnsi="Times New Roman" w:cs="Times New Roman" w:eastAsia="Times New Roman" w:hint="default"/>
          <w:spacing w:val="-2"/>
        </w:rPr>
        <w:t>2005</w:t>
      </w:r>
      <w:r>
        <w:rPr>
          <w:spacing w:val="-2"/>
        </w:rPr>
        <w:t>年起加入本公司，目前担任公司副总经</w:t>
      </w:r>
      <w:r>
        <w:rPr>
          <w:spacing w:val="-61"/>
        </w:rPr>
        <w:t> </w:t>
      </w:r>
      <w:r>
        <w:rPr>
          <w:spacing w:val="-61"/>
        </w:rPr>
      </w:r>
      <w:r>
        <w:rPr/>
        <w:t>理。</w:t>
      </w:r>
    </w:p>
    <w:p>
      <w:pPr>
        <w:pStyle w:val="BodyText"/>
        <w:tabs>
          <w:tab w:pos="2491" w:val="left" w:leader="none"/>
        </w:tabs>
        <w:spacing w:line="316" w:lineRule="auto" w:before="31"/>
        <w:ind w:left="1553" w:right="1132"/>
        <w:jc w:val="left"/>
      </w:pPr>
      <w:r>
        <w:rPr/>
        <w:t>刘立先生</w:t>
        <w:tab/>
        <w:t>公司财务总监 中国国籍，无境外居留权，</w:t>
      </w:r>
      <w:r>
        <w:rPr>
          <w:rFonts w:ascii="Times New Roman" w:hAnsi="Times New Roman" w:cs="Times New Roman" w:eastAsia="Times New Roman" w:hint="default"/>
        </w:rPr>
        <w:t>46</w:t>
      </w:r>
      <w:r>
        <w:rPr/>
        <w:t>岁，于</w:t>
      </w:r>
      <w:r>
        <w:rPr>
          <w:rFonts w:ascii="Times New Roman" w:hAnsi="Times New Roman" w:cs="Times New Roman" w:eastAsia="Times New Roman" w:hint="default"/>
        </w:rPr>
        <w:t>1992</w:t>
      </w:r>
      <w:r>
        <w:rPr/>
        <w:t>年毕业于中南大学，曾于中瑞岳华会计师事务所深圳分所任高级经理，英大</w:t>
      </w:r>
    </w:p>
    <w:p>
      <w:pPr>
        <w:pStyle w:val="BodyText"/>
        <w:tabs>
          <w:tab w:pos="2383" w:val="left" w:leader="none"/>
        </w:tabs>
        <w:spacing w:line="300" w:lineRule="auto"/>
        <w:ind w:left="1553" w:right="3659" w:hanging="420"/>
        <w:jc w:val="left"/>
      </w:pPr>
      <w:r>
        <w:rPr/>
        <w:t>证券有限责任公司任会计处长。</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月加入公司任财务副总监，于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日离职。 张宇庆</w:t>
        <w:tab/>
        <w:t>公司副总经理</w:t>
      </w:r>
    </w:p>
    <w:p>
      <w:pPr>
        <w:pStyle w:val="BodyText"/>
        <w:spacing w:line="300" w:lineRule="auto" w:before="31"/>
        <w:ind w:right="0" w:firstLine="420"/>
        <w:jc w:val="left"/>
      </w:pPr>
      <w:r>
        <w:rPr/>
        <w:t>中国国籍，有美国居留权。</w:t>
      </w:r>
      <w:r>
        <w:rPr>
          <w:rFonts w:ascii="Times New Roman" w:hAnsi="Times New Roman" w:cs="Times New Roman" w:eastAsia="Times New Roman" w:hint="default"/>
        </w:rPr>
        <w:t>43</w:t>
      </w:r>
      <w:r>
        <w:rPr/>
        <w:t>岁，于</w:t>
      </w:r>
      <w:r>
        <w:rPr>
          <w:rFonts w:ascii="Times New Roman" w:hAnsi="Times New Roman" w:cs="Times New Roman" w:eastAsia="Times New Roman" w:hint="default"/>
        </w:rPr>
        <w:t>2002</w:t>
      </w:r>
      <w:r>
        <w:rPr/>
        <w:t>年毕业于美国加州州立大学，获得计算机硕士。于</w:t>
      </w:r>
      <w:r>
        <w:rPr>
          <w:rFonts w:ascii="Times New Roman" w:hAnsi="Times New Roman" w:cs="Times New Roman" w:eastAsia="Times New Roman" w:hint="default"/>
        </w:rPr>
        <w:t>1999</w:t>
      </w:r>
      <w:r>
        <w:rPr/>
        <w:t>年毕业于韩国高丽大 学，获得韩国工商管理硕士。于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日离职。</w:t>
      </w:r>
    </w:p>
    <w:p>
      <w:pPr>
        <w:pStyle w:val="BodyText"/>
        <w:spacing w:line="316" w:lineRule="auto" w:before="13"/>
        <w:ind w:left="1554" w:right="0"/>
        <w:jc w:val="left"/>
      </w:pPr>
      <w:r>
        <w:rPr/>
        <w:t>李泽文先生</w:t>
      </w:r>
      <w:r>
        <w:rPr>
          <w:spacing w:val="54"/>
        </w:rPr>
        <w:t> </w:t>
      </w:r>
      <w:r>
        <w:rPr/>
        <w:t>公司副总经理、董事会秘书</w:t>
      </w:r>
      <w:r>
        <w:rPr/>
        <w:t> 中国国籍，</w:t>
      </w:r>
      <w:r>
        <w:rPr>
          <w:rFonts w:ascii="Times New Roman" w:hAnsi="Times New Roman" w:cs="Times New Roman" w:eastAsia="Times New Roman" w:hint="default"/>
        </w:rPr>
        <w:t>33</w:t>
      </w:r>
      <w:r>
        <w:rPr/>
        <w:t>岁，无境外永久居留权，本科学历，具有董事会秘书资格、证券从业资格和中级经济师职称。曾先后任</w:t>
      </w:r>
    </w:p>
    <w:p>
      <w:pPr>
        <w:pStyle w:val="BodyText"/>
        <w:spacing w:line="300" w:lineRule="auto"/>
        <w:ind w:right="1130"/>
        <w:jc w:val="both"/>
      </w:pPr>
      <w:r>
        <w:rPr>
          <w:spacing w:val="-2"/>
        </w:rPr>
        <w:t>职于东北证券股份有限公司、博隆投资咨询有限公司和广东超华科技股份有限公司。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月加入深圳中青宝互动网络股</w:t>
      </w:r>
      <w:r>
        <w:rPr>
          <w:spacing w:val="-57"/>
        </w:rPr>
        <w:t> </w:t>
      </w:r>
      <w:r>
        <w:rPr/>
        <w:t>份有限公司，担任公司董事会秘书、副总经理，于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日离职。</w:t>
      </w:r>
    </w:p>
    <w:p>
      <w:pPr>
        <w:pStyle w:val="BodyText"/>
        <w:spacing w:line="316" w:lineRule="auto" w:before="13"/>
        <w:ind w:left="1554" w:right="0"/>
        <w:jc w:val="left"/>
      </w:pPr>
      <w:r>
        <w:rPr/>
        <w:t>许岳明先生</w:t>
      </w:r>
      <w:r>
        <w:rPr>
          <w:spacing w:val="-17"/>
        </w:rPr>
        <w:t> </w:t>
      </w:r>
      <w:r>
        <w:rPr/>
        <w:t>公司副总经理、董事会秘书、财务总监</w:t>
      </w:r>
      <w:r>
        <w:rPr/>
        <w:t> 中国国籍，</w:t>
      </w:r>
      <w:r>
        <w:rPr>
          <w:rFonts w:ascii="Times New Roman" w:hAnsi="Times New Roman" w:cs="Times New Roman" w:eastAsia="Times New Roman" w:hint="default"/>
        </w:rPr>
        <w:t>42</w:t>
      </w:r>
      <w:r>
        <w:rPr/>
        <w:t>岁，中国注册会计师、中国注册税务师、高级会计师职称，获杭州电子工业学院学士学位。曾任职于深</w:t>
      </w:r>
    </w:p>
    <w:p>
      <w:pPr>
        <w:pStyle w:val="BodyText"/>
        <w:spacing w:line="319" w:lineRule="auto"/>
        <w:ind w:left="1134" w:right="1131"/>
        <w:jc w:val="both"/>
      </w:pPr>
      <w:r>
        <w:rPr>
          <w:spacing w:val="-2"/>
        </w:rPr>
        <w:t>圳市赛格三星股份有限公司财务部、深圳中华会计师事务所审计部、深圳信隆实业股份有限公司财务部、深圳市裕同印刷包</w:t>
      </w:r>
      <w:r>
        <w:rPr>
          <w:spacing w:val="-66"/>
        </w:rPr>
        <w:t> </w:t>
      </w:r>
      <w:r>
        <w:rPr>
          <w:spacing w:val="-66"/>
        </w:rPr>
      </w:r>
      <w:r>
        <w:rPr>
          <w:spacing w:val="-2"/>
        </w:rPr>
        <w:t>装有限公司财务总监、宝德科技集团股份有限公司副总裁、财务总监兼董事会秘书。现任公司副总经理、董事会秘书、财务</w:t>
      </w:r>
      <w:r>
        <w:rPr>
          <w:spacing w:val="-66"/>
        </w:rPr>
        <w:t> </w:t>
      </w:r>
      <w:r>
        <w:rPr>
          <w:spacing w:val="-66"/>
        </w:rPr>
      </w:r>
      <w:r>
        <w:rPr>
          <w:spacing w:val="-2"/>
        </w:rPr>
        <w:t>总监，宝德科技非执行董事，深圳市沃尔核材股份有限公司董事，并兼任深圳市福田区政府专项资金资助项目评审专家，致</w:t>
      </w:r>
      <w:r>
        <w:rPr>
          <w:spacing w:val="-66"/>
        </w:rPr>
        <w:t> </w:t>
      </w:r>
      <w:r>
        <w:rPr>
          <w:spacing w:val="-66"/>
        </w:rPr>
      </w:r>
      <w:r>
        <w:rPr/>
        <w:t>公党深圳龙华二支部副主委。</w:t>
      </w:r>
    </w:p>
    <w:p>
      <w:pPr>
        <w:pStyle w:val="BodyText"/>
        <w:tabs>
          <w:tab w:pos="2563" w:val="left" w:leader="none"/>
        </w:tabs>
        <w:spacing w:line="316" w:lineRule="auto" w:before="17"/>
        <w:ind w:left="1554" w:right="1132"/>
        <w:jc w:val="left"/>
      </w:pPr>
      <w:r>
        <w:rPr/>
        <w:t>申睿先生</w:t>
        <w:tab/>
        <w:t>公司副总经理 中国国籍，</w:t>
      </w:r>
      <w:r>
        <w:rPr>
          <w:rFonts w:ascii="Times New Roman" w:hAnsi="Times New Roman" w:cs="Times New Roman" w:eastAsia="Times New Roman" w:hint="default"/>
        </w:rPr>
        <w:t>37</w:t>
      </w:r>
      <w:r>
        <w:rPr/>
        <w:t>岁，无境外永久居留权，于</w:t>
      </w:r>
      <w:r>
        <w:rPr>
          <w:rFonts w:ascii="Times New Roman" w:hAnsi="Times New Roman" w:cs="Times New Roman" w:eastAsia="Times New Roman" w:hint="default"/>
        </w:rPr>
        <w:t>2001</w:t>
      </w:r>
      <w:r>
        <w:rPr/>
        <w:t>年毕业于北京大学，获新闻学学士学位。曾担任风笙传媒广告有限公司</w:t>
      </w:r>
    </w:p>
    <w:p>
      <w:pPr>
        <w:pStyle w:val="BodyText"/>
        <w:spacing w:line="248" w:lineRule="exact"/>
        <w:ind w:right="0"/>
        <w:jc w:val="both"/>
      </w:pPr>
      <w:r>
        <w:rPr/>
        <w:t>总经理</w:t>
      </w:r>
      <w:r>
        <w:rPr>
          <w:spacing w:val="-82"/>
        </w:rPr>
        <w:t>、</w:t>
      </w:r>
      <w:r>
        <w:rPr/>
        <w:t>腾讯科技</w:t>
      </w:r>
      <w:r>
        <w:rPr>
          <w:rFonts w:ascii="宋体" w:hAnsi="宋体" w:cs="宋体" w:eastAsia="宋体" w:hint="default"/>
        </w:rPr>
        <w:t>(</w:t>
      </w:r>
      <w:r>
        <w:rPr/>
        <w:t>深圳</w:t>
      </w:r>
      <w:r>
        <w:rPr>
          <w:rFonts w:ascii="宋体" w:hAnsi="宋体" w:cs="宋体" w:eastAsia="宋体" w:hint="default"/>
        </w:rPr>
        <w:t>)</w:t>
      </w:r>
      <w:r>
        <w:rPr/>
        <w:t>有限公司游戏制作人</w:t>
      </w:r>
      <w:r>
        <w:rPr>
          <w:spacing w:val="-82"/>
        </w:rPr>
        <w:t>，</w:t>
      </w:r>
      <w:r>
        <w:rPr>
          <w:rFonts w:ascii="Times New Roman" w:hAnsi="Times New Roman" w:cs="Times New Roman" w:eastAsia="Times New Roman" w:hint="default"/>
        </w:rPr>
        <w:t>2014 </w:t>
      </w:r>
      <w:r>
        <w:rPr>
          <w:rFonts w:ascii="Times New Roman" w:hAnsi="Times New Roman" w:cs="Times New Roman" w:eastAsia="Times New Roman" w:hint="default"/>
          <w:spacing w:val="-17"/>
        </w:rPr>
        <w:t> </w:t>
      </w:r>
      <w:r>
        <w:rPr/>
        <w:t>年</w:t>
      </w:r>
      <w:r>
        <w:rPr>
          <w:rFonts w:ascii="Times New Roman" w:hAnsi="Times New Roman" w:cs="Times New Roman" w:eastAsia="Times New Roman" w:hint="default"/>
        </w:rPr>
        <w:t>6</w:t>
      </w:r>
      <w:r>
        <w:rPr>
          <w:spacing w:val="-2"/>
        </w:rPr>
        <w:t>月</w:t>
      </w:r>
      <w:r>
        <w:rPr/>
        <w:t>加入深圳中青宝互动网络股份有限公司</w:t>
      </w:r>
      <w:r>
        <w:rPr>
          <w:spacing w:val="-82"/>
        </w:rPr>
        <w:t>，</w:t>
      </w:r>
      <w:r>
        <w:rPr/>
        <w:t>目前担任公司副总经理。</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left="1134" w:right="0"/>
        <w:jc w:val="both"/>
      </w:pPr>
      <w:r>
        <w:rPr/>
        <w:t>在股东单位任职情况</w:t>
      </w:r>
    </w:p>
    <w:p>
      <w:pPr>
        <w:pStyle w:val="BodyText"/>
        <w:spacing w:line="240" w:lineRule="auto" w:before="116"/>
        <w:ind w:left="11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宝德科技集团有限公司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0"/>
                <w:sz w:val="18"/>
                <w:szCs w:val="18"/>
              </w:rPr>
              <w:t>副董事长、非</w:t>
            </w:r>
            <w:r>
              <w:rPr>
                <w:rFonts w:ascii="宋体" w:hAnsi="宋体" w:cs="宋体" w:eastAsia="宋体" w:hint="default"/>
                <w:sz w:val="18"/>
                <w:szCs w:val="18"/>
              </w:rPr>
              <w:t> 执行董事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0"/>
                <w:sz w:val="18"/>
                <w:szCs w:val="18"/>
              </w:rPr>
              <w:t>副董事长、总</w:t>
            </w:r>
            <w:r>
              <w:rPr>
                <w:rFonts w:ascii="宋体" w:hAnsi="宋体" w:cs="宋体" w:eastAsia="宋体" w:hint="default"/>
                <w:sz w:val="18"/>
                <w:szCs w:val="18"/>
              </w:rPr>
              <w:t> 裁</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宝德科技集团有限公司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0"/>
              <w:jc w:val="left"/>
              <w:rPr>
                <w:rFonts w:ascii="宋体" w:hAnsi="宋体" w:cs="宋体" w:eastAsia="宋体" w:hint="default"/>
                <w:sz w:val="18"/>
                <w:szCs w:val="18"/>
              </w:rPr>
            </w:pPr>
            <w:r>
              <w:rPr>
                <w:rFonts w:ascii="宋体" w:hAnsi="宋体" w:cs="宋体" w:eastAsia="宋体" w:hint="default"/>
                <w:spacing w:val="-10"/>
                <w:sz w:val="18"/>
                <w:szCs w:val="18"/>
              </w:rPr>
              <w:t>董事长、执行</w:t>
            </w:r>
            <w:r>
              <w:rPr>
                <w:rFonts w:ascii="宋体" w:hAnsi="宋体" w:cs="宋体" w:eastAsia="宋体" w:hint="default"/>
                <w:sz w:val="18"/>
                <w:szCs w:val="18"/>
              </w:rPr>
              <w:t> 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马竹茂</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宝德科技集团有限公司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0"/>
                <w:sz w:val="18"/>
                <w:szCs w:val="18"/>
              </w:rPr>
              <w:t>副总裁、执行</w:t>
            </w:r>
            <w:r>
              <w:rPr>
                <w:rFonts w:ascii="宋体" w:hAnsi="宋体" w:cs="宋体" w:eastAsia="宋体" w:hint="default"/>
                <w:sz w:val="18"/>
                <w:szCs w:val="18"/>
              </w:rPr>
              <w:t> 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王立</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6"/>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362" w:hRule="exact"/>
        </w:trPr>
        <w:tc>
          <w:tcPr>
            <w:tcW w:w="1217"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李瑞杰先生为公司董事长、总经理，张云霞女士为公司董事，马竹茂先生为公司监事会主席。</w:t>
            </w:r>
          </w:p>
        </w:tc>
      </w:tr>
    </w:tbl>
    <w:p>
      <w:pPr>
        <w:spacing w:line="240" w:lineRule="auto" w:before="7"/>
        <w:rPr>
          <w:rFonts w:ascii="宋体" w:hAnsi="宋体" w:cs="宋体" w:eastAsia="宋体" w:hint="default"/>
          <w:sz w:val="6"/>
          <w:szCs w:val="6"/>
        </w:rPr>
      </w:pPr>
    </w:p>
    <w:p>
      <w:pPr>
        <w:pStyle w:val="BodyText"/>
        <w:spacing w:line="240" w:lineRule="auto" w:before="44"/>
        <w:ind w:left="1134" w:right="0"/>
        <w:jc w:val="left"/>
      </w:pPr>
      <w:r>
        <w:rPr/>
        <w:t>在其他单位任职情况</w:t>
      </w:r>
    </w:p>
    <w:p>
      <w:pPr>
        <w:spacing w:line="240" w:lineRule="auto" w:before="12"/>
        <w:rPr>
          <w:rFonts w:ascii="宋体" w:hAnsi="宋体" w:cs="宋体" w:eastAsia="宋体" w:hint="default"/>
          <w:sz w:val="14"/>
          <w:szCs w:val="14"/>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深圳市潮商小额贷款有限公司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福州卓越无限软件开发有限公司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北京幻龙互动科技有限公司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深圳前海宝德资产管理有限公司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执行</w:t>
            </w:r>
            <w:r>
              <w:rPr>
                <w:rFonts w:ascii="Times New Roman" w:hAnsi="Times New Roman" w:cs="Times New Roman" w:eastAsia="Times New Roman" w:hint="default"/>
                <w:sz w:val="18"/>
                <w:szCs w:val="18"/>
              </w:rPr>
              <w:t>(</w:t>
            </w:r>
            <w:r>
              <w:rPr>
                <w:rFonts w:ascii="宋体" w:hAnsi="宋体" w:cs="宋体" w:eastAsia="宋体" w:hint="default"/>
                <w:sz w:val="18"/>
                <w:szCs w:val="18"/>
              </w:rPr>
              <w:t>常务</w:t>
            </w:r>
            <w:r>
              <w:rPr>
                <w:rFonts w:ascii="Times New Roman" w:hAnsi="Times New Roman" w:cs="Times New Roman" w:eastAsia="Times New Roman" w:hint="default"/>
                <w:sz w:val="18"/>
                <w:szCs w:val="18"/>
              </w:rPr>
              <w:t>)</w:t>
            </w:r>
            <w:r>
              <w:rPr>
                <w:rFonts w:ascii="宋体" w:hAnsi="宋体" w:cs="宋体" w:eastAsia="宋体" w:hint="default"/>
                <w:sz w:val="18"/>
                <w:szCs w:val="18"/>
              </w:rPr>
              <w:t>董 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深圳市幻游科技有限公司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杭州九锡网络科技有限公司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北京天一讯灵科技有限公司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福州卓越无限软件开发有限公司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深圳市苏摩科技有限公司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上海美峰数码科技有限公司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许岳明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上海美峰数码科技有限公司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杨国志</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深圳键桥通讯技术股份有限公司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杨国志</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深圳市华邦投资管理有限公司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张炯</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深圳世联地产顾问股份有限公司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邓爱国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深圳市脉山龙信息技术股份有限公司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胡浪涛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深圳市鹏德创业投资有限公司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黎燕红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深圳中青聚宝信息技术有限公司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黎燕红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北京乐乐堂科技有限责任公司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夏玄</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苏州华娱创新投资发展有限公司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夏玄</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苏州中青宝网互动科技有限公司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上海美峰数码科技有限公司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张继文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深圳时代首游互动科技有限公司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深圳前海宝德资产管理有限公司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申睿</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深圳创想时空科技有限公司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申睿</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深圳市卓页互动网络科技有限公司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马竹茂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深圳市宝德软件开发有限公司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四、董事、监事、高级管理人员报酬情况" w:id="119"/>
      <w:bookmarkEnd w:id="119"/>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spacing w:line="240" w:lineRule="auto" w:before="13"/>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4401"/>
        <w:gridCol w:w="5660"/>
      </w:tblGrid>
      <w:tr>
        <w:trPr>
          <w:trHeight w:val="971" w:hRule="exact"/>
        </w:trPr>
        <w:tc>
          <w:tcPr>
            <w:tcW w:w="4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董事、监事、高级管理人员报酬的决策程序</w:t>
            </w:r>
          </w:p>
        </w:tc>
        <w:tc>
          <w:tcPr>
            <w:tcW w:w="566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39"/>
              <w:jc w:val="both"/>
              <w:rPr>
                <w:rFonts w:ascii="宋体" w:hAnsi="宋体" w:cs="宋体" w:eastAsia="宋体" w:hint="default"/>
                <w:sz w:val="20"/>
                <w:szCs w:val="20"/>
              </w:rPr>
            </w:pPr>
            <w:r>
              <w:rPr>
                <w:rFonts w:ascii="宋体" w:hAnsi="宋体" w:cs="宋体" w:eastAsia="宋体" w:hint="default"/>
                <w:spacing w:val="-1"/>
                <w:sz w:val="20"/>
                <w:szCs w:val="20"/>
              </w:rPr>
              <w:t>公司董事、监事薪酬由公司股东大会决定，高级管理人员薪酬由</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pacing w:val="-1"/>
                <w:sz w:val="20"/>
                <w:szCs w:val="20"/>
              </w:rPr>
              <w:t>董事会决定。在公司履职的董事、监事、高级管理人员按照具体</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的职务领取薪酬。</w:t>
            </w:r>
          </w:p>
        </w:tc>
      </w:tr>
      <w:tr>
        <w:trPr>
          <w:trHeight w:val="971" w:hRule="exact"/>
        </w:trPr>
        <w:tc>
          <w:tcPr>
            <w:tcW w:w="4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董事、监事、高级管理人员报酬的决策确定程序</w:t>
            </w:r>
          </w:p>
        </w:tc>
        <w:tc>
          <w:tcPr>
            <w:tcW w:w="566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39"/>
              <w:jc w:val="both"/>
              <w:rPr>
                <w:rFonts w:ascii="宋体" w:hAnsi="宋体" w:cs="宋体" w:eastAsia="宋体" w:hint="default"/>
                <w:sz w:val="20"/>
                <w:szCs w:val="20"/>
              </w:rPr>
            </w:pPr>
            <w:r>
              <w:rPr>
                <w:rFonts w:ascii="宋体" w:hAnsi="宋体" w:cs="宋体" w:eastAsia="宋体" w:hint="default"/>
                <w:spacing w:val="-1"/>
                <w:sz w:val="20"/>
                <w:szCs w:val="20"/>
              </w:rPr>
              <w:t>董事、监事和高级管理人员的报酬按照公司相关制度规定，结合</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pacing w:val="-1"/>
                <w:sz w:val="20"/>
                <w:szCs w:val="20"/>
              </w:rPr>
              <w:t>其职位、职责、能力、以及其他相关企业相关岗位的薪酬水平制</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定薪酬方案并发放。</w:t>
            </w:r>
          </w:p>
        </w:tc>
      </w:tr>
      <w:tr>
        <w:trPr>
          <w:trHeight w:val="348" w:hRule="exact"/>
        </w:trPr>
        <w:tc>
          <w:tcPr>
            <w:tcW w:w="4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董事、监事、高级管理人员报酬的实际支付情况</w:t>
            </w:r>
          </w:p>
        </w:tc>
        <w:tc>
          <w:tcPr>
            <w:tcW w:w="5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报告期内，公司已按时向董事、监事及高级管理人员支付薪酬。</w:t>
            </w:r>
          </w:p>
        </w:tc>
      </w:tr>
    </w:tbl>
    <w:p>
      <w:pPr>
        <w:spacing w:line="240" w:lineRule="auto" w:before="5"/>
        <w:rPr>
          <w:rFonts w:ascii="宋体" w:hAnsi="宋体" w:cs="宋体" w:eastAsia="宋体" w:hint="default"/>
          <w:sz w:val="24"/>
          <w:szCs w:val="24"/>
        </w:rPr>
      </w:pPr>
    </w:p>
    <w:p>
      <w:pPr>
        <w:pStyle w:val="BodyText"/>
        <w:spacing w:line="240" w:lineRule="auto" w:before="44"/>
        <w:ind w:left="1134"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王红波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黎伟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杨国志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王一江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马竹茂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胡浪涛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崔美玲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许岳明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副总经理、财务 总监、董事会秘 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李泽文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张宇庆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252.9</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公司董事、监事、高级管理人员报告期内被授予的股权激励情况</w:t>
      </w:r>
    </w:p>
    <w:p>
      <w:pPr>
        <w:pStyle w:val="BodyText"/>
        <w:spacing w:line="240" w:lineRule="auto" w:before="117"/>
        <w:ind w:left="1134" w:right="0"/>
        <w:jc w:val="left"/>
      </w:pPr>
      <w:r>
        <w:rPr>
          <w:rFonts w:ascii="Times New Roman" w:hAnsi="Times New Roman" w:cs="Times New Roman" w:eastAsia="Times New Roman" w:hint="default"/>
        </w:rPr>
        <w:t>□  </w:t>
      </w:r>
      <w:r>
        <w:rPr/>
        <w:t>适用</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五、公司员工情况" w:id="120"/>
      <w:bookmarkEnd w:id="120"/>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left="1133" w:right="0"/>
        <w:jc w:val="left"/>
        <w:rPr>
          <w:b w:val="0"/>
          <w:bCs w:val="0"/>
        </w:rPr>
      </w:pPr>
      <w:bookmarkStart w:name="1、员工数量、专业构成及教育程度" w:id="121"/>
      <w:bookmarkEnd w:id="121"/>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母公司在职员工的数量</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r>
              <w:rPr>
                <w:rFonts w:ascii="Times New Roman" w:hAnsi="Times New Roman" w:cs="Times New Roman" w:eastAsia="Times New Roman" w:hint="default"/>
                <w:sz w:val="18"/>
                <w:szCs w:val="18"/>
              </w:rPr>
              <w:t>)</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主要子公司在职员工的数量</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r>
              <w:rPr>
                <w:rFonts w:ascii="Times New Roman" w:hAnsi="Times New Roman" w:cs="Times New Roman" w:eastAsia="Times New Roman" w:hint="default"/>
                <w:sz w:val="18"/>
                <w:szCs w:val="18"/>
              </w:rPr>
              <w:t>)</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在职员工的数量合计</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r>
              <w:rPr>
                <w:rFonts w:ascii="Times New Roman" w:hAnsi="Times New Roman" w:cs="Times New Roman" w:eastAsia="Times New Roman" w:hint="default"/>
                <w:sz w:val="18"/>
                <w:szCs w:val="18"/>
              </w:rPr>
              <w:t>)</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当期领取薪酬员工总人数</w:t>
            </w:r>
            <w:r>
              <w:rPr>
                <w:rFonts w:ascii="Times New Roman" w:hAnsi="Times New Roman" w:cs="Times New Roman" w:eastAsia="Times New Roman" w:hint="default"/>
                <w:sz w:val="18"/>
                <w:szCs w:val="18"/>
              </w:rPr>
              <w:t>(</w:t>
            </w:r>
            <w:r>
              <w:rPr>
                <w:rFonts w:ascii="宋体" w:hAnsi="宋体" w:cs="宋体" w:eastAsia="宋体" w:hint="default"/>
                <w:sz w:val="18"/>
                <w:szCs w:val="18"/>
              </w:rPr>
              <w:t>人次</w:t>
            </w:r>
            <w:r>
              <w:rPr>
                <w:rFonts w:ascii="Times New Roman" w:hAnsi="Times New Roman" w:cs="Times New Roman" w:eastAsia="Times New Roman" w:hint="default"/>
                <w:sz w:val="18"/>
                <w:szCs w:val="18"/>
              </w:rPr>
              <w:t>)</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13,060</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母公司及主要子公司需承担费用的离退休职工人数</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r>
              <w:rPr>
                <w:rFonts w:ascii="Times New Roman" w:hAnsi="Times New Roman" w:cs="Times New Roman" w:eastAsia="Times New Roman" w:hint="default"/>
                <w:sz w:val="18"/>
                <w:szCs w:val="18"/>
              </w:rPr>
              <w:t>)</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40" w:type="dxa"/>
        <w:tblLayout w:type="fixed"/>
        <w:tblCellMar>
          <w:top w:w="0" w:type="dxa"/>
          <w:left w:w="0" w:type="dxa"/>
          <w:bottom w:w="0" w:type="dxa"/>
          <w:right w:w="0" w:type="dxa"/>
        </w:tblCellMar>
        <w:tblLook w:val="01E0"/>
      </w:tblPr>
      <w:tblGrid>
        <w:gridCol w:w="4768"/>
        <w:gridCol w:w="4790"/>
      </w:tblGrid>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40"/>
              <w:jc w:val="right"/>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专业构成人数</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r>
              <w:rPr>
                <w:rFonts w:ascii="Times New Roman" w:hAnsi="Times New Roman" w:cs="Times New Roman" w:eastAsia="Times New Roman" w:hint="default"/>
                <w:sz w:val="18"/>
                <w:szCs w:val="18"/>
              </w:rPr>
              <w:t>)</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产品运营人员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市场人员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职能人员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w:t>
            </w:r>
          </w:p>
        </w:tc>
      </w:tr>
      <w:tr>
        <w:trPr>
          <w:trHeight w:val="407"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840"/>
              <w:jc w:val="righ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r>
              <w:rPr>
                <w:rFonts w:ascii="Times New Roman" w:hAnsi="Times New Roman" w:cs="Times New Roman" w:eastAsia="Times New Roman" w:hint="default"/>
                <w:sz w:val="18"/>
                <w:szCs w:val="18"/>
              </w:rPr>
              <w:t>)</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w:t>
            </w:r>
          </w:p>
        </w:tc>
      </w:tr>
    </w:tbl>
    <w:p>
      <w:pPr>
        <w:spacing w:line="240" w:lineRule="auto" w:before="2"/>
        <w:rPr>
          <w:rFonts w:ascii="宋体" w:hAnsi="宋体" w:cs="宋体" w:eastAsia="宋体" w:hint="default"/>
          <w:b/>
          <w:bCs/>
          <w:sz w:val="19"/>
          <w:szCs w:val="19"/>
        </w:rPr>
      </w:pPr>
    </w:p>
    <w:p>
      <w:pPr>
        <w:pStyle w:val="Heading7"/>
        <w:spacing w:line="240" w:lineRule="auto" w:before="35"/>
        <w:ind w:right="0"/>
        <w:jc w:val="left"/>
        <w:rPr>
          <w:b w:val="0"/>
          <w:bCs w:val="0"/>
        </w:rPr>
      </w:pPr>
      <w:bookmarkStart w:name="2、薪酬政策" w:id="122"/>
      <w:bookmarkEnd w:id="122"/>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133" w:firstLine="420"/>
        <w:jc w:val="both"/>
      </w:pPr>
      <w:r>
        <w:rPr>
          <w:spacing w:val="-3"/>
        </w:rPr>
        <w:t>本年度，公司秉承竞争性、公平性和激励性的原则，不断规范公司员工薪酬管理工作，创建更为公平合理的薪酬体系，</w:t>
      </w:r>
      <w:r>
        <w:rPr/>
        <w:t> </w:t>
      </w:r>
      <w:r>
        <w:rPr>
          <w:spacing w:val="-2"/>
        </w:rPr>
        <w:t>并通过绩效考评激励员工，奖罚分明，提高员工、部门及公司整体绩效，充分发挥员工的积极性和创造性，建立公司与员工</w:t>
      </w:r>
      <w:r>
        <w:rPr>
          <w:spacing w:val="-66"/>
        </w:rPr>
        <w:t> </w:t>
      </w:r>
      <w:r>
        <w:rPr>
          <w:spacing w:val="-66"/>
        </w:rPr>
      </w:r>
      <w:r>
        <w:rPr/>
        <w:t>合理分享公司发展带来的利益的机制，从而达到吸引更多优秀人才，促进公司实现发展的目标。</w:t>
      </w:r>
    </w:p>
    <w:p>
      <w:pPr>
        <w:spacing w:line="240" w:lineRule="auto" w:before="5"/>
        <w:rPr>
          <w:rFonts w:ascii="宋体" w:hAnsi="宋体" w:cs="宋体" w:eastAsia="宋体" w:hint="default"/>
          <w:sz w:val="22"/>
          <w:szCs w:val="22"/>
        </w:rPr>
      </w:pPr>
    </w:p>
    <w:p>
      <w:pPr>
        <w:pStyle w:val="Heading7"/>
        <w:spacing w:line="240" w:lineRule="auto"/>
        <w:ind w:left="1133" w:right="0"/>
        <w:jc w:val="left"/>
        <w:rPr>
          <w:b w:val="0"/>
          <w:bCs w:val="0"/>
        </w:rPr>
      </w:pPr>
      <w:bookmarkStart w:name="3、培训计划" w:id="123"/>
      <w:bookmarkEnd w:id="123"/>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334" w:right="1170" w:firstLine="219"/>
        <w:jc w:val="both"/>
      </w:pPr>
      <w:r>
        <w:rPr/>
        <w:t>实施的有计划、有系统的培训工作，是公司培养及储备人才的重要途径，高效率的培训工作可以提高个人和组织的业 绩，推动组织和个人的不断进步，实现组织和个人的双重发展。</w:t>
      </w:r>
      <w:r>
        <w:rPr>
          <w:rFonts w:ascii="Times New Roman" w:hAnsi="Times New Roman" w:cs="Times New Roman" w:eastAsia="Times New Roman" w:hint="default"/>
        </w:rPr>
        <w:t>2015</w:t>
      </w:r>
      <w:r>
        <w:rPr/>
        <w:t>年度公司继续丰富中青学院课程，根据打造务实有 效的培训机制，建立中青宝特色的培训体系的指导思想，从制度层面、资源层面、执行层面三个维度建设和完善培训体 系</w:t>
      </w:r>
      <w:r>
        <w:rPr>
          <w:rFonts w:ascii="Times New Roman" w:hAnsi="Times New Roman" w:cs="Times New Roman" w:eastAsia="Times New Roman" w:hint="default"/>
        </w:rPr>
        <w:t>,</w:t>
      </w:r>
      <w:r>
        <w:rPr/>
        <w:t>重点建设培训资源。</w:t>
      </w:r>
    </w:p>
    <w:p>
      <w:pPr>
        <w:pStyle w:val="BodyText"/>
        <w:spacing w:line="307" w:lineRule="auto" w:before="3"/>
        <w:ind w:left="1334" w:right="0" w:firstLine="219"/>
        <w:jc w:val="left"/>
      </w:pPr>
      <w:r>
        <w:rPr>
          <w:spacing w:val="-2"/>
        </w:rPr>
        <w:t>本年度中青学院计划开展的重点培训项目有</w:t>
      </w:r>
      <w:r>
        <w:rPr>
          <w:rFonts w:ascii="Times New Roman" w:hAnsi="Times New Roman" w:cs="Times New Roman" w:eastAsia="Times New Roman" w:hint="default"/>
          <w:spacing w:val="-2"/>
        </w:rPr>
        <w:t>4</w:t>
      </w:r>
      <w:r>
        <w:rPr>
          <w:spacing w:val="-2"/>
        </w:rPr>
        <w:t>个，包括：应届生新员工入职培训、社招新员工入职培训、专题培训、培</w:t>
      </w:r>
      <w:r>
        <w:rPr/>
        <w:t> 训体系建设等，而培训体系建设又包括内部讲师队伍、课程体系、外训机构、在线学习平台、培训资料库、培训制度建 </w:t>
      </w:r>
      <w:r>
        <w:rPr>
          <w:spacing w:val="-2"/>
        </w:rPr>
        <w:t>设等，开班</w:t>
      </w:r>
      <w:r>
        <w:rPr>
          <w:rFonts w:ascii="Times New Roman" w:hAnsi="Times New Roman" w:cs="Times New Roman" w:eastAsia="Times New Roman" w:hint="default"/>
          <w:spacing w:val="-2"/>
        </w:rPr>
        <w:t>60</w:t>
      </w:r>
      <w:r>
        <w:rPr>
          <w:spacing w:val="-2"/>
        </w:rPr>
        <w:t>期。覆盖中青宝中高层员工、普通员工、内部讲师及新入职员工，并在培训</w:t>
      </w:r>
      <w:r>
        <w:rPr>
          <w:rFonts w:ascii="Times New Roman" w:hAnsi="Times New Roman" w:cs="Times New Roman" w:eastAsia="Times New Roman" w:hint="default"/>
          <w:spacing w:val="-2"/>
        </w:rPr>
        <w:t>“</w:t>
      </w:r>
      <w:r>
        <w:rPr>
          <w:spacing w:val="-2"/>
        </w:rPr>
        <w:t>资源建设</w:t>
      </w:r>
      <w:r>
        <w:rPr>
          <w:rFonts w:ascii="Times New Roman" w:hAnsi="Times New Roman" w:cs="Times New Roman" w:eastAsia="Times New Roman" w:hint="default"/>
          <w:spacing w:val="-2"/>
        </w:rPr>
        <w:t>”</w:t>
      </w:r>
      <w:r>
        <w:rPr>
          <w:spacing w:val="-2"/>
        </w:rPr>
        <w:t>与</w:t>
      </w:r>
      <w:r>
        <w:rPr>
          <w:rFonts w:ascii="Times New Roman" w:hAnsi="Times New Roman" w:cs="Times New Roman" w:eastAsia="Times New Roman" w:hint="default"/>
          <w:spacing w:val="-2"/>
        </w:rPr>
        <w:t>“</w:t>
      </w:r>
      <w:r>
        <w:rPr>
          <w:spacing w:val="-2"/>
        </w:rPr>
        <w:t>管理创新</w:t>
      </w:r>
      <w:r>
        <w:rPr>
          <w:rFonts w:ascii="Times New Roman" w:hAnsi="Times New Roman" w:cs="Times New Roman" w:eastAsia="Times New Roman" w:hint="default"/>
          <w:spacing w:val="-2"/>
        </w:rPr>
        <w:t>”</w:t>
      </w:r>
      <w:r>
        <w:rPr>
          <w:spacing w:val="-2"/>
        </w:rPr>
        <w:t>方面以</w:t>
      </w:r>
      <w:r>
        <w:rPr>
          <w:spacing w:val="-45"/>
        </w:rPr>
        <w:t> </w:t>
      </w:r>
      <w:r>
        <w:rPr/>
        <w:t>项目机制开展系统创新与实践工作。</w:t>
      </w:r>
    </w:p>
    <w:p>
      <w:pPr>
        <w:pStyle w:val="BodyText"/>
        <w:spacing w:line="300" w:lineRule="auto" w:before="26"/>
        <w:ind w:left="1334" w:right="1153" w:firstLine="219"/>
        <w:jc w:val="left"/>
      </w:pPr>
      <w:r>
        <w:rPr>
          <w:rFonts w:ascii="Times New Roman" w:hAnsi="Times New Roman" w:cs="Times New Roman" w:eastAsia="Times New Roman" w:hint="default"/>
        </w:rPr>
        <w:t>2016</w:t>
      </w:r>
      <w:r>
        <w:rPr/>
        <w:t>年，公司将进一步梳理培训体系，从因需求培训慢慢转化至为提高能力而培训，为企业长青提供源源不断的人才 动力。</w:t>
      </w:r>
    </w:p>
    <w:p>
      <w:pPr>
        <w:spacing w:line="240" w:lineRule="auto" w:before="6"/>
        <w:rPr>
          <w:rFonts w:ascii="宋体" w:hAnsi="宋体" w:cs="宋体" w:eastAsia="宋体" w:hint="default"/>
          <w:sz w:val="23"/>
          <w:szCs w:val="23"/>
        </w:rPr>
      </w:pPr>
    </w:p>
    <w:p>
      <w:pPr>
        <w:pStyle w:val="Heading7"/>
        <w:spacing w:line="240" w:lineRule="auto"/>
        <w:ind w:right="0"/>
        <w:jc w:val="left"/>
        <w:rPr>
          <w:b w:val="0"/>
          <w:bCs w:val="0"/>
        </w:rPr>
      </w:pPr>
      <w:bookmarkStart w:name="4、劳务外包情况" w:id="124"/>
      <w:bookmarkEnd w:id="124"/>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3"/>
        <w:jc w:val="center"/>
        <w:rPr>
          <w:b w:val="0"/>
          <w:bCs w:val="0"/>
        </w:rPr>
      </w:pPr>
      <w:bookmarkStart w:name="第九节 公司治理" w:id="125"/>
      <w:bookmarkEnd w:id="125"/>
      <w:r>
        <w:rPr>
          <w:b w:val="0"/>
          <w:bCs w:val="0"/>
        </w:rPr>
      </w:r>
      <w:bookmarkStart w:name="_bookmark7" w:id="126"/>
      <w:bookmarkEnd w:id="126"/>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公司治理的基本状况" w:id="127"/>
      <w:bookmarkEnd w:id="127"/>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3" w:firstLine="420"/>
        <w:jc w:val="left"/>
      </w:pPr>
      <w:r>
        <w:rPr/>
        <w:t>报告期内，公司严格按照《公司法》、《证券法》、《上市公司信息披露管理办法》、《深圳证券交易所创业板股票 上市规则》、《深圳证券交易所创业板上市公司规范运作指引》等法律、法规和中国证监会有关规定等的要求，结合实际，</w:t>
      </w:r>
      <w:r>
        <w:rPr>
          <w:spacing w:val="-85"/>
        </w:rPr>
        <w:t> </w:t>
      </w:r>
      <w:r>
        <w:rPr>
          <w:spacing w:val="-85"/>
        </w:rPr>
      </w:r>
      <w:r>
        <w:rPr/>
        <w:t>规范公司运作，优化公司治理结构，强化公司内部管理和控制制度，从根本上提高公司治理水平。公司根据有关法律法规，</w:t>
      </w:r>
      <w:r>
        <w:rPr>
          <w:spacing w:val="-85"/>
        </w:rPr>
        <w:t> </w:t>
      </w:r>
      <w:r>
        <w:rPr>
          <w:spacing w:val="-85"/>
        </w:rPr>
      </w:r>
      <w:r>
        <w:rPr>
          <w:spacing w:val="-2"/>
        </w:rPr>
        <w:t>结合自身实际情况，深化贯彻执行公司《信息披露管理制度》和《投资者关系管理制度》。截至报告期末，公司治理的实际</w:t>
      </w:r>
      <w:r>
        <w:rPr>
          <w:spacing w:val="-72"/>
        </w:rPr>
        <w:t> </w:t>
      </w:r>
      <w:r>
        <w:rPr>
          <w:spacing w:val="-72"/>
        </w:rPr>
      </w:r>
      <w:r>
        <w:rPr/>
        <w:t>状况符合《上市公司治理准则》和《深圳证券交易所创业板上市公司规范运作指引》等要求。</w:t>
      </w:r>
    </w:p>
    <w:p>
      <w:pPr>
        <w:pStyle w:val="BodyText"/>
        <w:spacing w:line="300" w:lineRule="auto" w:before="19"/>
        <w:ind w:left="1554" w:right="0" w:hanging="420"/>
        <w:jc w:val="left"/>
      </w:pPr>
      <w:r>
        <w:rPr>
          <w:rFonts w:ascii="Times New Roman" w:hAnsi="Times New Roman" w:cs="Times New Roman" w:eastAsia="Times New Roman" w:hint="default"/>
        </w:rPr>
        <w:t>1</w:t>
      </w:r>
      <w:r>
        <w:rPr/>
        <w:t>、关于股东与股东大会 公司已严格按照《公司法》、《上市公司股东大会规范意见》、《公司章程》和《公司股东大会议事规则》等规定和</w:t>
      </w:r>
    </w:p>
    <w:p>
      <w:pPr>
        <w:pStyle w:val="BodyText"/>
        <w:spacing w:line="240" w:lineRule="auto" w:before="31"/>
        <w:ind w:left="1134" w:right="0"/>
        <w:jc w:val="left"/>
      </w:pPr>
      <w:r>
        <w:rPr/>
        <w:t>要求，规范地召集、召开股东大会，平等对待所有股东，并尽可能为股东参加股东大会提供便利，使其充分行使股东权利。</w:t>
      </w:r>
    </w:p>
    <w:p>
      <w:pPr>
        <w:pStyle w:val="BodyText"/>
        <w:spacing w:line="300" w:lineRule="auto" w:before="76"/>
        <w:ind w:left="1554" w:right="0" w:hanging="420"/>
        <w:jc w:val="left"/>
      </w:pPr>
      <w:r>
        <w:rPr>
          <w:rFonts w:ascii="Times New Roman" w:hAnsi="Times New Roman" w:cs="Times New Roman" w:eastAsia="Times New Roman" w:hint="default"/>
        </w:rPr>
        <w:t>2</w:t>
      </w:r>
      <w:r>
        <w:rPr/>
        <w:t>、关于公司与控股股东 公司控股股东依法行使其权利并承担相应义务，不存在占用公司资金、超越股东大会授权范围行使职权的行文，没有</w:t>
      </w:r>
    </w:p>
    <w:p>
      <w:pPr>
        <w:pStyle w:val="BodyText"/>
        <w:spacing w:line="316" w:lineRule="auto" w:before="31"/>
        <w:ind w:right="1123"/>
        <w:jc w:val="left"/>
      </w:pPr>
      <w:r>
        <w:rPr/>
        <w:t>超越股东大会直接或间接干预公司的决策和经营活动。公司拥有独立完整的业务和自主经营能力，在 业务、人员、资产、</w:t>
      </w:r>
      <w:r>
        <w:rPr>
          <w:spacing w:val="-86"/>
        </w:rPr>
        <w:t> </w:t>
      </w:r>
      <w:r>
        <w:rPr>
          <w:spacing w:val="-86"/>
        </w:rPr>
      </w:r>
      <w:r>
        <w:rPr/>
        <w:t>机构、财务上拥有独立完整的体系，公司董事会、监事会和内部机构独立运作。</w:t>
      </w:r>
    </w:p>
    <w:p>
      <w:pPr>
        <w:pStyle w:val="BodyText"/>
        <w:spacing w:line="240" w:lineRule="auto" w:before="19"/>
        <w:ind w:right="0"/>
        <w:jc w:val="left"/>
      </w:pPr>
      <w:r>
        <w:rPr>
          <w:rFonts w:ascii="Times New Roman" w:hAnsi="Times New Roman" w:cs="Times New Roman" w:eastAsia="Times New Roman" w:hint="default"/>
        </w:rPr>
        <w:t>3</w:t>
      </w:r>
      <w:r>
        <w:rPr/>
        <w:t>、关于董事和董事会</w:t>
      </w:r>
    </w:p>
    <w:p>
      <w:pPr>
        <w:pStyle w:val="BodyText"/>
        <w:spacing w:line="300" w:lineRule="auto" w:before="63"/>
        <w:ind w:left="1134" w:right="1112" w:firstLine="420"/>
        <w:jc w:val="left"/>
      </w:pPr>
      <w:r>
        <w:rPr/>
        <w:t>公司董事会设董事</w:t>
      </w:r>
      <w:r>
        <w:rPr>
          <w:rFonts w:ascii="Times New Roman" w:hAnsi="Times New Roman" w:cs="Times New Roman" w:eastAsia="Times New Roman" w:hint="default"/>
        </w:rPr>
        <w:t>7</w:t>
      </w:r>
      <w:r>
        <w:rPr/>
        <w:t>人，其中独立董事</w:t>
      </w:r>
      <w:r>
        <w:rPr>
          <w:rFonts w:ascii="Times New Roman" w:hAnsi="Times New Roman" w:cs="Times New Roman" w:eastAsia="Times New Roman" w:hint="default"/>
        </w:rPr>
        <w:t>3</w:t>
      </w:r>
      <w:r>
        <w:rPr/>
        <w:t>人，下设战略委员会、薪酬与考核委员会、审计委员会和</w:t>
      </w:r>
      <w:r>
        <w:rPr>
          <w:spacing w:val="-50"/>
        </w:rPr>
        <w:t> </w:t>
      </w:r>
      <w:r>
        <w:rPr/>
        <w:t>提名委员会四个专门</w:t>
      </w:r>
      <w:r>
        <w:rPr/>
        <w:t> </w:t>
      </w:r>
      <w:r>
        <w:rPr>
          <w:spacing w:val="-9"/>
        </w:rPr>
        <w:t>委员会。董事会的人员结构及数量设置、董事的选聘程序符合有关法律法规。公司全体董事严格按照《公司法》、《证券法》、</w:t>
      </w:r>
      <w:r>
        <w:rPr/>
      </w:r>
    </w:p>
    <w:p>
      <w:pPr>
        <w:pStyle w:val="BodyText"/>
        <w:spacing w:line="319" w:lineRule="auto" w:before="31"/>
        <w:ind w:left="1134" w:right="0"/>
        <w:jc w:val="left"/>
      </w:pPr>
      <w:r>
        <w:rPr>
          <w:spacing w:val="-2"/>
        </w:rPr>
        <w:t>《规范运作指引》、《上市公司治理准则》以及《公司章程》等规定和要求，履行董事职责，出席董事会和股东大会，勤勉</w:t>
      </w:r>
      <w:r>
        <w:rPr>
          <w:spacing w:val="-69"/>
        </w:rPr>
        <w:t> </w:t>
      </w:r>
      <w:r>
        <w:rPr>
          <w:spacing w:val="-69"/>
        </w:rPr>
      </w:r>
      <w:r>
        <w:rPr/>
        <w:t>尽责地履行职责和义务，同时参加培训，熟悉相关法律法规。</w:t>
      </w:r>
    </w:p>
    <w:p>
      <w:pPr>
        <w:pStyle w:val="BodyText"/>
        <w:spacing w:line="300" w:lineRule="auto" w:before="17"/>
        <w:ind w:left="1554" w:right="0" w:hanging="420"/>
        <w:jc w:val="left"/>
      </w:pPr>
      <w:r>
        <w:rPr>
          <w:rFonts w:ascii="Times New Roman" w:hAnsi="Times New Roman" w:cs="Times New Roman" w:eastAsia="Times New Roman" w:hint="default"/>
        </w:rPr>
        <w:t>4</w:t>
      </w:r>
      <w:r>
        <w:rPr/>
        <w:t>、关于监事和监事会 公司监事会设监事</w:t>
      </w:r>
      <w:r>
        <w:rPr>
          <w:rFonts w:ascii="Times New Roman" w:hAnsi="Times New Roman" w:cs="Times New Roman" w:eastAsia="Times New Roman" w:hint="default"/>
        </w:rPr>
        <w:t>3</w:t>
      </w:r>
      <w:r>
        <w:rPr/>
        <w:t>名，其中职工监事</w:t>
      </w:r>
      <w:r>
        <w:rPr>
          <w:rFonts w:ascii="Times New Roman" w:hAnsi="Times New Roman" w:cs="Times New Roman" w:eastAsia="Times New Roman" w:hint="default"/>
        </w:rPr>
        <w:t>1</w:t>
      </w:r>
      <w:r>
        <w:rPr/>
        <w:t>名，由职工代表大会选举产生，监事会的人员结构及数量设置、监事的选聘程</w:t>
      </w:r>
    </w:p>
    <w:p>
      <w:pPr>
        <w:pStyle w:val="BodyText"/>
        <w:spacing w:line="316" w:lineRule="auto" w:before="13"/>
        <w:ind w:right="1033"/>
        <w:jc w:val="left"/>
      </w:pPr>
      <w:r>
        <w:rPr/>
        <w:t>序符合有关法律法规。本公司监事会严格按照《公司法》、《公司章程》和公司《监事会议事规则》的有关规定开展工作，</w:t>
      </w:r>
      <w:r>
        <w:rPr>
          <w:spacing w:val="-85"/>
        </w:rPr>
        <w:t> </w:t>
      </w:r>
      <w:r>
        <w:rPr>
          <w:spacing w:val="-85"/>
        </w:rPr>
      </w:r>
      <w:r>
        <w:rPr/>
        <w:t>各位监事认真履行自己的职责，对公司重大事项、关联交易、财务状况以及董 事、高管人员履行职责的合法合规性进行监</w:t>
      </w:r>
      <w:r>
        <w:rPr>
          <w:spacing w:val="-87"/>
        </w:rPr>
        <w:t> </w:t>
      </w:r>
      <w:r>
        <w:rPr>
          <w:spacing w:val="-87"/>
        </w:rPr>
      </w:r>
      <w:r>
        <w:rPr/>
        <w:t>督。</w:t>
      </w:r>
    </w:p>
    <w:p>
      <w:pPr>
        <w:pStyle w:val="BodyText"/>
        <w:spacing w:line="300" w:lineRule="auto" w:before="19"/>
        <w:ind w:left="1554" w:right="0" w:hanging="420"/>
        <w:jc w:val="left"/>
      </w:pPr>
      <w:r>
        <w:rPr>
          <w:rFonts w:ascii="Times New Roman" w:hAnsi="Times New Roman" w:cs="Times New Roman" w:eastAsia="Times New Roman" w:hint="default"/>
        </w:rPr>
        <w:t>5</w:t>
      </w:r>
      <w:r>
        <w:rPr/>
        <w:t>、关于绩效评价与激励约束机制 公司董事会下设的提名、薪酬与考核委员会负责对公司的董事、监事、高级管理人员进行绩效考核，公司已经建立和</w:t>
      </w:r>
    </w:p>
    <w:p>
      <w:pPr>
        <w:pStyle w:val="BodyText"/>
        <w:spacing w:line="316" w:lineRule="auto" w:before="31"/>
        <w:ind w:right="1123"/>
        <w:jc w:val="left"/>
      </w:pPr>
      <w:r>
        <w:rPr/>
        <w:t>完善了公正、透明的高级管理人员的绩效考核标准和激励约束机制。高级管理人员的聘任公开、透明， 符合法律、法规的</w:t>
      </w:r>
      <w:r>
        <w:rPr>
          <w:spacing w:val="-86"/>
        </w:rPr>
        <w:t> </w:t>
      </w:r>
      <w:r>
        <w:rPr>
          <w:spacing w:val="-86"/>
        </w:rPr>
      </w:r>
      <w:r>
        <w:rPr/>
        <w:t>规定。</w:t>
      </w:r>
    </w:p>
    <w:p>
      <w:pPr>
        <w:pStyle w:val="BodyText"/>
        <w:spacing w:line="300" w:lineRule="auto" w:before="19"/>
        <w:ind w:left="1554" w:right="0" w:hanging="420"/>
        <w:jc w:val="left"/>
      </w:pPr>
      <w:r>
        <w:rPr>
          <w:rFonts w:ascii="Times New Roman" w:hAnsi="Times New Roman" w:cs="Times New Roman" w:eastAsia="Times New Roman" w:hint="default"/>
        </w:rPr>
        <w:t>6</w:t>
      </w:r>
      <w:r>
        <w:rPr/>
        <w:t>、关于信息披露与透明度 公司严格按照有关法律法规以及《公司章程》、《信息披露管理制度》、《投资者关系管理制度》等的要求，真实、</w:t>
      </w:r>
    </w:p>
    <w:p>
      <w:pPr>
        <w:pStyle w:val="BodyText"/>
        <w:spacing w:line="312" w:lineRule="auto" w:before="31"/>
        <w:ind w:right="1130"/>
        <w:jc w:val="both"/>
      </w:pPr>
      <w:r>
        <w:rPr>
          <w:spacing w:val="-2"/>
        </w:rPr>
        <w:t>准确、及时、公平、完整地披露有关信息；指定公司董事会秘书负责信息披露工作，协调公司与投资者的关系，接待投资者</w:t>
      </w:r>
      <w:r>
        <w:rPr>
          <w:spacing w:val="-67"/>
        </w:rPr>
        <w:t> </w:t>
      </w:r>
      <w:r>
        <w:rPr>
          <w:spacing w:val="-67"/>
        </w:rPr>
      </w:r>
      <w:r>
        <w:rPr/>
        <w:t>来访，回答投资者咨询，向投资者提供公司已披露的资料；并指定巨潮资讯网</w:t>
      </w:r>
      <w:r>
        <w:rPr>
          <w:rFonts w:ascii="宋体" w:hAnsi="宋体" w:cs="宋体" w:eastAsia="宋体" w:hint="default"/>
        </w:rPr>
        <w:t>(</w:t>
      </w:r>
      <w:r>
        <w:rPr>
          <w:rFonts w:ascii="Times New Roman" w:hAnsi="Times New Roman" w:cs="Times New Roman" w:eastAsia="Times New Roman" w:hint="default"/>
        </w:rPr>
        <w:t>www.cninfo.com.cn</w:t>
      </w:r>
      <w:r>
        <w:rPr>
          <w:rFonts w:ascii="宋体" w:hAnsi="宋体" w:cs="宋体" w:eastAsia="宋体" w:hint="default"/>
        </w:rPr>
        <w:t>)</w:t>
      </w:r>
      <w:r>
        <w:rPr/>
        <w:t>为公司信息披露的指定</w:t>
      </w:r>
      <w:r>
        <w:rPr>
          <w:spacing w:val="-29"/>
        </w:rPr>
        <w:t> </w:t>
      </w:r>
      <w:r>
        <w:rPr>
          <w:spacing w:val="-29"/>
        </w:rPr>
      </w:r>
      <w:r>
        <w:rPr>
          <w:spacing w:val="-2"/>
        </w:rPr>
        <w:t>网站，《证券时报》、《上海证券报》、《证券日报》、《中国证券报》为公司定期报告披露的指定报刊，确保公司所有股</w:t>
      </w:r>
      <w:r>
        <w:rPr>
          <w:spacing w:val="-74"/>
        </w:rPr>
        <w:t> </w:t>
      </w:r>
      <w:r>
        <w:rPr>
          <w:spacing w:val="-74"/>
        </w:rPr>
      </w:r>
      <w:r>
        <w:rPr/>
        <w:t>东能够平等的机会获得信息。</w:t>
      </w:r>
    </w:p>
    <w:p>
      <w:pPr>
        <w:pStyle w:val="BodyText"/>
        <w:spacing w:line="300" w:lineRule="auto" w:before="22"/>
        <w:ind w:left="1553" w:right="1118" w:hanging="420"/>
        <w:jc w:val="left"/>
      </w:pPr>
      <w:r>
        <w:rPr>
          <w:rFonts w:ascii="Times New Roman" w:hAnsi="Times New Roman" w:cs="Times New Roman" w:eastAsia="Times New Roman" w:hint="default"/>
        </w:rPr>
        <w:t>7</w:t>
      </w:r>
      <w:r>
        <w:rPr/>
        <w:t>、关于相关利益者 公司充分尊重和维护相关利益者的合法权益，积极与相关利益者合作，加强与各方的沟通和交流，实现股东、员工、</w:t>
      </w:r>
    </w:p>
    <w:p>
      <w:pPr>
        <w:pStyle w:val="BodyText"/>
        <w:spacing w:line="240" w:lineRule="auto" w:before="32"/>
        <w:ind w:right="0"/>
        <w:jc w:val="left"/>
      </w:pPr>
      <w:r>
        <w:rPr/>
        <w:t>社会等各方利益的协调平衡，共同推动公司持续、健康的发展。</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240" w:lineRule="auto"/>
        <w:ind w:left="1134" w:right="0"/>
        <w:jc w:val="left"/>
      </w:pPr>
      <w:r>
        <w:rPr/>
        <w:t>公司治理的实际状况与中国证监会发布的有关上市公司治理的规范性文件是否存在重大差异</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公司治理的实际状况与中国证监会发布的有关上市公司治理的规范性文件不存在重大差异。</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二、公司相对于控股股东在业务、人员、资产、机构、财务等方面的独立情况" w:id="128"/>
      <w:bookmarkEnd w:id="128"/>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公司相对于控股股东在业务、人员、资产、机构、财务等方面能够保证独立性。</w:t>
      </w:r>
    </w:p>
    <w:p>
      <w:pPr>
        <w:pStyle w:val="BodyText"/>
        <w:spacing w:line="240" w:lineRule="auto" w:before="76"/>
        <w:ind w:right="0"/>
        <w:jc w:val="left"/>
      </w:pPr>
      <w:r>
        <w:rPr>
          <w:rFonts w:ascii="Times New Roman" w:hAnsi="Times New Roman" w:cs="Times New Roman" w:eastAsia="Times New Roman" w:hint="default"/>
        </w:rPr>
        <w:t>1</w:t>
      </w:r>
      <w:r>
        <w:rPr/>
        <w:t>、业务独立。</w:t>
      </w:r>
    </w:p>
    <w:p>
      <w:pPr>
        <w:pStyle w:val="BodyText"/>
        <w:spacing w:line="316" w:lineRule="auto" w:before="63"/>
        <w:ind w:right="1170" w:firstLine="420"/>
        <w:jc w:val="both"/>
      </w:pPr>
      <w:r>
        <w:rPr/>
        <w:t>公司拥有独立开展经营活动的资产、人员、资质和能力，具有面向市场独立自主持续经营的能力。不以依法行使股东 权利以外的任何方式干预上市公司的重大决策事项。公司与控股股东、实际控制人不存在同业竞争。</w:t>
      </w:r>
    </w:p>
    <w:p>
      <w:pPr>
        <w:pStyle w:val="BodyText"/>
        <w:spacing w:line="240" w:lineRule="auto" w:before="19"/>
        <w:ind w:right="0"/>
        <w:jc w:val="left"/>
      </w:pPr>
      <w:r>
        <w:rPr>
          <w:rFonts w:ascii="Times New Roman" w:hAnsi="Times New Roman" w:cs="Times New Roman" w:eastAsia="Times New Roman" w:hint="default"/>
        </w:rPr>
        <w:t>2</w:t>
      </w:r>
      <w:r>
        <w:rPr/>
        <w:t>、人员独立。</w:t>
      </w:r>
    </w:p>
    <w:p>
      <w:pPr>
        <w:pStyle w:val="BodyText"/>
        <w:spacing w:line="316" w:lineRule="auto" w:before="63"/>
        <w:ind w:left="1134" w:right="1130" w:firstLine="420"/>
        <w:jc w:val="both"/>
      </w:pPr>
      <w:r>
        <w:rPr/>
        <w:t>公司根据《公司法》、《公司章程》的有关规定选举产生公司董事、监事并聘用高级管理人员，公司在劳动、人事及 </w:t>
      </w:r>
      <w:r>
        <w:rPr>
          <w:spacing w:val="-2"/>
        </w:rPr>
        <w:t>工资管理等方面完全独立于控股股东及关联方。公司副总经理、董事会秘书、财务负责人等高级管理人员没有在控股股东控</w:t>
      </w:r>
      <w:r>
        <w:rPr>
          <w:spacing w:val="-66"/>
        </w:rPr>
        <w:t> </w:t>
      </w:r>
      <w:r>
        <w:rPr>
          <w:spacing w:val="-66"/>
        </w:rPr>
      </w:r>
      <w:r>
        <w:rPr>
          <w:spacing w:val="-2"/>
        </w:rPr>
        <w:t>制的其他企业及其关联方中担任除董事、监事以外的其它职务。不存在控股股东及关联方干预上市公司董事会和股东大会已</w:t>
      </w:r>
      <w:r>
        <w:rPr>
          <w:spacing w:val="-63"/>
        </w:rPr>
        <w:t> </w:t>
      </w:r>
      <w:r>
        <w:rPr>
          <w:spacing w:val="-63"/>
        </w:rPr>
      </w:r>
      <w:r>
        <w:rPr/>
        <w:t>经做出的人事任免决定的情形。</w:t>
      </w:r>
    </w:p>
    <w:p>
      <w:pPr>
        <w:pStyle w:val="BodyText"/>
        <w:spacing w:line="240" w:lineRule="auto" w:before="19"/>
        <w:ind w:left="1134" w:right="0"/>
        <w:jc w:val="left"/>
      </w:pPr>
      <w:r>
        <w:rPr>
          <w:rFonts w:ascii="Times New Roman" w:hAnsi="Times New Roman" w:cs="Times New Roman" w:eastAsia="Times New Roman" w:hint="default"/>
        </w:rPr>
        <w:t>3</w:t>
      </w:r>
      <w:r>
        <w:rPr/>
        <w:t>、资产完整。</w:t>
      </w:r>
    </w:p>
    <w:p>
      <w:pPr>
        <w:pStyle w:val="BodyText"/>
        <w:spacing w:line="316" w:lineRule="auto" w:before="63"/>
        <w:ind w:right="1133" w:firstLine="420"/>
        <w:jc w:val="both"/>
      </w:pPr>
      <w:r>
        <w:rPr/>
        <w:t>公司现有资产产权明晰，拥有经营所需的技术、专利、商标、设备和房产，拥有独立完整的资产结构。公司未以公司 </w:t>
      </w:r>
      <w:r>
        <w:rPr>
          <w:spacing w:val="-2"/>
        </w:rPr>
        <w:t>资产为股东、股东的控股子公司或附属企业提供担保。公司具有开展生产经营所必备的资产，不存在股东或其关联方占用公</w:t>
      </w:r>
      <w:r>
        <w:rPr>
          <w:spacing w:val="-66"/>
        </w:rPr>
        <w:t> </w:t>
      </w:r>
      <w:r>
        <w:rPr>
          <w:spacing w:val="-66"/>
        </w:rPr>
      </w:r>
      <w:r>
        <w:rPr/>
        <w:t>司资金、资产之情形。</w:t>
      </w:r>
    </w:p>
    <w:p>
      <w:pPr>
        <w:pStyle w:val="BodyText"/>
        <w:spacing w:line="240" w:lineRule="auto" w:before="19"/>
        <w:ind w:right="0"/>
        <w:jc w:val="left"/>
      </w:pPr>
      <w:r>
        <w:rPr>
          <w:rFonts w:ascii="Times New Roman" w:hAnsi="Times New Roman" w:cs="Times New Roman" w:eastAsia="Times New Roman" w:hint="default"/>
        </w:rPr>
        <w:t>4</w:t>
      </w:r>
      <w:r>
        <w:rPr/>
        <w:t>、机构独立。</w:t>
      </w:r>
    </w:p>
    <w:p>
      <w:pPr>
        <w:pStyle w:val="BodyText"/>
        <w:spacing w:line="316" w:lineRule="auto" w:before="63"/>
        <w:ind w:left="1134" w:right="1130" w:firstLine="420"/>
        <w:jc w:val="both"/>
      </w:pPr>
      <w:r>
        <w:rPr/>
        <w:t>根据《公司法》、《公司章程》等规定，公司设立了股东大会、董事会、独立董事、监事会等机构，形成了有效的</w:t>
      </w:r>
      <w:r>
        <w:rPr>
          <w:spacing w:val="-50"/>
        </w:rPr>
        <w:t> </w:t>
      </w:r>
      <w:r>
        <w:rPr/>
        <w:t>法</w:t>
      </w:r>
      <w:r>
        <w:rPr/>
        <w:t> </w:t>
      </w:r>
      <w:r>
        <w:rPr>
          <w:spacing w:val="-2"/>
        </w:rPr>
        <w:t>人治理结构，并依照法律、法规和公司章程独立行使职权。在内部机构设置上，公司建立了适合自身发展的独立和完整的组</w:t>
      </w:r>
      <w:r>
        <w:rPr>
          <w:spacing w:val="-66"/>
        </w:rPr>
        <w:t> </w:t>
      </w:r>
      <w:r>
        <w:rPr>
          <w:spacing w:val="-66"/>
        </w:rPr>
      </w:r>
      <w:r>
        <w:rPr/>
        <w:t>织机构，明确了各职能部门的职责，内部职能部门独立运作，不受主要股东干预。</w:t>
      </w:r>
    </w:p>
    <w:p>
      <w:pPr>
        <w:pStyle w:val="BodyText"/>
        <w:spacing w:line="240" w:lineRule="auto" w:before="19"/>
        <w:ind w:left="1134" w:right="0"/>
        <w:jc w:val="left"/>
      </w:pPr>
      <w:r>
        <w:rPr>
          <w:rFonts w:ascii="Times New Roman" w:hAnsi="Times New Roman" w:cs="Times New Roman" w:eastAsia="Times New Roman" w:hint="default"/>
        </w:rPr>
        <w:t>5</w:t>
      </w:r>
      <w:r>
        <w:rPr/>
        <w:t>、财务独立。</w:t>
      </w:r>
    </w:p>
    <w:p>
      <w:pPr>
        <w:pStyle w:val="BodyText"/>
        <w:spacing w:line="316" w:lineRule="auto" w:before="63"/>
        <w:ind w:right="1131" w:firstLine="420"/>
        <w:jc w:val="both"/>
      </w:pPr>
      <w:r>
        <w:rPr/>
        <w:t>公司有独立的财务会计部门，并配备了专职的财务人员，根据《企业会计制度》建立了规范、独立的财务管理制度和 </w:t>
      </w:r>
      <w:r>
        <w:rPr>
          <w:spacing w:val="-2"/>
        </w:rPr>
        <w:t>对分、子公司的财务管理制度。独立进行财务决策。公司拥有独立的银行账号，不存在与其股东或任何其他单位共用银行账</w:t>
      </w:r>
      <w:r>
        <w:rPr>
          <w:spacing w:val="-66"/>
        </w:rPr>
        <w:t> </w:t>
      </w:r>
      <w:r>
        <w:rPr>
          <w:spacing w:val="-66"/>
        </w:rPr>
      </w:r>
      <w:r>
        <w:rPr/>
        <w:t>户的情况。公司依法独立进行纳税申报，不存在与股东单位混合纳税的情况。</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三、同业竞争情况" w:id="129"/>
      <w:bookmarkEnd w:id="129"/>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四、报告期内召开的年度股东大会和临时股东大会的有关情况" w:id="130"/>
      <w:bookmarkEnd w:id="130"/>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left="1133" w:right="0"/>
        <w:jc w:val="left"/>
        <w:rPr>
          <w:b w:val="0"/>
          <w:bCs w:val="0"/>
        </w:rPr>
      </w:pPr>
      <w:bookmarkStart w:name="1、本报告期股东大会情况" w:id="131"/>
      <w:bookmarkEnd w:id="131"/>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2015-037</w:t>
            </w:r>
          </w:p>
          <w:p>
            <w:pPr>
              <w:pStyle w:val="TableParagraph"/>
              <w:spacing w:line="300" w:lineRule="auto" w:before="61"/>
              <w:ind w:left="23" w:right="59"/>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大会决议公告》</w:t>
            </w:r>
            <w:r>
              <w:rPr>
                <w:rFonts w:ascii="Times New Roman" w:hAnsi="Times New Roman" w:cs="Times New Roman" w:eastAsia="Times New Roman" w:hint="default"/>
                <w:sz w:val="18"/>
                <w:szCs w:val="18"/>
              </w:rPr>
              <w:t>(</w:t>
            </w:r>
            <w:r>
              <w:rPr>
                <w:rFonts w:ascii="宋体" w:hAnsi="宋体" w:cs="宋体" w:eastAsia="宋体" w:hint="default"/>
                <w:sz w:val="18"/>
                <w:szCs w:val="18"/>
              </w:rPr>
              <w:t>巨 潮资讯网</w:t>
            </w:r>
            <w:r>
              <w:rPr>
                <w:rFonts w:ascii="Times New Roman" w:hAnsi="Times New Roman" w:cs="Times New Roman" w:eastAsia="Times New Roman" w:hint="default"/>
                <w:sz w:val="18"/>
                <w:szCs w:val="18"/>
              </w:rPr>
              <w:t>)</w:t>
            </w:r>
          </w:p>
        </w:tc>
      </w:tr>
      <w:tr>
        <w:trPr>
          <w:trHeight w:val="134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2015-080</w:t>
            </w:r>
          </w:p>
          <w:p>
            <w:pPr>
              <w:pStyle w:val="TableParagraph"/>
              <w:spacing w:line="309" w:lineRule="auto" w:before="62"/>
              <w:ind w:left="23" w:right="74"/>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时股东大会决议公 告》</w:t>
            </w:r>
            <w:r>
              <w:rPr>
                <w:rFonts w:ascii="Times New Roman" w:hAnsi="Times New Roman" w:cs="Times New Roman" w:eastAsia="Times New Roman" w:hint="default"/>
                <w:sz w:val="18"/>
                <w:szCs w:val="18"/>
              </w:rPr>
              <w:t>(</w:t>
            </w:r>
            <w:r>
              <w:rPr>
                <w:rFonts w:ascii="宋体" w:hAnsi="宋体" w:cs="宋体" w:eastAsia="宋体" w:hint="default"/>
                <w:sz w:val="18"/>
                <w:szCs w:val="18"/>
              </w:rPr>
              <w:t>巨潮咨询网</w:t>
            </w:r>
            <w:r>
              <w:rPr>
                <w:rFonts w:ascii="Times New Roman" w:hAnsi="Times New Roman" w:cs="Times New Roman" w:eastAsia="Times New Roman" w:hint="default"/>
                <w:sz w:val="18"/>
                <w:szCs w:val="18"/>
              </w:rPr>
              <w:t>)</w:t>
            </w:r>
          </w:p>
        </w:tc>
      </w:tr>
    </w:tbl>
    <w:p>
      <w:pPr>
        <w:spacing w:after="0" w:line="309" w:lineRule="auto"/>
        <w:jc w:val="both"/>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43.21%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2015-091</w:t>
            </w:r>
          </w:p>
          <w:p>
            <w:pPr>
              <w:pStyle w:val="TableParagraph"/>
              <w:spacing w:line="309" w:lineRule="auto" w:before="63"/>
              <w:ind w:left="23" w:right="74"/>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时股东大会决议公 告》</w:t>
            </w:r>
            <w:r>
              <w:rPr>
                <w:rFonts w:ascii="Times New Roman" w:hAnsi="Times New Roman" w:cs="Times New Roman" w:eastAsia="Times New Roman" w:hint="default"/>
                <w:sz w:val="18"/>
                <w:szCs w:val="18"/>
              </w:rPr>
              <w:t>(</w:t>
            </w: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7"/>
        <w:spacing w:line="240" w:lineRule="auto" w:before="35"/>
        <w:ind w:right="0"/>
        <w:jc w:val="left"/>
        <w:rPr>
          <w:b w:val="0"/>
          <w:bCs w:val="0"/>
        </w:rPr>
      </w:pPr>
      <w:bookmarkStart w:name="2、表决权恢复的优先股股东请求召开临时股东大会" w:id="132"/>
      <w:bookmarkEnd w:id="132"/>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五、报告期内独立董事履行职责的情况" w:id="133"/>
      <w:bookmarkEnd w:id="133"/>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left="1133" w:right="0"/>
        <w:jc w:val="left"/>
        <w:rPr>
          <w:b w:val="0"/>
          <w:bCs w:val="0"/>
        </w:rPr>
      </w:pPr>
      <w:bookmarkStart w:name="1、独立董事出席董事会及股东大会的情况" w:id="134"/>
      <w:bookmarkEnd w:id="134"/>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杨国志</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张炯</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王一江</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王红波</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黎伟</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60" w:lineRule="auto" w:before="51"/>
        <w:ind w:left="1134" w:right="8052"/>
        <w:jc w:val="left"/>
      </w:pPr>
      <w:r>
        <w:rPr/>
        <w:t>连续两次未亲自出席董事会的说明 无</w:t>
      </w:r>
    </w:p>
    <w:p>
      <w:pPr>
        <w:spacing w:line="240" w:lineRule="auto" w:before="11"/>
        <w:rPr>
          <w:rFonts w:ascii="宋体" w:hAnsi="宋体" w:cs="宋体" w:eastAsia="宋体" w:hint="default"/>
          <w:sz w:val="19"/>
          <w:szCs w:val="19"/>
        </w:rPr>
      </w:pPr>
    </w:p>
    <w:p>
      <w:pPr>
        <w:pStyle w:val="Heading7"/>
        <w:spacing w:line="240" w:lineRule="auto"/>
        <w:ind w:right="0"/>
        <w:jc w:val="left"/>
        <w:rPr>
          <w:b w:val="0"/>
          <w:bCs w:val="0"/>
        </w:rPr>
      </w:pPr>
      <w:bookmarkStart w:name="2、独立董事对公司有关事项提出异议的情况" w:id="135"/>
      <w:bookmarkEnd w:id="135"/>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独立董事对公司有关事项是否提出异议</w:t>
      </w:r>
    </w:p>
    <w:p>
      <w:pPr>
        <w:pStyle w:val="BodyText"/>
        <w:spacing w:line="338"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7"/>
        <w:spacing w:line="240" w:lineRule="auto"/>
        <w:ind w:left="1133" w:right="0"/>
        <w:jc w:val="left"/>
        <w:rPr>
          <w:b w:val="0"/>
          <w:bCs w:val="0"/>
        </w:rPr>
      </w:pPr>
      <w:bookmarkStart w:name="3、独立董事履行职责的其他说明" w:id="136"/>
      <w:bookmarkEnd w:id="136"/>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7"/>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9" w:lineRule="auto" w:before="41"/>
        <w:ind w:left="1134" w:right="0" w:firstLine="420"/>
        <w:jc w:val="left"/>
      </w:pPr>
      <w:r>
        <w:rPr>
          <w:rFonts w:ascii="宋体" w:hAnsi="宋体" w:cs="宋体" w:eastAsia="宋体" w:hint="default"/>
          <w:spacing w:val="-3"/>
        </w:rPr>
        <w:t>1)</w:t>
      </w:r>
      <w:r>
        <w:rPr>
          <w:spacing w:val="-3"/>
        </w:rPr>
        <w:t>独立董事黎伟先生建议：公司管理层密切关注知识产权保护和新修订的法律法规的学习，提高内部审计工作的质量，</w:t>
      </w:r>
      <w:r>
        <w:rPr/>
        <w:t> 为公司防范风险、加强内部管理和提高效益服务。</w:t>
      </w:r>
    </w:p>
    <w:p>
      <w:pPr>
        <w:pStyle w:val="BodyText"/>
        <w:spacing w:line="316" w:lineRule="auto" w:before="17"/>
        <w:ind w:left="1134" w:right="0" w:firstLine="420"/>
        <w:jc w:val="left"/>
      </w:pPr>
      <w:r>
        <w:rPr>
          <w:rFonts w:ascii="宋体" w:hAnsi="宋体" w:cs="宋体" w:eastAsia="宋体" w:hint="default"/>
        </w:rPr>
        <w:t>2)</w:t>
      </w:r>
      <w:r>
        <w:rPr/>
        <w:t>独立董事王一江先生建议：提高企业经营管理水平和风险防范能力；不断加强对薪酬制度的研究，建立合理科学的 激励制度，提高中高层管理人员的积极性和创造性。</w:t>
      </w:r>
    </w:p>
    <w:p>
      <w:pPr>
        <w:pStyle w:val="BodyText"/>
        <w:spacing w:line="240" w:lineRule="auto" w:before="19"/>
        <w:ind w:left="1554" w:right="0"/>
        <w:jc w:val="left"/>
      </w:pPr>
      <w:r>
        <w:rPr>
          <w:rFonts w:ascii="宋体" w:hAnsi="宋体" w:cs="宋体" w:eastAsia="宋体" w:hint="default"/>
        </w:rPr>
        <w:t>3)</w:t>
      </w:r>
      <w:r>
        <w:rPr/>
        <w:t>公司独立董事王红波先生建议：公司要继续严格执行有关募集资金使用的相关规定；公司要加强对新修订的财务会</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554" w:right="1113" w:hanging="420"/>
        <w:jc w:val="left"/>
      </w:pPr>
      <w:r>
        <w:rPr/>
        <w:t>计方面的法律文件的学习；公司继续做好并加强在内控方面的培训。 </w:t>
      </w:r>
      <w:r>
        <w:rPr>
          <w:rFonts w:ascii="宋体" w:hAnsi="宋体" w:cs="宋体" w:eastAsia="宋体" w:hint="default"/>
        </w:rPr>
        <w:t>4)</w:t>
      </w:r>
      <w:r>
        <w:rPr/>
        <w:t>公司独立董事张炯先生和杨国志先生建议：公司应把握行业发展动态，抓住产业发展的机遇，</w:t>
      </w:r>
      <w:r>
        <w:rPr>
          <w:spacing w:val="-51"/>
        </w:rPr>
        <w:t> </w:t>
      </w:r>
      <w:r>
        <w:rPr/>
        <w:t>继续坚持对研发的投</w:t>
      </w:r>
    </w:p>
    <w:p>
      <w:pPr>
        <w:pStyle w:val="BodyText"/>
        <w:spacing w:line="316" w:lineRule="auto" w:before="19"/>
        <w:ind w:left="1554" w:right="6792" w:hanging="420"/>
        <w:jc w:val="left"/>
      </w:pPr>
      <w:r>
        <w:rPr/>
        <w:t>入，加强自主创新能力，加快新产品的研究开发。 公司采纳上述建议。</w:t>
      </w:r>
    </w:p>
    <w:p>
      <w:pPr>
        <w:spacing w:line="240" w:lineRule="auto" w:before="10"/>
        <w:rPr>
          <w:rFonts w:ascii="宋体" w:hAnsi="宋体" w:cs="宋体" w:eastAsia="宋体" w:hint="default"/>
          <w:sz w:val="20"/>
          <w:szCs w:val="20"/>
        </w:rPr>
      </w:pPr>
    </w:p>
    <w:p>
      <w:pPr>
        <w:pStyle w:val="Heading3"/>
        <w:spacing w:line="240" w:lineRule="auto"/>
        <w:ind w:left="1134" w:right="0"/>
        <w:jc w:val="left"/>
        <w:rPr>
          <w:b w:val="0"/>
          <w:bCs w:val="0"/>
        </w:rPr>
      </w:pPr>
      <w:bookmarkStart w:name="六、董事会下设专门委员会在报告期内履行职责情况" w:id="137"/>
      <w:bookmarkEnd w:id="137"/>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1</w:t>
      </w:r>
      <w:r>
        <w:rPr/>
        <w:t>、审计委员会的履职情况</w:t>
      </w:r>
    </w:p>
    <w:p>
      <w:pPr>
        <w:pStyle w:val="BodyText"/>
        <w:spacing w:line="302" w:lineRule="auto" w:before="63"/>
        <w:ind w:right="1130" w:firstLine="420"/>
        <w:jc w:val="both"/>
      </w:pPr>
      <w:r>
        <w:rPr>
          <w:rFonts w:ascii="Times New Roman" w:hAnsi="Times New Roman" w:cs="Times New Roman" w:eastAsia="Times New Roman" w:hint="default"/>
          <w:spacing w:val="-1"/>
        </w:rPr>
        <w:t>2015</w:t>
      </w:r>
      <w:r>
        <w:rPr>
          <w:spacing w:val="-1"/>
        </w:rPr>
        <w:t>年报告期内，审计委员会共召集召开</w:t>
      </w:r>
      <w:r>
        <w:rPr>
          <w:rFonts w:ascii="Times New Roman" w:hAnsi="Times New Roman" w:cs="Times New Roman" w:eastAsia="Times New Roman" w:hint="default"/>
          <w:spacing w:val="-1"/>
        </w:rPr>
        <w:t>5</w:t>
      </w:r>
      <w:r>
        <w:rPr>
          <w:spacing w:val="-1"/>
        </w:rPr>
        <w:t>次审计委员会会议，审议了公司《</w:t>
      </w:r>
      <w:r>
        <w:rPr>
          <w:rFonts w:ascii="Times New Roman" w:hAnsi="Times New Roman" w:cs="Times New Roman" w:eastAsia="Times New Roman" w:hint="default"/>
          <w:spacing w:val="-1"/>
        </w:rPr>
        <w:t>2014</w:t>
      </w:r>
      <w:r>
        <w:rPr>
          <w:spacing w:val="-1"/>
        </w:rPr>
        <w:t>年第四季度募集资金存放与使用情况</w:t>
      </w:r>
      <w:r>
        <w:rPr/>
        <w:t> </w:t>
      </w:r>
      <w:r>
        <w:rPr>
          <w:spacing w:val="-2"/>
        </w:rPr>
        <w:t>的例行审计报告》《</w:t>
      </w:r>
      <w:r>
        <w:rPr>
          <w:rFonts w:ascii="Times New Roman" w:hAnsi="Times New Roman" w:cs="Times New Roman" w:eastAsia="Times New Roman" w:hint="default"/>
          <w:spacing w:val="-2"/>
        </w:rPr>
        <w:t>2014</w:t>
      </w:r>
      <w:r>
        <w:rPr>
          <w:spacing w:val="-2"/>
        </w:rPr>
        <w:t>年第四季度货币资金的例行审计报告》《</w:t>
      </w:r>
      <w:r>
        <w:rPr>
          <w:rFonts w:ascii="Times New Roman" w:hAnsi="Times New Roman" w:cs="Times New Roman" w:eastAsia="Times New Roman" w:hint="default"/>
          <w:spacing w:val="-2"/>
        </w:rPr>
        <w:t>2014</w:t>
      </w:r>
      <w:r>
        <w:rPr>
          <w:spacing w:val="-2"/>
        </w:rPr>
        <w:t>年度内部审计部工作总结》《初次审阅</w:t>
      </w:r>
      <w:r>
        <w:rPr>
          <w:rFonts w:ascii="Times New Roman" w:hAnsi="Times New Roman" w:cs="Times New Roman" w:eastAsia="Times New Roman" w:hint="default"/>
          <w:spacing w:val="-2"/>
        </w:rPr>
        <w:t>2014</w:t>
      </w:r>
      <w:r>
        <w:rPr>
          <w:spacing w:val="-2"/>
        </w:rPr>
        <w:t>年度财务</w:t>
      </w:r>
      <w:r>
        <w:rPr>
          <w:spacing w:val="-55"/>
        </w:rPr>
        <w:t> </w:t>
      </w:r>
      <w:r>
        <w:rPr>
          <w:spacing w:val="-2"/>
        </w:rPr>
        <w:t>会计报表的书面意见》《</w:t>
      </w:r>
      <w:r>
        <w:rPr>
          <w:rFonts w:ascii="Times New Roman" w:hAnsi="Times New Roman" w:cs="Times New Roman" w:eastAsia="Times New Roman" w:hint="default"/>
          <w:spacing w:val="-2"/>
        </w:rPr>
        <w:t>2015</w:t>
      </w:r>
      <w:r>
        <w:rPr>
          <w:spacing w:val="-2"/>
        </w:rPr>
        <w:t>年一季度中青宝总部费用报销业务专项审计报告》《深圳市苏摩科技有限公司财务收支与内部</w:t>
      </w:r>
      <w:r>
        <w:rPr>
          <w:spacing w:val="-60"/>
        </w:rPr>
        <w:t> </w:t>
      </w:r>
      <w:r>
        <w:rPr>
          <w:spacing w:val="-60"/>
        </w:rPr>
      </w:r>
      <w:r>
        <w:rPr>
          <w:spacing w:val="-2"/>
        </w:rPr>
        <w:t>管理审计报告》《中青宝总部测试设备管理与保存专项审计报告》《</w:t>
      </w:r>
      <w:r>
        <w:rPr>
          <w:rFonts w:ascii="Times New Roman" w:hAnsi="Times New Roman" w:cs="Times New Roman" w:eastAsia="Times New Roman" w:hint="default"/>
          <w:spacing w:val="-2"/>
        </w:rPr>
        <w:t>2015</w:t>
      </w:r>
      <w:r>
        <w:rPr>
          <w:spacing w:val="-2"/>
        </w:rPr>
        <w:t>年第二季度货币资金的例行审计报告》以及《</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15"/>
        </w:rPr>
        <w:t> </w:t>
      </w:r>
      <w:r>
        <w:rPr>
          <w:spacing w:val="-2"/>
        </w:rPr>
        <w:t>年第二季度募集资金存放与使用情况例行审计报告》《</w:t>
      </w:r>
      <w:r>
        <w:rPr>
          <w:rFonts w:ascii="Times New Roman" w:hAnsi="Times New Roman" w:cs="Times New Roman" w:eastAsia="Times New Roman" w:hint="default"/>
          <w:spacing w:val="-2"/>
        </w:rPr>
        <w:t>2015</w:t>
      </w:r>
      <w:r>
        <w:rPr>
          <w:spacing w:val="-2"/>
        </w:rPr>
        <w:t>年第三季度货币资金的例行审计报告》《</w:t>
      </w:r>
      <w:r>
        <w:rPr>
          <w:rFonts w:ascii="Times New Roman" w:hAnsi="Times New Roman" w:cs="Times New Roman" w:eastAsia="Times New Roman" w:hint="default"/>
          <w:spacing w:val="-2"/>
        </w:rPr>
        <w:t>2015</w:t>
      </w:r>
      <w:r>
        <w:rPr>
          <w:spacing w:val="-2"/>
        </w:rPr>
        <w:t>年第三季度募集资</w:t>
      </w:r>
      <w:r>
        <w:rPr>
          <w:spacing w:val="-56"/>
        </w:rPr>
        <w:t> </w:t>
      </w:r>
      <w:r>
        <w:rPr>
          <w:spacing w:val="-2"/>
        </w:rPr>
        <w:t>金存放与使用情况例行审计报告》等多项议案，充分履行了审计委员会委员的职责等多项议案，充分履行了审计委员会委员</w:t>
      </w:r>
      <w:r>
        <w:rPr>
          <w:spacing w:val="-66"/>
        </w:rPr>
        <w:t> </w:t>
      </w:r>
      <w:r>
        <w:rPr>
          <w:spacing w:val="-66"/>
        </w:rPr>
      </w:r>
      <w:r>
        <w:rPr/>
        <w:t>的职责。</w:t>
      </w:r>
    </w:p>
    <w:p>
      <w:pPr>
        <w:pStyle w:val="BodyText"/>
        <w:spacing w:line="312" w:lineRule="auto" w:before="29"/>
        <w:ind w:right="0" w:firstLine="420"/>
        <w:jc w:val="left"/>
      </w:pPr>
      <w:r>
        <w:rPr/>
        <w:t>审计委员会的履职情况报告期内，根据《董事会审计委员会工作细则》，审计委员会充分发挥了审核与监督作用，主 </w:t>
      </w:r>
      <w:r>
        <w:rPr>
          <w:spacing w:val="-2"/>
        </w:rPr>
        <w:t>要负责公司财务监督和核查工作及外部审计机构的沟通、协调工作。审计委员会对公司</w:t>
      </w:r>
      <w:r>
        <w:rPr>
          <w:rFonts w:ascii="Times New Roman" w:hAnsi="Times New Roman" w:cs="Times New Roman" w:eastAsia="Times New Roman" w:hint="default"/>
          <w:spacing w:val="-2"/>
        </w:rPr>
        <w:t>2015</w:t>
      </w:r>
      <w:r>
        <w:rPr>
          <w:spacing w:val="-2"/>
        </w:rPr>
        <w:t>年内部控制情况进行了核查，认</w:t>
      </w:r>
      <w:r>
        <w:rPr>
          <w:spacing w:val="-62"/>
        </w:rPr>
        <w:t> </w:t>
      </w:r>
      <w:r>
        <w:rPr>
          <w:spacing w:val="-62"/>
        </w:rPr>
      </w:r>
      <w:r>
        <w:rPr>
          <w:spacing w:val="-2"/>
        </w:rPr>
        <w:t>为公司已经建立的内控制度体系符合相关法规的规定，并能有效控制相关风险。</w:t>
      </w:r>
      <w:r>
        <w:rPr>
          <w:rFonts w:ascii="Times New Roman" w:hAnsi="Times New Roman" w:cs="Times New Roman" w:eastAsia="Times New Roman" w:hint="default"/>
          <w:spacing w:val="-2"/>
        </w:rPr>
        <w:t>2015</w:t>
      </w:r>
      <w:r>
        <w:rPr>
          <w:spacing w:val="-2"/>
        </w:rPr>
        <w:t>年，审计委员会共召开了五次会议，重</w:t>
      </w:r>
      <w:r>
        <w:rPr>
          <w:spacing w:val="-61"/>
        </w:rPr>
        <w:t> </w:t>
      </w:r>
      <w:r>
        <w:rPr>
          <w:spacing w:val="-61"/>
        </w:rPr>
      </w:r>
      <w:r>
        <w:rPr>
          <w:spacing w:val="-2"/>
        </w:rPr>
        <w:t>点对公司定期财务报告、生产经营控制、募集资金使用情况、监督公司内部审计制度及实施、协助制定和审查公司内部控制</w:t>
      </w:r>
      <w:r>
        <w:rPr>
          <w:spacing w:val="-66"/>
        </w:rPr>
        <w:t> </w:t>
      </w:r>
      <w:r>
        <w:rPr>
          <w:spacing w:val="-66"/>
        </w:rPr>
      </w:r>
      <w:r>
        <w:rPr>
          <w:spacing w:val="-4"/>
        </w:rPr>
        <w:t>制度对重大关联交易进行审计、监督等事项进行审议。审计委员会就会计师事务所从事公司年度审计的工作进行了总结评价。</w:t>
      </w:r>
      <w:r>
        <w:rPr>
          <w:spacing w:val="-44"/>
        </w:rPr>
        <w:t> </w:t>
      </w:r>
      <w:r>
        <w:rPr>
          <w:spacing w:val="-44"/>
        </w:rPr>
      </w:r>
      <w:r>
        <w:rPr>
          <w:rFonts w:ascii="Times New Roman" w:hAnsi="Times New Roman" w:cs="Times New Roman" w:eastAsia="Times New Roman" w:hint="default"/>
        </w:rPr>
        <w:t>2</w:t>
      </w:r>
      <w:r>
        <w:rPr/>
        <w:t>、薪酬与考核委员会的履职情况</w:t>
      </w:r>
    </w:p>
    <w:p>
      <w:pPr>
        <w:pStyle w:val="BodyText"/>
        <w:spacing w:line="312" w:lineRule="auto" w:before="3"/>
        <w:ind w:right="1033" w:firstLine="420"/>
        <w:jc w:val="left"/>
      </w:pPr>
      <w:r>
        <w:rPr>
          <w:rFonts w:ascii="Times New Roman" w:hAnsi="Times New Roman" w:cs="Times New Roman" w:eastAsia="Times New Roman" w:hint="default"/>
        </w:rPr>
        <w:t>2015</w:t>
      </w:r>
      <w:r>
        <w:rPr/>
        <w:t>年报告期内，薪酬与考核委员会共召集召开</w:t>
      </w:r>
      <w:r>
        <w:rPr>
          <w:rFonts w:ascii="Times New Roman" w:hAnsi="Times New Roman" w:cs="Times New Roman" w:eastAsia="Times New Roman" w:hint="default"/>
        </w:rPr>
        <w:t>2</w:t>
      </w:r>
      <w:r>
        <w:rPr/>
        <w:t>次薪酬与考核委员会会议，审议了《关于调整股票期权激励计划中激 励对象及注销部分已获授但未行权股票期权的议案》、《关于股票期权激励计划中首次授予的第二个行权期可行权的议案》</w:t>
      </w:r>
      <w:r>
        <w:rPr>
          <w:spacing w:val="-84"/>
        </w:rPr>
        <w:t> </w:t>
      </w:r>
      <w:r>
        <w:rPr>
          <w:spacing w:val="-84"/>
        </w:rPr>
      </w:r>
      <w:r>
        <w:rPr>
          <w:spacing w:val="-2"/>
        </w:rPr>
        <w:t>以及《关于调整股票期权激励计划中行权价格及注销部分已获授但未行权股票期权的议案》，薪酬与考核委员对相关议案进</w:t>
      </w:r>
      <w:r>
        <w:rPr>
          <w:spacing w:val="-66"/>
        </w:rPr>
        <w:t> </w:t>
      </w:r>
      <w:r>
        <w:rPr>
          <w:spacing w:val="-66"/>
        </w:rPr>
      </w:r>
      <w:r>
        <w:rPr/>
        <w:t>行了认真审议，勤勉尽责地履行了职责。</w:t>
      </w:r>
    </w:p>
    <w:p>
      <w:pPr>
        <w:pStyle w:val="BodyText"/>
        <w:spacing w:line="309" w:lineRule="auto" w:before="22"/>
        <w:ind w:right="1130" w:firstLine="420"/>
        <w:jc w:val="both"/>
      </w:pPr>
      <w:r>
        <w:rPr/>
        <w:t>公司董事会薪酬与考核委员会依照相关法规及《公司章程》、《董事会薪酬与考核委员会工作细则》的规定履行了对 公司股权激励计划进行管理、审查公司董事及高级 管理人员的履行职责情况等相关职责。</w:t>
      </w:r>
      <w:r>
        <w:rPr>
          <w:rFonts w:ascii="Times New Roman" w:hAnsi="Times New Roman" w:cs="Times New Roman" w:eastAsia="Times New Roman" w:hint="default"/>
        </w:rPr>
        <w:t>2015</w:t>
      </w:r>
      <w:r>
        <w:rPr/>
        <w:t>年度，薪酬与考核委员会共</w:t>
      </w:r>
      <w:r>
        <w:rPr>
          <w:spacing w:val="-88"/>
        </w:rPr>
        <w:t> </w:t>
      </w:r>
      <w:r>
        <w:rPr>
          <w:spacing w:val="-88"/>
        </w:rPr>
      </w:r>
      <w:r>
        <w:rPr/>
        <w:t>召开了四次会议，重点对</w:t>
      </w:r>
      <w:r>
        <w:rPr>
          <w:rFonts w:ascii="Times New Roman" w:hAnsi="Times New Roman" w:cs="Times New Roman" w:eastAsia="Times New Roman" w:hint="default"/>
        </w:rPr>
        <w:t>2015</w:t>
      </w:r>
      <w:r>
        <w:rPr/>
        <w:t>年董事和高级管理人员薪酬情况、股权激励情况进行审核。</w:t>
      </w:r>
    </w:p>
    <w:p>
      <w:pPr>
        <w:pStyle w:val="BodyText"/>
        <w:spacing w:line="240" w:lineRule="auto" w:before="5"/>
        <w:ind w:right="0"/>
        <w:jc w:val="left"/>
      </w:pPr>
      <w:r>
        <w:rPr>
          <w:rFonts w:ascii="Times New Roman" w:hAnsi="Times New Roman" w:cs="Times New Roman" w:eastAsia="Times New Roman" w:hint="default"/>
        </w:rPr>
        <w:t>3</w:t>
      </w:r>
      <w:r>
        <w:rPr/>
        <w:t>、提名委员会的履职情况</w:t>
      </w:r>
    </w:p>
    <w:p>
      <w:pPr>
        <w:pStyle w:val="BodyText"/>
        <w:spacing w:line="309" w:lineRule="auto" w:before="63"/>
        <w:ind w:right="1130" w:firstLine="420"/>
        <w:jc w:val="both"/>
      </w:pPr>
      <w:r>
        <w:rPr>
          <w:rFonts w:ascii="Times New Roman" w:hAnsi="Times New Roman" w:cs="Times New Roman" w:eastAsia="Times New Roman" w:hint="default"/>
          <w:spacing w:val="-1"/>
        </w:rPr>
        <w:t>2015</w:t>
      </w:r>
      <w:r>
        <w:rPr>
          <w:spacing w:val="-1"/>
        </w:rPr>
        <w:t>年报告期内，提名委员会共召开了</w:t>
      </w:r>
      <w:r>
        <w:rPr>
          <w:rFonts w:ascii="Times New Roman" w:hAnsi="Times New Roman" w:cs="Times New Roman" w:eastAsia="Times New Roman" w:hint="default"/>
          <w:spacing w:val="-1"/>
        </w:rPr>
        <w:t>3</w:t>
      </w:r>
      <w:r>
        <w:rPr>
          <w:spacing w:val="-1"/>
        </w:rPr>
        <w:t>次提名委员会会议，审议《关于变更高级管理人员的议案》、《关于提名董事</w:t>
      </w:r>
      <w:r>
        <w:rPr/>
        <w:t> </w:t>
      </w:r>
      <w:r>
        <w:rPr>
          <w:spacing w:val="-2"/>
        </w:rPr>
        <w:t>会秘书的议案》以及《关于提名董事会独立董事的议案》，切实履行提名委员会委员的职责，确保公司高管及董监换届选举</w:t>
      </w:r>
      <w:r>
        <w:rPr>
          <w:spacing w:val="-65"/>
        </w:rPr>
        <w:t> </w:t>
      </w:r>
      <w:r>
        <w:rPr>
          <w:spacing w:val="-65"/>
        </w:rPr>
      </w:r>
      <w:r>
        <w:rPr/>
        <w:t>的程序合规。</w:t>
      </w:r>
    </w:p>
    <w:p>
      <w:pPr>
        <w:pStyle w:val="BodyText"/>
        <w:spacing w:line="316" w:lineRule="auto" w:before="24"/>
        <w:ind w:right="1130" w:firstLine="420"/>
        <w:jc w:val="both"/>
      </w:pPr>
      <w:r>
        <w:rPr/>
        <w:t>公司董事会提名委员会依照相关法规及《公司章程》、《董事会提名委员会工作细则》的规定，积极履行了职责。提 名委员会重点对公司拟选举和聘任的独立董事任职资格进行审查，未发现《公司法》及相关法律法规禁止担任上 市公司的</w:t>
      </w:r>
      <w:r>
        <w:rPr>
          <w:spacing w:val="-86"/>
        </w:rPr>
        <w:t> </w:t>
      </w:r>
      <w:r>
        <w:rPr>
          <w:spacing w:val="-86"/>
        </w:rPr>
      </w:r>
      <w:r>
        <w:rPr/>
        <w:t>独立董事的情形。</w:t>
      </w:r>
    </w:p>
    <w:p>
      <w:pPr>
        <w:pStyle w:val="BodyText"/>
        <w:spacing w:line="240" w:lineRule="auto" w:before="19"/>
        <w:ind w:right="0"/>
        <w:jc w:val="left"/>
      </w:pPr>
      <w:r>
        <w:rPr>
          <w:rFonts w:ascii="Times New Roman" w:hAnsi="Times New Roman" w:cs="Times New Roman" w:eastAsia="Times New Roman" w:hint="default"/>
        </w:rPr>
        <w:t>4</w:t>
      </w:r>
      <w:r>
        <w:rPr/>
        <w:t>、战略委员会的履职情况</w:t>
      </w:r>
    </w:p>
    <w:p>
      <w:pPr>
        <w:pStyle w:val="BodyText"/>
        <w:spacing w:line="309" w:lineRule="auto" w:before="63"/>
        <w:ind w:right="1117" w:firstLine="420"/>
        <w:jc w:val="left"/>
      </w:pPr>
      <w:r>
        <w:rPr>
          <w:rFonts w:ascii="Times New Roman" w:hAnsi="Times New Roman" w:cs="Times New Roman" w:eastAsia="Times New Roman" w:hint="default"/>
          <w:spacing w:val="-1"/>
        </w:rPr>
        <w:t>2015</w:t>
      </w:r>
      <w:r>
        <w:rPr>
          <w:spacing w:val="-1"/>
        </w:rPr>
        <w:t>年报告期内，战略委员会召开</w:t>
      </w:r>
      <w:r>
        <w:rPr>
          <w:rFonts w:ascii="Times New Roman" w:hAnsi="Times New Roman" w:cs="Times New Roman" w:eastAsia="Times New Roman" w:hint="default"/>
          <w:spacing w:val="-1"/>
        </w:rPr>
        <w:t>1</w:t>
      </w:r>
      <w:r>
        <w:rPr>
          <w:spacing w:val="-1"/>
        </w:rPr>
        <w:t>次战略委员会会议，审议了《关于与美峰数码、中科奥、名通信息股东分别签订终</w:t>
      </w:r>
      <w:r>
        <w:rPr/>
        <w:t> </w:t>
      </w:r>
      <w:r>
        <w:rPr>
          <w:spacing w:val="-1"/>
        </w:rPr>
        <w:t>止非公开发行股份及支付现金购买资产等相关协议的议案》和《关于与苏摩科技股东签订</w:t>
      </w:r>
      <w:r>
        <w:rPr>
          <w:rFonts w:ascii="Times New Roman" w:hAnsi="Times New Roman" w:cs="Times New Roman" w:eastAsia="Times New Roman" w:hint="default"/>
          <w:spacing w:val="-1"/>
        </w:rPr>
        <w:t>51%</w:t>
      </w:r>
      <w:r>
        <w:rPr>
          <w:spacing w:val="-1"/>
        </w:rPr>
        <w:t>股权转让协议之补充协议的议</w:t>
      </w:r>
      <w:r>
        <w:rPr>
          <w:spacing w:val="-87"/>
        </w:rPr>
        <w:t> </w:t>
      </w:r>
      <w:r>
        <w:rPr/>
        <w:t>案》，切实履行独立董事职责，规范公司运作。 </w:t>
      </w:r>
      <w:r>
        <w:rPr>
          <w:spacing w:val="-2"/>
        </w:rPr>
        <w:t>公司战略委员会依照相关法规及《公司章程》及《董事会战略委员会工作细则》的规定，战略委员会重点对公司战略执行情</w:t>
      </w:r>
      <w:r>
        <w:rPr>
          <w:spacing w:val="-66"/>
        </w:rPr>
        <w:t> </w:t>
      </w:r>
      <w:r>
        <w:rPr>
          <w:spacing w:val="-66"/>
        </w:rPr>
      </w:r>
      <w:r>
        <w:rPr/>
        <w:t>况进行回顾总结，根据公司所处的行业和市场形式及时进行了战略规划研究，并对公司的发展战略提出了合理的建议。</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七、监事会工作情况" w:id="138"/>
      <w:bookmarkEnd w:id="138"/>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监事会在报告期内的监督活动是否发现公司存在风险</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before="44"/>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八、高级管理人员的考评及激励情况" w:id="139"/>
      <w:bookmarkEnd w:id="139"/>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420"/>
        <w:jc w:val="both"/>
      </w:pPr>
      <w:r>
        <w:rPr/>
        <w:t>为了保障公司董事、监事依法履行职权，健全公司薪酬管理体系，公司根据《中华人民共和国公司法》、《关于上市 </w:t>
      </w:r>
      <w:r>
        <w:rPr>
          <w:spacing w:val="-2"/>
        </w:rPr>
        <w:t>公司建立独立董事的指导意见》等法律、法规及公司《章程》的有关规定，公司制定了《董事、监事、高级管理人员薪酬与</w:t>
      </w:r>
      <w:r>
        <w:rPr>
          <w:spacing w:val="-67"/>
        </w:rPr>
        <w:t> </w:t>
      </w:r>
      <w:r>
        <w:rPr>
          <w:spacing w:val="-67"/>
        </w:rPr>
      </w:r>
      <w:r>
        <w:rPr>
          <w:spacing w:val="-2"/>
        </w:rPr>
        <w:t>考核度》，建立了高级管理人员的薪酬与公司业绩挂钩的绩效考核与激励约束机制，公司高级管理人员实行基本薪酬和年终</w:t>
      </w:r>
      <w:r>
        <w:rPr>
          <w:spacing w:val="-66"/>
        </w:rPr>
        <w:t> </w:t>
      </w:r>
      <w:r>
        <w:rPr>
          <w:spacing w:val="-66"/>
        </w:rPr>
      </w:r>
      <w:r>
        <w:rPr/>
        <w:t>绩效考核相结合的薪酬制度。</w:t>
      </w:r>
      <w:r>
        <w:rPr>
          <w:spacing w:val="-19"/>
        </w:rPr>
        <w:t> </w:t>
      </w:r>
      <w:r>
        <w:rPr/>
        <w:t>高级管理人员的薪酬方案按照公司《董事会薪酬与考核委员会工作细则》、《董事、监事和</w:t>
      </w:r>
      <w:r>
        <w:rPr/>
        <w:t> </w:t>
      </w:r>
      <w:r>
        <w:rPr>
          <w:spacing w:val="-2"/>
        </w:rPr>
        <w:t>高级管理人员薪酬与考核制度》等规定由董事会薪酬与考核委员会根据职位、责任、能力、市场薪资行情等因素拟定，经董</w:t>
      </w:r>
      <w:r>
        <w:rPr>
          <w:spacing w:val="-66"/>
        </w:rPr>
        <w:t> </w:t>
      </w:r>
      <w:r>
        <w:rPr>
          <w:spacing w:val="-66"/>
        </w:rPr>
      </w:r>
      <w:r>
        <w:rPr>
          <w:spacing w:val="-2"/>
        </w:rPr>
        <w:t>事会、监事会审议通过后实施。高级管理人员的基本工资按月发放，绩效年薪则结合其经营绩效、工作能力、岗位职责等考</w:t>
      </w:r>
      <w:r>
        <w:rPr>
          <w:spacing w:val="-66"/>
        </w:rPr>
        <w:t> </w:t>
      </w:r>
      <w:r>
        <w:rPr>
          <w:spacing w:val="-66"/>
        </w:rPr>
      </w:r>
      <w:r>
        <w:rPr/>
        <w:t>核确定并发放。</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九、内部控制评价报告" w:id="140"/>
      <w:bookmarkEnd w:id="140"/>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left="1133" w:right="0"/>
        <w:jc w:val="left"/>
        <w:rPr>
          <w:b w:val="0"/>
          <w:bCs w:val="0"/>
        </w:rPr>
      </w:pPr>
      <w:bookmarkStart w:name="1、报告期内发现的内部控制重大缺陷的具体情况" w:id="141"/>
      <w:bookmarkEnd w:id="141"/>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7"/>
        <w:spacing w:line="240" w:lineRule="auto"/>
        <w:ind w:left="1133" w:right="0"/>
        <w:jc w:val="left"/>
        <w:rPr>
          <w:b w:val="0"/>
          <w:bCs w:val="0"/>
        </w:rPr>
      </w:pPr>
      <w:bookmarkStart w:name="2、内控自我评价报告" w:id="142"/>
      <w:bookmarkEnd w:id="142"/>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BodyText"/>
        <w:spacing w:line="240" w:lineRule="auto" w:before="44"/>
        <w:ind w:left="0" w:right="1139"/>
        <w:jc w:val="right"/>
      </w:pPr>
      <w:r>
        <w:rPr/>
        <w:pict>
          <v:shape style="position:absolute;margin-left:56.459999pt;margin-top:-215.008286pt;width:479.2pt;height:359.6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41"/>
                    <w:gridCol w:w="303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877"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8"/>
                          <w:ind w:left="22" w:right="-2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 ①控制环境无效；</w:t>
                        </w:r>
                        <w:r>
                          <w:rPr>
                            <w:rFonts w:ascii="宋体" w:hAnsi="宋体" w:cs="宋体" w:eastAsia="宋体" w:hint="default"/>
                            <w:spacing w:val="-1"/>
                            <w:sz w:val="18"/>
                            <w:szCs w:val="18"/>
                          </w:rPr>
                          <w:t> </w:t>
                        </w:r>
                        <w:r>
                          <w:rPr>
                            <w:rFonts w:ascii="宋体" w:hAnsi="宋体" w:cs="宋体" w:eastAsia="宋体" w:hint="default"/>
                            <w:sz w:val="18"/>
                            <w:szCs w:val="18"/>
                          </w:rPr>
                          <w:t>②发 现董事、监事和高级管理人员舞弊；</w:t>
                        </w:r>
                        <w:r>
                          <w:rPr>
                            <w:rFonts w:ascii="宋体" w:hAnsi="宋体" w:cs="宋体" w:eastAsia="宋体" w:hint="default"/>
                            <w:spacing w:val="-45"/>
                            <w:sz w:val="18"/>
                            <w:szCs w:val="18"/>
                          </w:rPr>
                          <w:t> </w:t>
                        </w:r>
                        <w:r>
                          <w:rPr>
                            <w:rFonts w:ascii="宋体" w:hAnsi="宋体" w:cs="宋体" w:eastAsia="宋体" w:hint="default"/>
                            <w:sz w:val="18"/>
                            <w:szCs w:val="18"/>
                          </w:rPr>
                          <w:t>③外</w:t>
                        </w:r>
                        <w:r>
                          <w:rPr>
                            <w:rFonts w:ascii="宋体" w:hAnsi="宋体" w:cs="宋体" w:eastAsia="宋体" w:hint="default"/>
                            <w:sz w:val="18"/>
                            <w:szCs w:val="18"/>
                          </w:rPr>
                          <w:t> 部审计发现当期财务报表存在重大错报， 而内部控制在运行过程中未能发现该错 报； ④公司审计部对内部控制的监督无 效；</w:t>
                        </w:r>
                        <w:r>
                          <w:rPr>
                            <w:rFonts w:ascii="宋体" w:hAnsi="宋体" w:cs="宋体" w:eastAsia="宋体" w:hint="default"/>
                            <w:spacing w:val="-64"/>
                            <w:sz w:val="18"/>
                            <w:szCs w:val="18"/>
                          </w:rPr>
                          <w:t> </w:t>
                        </w:r>
                        <w:r>
                          <w:rPr>
                            <w:rFonts w:ascii="宋体" w:hAnsi="宋体" w:cs="宋体" w:eastAsia="宋体" w:hint="default"/>
                            <w:sz w:val="18"/>
                            <w:szCs w:val="18"/>
                          </w:rPr>
                          <w:t>⑤内部控制评价的结果特别是重大或</w:t>
                        </w:r>
                        <w:r>
                          <w:rPr>
                            <w:rFonts w:ascii="宋体" w:hAnsi="宋体" w:cs="宋体" w:eastAsia="宋体" w:hint="default"/>
                            <w:sz w:val="18"/>
                            <w:szCs w:val="18"/>
                          </w:rPr>
                          <w:t> 重要缺陷未得到整改；</w:t>
                        </w:r>
                        <w:r>
                          <w:rPr>
                            <w:rFonts w:ascii="宋体" w:hAnsi="宋体" w:cs="宋体" w:eastAsia="宋体" w:hint="default"/>
                            <w:spacing w:val="-63"/>
                            <w:sz w:val="18"/>
                            <w:szCs w:val="18"/>
                          </w:rPr>
                          <w:t> </w:t>
                        </w:r>
                        <w:r>
                          <w:rPr>
                            <w:rFonts w:ascii="宋体" w:hAnsi="宋体" w:cs="宋体" w:eastAsia="宋体" w:hint="default"/>
                            <w:sz w:val="18"/>
                            <w:szCs w:val="18"/>
                          </w:rPr>
                          <w:t>⑥其他可能影响报</w:t>
                        </w:r>
                        <w:r>
                          <w:rPr>
                            <w:rFonts w:ascii="宋体" w:hAnsi="宋体" w:cs="宋体" w:eastAsia="宋体" w:hint="default"/>
                            <w:sz w:val="18"/>
                            <w:szCs w:val="18"/>
                          </w:rPr>
                          <w:t> 表使用者正确判断的缺陷。</w:t>
                        </w:r>
                        <w:r>
                          <w:rPr>
                            <w:rFonts w:ascii="宋体" w:hAnsi="宋体" w:cs="宋体" w:eastAsia="宋体" w:hint="default"/>
                            <w:spacing w:val="-29"/>
                            <w:sz w:val="18"/>
                            <w:szCs w:val="18"/>
                          </w:rPr>
                          <w:t> </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、重要缺陷：</w:t>
                        </w:r>
                        <w:r>
                          <w:rPr>
                            <w:rFonts w:ascii="宋体" w:hAnsi="宋体" w:cs="宋体" w:eastAsia="宋体" w:hint="default"/>
                            <w:spacing w:val="-35"/>
                            <w:sz w:val="18"/>
                            <w:szCs w:val="18"/>
                          </w:rPr>
                          <w:t> </w:t>
                        </w:r>
                        <w:r>
                          <w:rPr>
                            <w:rFonts w:ascii="宋体" w:hAnsi="宋体" w:cs="宋体" w:eastAsia="宋体" w:hint="default"/>
                            <w:sz w:val="18"/>
                            <w:szCs w:val="18"/>
                          </w:rPr>
                          <w:t>除重大缺陷以外的其他情形，按影响程度</w:t>
                        </w:r>
                        <w:r>
                          <w:rPr>
                            <w:rFonts w:ascii="宋体" w:hAnsi="宋体" w:cs="宋体" w:eastAsia="宋体" w:hint="default"/>
                            <w:sz w:val="18"/>
                            <w:szCs w:val="18"/>
                          </w:rPr>
                          <w:t> 分别确定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、一般缺陷：除重大缺陷以外 的其他情形，按影响程度分别确定</w:t>
                        </w:r>
                        <w:r>
                          <w:rPr>
                            <w:rFonts w:ascii="Times New Roman" w:hAnsi="Times New Roman" w:cs="Times New Roman" w:eastAsia="Times New Roman" w:hint="default"/>
                            <w:sz w:val="18"/>
                            <w:szCs w:val="18"/>
                          </w:rPr>
                          <w:t>"</w:t>
                        </w:r>
                      </w:p>
                    </w:tc>
                    <w:tc>
                      <w:tcPr>
                        <w:tcW w:w="3039" w:type="dxa"/>
                        <w:vMerge w:val="restart"/>
                        <w:tcBorders>
                          <w:top w:val="single" w:sz="4" w:space="0" w:color="000000"/>
                          <w:left w:val="single" w:sz="9" w:space="0" w:color="FFFFFF"/>
                          <w:right w:val="single" w:sz="4" w:space="0" w:color="000000"/>
                        </w:tcBorders>
                      </w:tcPr>
                      <w:p>
                        <w:pPr>
                          <w:pStyle w:val="TableParagraph"/>
                          <w:spacing w:line="314" w:lineRule="auto" w:before="51"/>
                          <w:ind w:left="4"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w:t>
                        </w:r>
                        <w:r>
                          <w:rPr>
                            <w:rFonts w:ascii="宋体" w:hAnsi="宋体" w:cs="宋体" w:eastAsia="宋体" w:hint="default"/>
                            <w:spacing w:val="-1"/>
                            <w:sz w:val="18"/>
                            <w:szCs w:val="18"/>
                          </w:rPr>
                          <w:t> </w:t>
                        </w:r>
                        <w:r>
                          <w:rPr>
                            <w:rFonts w:ascii="宋体" w:hAnsi="宋体" w:cs="宋体" w:eastAsia="宋体" w:hint="default"/>
                            <w:sz w:val="18"/>
                            <w:szCs w:val="18"/>
                          </w:rPr>
                          <w:t>①、违反国家法律、 法规或规范性文件； ②、违反决策程 序，导致重大决策失误； ③、重要业 务缺乏制度性控制，或制度系统性失 效；</w:t>
                        </w:r>
                        <w:r>
                          <w:rPr>
                            <w:rFonts w:ascii="宋体" w:hAnsi="宋体" w:cs="宋体" w:eastAsia="宋体" w:hint="default"/>
                            <w:spacing w:val="-30"/>
                            <w:sz w:val="18"/>
                            <w:szCs w:val="18"/>
                          </w:rPr>
                          <w:t> </w:t>
                        </w:r>
                        <w:r>
                          <w:rPr>
                            <w:rFonts w:ascii="宋体" w:hAnsi="宋体" w:cs="宋体" w:eastAsia="宋体" w:hint="default"/>
                            <w:spacing w:val="-3"/>
                            <w:sz w:val="18"/>
                            <w:szCs w:val="18"/>
                          </w:rPr>
                          <w:t>④、媒体频频曝光重大负面新闻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严重损害声誉； ⑤、公司未对安全生 </w:t>
                        </w:r>
                        <w:r>
                          <w:rPr>
                            <w:rFonts w:ascii="宋体" w:hAnsi="宋体" w:cs="宋体" w:eastAsia="宋体" w:hint="default"/>
                            <w:spacing w:val="-4"/>
                            <w:sz w:val="18"/>
                            <w:szCs w:val="18"/>
                          </w:rPr>
                          <w:t>产实施管理，造成重大人员伤亡的安全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责任事故； ⑥、管理人员或技术人员 流失严重； ⑦、其他对公司影响重大 的情形。</w:t>
                        </w:r>
                        <w:r>
                          <w:rPr>
                            <w:rFonts w:ascii="宋体" w:hAnsi="宋体" w:cs="宋体" w:eastAsia="宋体" w:hint="default"/>
                            <w:spacing w:val="-16"/>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、重要缺陷：除重大缺陷以</w:t>
                        </w:r>
                        <w:r>
                          <w:rPr>
                            <w:rFonts w:ascii="宋体" w:hAnsi="宋体" w:cs="宋体" w:eastAsia="宋体" w:hint="default"/>
                            <w:sz w:val="18"/>
                            <w:szCs w:val="18"/>
                          </w:rPr>
                          <w:t> 外的其他情形，按影响程度分别确定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、一般缺陷：除重大缺陷以外的其他 情形，按影响程度分别确定</w:t>
                        </w:r>
                        <w:r>
                          <w:rPr>
                            <w:rFonts w:ascii="Times New Roman" w:hAnsi="Times New Roman" w:cs="Times New Roman" w:eastAsia="Times New Roman" w:hint="default"/>
                            <w:sz w:val="18"/>
                            <w:szCs w:val="18"/>
                          </w:rPr>
                          <w:t>"</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1877"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312" w:lineRule="exact"/>
        <w:ind w:left="767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after="0" w:line="312" w:lineRule="exact"/>
        <w:rPr>
          <w:rFonts w:ascii="宋体" w:hAnsi="宋体" w:cs="宋体" w:eastAsia="宋体" w:hint="default"/>
          <w:sz w:val="20"/>
          <w:szCs w:val="20"/>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shape style="position:absolute;margin-left:376.660004pt;margin-top:72.47998pt;width:158.25pt;height:23.4pt;mso-position-horizontal-relative:page;mso-position-vertical-relative:page;z-index:-1112584" type="#_x0000_t202" filled="false" stroked="false">
            <v:textbox inset="0,0,0,0">
              <w:txbxContent>
                <w:p>
                  <w:pPr>
                    <w:pStyle w:val="BodyText"/>
                    <w:spacing w:line="240" w:lineRule="auto" w:before="51"/>
                    <w:ind w:left="0" w:right="0"/>
                    <w:jc w:val="left"/>
                  </w:pPr>
                  <w:r>
                    <w:rPr/>
                    <w:t>、</w:t>
                  </w:r>
                </w:p>
              </w:txbxContent>
            </v:textbox>
            <w10:wrap type="none"/>
          </v:shape>
        </w:pict>
      </w:r>
    </w:p>
    <w:tbl>
      <w:tblPr>
        <w:tblW w:w="0" w:type="auto"/>
        <w:jc w:val="left"/>
        <w:tblInd w:w="1129" w:type="dxa"/>
        <w:tblLayout w:type="fixed"/>
        <w:tblCellMar>
          <w:top w:w="0" w:type="dxa"/>
          <w:left w:w="0" w:type="dxa"/>
          <w:bottom w:w="0" w:type="dxa"/>
          <w:right w:w="0" w:type="dxa"/>
        </w:tblCellMar>
        <w:tblLook w:val="01E0"/>
      </w:tblPr>
      <w:tblGrid>
        <w:gridCol w:w="3194"/>
        <w:gridCol w:w="3324"/>
        <w:gridCol w:w="3051"/>
      </w:tblGrid>
      <w:tr>
        <w:trPr>
          <w:trHeight w:val="133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、重大缺陷：税前利润的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重要缺陷：税前利润的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税前利 润的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税前利润 的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152.1pt;height:23.4pt;mso-position-horizontal-relative:char;mso-position-vertical-relative:line" coordorigin="0,0" coordsize="3042,468">
                  <v:group style="position:absolute;left:0;top:0;width:3042;height:468" coordorigin="0,0" coordsize="3042,468">
                    <v:shape style="position:absolute;left:0;top:0;width:3042;height:468" coordorigin="0,0" coordsize="3042,468" path="m0,468l3041,468,3041,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财务报告重大缺陷数量</w:t>
            </w:r>
            <w:r>
              <w:rPr>
                <w:rFonts w:ascii="Times New Roman" w:hAnsi="Times New Roman" w:cs="Times New Roman" w:eastAsia="Times New Roman" w:hint="default"/>
                <w:sz w:val="18"/>
                <w:szCs w:val="18"/>
              </w:rPr>
              <w:t>(</w:t>
            </w:r>
            <w:r>
              <w:rPr>
                <w:rFonts w:ascii="宋体" w:hAnsi="宋体" w:cs="宋体" w:eastAsia="宋体" w:hint="default"/>
                <w:sz w:val="18"/>
                <w:szCs w:val="18"/>
              </w:rPr>
              <w:t>个</w:t>
            </w:r>
            <w:r>
              <w:rPr>
                <w:rFonts w:ascii="Times New Roman" w:hAnsi="Times New Roman" w:cs="Times New Roman" w:eastAsia="Times New Roman" w:hint="default"/>
                <w:sz w:val="18"/>
                <w:szCs w:val="18"/>
              </w:rPr>
              <w:t>)</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非财务报告重大缺陷数量</w:t>
            </w:r>
            <w:r>
              <w:rPr>
                <w:rFonts w:ascii="Times New Roman" w:hAnsi="Times New Roman" w:cs="Times New Roman" w:eastAsia="Times New Roman" w:hint="default"/>
                <w:sz w:val="18"/>
                <w:szCs w:val="18"/>
              </w:rPr>
              <w:t>(</w:t>
            </w:r>
            <w:r>
              <w:rPr>
                <w:rFonts w:ascii="宋体" w:hAnsi="宋体" w:cs="宋体" w:eastAsia="宋体" w:hint="default"/>
                <w:sz w:val="18"/>
                <w:szCs w:val="18"/>
              </w:rPr>
              <w:t>个</w:t>
            </w:r>
            <w:r>
              <w:rPr>
                <w:rFonts w:ascii="Times New Roman" w:hAnsi="Times New Roman" w:cs="Times New Roman" w:eastAsia="Times New Roman" w:hint="default"/>
                <w:sz w:val="18"/>
                <w:szCs w:val="18"/>
              </w:rPr>
              <w:t>)</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财务报告重要缺陷数量</w:t>
            </w:r>
            <w:r>
              <w:rPr>
                <w:rFonts w:ascii="Times New Roman" w:hAnsi="Times New Roman" w:cs="Times New Roman" w:eastAsia="Times New Roman" w:hint="default"/>
                <w:sz w:val="18"/>
                <w:szCs w:val="18"/>
              </w:rPr>
              <w:t>(</w:t>
            </w:r>
            <w:r>
              <w:rPr>
                <w:rFonts w:ascii="宋体" w:hAnsi="宋体" w:cs="宋体" w:eastAsia="宋体" w:hint="default"/>
                <w:sz w:val="18"/>
                <w:szCs w:val="18"/>
              </w:rPr>
              <w:t>个</w:t>
            </w:r>
            <w:r>
              <w:rPr>
                <w:rFonts w:ascii="Times New Roman" w:hAnsi="Times New Roman" w:cs="Times New Roman" w:eastAsia="Times New Roman" w:hint="default"/>
                <w:sz w:val="18"/>
                <w:szCs w:val="18"/>
              </w:rPr>
              <w:t>)</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非财务报告重要缺陷数量</w:t>
            </w:r>
            <w:r>
              <w:rPr>
                <w:rFonts w:ascii="Times New Roman" w:hAnsi="Times New Roman" w:cs="Times New Roman" w:eastAsia="Times New Roman" w:hint="default"/>
                <w:sz w:val="18"/>
                <w:szCs w:val="18"/>
              </w:rPr>
              <w:t>(</w:t>
            </w:r>
            <w:r>
              <w:rPr>
                <w:rFonts w:ascii="宋体" w:hAnsi="宋体" w:cs="宋体" w:eastAsia="宋体" w:hint="default"/>
                <w:sz w:val="18"/>
                <w:szCs w:val="18"/>
              </w:rPr>
              <w:t>个</w:t>
            </w:r>
            <w:r>
              <w:rPr>
                <w:rFonts w:ascii="Times New Roman" w:hAnsi="Times New Roman" w:cs="Times New Roman" w:eastAsia="Times New Roman" w:hint="default"/>
                <w:sz w:val="18"/>
                <w:szCs w:val="18"/>
              </w:rPr>
              <w:t>)</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3"/>
        <w:spacing w:line="240" w:lineRule="auto" w:before="26"/>
        <w:ind w:left="1134" w:right="0"/>
        <w:jc w:val="left"/>
        <w:rPr>
          <w:b w:val="0"/>
          <w:bCs w:val="0"/>
        </w:rPr>
      </w:pPr>
      <w:bookmarkStart w:name="十、内部控制审计报告或鉴证报告" w:id="143"/>
      <w:bookmarkEnd w:id="143"/>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深圳中青宝公司按照《企业内部控制基本规范》及相关规定于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日在所有重大方面保持了与财务报表相关 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会计师事务所是否出具非标准意见的内部控制鉴证报告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3"/>
        <w:jc w:val="center"/>
        <w:rPr>
          <w:b w:val="0"/>
          <w:bCs w:val="0"/>
        </w:rPr>
      </w:pPr>
      <w:bookmarkStart w:name="第十节 财务报告" w:id="144"/>
      <w:bookmarkEnd w:id="144"/>
      <w:r>
        <w:rPr>
          <w:b w:val="0"/>
          <w:bCs w:val="0"/>
        </w:rPr>
      </w:r>
      <w:bookmarkStart w:name="_bookmark8" w:id="145"/>
      <w:bookmarkEnd w:id="145"/>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审计报告" w:id="146"/>
      <w:bookmarkEnd w:id="14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XYZH/2016SZA30042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郭晋龙、邱乐群</w:t>
            </w:r>
          </w:p>
        </w:tc>
      </w:tr>
    </w:tbl>
    <w:p>
      <w:pPr>
        <w:pStyle w:val="BodyText"/>
        <w:spacing w:line="240" w:lineRule="auto" w:before="51"/>
        <w:ind w:left="1114" w:right="1113"/>
        <w:jc w:val="center"/>
      </w:pPr>
      <w:r>
        <w:rPr/>
        <w:t>审计报告正文</w:t>
      </w:r>
    </w:p>
    <w:p>
      <w:pPr>
        <w:spacing w:line="240" w:lineRule="auto" w:before="6"/>
        <w:rPr>
          <w:rFonts w:ascii="宋体" w:hAnsi="宋体" w:cs="宋体" w:eastAsia="宋体" w:hint="default"/>
          <w:sz w:val="14"/>
          <w:szCs w:val="14"/>
        </w:rPr>
      </w:pPr>
    </w:p>
    <w:p>
      <w:pPr>
        <w:pStyle w:val="Heading2"/>
        <w:spacing w:line="240" w:lineRule="auto"/>
        <w:ind w:left="1113" w:right="1113"/>
        <w:jc w:val="center"/>
        <w:rPr>
          <w:b w:val="0"/>
          <w:bCs w:val="0"/>
        </w:rPr>
      </w:pPr>
      <w:r>
        <w:rPr/>
        <w:t>审计报告</w:t>
      </w:r>
      <w:r>
        <w:rPr>
          <w:b w:val="0"/>
          <w:bCs w:val="0"/>
        </w:rPr>
      </w:r>
    </w:p>
    <w:p>
      <w:pPr>
        <w:spacing w:line="240" w:lineRule="auto" w:before="13"/>
        <w:rPr>
          <w:rFonts w:ascii="宋体" w:hAnsi="宋体" w:cs="宋体" w:eastAsia="宋体" w:hint="default"/>
          <w:b/>
          <w:bCs/>
          <w:sz w:val="9"/>
          <w:szCs w:val="9"/>
        </w:rPr>
      </w:pPr>
    </w:p>
    <w:p>
      <w:pPr>
        <w:pStyle w:val="Heading6"/>
        <w:spacing w:line="240" w:lineRule="auto" w:before="71"/>
        <w:ind w:right="1131"/>
        <w:jc w:val="right"/>
        <w:rPr>
          <w:rFonts w:ascii="Times New Roman" w:hAnsi="Times New Roman" w:cs="Times New Roman" w:eastAsia="Times New Roman" w:hint="default"/>
        </w:rPr>
      </w:pPr>
      <w:r>
        <w:rPr>
          <w:rFonts w:ascii="Times New Roman"/>
          <w:w w:val="95"/>
        </w:rPr>
        <w:t>XYZH/2016SZA30042</w:t>
      </w:r>
      <w:r>
        <w:rPr>
          <w:rFonts w:ascii="Times New Roman"/>
        </w:rPr>
      </w:r>
    </w:p>
    <w:p>
      <w:pPr>
        <w:spacing w:line="240" w:lineRule="auto" w:before="0"/>
        <w:rPr>
          <w:rFonts w:ascii="Times New Roman" w:hAnsi="Times New Roman" w:cs="Times New Roman" w:eastAsia="Times New Roman" w:hint="default"/>
          <w:sz w:val="25"/>
          <w:szCs w:val="25"/>
        </w:rPr>
      </w:pPr>
    </w:p>
    <w:p>
      <w:pPr>
        <w:pStyle w:val="Heading5"/>
        <w:spacing w:line="240" w:lineRule="auto" w:before="31"/>
        <w:ind w:right="0"/>
        <w:jc w:val="left"/>
        <w:rPr>
          <w:b w:val="0"/>
          <w:bCs w:val="0"/>
        </w:rPr>
      </w:pPr>
      <w:r>
        <w:rPr/>
        <w:t>深圳中青宝互动网络股份有限公司全体股东：</w:t>
      </w:r>
      <w:r>
        <w:rPr>
          <w:b w:val="0"/>
          <w:bCs w:val="0"/>
        </w:rPr>
      </w:r>
    </w:p>
    <w:p>
      <w:pPr>
        <w:spacing w:line="240" w:lineRule="auto" w:before="0"/>
        <w:rPr>
          <w:rFonts w:ascii="宋体" w:hAnsi="宋体" w:cs="宋体" w:eastAsia="宋体" w:hint="default"/>
          <w:b/>
          <w:bCs/>
          <w:sz w:val="22"/>
          <w:szCs w:val="22"/>
        </w:rPr>
      </w:pPr>
    </w:p>
    <w:p>
      <w:pPr>
        <w:pStyle w:val="BodyText"/>
        <w:spacing w:line="316" w:lineRule="auto" w:before="163"/>
        <w:ind w:right="1131" w:firstLine="420"/>
        <w:jc w:val="both"/>
      </w:pPr>
      <w:r>
        <w:rPr/>
        <w:t>我们审计了后附的深圳中青宝互动网络股份有限公司</w:t>
      </w:r>
      <w:r>
        <w:rPr>
          <w:rFonts w:ascii="宋体" w:hAnsi="宋体" w:cs="宋体" w:eastAsia="宋体" w:hint="default"/>
        </w:rPr>
        <w:t>(</w:t>
      </w:r>
      <w:r>
        <w:rPr/>
        <w:t>以下简称深圳中青宝公司</w:t>
      </w:r>
      <w:r>
        <w:rPr>
          <w:rFonts w:ascii="宋体" w:hAnsi="宋体" w:cs="宋体" w:eastAsia="宋体" w:hint="default"/>
        </w:rPr>
        <w:t>)</w:t>
      </w:r>
      <w:r>
        <w:rPr/>
        <w:t>合并及母公司财务报表，包括</w:t>
      </w:r>
      <w:r>
        <w:rPr>
          <w:rFonts w:ascii="宋体" w:hAnsi="宋体" w:cs="宋体" w:eastAsia="宋体" w:hint="default"/>
        </w:rPr>
        <w:t>2015</w:t>
      </w:r>
      <w:r>
        <w:rPr/>
        <w:t>年 </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日的合并及母公司资产负债表，</w:t>
      </w:r>
      <w:r>
        <w:rPr>
          <w:rFonts w:ascii="宋体" w:hAnsi="宋体" w:cs="宋体" w:eastAsia="宋体" w:hint="default"/>
          <w:spacing w:val="-2"/>
        </w:rPr>
        <w:t>2015</w:t>
      </w:r>
      <w:r>
        <w:rPr>
          <w:spacing w:val="-2"/>
        </w:rPr>
        <w:t>年度的合并及母公司利润表、合并及母公司现金流量表和合并及母公司股东权益</w:t>
      </w:r>
      <w:r>
        <w:rPr>
          <w:spacing w:val="-56"/>
        </w:rPr>
        <w:t> </w:t>
      </w:r>
      <w:r>
        <w:rPr>
          <w:spacing w:val="-56"/>
        </w:rPr>
      </w:r>
      <w:r>
        <w:rPr/>
        <w:t>变动表及财务报表附注。</w:t>
      </w:r>
    </w:p>
    <w:p>
      <w:pPr>
        <w:spacing w:line="240" w:lineRule="auto" w:before="10"/>
        <w:rPr>
          <w:rFonts w:ascii="宋体" w:hAnsi="宋体" w:cs="宋体" w:eastAsia="宋体" w:hint="default"/>
          <w:sz w:val="25"/>
          <w:szCs w:val="25"/>
        </w:rPr>
      </w:pPr>
    </w:p>
    <w:p>
      <w:pPr>
        <w:pStyle w:val="Heading5"/>
        <w:spacing w:line="240" w:lineRule="auto"/>
        <w:ind w:left="1134" w:right="0"/>
        <w:jc w:val="left"/>
        <w:rPr>
          <w:b w:val="0"/>
          <w:bCs w:val="0"/>
        </w:rPr>
      </w:pPr>
      <w:r>
        <w:rPr/>
        <w:t>一、</w:t>
      </w:r>
      <w:r>
        <w:rPr>
          <w:spacing w:val="-21"/>
        </w:rPr>
        <w:t> </w:t>
      </w:r>
      <w:r>
        <w:rPr/>
        <w:t>管理层对财务报表的责任</w:t>
      </w:r>
      <w:r>
        <w:rPr>
          <w:b w:val="0"/>
          <w:bCs w:val="0"/>
        </w:rPr>
      </w:r>
    </w:p>
    <w:p>
      <w:pPr>
        <w:spacing w:line="240" w:lineRule="auto" w:before="3"/>
        <w:rPr>
          <w:rFonts w:ascii="宋体" w:hAnsi="宋体" w:cs="宋体" w:eastAsia="宋体" w:hint="default"/>
          <w:b/>
          <w:bCs/>
          <w:sz w:val="28"/>
          <w:szCs w:val="28"/>
        </w:rPr>
      </w:pPr>
    </w:p>
    <w:p>
      <w:pPr>
        <w:pStyle w:val="BodyText"/>
        <w:spacing w:line="316" w:lineRule="auto"/>
        <w:ind w:left="1134" w:right="1041" w:firstLine="420"/>
        <w:jc w:val="both"/>
      </w:pPr>
      <w:r>
        <w:rPr>
          <w:spacing w:val="-3"/>
        </w:rPr>
        <w:t>编制和公允列报财务报表是深圳中青宝公司管理层的责任，这种责任包括：</w:t>
      </w:r>
      <w:r>
        <w:rPr>
          <w:rFonts w:ascii="宋体" w:hAnsi="宋体" w:cs="宋体" w:eastAsia="宋体" w:hint="default"/>
          <w:spacing w:val="-3"/>
        </w:rPr>
        <w:t>(1)</w:t>
      </w:r>
      <w:r>
        <w:rPr>
          <w:spacing w:val="-3"/>
        </w:rPr>
        <w:t>按照企业会计准则的规定编制财务报表，</w:t>
      </w:r>
      <w:r>
        <w:rPr/>
        <w:t> 并使其实现公允反映；</w:t>
      </w:r>
      <w:r>
        <w:rPr>
          <w:rFonts w:ascii="宋体" w:hAnsi="宋体" w:cs="宋体" w:eastAsia="宋体" w:hint="default"/>
        </w:rPr>
        <w:t>(2)</w:t>
      </w:r>
      <w:r>
        <w:rPr/>
        <w:t>设计、执行和维护必要的内部控制，以使财务报表不存在由于舞弊或错误导致的重大错报。</w:t>
      </w:r>
    </w:p>
    <w:p>
      <w:pPr>
        <w:spacing w:line="240" w:lineRule="auto" w:before="9"/>
        <w:rPr>
          <w:rFonts w:ascii="宋体" w:hAnsi="宋体" w:cs="宋体" w:eastAsia="宋体" w:hint="default"/>
          <w:sz w:val="22"/>
          <w:szCs w:val="22"/>
        </w:rPr>
      </w:pPr>
    </w:p>
    <w:p>
      <w:pPr>
        <w:pStyle w:val="Heading5"/>
        <w:spacing w:line="240" w:lineRule="auto"/>
        <w:ind w:right="0"/>
        <w:jc w:val="left"/>
        <w:rPr>
          <w:b w:val="0"/>
          <w:bCs w:val="0"/>
        </w:rPr>
      </w:pPr>
      <w:r>
        <w:rPr/>
        <w:t>二、</w:t>
      </w:r>
      <w:r>
        <w:rPr>
          <w:spacing w:val="-20"/>
        </w:rPr>
        <w:t> </w:t>
      </w:r>
      <w:r>
        <w:rPr/>
        <w:t>注册会计师的责任</w:t>
      </w:r>
      <w:r>
        <w:rPr>
          <w:b w:val="0"/>
          <w:bCs w:val="0"/>
        </w:rPr>
      </w:r>
    </w:p>
    <w:p>
      <w:pPr>
        <w:spacing w:line="240" w:lineRule="auto" w:before="3"/>
        <w:rPr>
          <w:rFonts w:ascii="宋体" w:hAnsi="宋体" w:cs="宋体" w:eastAsia="宋体" w:hint="default"/>
          <w:b/>
          <w:bCs/>
          <w:sz w:val="28"/>
          <w:szCs w:val="28"/>
        </w:rPr>
      </w:pPr>
    </w:p>
    <w:p>
      <w:pPr>
        <w:pStyle w:val="BodyText"/>
        <w:spacing w:line="316" w:lineRule="auto"/>
        <w:ind w:right="1132" w:firstLine="420"/>
        <w:jc w:val="both"/>
      </w:pPr>
      <w:r>
        <w:rPr/>
        <w:t>我们的责任是在执行审计工作的基础上对财务报表发表审计意见。我们按照中国注册会计师审计准则的规定执行了审 </w:t>
      </w:r>
      <w:r>
        <w:rPr>
          <w:spacing w:val="-2"/>
        </w:rPr>
        <w:t>计工作。中国注册会计师审计准则要求我们遵守职业道德守则，计划和执行审计工作以对财务报表是否不存在重大错报获取</w:t>
      </w:r>
      <w:r>
        <w:rPr>
          <w:spacing w:val="-64"/>
        </w:rPr>
        <w:t> </w:t>
      </w:r>
      <w:r>
        <w:rPr>
          <w:spacing w:val="-64"/>
        </w:rPr>
      </w:r>
      <w:r>
        <w:rPr/>
        <w:t>合理保证。</w:t>
      </w:r>
    </w:p>
    <w:p>
      <w:pPr>
        <w:spacing w:line="240" w:lineRule="auto" w:before="4"/>
        <w:rPr>
          <w:rFonts w:ascii="宋体" w:hAnsi="宋体" w:cs="宋体" w:eastAsia="宋体" w:hint="default"/>
          <w:sz w:val="25"/>
          <w:szCs w:val="25"/>
        </w:rPr>
      </w:pPr>
    </w:p>
    <w:p>
      <w:pPr>
        <w:pStyle w:val="BodyText"/>
        <w:spacing w:line="316" w:lineRule="auto"/>
        <w:ind w:left="1134" w:right="1131" w:firstLine="420"/>
        <w:jc w:val="both"/>
      </w:pPr>
      <w:r>
        <w:rPr>
          <w:spacing w:val="-3"/>
        </w:rPr>
        <w:t>审计工作涉及实施审计程序，以获取有关财务报表金额和披露的审计证据。选择的审计程序取决于注册会计师的判断，</w:t>
      </w:r>
      <w:r>
        <w:rPr/>
        <w:t>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spacing w:line="240" w:lineRule="auto" w:before="4"/>
        <w:rPr>
          <w:rFonts w:ascii="宋体" w:hAnsi="宋体" w:cs="宋体" w:eastAsia="宋体" w:hint="default"/>
          <w:sz w:val="25"/>
          <w:szCs w:val="25"/>
        </w:rPr>
      </w:pPr>
    </w:p>
    <w:p>
      <w:pPr>
        <w:pStyle w:val="BodyText"/>
        <w:spacing w:line="240" w:lineRule="auto"/>
        <w:ind w:left="1553" w:right="0"/>
        <w:jc w:val="left"/>
      </w:pP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pStyle w:val="Heading5"/>
        <w:spacing w:line="240" w:lineRule="auto" w:before="119"/>
        <w:ind w:left="1134" w:right="0"/>
        <w:jc w:val="left"/>
        <w:rPr>
          <w:b w:val="0"/>
          <w:bCs w:val="0"/>
        </w:rPr>
      </w:pPr>
      <w:r>
        <w:rPr/>
        <w:t>三、</w:t>
      </w:r>
      <w:r>
        <w:rPr>
          <w:spacing w:val="-19"/>
        </w:rPr>
        <w:t> </w:t>
      </w:r>
      <w:r>
        <w:rPr/>
        <w:t>审计意见</w:t>
      </w:r>
      <w:r>
        <w:rPr>
          <w:b w:val="0"/>
          <w:bCs w:val="0"/>
        </w:rPr>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b/>
          <w:bCs/>
          <w:sz w:val="25"/>
          <w:szCs w:val="25"/>
        </w:rPr>
      </w:pPr>
    </w:p>
    <w:p>
      <w:pPr>
        <w:pStyle w:val="BodyText"/>
        <w:spacing w:line="316" w:lineRule="auto" w:before="44"/>
        <w:ind w:right="0" w:firstLine="420"/>
        <w:jc w:val="left"/>
      </w:pPr>
      <w:r>
        <w:rPr>
          <w:spacing w:val="-3"/>
        </w:rPr>
        <w:t>我们认为，深圳中青宝公司的财务报表在所有重大方面按照企业会计准则的规定编制，公允反映了深圳中青宝公司</w:t>
      </w:r>
      <w:r>
        <w:rPr>
          <w:rFonts w:ascii="宋体" w:hAnsi="宋体" w:cs="宋体" w:eastAsia="宋体" w:hint="default"/>
          <w:spacing w:val="-3"/>
        </w:rPr>
        <w:t>2015</w:t>
      </w:r>
      <w:r>
        <w:rPr>
          <w:rFonts w:ascii="宋体" w:hAnsi="宋体" w:cs="宋体" w:eastAsia="宋体" w:hint="default"/>
        </w:rPr>
        <w:t> </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2015</w:t>
      </w:r>
      <w:r>
        <w:rPr/>
        <w:t>年度合并及母公司的经营成果和现金流量。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tbl>
      <w:tblPr>
        <w:tblW w:w="0" w:type="auto"/>
        <w:jc w:val="left"/>
        <w:tblInd w:w="1363" w:type="dxa"/>
        <w:tblLayout w:type="fixed"/>
        <w:tblCellMar>
          <w:top w:w="0" w:type="dxa"/>
          <w:left w:w="0" w:type="dxa"/>
          <w:bottom w:w="0" w:type="dxa"/>
          <w:right w:w="0" w:type="dxa"/>
        </w:tblCellMar>
        <w:tblLook w:val="01E0"/>
      </w:tblPr>
      <w:tblGrid>
        <w:gridCol w:w="3928"/>
        <w:gridCol w:w="2847"/>
      </w:tblGrid>
      <w:tr>
        <w:trPr>
          <w:trHeight w:val="422" w:hRule="exact"/>
        </w:trPr>
        <w:tc>
          <w:tcPr>
            <w:tcW w:w="3928"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信永中和会计师事务所</w:t>
            </w:r>
            <w:r>
              <w:rPr>
                <w:rFonts w:ascii="宋体" w:hAnsi="宋体" w:cs="宋体" w:eastAsia="宋体" w:hint="default"/>
                <w:sz w:val="18"/>
                <w:szCs w:val="18"/>
              </w:rPr>
              <w:t>(</w:t>
            </w:r>
            <w:r>
              <w:rPr>
                <w:rFonts w:ascii="宋体" w:hAnsi="宋体" w:cs="宋体" w:eastAsia="宋体" w:hint="default"/>
                <w:sz w:val="18"/>
                <w:szCs w:val="18"/>
              </w:rPr>
              <w:t>特殊普通合伙</w:t>
            </w:r>
            <w:r>
              <w:rPr>
                <w:rFonts w:ascii="宋体" w:hAnsi="宋体" w:cs="宋体" w:eastAsia="宋体" w:hint="default"/>
                <w:sz w:val="18"/>
                <w:szCs w:val="18"/>
              </w:rPr>
              <w:t>)</w:t>
            </w:r>
          </w:p>
        </w:tc>
        <w:tc>
          <w:tcPr>
            <w:tcW w:w="2847" w:type="dxa"/>
            <w:tcBorders>
              <w:top w:val="nil" w:sz="6" w:space="0" w:color="auto"/>
              <w:left w:val="nil" w:sz="6" w:space="0" w:color="auto"/>
              <w:bottom w:val="nil" w:sz="6" w:space="0" w:color="auto"/>
              <w:right w:val="nil" w:sz="6" w:space="0" w:color="auto"/>
            </w:tcBorders>
          </w:tcPr>
          <w:p>
            <w:pPr>
              <w:pStyle w:val="TableParagraph"/>
              <w:spacing w:line="180" w:lineRule="exact"/>
              <w:ind w:right="198"/>
              <w:jc w:val="right"/>
              <w:rPr>
                <w:rFonts w:ascii="宋体" w:hAnsi="宋体" w:cs="宋体" w:eastAsia="宋体" w:hint="default"/>
                <w:sz w:val="18"/>
                <w:szCs w:val="18"/>
              </w:rPr>
            </w:pPr>
            <w:r>
              <w:rPr>
                <w:rFonts w:ascii="宋体" w:hAnsi="宋体" w:cs="宋体" w:eastAsia="宋体" w:hint="default"/>
                <w:sz w:val="18"/>
                <w:szCs w:val="18"/>
              </w:rPr>
              <w:t>中国注册会计师：郭晋龙</w:t>
            </w:r>
          </w:p>
        </w:tc>
      </w:tr>
      <w:tr>
        <w:trPr>
          <w:trHeight w:val="664" w:hRule="exact"/>
        </w:trPr>
        <w:tc>
          <w:tcPr>
            <w:tcW w:w="3928" w:type="dxa"/>
            <w:tcBorders>
              <w:top w:val="nil" w:sz="6" w:space="0" w:color="auto"/>
              <w:left w:val="nil" w:sz="6" w:space="0" w:color="auto"/>
              <w:bottom w:val="nil" w:sz="6" w:space="0" w:color="auto"/>
              <w:right w:val="nil" w:sz="6" w:space="0" w:color="auto"/>
            </w:tcBorders>
          </w:tcPr>
          <w:p>
            <w:pPr/>
          </w:p>
        </w:tc>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中国注册会计师：邱乐群</w:t>
            </w:r>
          </w:p>
        </w:tc>
      </w:tr>
      <w:tr>
        <w:trPr>
          <w:trHeight w:val="422" w:hRule="exact"/>
        </w:trPr>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97" w:right="0"/>
              <w:jc w:val="left"/>
              <w:rPr>
                <w:rFonts w:ascii="宋体" w:hAnsi="宋体" w:cs="宋体" w:eastAsia="宋体" w:hint="default"/>
                <w:sz w:val="18"/>
                <w:szCs w:val="18"/>
              </w:rPr>
            </w:pPr>
            <w:r>
              <w:rPr>
                <w:rFonts w:ascii="宋体" w:hAnsi="宋体" w:cs="宋体" w:eastAsia="宋体" w:hint="default"/>
                <w:sz w:val="18"/>
                <w:szCs w:val="18"/>
              </w:rPr>
              <w:t>中国 北京</w:t>
            </w:r>
          </w:p>
        </w:tc>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二○一六年三月二十三日</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3"/>
        <w:spacing w:line="240" w:lineRule="auto" w:before="26"/>
        <w:ind w:left="1134" w:right="0"/>
        <w:jc w:val="left"/>
        <w:rPr>
          <w:b w:val="0"/>
          <w:bCs w:val="0"/>
        </w:rPr>
      </w:pPr>
      <w:bookmarkStart w:name="二、财务报表" w:id="147"/>
      <w:bookmarkEnd w:id="147"/>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1"/>
        <w:rPr>
          <w:rFonts w:ascii="宋体" w:hAnsi="宋体" w:cs="宋体" w:eastAsia="宋体" w:hint="default"/>
          <w:sz w:val="26"/>
          <w:szCs w:val="26"/>
        </w:rPr>
      </w:pPr>
    </w:p>
    <w:p>
      <w:pPr>
        <w:pStyle w:val="Heading7"/>
        <w:spacing w:line="240" w:lineRule="auto"/>
        <w:ind w:left="1133" w:right="0"/>
        <w:jc w:val="left"/>
        <w:rPr>
          <w:b w:val="0"/>
          <w:bCs w:val="0"/>
        </w:rPr>
      </w:pPr>
      <w:bookmarkStart w:name="1、合并资产负债表" w:id="148"/>
      <w:bookmarkEnd w:id="14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编制单位：深圳中青宝互动网络股份有限公司</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291,139,329.09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214,346,220.78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124,449,022.41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169,993,068.52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34,592,726.78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54,889,887.17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363,425.79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108,627,787.10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34,803,496.35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6,688,636.77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1,037,579.49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1,504,225.17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1,277,796.01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567,001,727.32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476,711,474.11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193,202,486.70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43,816,222.33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26,463,904.86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27,061,318.59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50,606,508.51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103,472,029.37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133,155,876.34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14,048,547.16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116,114,449.88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232,026,177.29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418,720,690.46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4,408,246.18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62,779,421.67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48,755,564.39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42,992,911.13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22,065,972.71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194,428,258.70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688,856,564.72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1,058,462,021.55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1,255,858,292.04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1,535,173,495.66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26,601,097.42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42,384,756.32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1,518,657.19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787,332.52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12,677,981.39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15,883,839.73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13,298,155.86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5,152,309.57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627,122.22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2,945,655.90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3,690,043.19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17,946,592.77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7,486,914.59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174,988,140.53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356,012,318.14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7,956,000.00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19,241,085.33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38,550,725.09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26,997,334.01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133,339,500.00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46,238,419.34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179,846,225.09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221,226,559.87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535,858,543.23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261,038,600.00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591,495,825.56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576,930,758.18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-981,279.19</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155,368.58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53,066,539.08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18,138,466.66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97,378,741.96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67,104,048.90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1,001,998,427.41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922,328,642.32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32,633,304.76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76,986,310.11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1,034,631,732.17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999,314,952.43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1,255,858,292.04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1,535,173,495.66</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法定代表人：李瑞杰</w:t>
        <w:tab/>
        <w:t>主管会计工作负责人：许岳明</w:t>
        <w:tab/>
        <w:t>会计机构负责人：朱丹平</w:t>
      </w:r>
    </w:p>
    <w:p>
      <w:pPr>
        <w:spacing w:line="240" w:lineRule="auto" w:before="11"/>
        <w:rPr>
          <w:rFonts w:ascii="宋体" w:hAnsi="宋体" w:cs="宋体" w:eastAsia="宋体" w:hint="default"/>
          <w:sz w:val="26"/>
          <w:szCs w:val="26"/>
        </w:rPr>
      </w:pPr>
    </w:p>
    <w:p>
      <w:pPr>
        <w:pStyle w:val="Heading7"/>
        <w:spacing w:line="240" w:lineRule="auto"/>
        <w:ind w:left="1133" w:right="0"/>
        <w:jc w:val="left"/>
        <w:rPr>
          <w:b w:val="0"/>
          <w:bCs w:val="0"/>
        </w:rPr>
      </w:pPr>
      <w:bookmarkStart w:name="2、母公司资产负债表" w:id="149"/>
      <w:bookmarkEnd w:id="14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200,326,259.45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107,600,006.19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50,906,907.96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93,547,668.81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6,806,964.51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34,372,896.40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363,425.79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187,145,016.40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199,688,645.94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758,090.63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460,943,238.95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435,572,643.13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185,972,226.70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636,457,613.90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628,694,965.20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21,015,494.83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41,918,654.14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90,399,628.50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130,002,062.88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15,739,076.25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60,577,264.43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666,666.68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2,682,608.03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32,311,261.68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28,688,631.89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5,852,720.00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178,580,893.70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988,414,688.54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1,075,145,080.27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1,449,357,927.49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1,510,717,723.40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12,868,272.94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11,622,062.72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580,278.29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67,627.36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6,027,861.85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7,148,737.96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8,501,791.18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2,581,638.00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697,122.22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47,693,599.07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155,522,396.22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9,483,381.56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5,612,662.88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185,155,184.89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463,252,247.36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7,956,000.00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14,544,349.76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24,279,532.62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26,997,334.01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140,338,839.57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41,541,683.77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172,574,372.19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226,696,868.66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635,826,619.55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261,038,600.00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571,493,605.82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574,042,975.04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53,066,539.08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18,138,466.66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337,062,313.93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22,709,662.15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1,222,661,058.83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874,891,103.85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1,449,357,927.49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1,510,717,723.40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2"/>
        <w:rPr>
          <w:rFonts w:ascii="Times New Roman" w:hAnsi="Times New Roman" w:cs="Times New Roman" w:eastAsia="Times New Roman" w:hint="default"/>
          <w:sz w:val="28"/>
          <w:szCs w:val="28"/>
        </w:rPr>
      </w:pPr>
    </w:p>
    <w:p>
      <w:pPr>
        <w:pStyle w:val="Heading7"/>
        <w:spacing w:line="240" w:lineRule="auto" w:before="35"/>
        <w:ind w:left="1133" w:right="0"/>
        <w:jc w:val="left"/>
        <w:rPr>
          <w:b w:val="0"/>
          <w:bCs w:val="0"/>
        </w:rPr>
      </w:pPr>
      <w:bookmarkStart w:name="3、合并利润表" w:id="150"/>
      <w:bookmarkEnd w:id="15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343,090,937.31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489,527,552.74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343,090,937.31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489,527,552.74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683,557,925.29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568,493,608.93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195,299,005.58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199,339,074.42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1,798,789.89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2,892,726.61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89,467,758.31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151,335,599.97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105,117,374.38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125,164,800.66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9,487,346.72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8,531,515.41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282,387,650.41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81,229,891.86</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0" w:firstLine="360"/>
              <w:jc w:val="left"/>
              <w:rPr>
                <w:rFonts w:ascii="Times New Roman" w:hAnsi="Times New Roman" w:cs="Times New Roman" w:eastAsia="Times New Roman" w:hint="default"/>
                <w:sz w:val="18"/>
                <w:szCs w:val="18"/>
              </w:rPr>
            </w:pPr>
            <w:r>
              <w:rPr>
                <w:rFonts w:ascii="宋体" w:hAnsi="宋体" w:cs="宋体" w:eastAsia="宋体" w:hint="default"/>
                <w:spacing w:val="-5"/>
                <w:w w:val="100"/>
                <w:sz w:val="18"/>
                <w:szCs w:val="18"/>
              </w:rPr>
              <w:t>加：公允价值变动收益</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损失以</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w:t>
            </w:r>
            <w:r>
              <w:rPr>
                <w:rFonts w:ascii="Times New Roman" w:hAnsi="Times New Roman" w:cs="Times New Roman" w:eastAsia="Times New Roman" w:hint="default"/>
                <w:spacing w:val="-5"/>
                <w:w w:val="100"/>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投资收益</w:t>
            </w:r>
            <w:r>
              <w:rPr>
                <w:rFonts w:ascii="Times New Roman" w:hAnsi="Times New Roman" w:cs="Times New Roman" w:eastAsia="Times New Roman" w:hint="default"/>
                <w:sz w:val="18"/>
                <w:szCs w:val="18"/>
              </w:rPr>
              <w:t>(</w:t>
            </w:r>
            <w:r>
              <w:rPr>
                <w:rFonts w:ascii="宋体" w:hAnsi="宋体" w:cs="宋体" w:eastAsia="宋体" w:hint="default"/>
                <w:sz w:val="18"/>
                <w:szCs w:val="18"/>
              </w:rPr>
              <w:t>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248,870,369.04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60,411,117.47</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12,608,042.35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2,183,948.29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汇兑收益</w:t>
            </w:r>
            <w:r>
              <w:rPr>
                <w:rFonts w:ascii="Times New Roman" w:hAnsi="Times New Roman" w:cs="Times New Roman" w:eastAsia="Times New Roman" w:hint="default"/>
                <w:sz w:val="18"/>
                <w:szCs w:val="18"/>
              </w:rPr>
              <w:t>(</w:t>
            </w:r>
            <w:r>
              <w:rPr>
                <w:rFonts w:ascii="宋体" w:hAnsi="宋体" w:cs="宋体" w:eastAsia="宋体" w:hint="default"/>
                <w:sz w:val="18"/>
                <w:szCs w:val="18"/>
              </w:rPr>
              <w:t>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三、营业利润</w:t>
            </w:r>
            <w:r>
              <w:rPr>
                <w:rFonts w:ascii="Times New Roman" w:hAnsi="Times New Roman" w:cs="Times New Roman" w:eastAsia="Times New Roman" w:hint="default"/>
                <w:sz w:val="18"/>
                <w:szCs w:val="18"/>
              </w:rPr>
              <w:t>(</w:t>
            </w:r>
            <w:r>
              <w:rPr>
                <w:rFonts w:ascii="宋体" w:hAnsi="宋体" w:cs="宋体" w:eastAsia="宋体" w:hint="default"/>
                <w:sz w:val="18"/>
                <w:szCs w:val="18"/>
              </w:rPr>
              <w:t>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-91,596,618.94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-18,554,938.72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179,905,816.04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13,993,850.15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56,944.95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2,988.07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788,221.69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7,624,824.53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533,808.27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1,602,376.58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四、利润总额</w:t>
            </w:r>
            <w:r>
              <w:rPr>
                <w:rFonts w:ascii="Times New Roman" w:hAnsi="Times New Roman" w:cs="Times New Roman" w:eastAsia="Times New Roman" w:hint="default"/>
                <w:sz w:val="18"/>
                <w:szCs w:val="18"/>
              </w:rPr>
              <w:t>(</w:t>
            </w:r>
            <w:r>
              <w:rPr>
                <w:rFonts w:ascii="宋体" w:hAnsi="宋体" w:cs="宋体" w:eastAsia="宋体" w:hint="default"/>
                <w:sz w:val="18"/>
                <w:szCs w:val="18"/>
              </w:rPr>
              <w:t>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87,520,975.41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-12,185,913.10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24,914,041.92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-18,636,825.71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62,606,933.49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6,450,912.61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65,202,765.48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-22,035,893.48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-2,595,831.99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28,486,806.09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-1,136,647.77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140,023.77</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-1,136,647.77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140,023.77</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3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以后不能重分类进损益的其他</w:t>
            </w:r>
            <w:r>
              <w:rPr>
                <w:rFonts w:ascii="宋体" w:hAnsi="宋体" w:cs="宋体" w:eastAsia="宋体" w:hint="default"/>
                <w:w w:val="99"/>
                <w:sz w:val="18"/>
                <w:szCs w:val="18"/>
              </w:rPr>
              <w:t> </w:t>
            </w:r>
            <w:r>
              <w:rPr>
                <w:rFonts w:ascii="宋体" w:hAnsi="宋体" w:cs="宋体" w:eastAsia="宋体" w:hint="default"/>
                <w:sz w:val="18"/>
                <w:szCs w:val="18"/>
              </w:rPr>
              <w:t>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3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以后将重分类进损益的其他综</w:t>
            </w:r>
            <w:r>
              <w:rPr>
                <w:rFonts w:ascii="宋体" w:hAnsi="宋体" w:cs="宋体" w:eastAsia="宋体" w:hint="default"/>
                <w:w w:val="99"/>
                <w:sz w:val="18"/>
                <w:szCs w:val="18"/>
              </w:rPr>
              <w:t> </w:t>
            </w:r>
            <w:r>
              <w:rPr>
                <w:rFonts w:ascii="宋体" w:hAnsi="宋体" w:cs="宋体" w:eastAsia="宋体" w:hint="default"/>
                <w:sz w:val="18"/>
                <w:szCs w:val="18"/>
              </w:rPr>
              <w:t>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-1,136,647.77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140,023.77</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-1,136,647.77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140,023.77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61,470,285.72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6,590,936.38</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64,066,117.71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-21,895,869.71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-2,595,831.99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28,486,806.09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-0.08</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-0.08</w:t>
            </w:r>
            <w:r>
              <w:rPr>
                <w:rFonts w:ascii="Times New Roman"/>
                <w:sz w:val="18"/>
              </w:rPr>
            </w:r>
          </w:p>
        </w:tc>
      </w:tr>
    </w:tbl>
    <w:p>
      <w:pPr>
        <w:pStyle w:val="BodyText"/>
        <w:spacing w:line="240" w:lineRule="auto" w:before="51"/>
        <w:ind w:left="1134" w:right="0"/>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tabs>
          <w:tab w:pos="3420" w:val="left" w:leader="none"/>
          <w:tab w:pos="7561" w:val="left" w:leader="none"/>
        </w:tabs>
        <w:spacing w:line="240" w:lineRule="auto" w:before="44"/>
        <w:ind w:left="0" w:right="1229"/>
        <w:jc w:val="right"/>
      </w:pPr>
      <w:r>
        <w:rPr/>
        <w:t>法定代表人：李瑞杰</w:t>
        <w:tab/>
        <w:t>主管会计工作负责人：许岳明</w:t>
        <w:tab/>
        <w:t>会计机构负责人：朱丹平</w:t>
      </w:r>
    </w:p>
    <w:p>
      <w:pPr>
        <w:spacing w:line="240" w:lineRule="auto" w:before="11"/>
        <w:rPr>
          <w:rFonts w:ascii="宋体" w:hAnsi="宋体" w:cs="宋体" w:eastAsia="宋体" w:hint="default"/>
          <w:sz w:val="26"/>
          <w:szCs w:val="26"/>
        </w:rPr>
      </w:pPr>
    </w:p>
    <w:p>
      <w:pPr>
        <w:pStyle w:val="Heading7"/>
        <w:spacing w:line="240" w:lineRule="auto"/>
        <w:ind w:left="1133" w:right="0"/>
        <w:jc w:val="left"/>
        <w:rPr>
          <w:b w:val="0"/>
          <w:bCs w:val="0"/>
        </w:rPr>
      </w:pPr>
      <w:bookmarkStart w:name="4、母公司利润表" w:id="151"/>
      <w:bookmarkEnd w:id="151"/>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127,563,016.24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223,334,217.57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105,390,253.82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130,415,735.11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1,295,757.70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1,396,083.76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30,891,820.84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54,972,655.29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29,398,074.97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46,636,364.10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17,590,997.05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10,473,570.50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60,446,224.62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67,333,926.84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w:t>
            </w:r>
            <w:r>
              <w:rPr>
                <w:rFonts w:ascii="Times New Roman" w:hAnsi="Times New Roman" w:cs="Times New Roman" w:eastAsia="Times New Roman" w:hint="default"/>
                <w:sz w:val="18"/>
                <w:szCs w:val="18"/>
              </w:rPr>
              <w:t>(</w:t>
            </w:r>
            <w:r>
              <w:rPr>
                <w:rFonts w:ascii="宋体" w:hAnsi="宋体" w:cs="宋体" w:eastAsia="宋体" w:hint="default"/>
                <w:sz w:val="18"/>
                <w:szCs w:val="18"/>
              </w:rPr>
              <w:t>损失以</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w:t>
            </w:r>
            <w:r>
              <w:rPr>
                <w:rFonts w:ascii="Times New Roman" w:hAnsi="Times New Roman" w:cs="Times New Roman" w:eastAsia="Times New Roman" w:hint="default"/>
                <w:sz w:val="18"/>
                <w:szCs w:val="18"/>
              </w:rPr>
              <w:t>(</w:t>
            </w:r>
            <w:r>
              <w:rPr>
                <w:rFonts w:ascii="宋体" w:hAnsi="宋体" w:cs="宋体" w:eastAsia="宋体" w:hint="default"/>
                <w:sz w:val="18"/>
                <w:szCs w:val="18"/>
              </w:rPr>
              <w:t>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列</w:t>
            </w:r>
            <w:r>
              <w:rPr>
                <w:rFonts w:ascii="Times New Roman" w:hAnsi="Times New Roman" w:cs="Times New Roman" w:eastAsia="Times New Roman" w:hint="default"/>
                <w:sz w:val="18"/>
                <w:szCs w:val="18"/>
              </w:rPr>
              <w:t>)</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317,416,286.68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7,449,094.49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17,630,807.86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-7,145,905.51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二、营业利润</w:t>
            </w:r>
            <w:r>
              <w:rPr>
                <w:rFonts w:ascii="Times New Roman" w:hAnsi="Times New Roman" w:cs="Times New Roman" w:eastAsia="Times New Roman" w:hint="default"/>
                <w:sz w:val="18"/>
                <w:szCs w:val="18"/>
              </w:rPr>
              <w:t>(</w:t>
            </w:r>
            <w:r>
              <w:rPr>
                <w:rFonts w:ascii="宋体" w:hAnsi="宋体" w:cs="宋体" w:eastAsia="宋体" w:hint="default"/>
                <w:sz w:val="18"/>
                <w:szCs w:val="18"/>
              </w:rPr>
              <w:t>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199,966,173.92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-80,445,023.54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175,437,090.38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11,523,287.57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7,949.53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898.29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438,432.47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5,984,451.90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392,399.33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19,530.87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宋体" w:hAnsi="宋体" w:cs="宋体" w:eastAsia="宋体" w:hint="default"/>
                <w:spacing w:val="-4"/>
                <w:sz w:val="18"/>
                <w:szCs w:val="18"/>
              </w:rPr>
              <w:t>三、利润总额</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亏损总额以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号填列</w:t>
            </w:r>
            <w:r>
              <w:rPr>
                <w:rFonts w:ascii="Times New Roman" w:hAnsi="Times New Roman" w:cs="Times New Roman" w:eastAsia="Times New Roman" w:hint="default"/>
                <w:spacing w:val="-4"/>
                <w:sz w:val="18"/>
                <w:szCs w:val="18"/>
              </w:rPr>
              <w:t>)</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374,964,831.83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-74,906,187.87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25,684,107.63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-11,333,084.10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349,280,724.20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-63,573,103.77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0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以后不能重分类进损益的其</w:t>
            </w:r>
            <w:r>
              <w:rPr>
                <w:rFonts w:ascii="宋体" w:hAnsi="宋体" w:cs="宋体" w:eastAsia="宋体" w:hint="default"/>
                <w:w w:val="99"/>
                <w:sz w:val="18"/>
                <w:szCs w:val="18"/>
              </w:rPr>
              <w:t> </w:t>
            </w: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0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以后将重分类进损益的其他</w:t>
            </w:r>
            <w:r>
              <w:rPr>
                <w:rFonts w:ascii="宋体" w:hAnsi="宋体" w:cs="宋体" w:eastAsia="宋体" w:hint="default"/>
                <w:w w:val="99"/>
                <w:sz w:val="18"/>
                <w:szCs w:val="18"/>
              </w:rPr>
              <w:t> </w:t>
            </w:r>
            <w:r>
              <w:rPr>
                <w:rFonts w:ascii="宋体" w:hAnsi="宋体" w:cs="宋体" w:eastAsia="宋体" w:hint="default"/>
                <w:sz w:val="18"/>
                <w:szCs w:val="18"/>
              </w:rPr>
              <w:t>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349,280,724.20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-63,573,103.77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5、合并现金流量表" w:id="152"/>
      <w:bookmarkEnd w:id="15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391,295,865.36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380,356,500.86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3,761,961.56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3,056,109.80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39,481,172.99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40,390,083.17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434,538,999.91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423,802,693.83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36,861,325.54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72,900,979.73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118,779,320.13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136,446,909.66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12,163,218.15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26,768,702.23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95,592,532.36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213,734,941.90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263,396,396.18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449,851,533.52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171,142,603.73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-26,048,839.69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105,862.90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14,388,565.46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1,626,072.30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17,500,000.09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129,300,136.43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87,344,001.00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214,982,566.55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150,062,071.63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63,421,778.61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160,052,256.49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50,066,794.31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189,883,800.00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146,459,250.00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9,448,000.00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113,668,572.92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505,843,306.49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101,313,993.63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-355,781,234.86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10,814,744.00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4,022,300.00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369,360,000.00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393,814,744.00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374,260,000.00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567,956,000.00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81,404,000.00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19,549,039.57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15,654,137.96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587,505,039.57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100,058,137.96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-193,690,295.57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274,201,862.04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1,026,806.52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1,210,743.66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79,793,108.31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-106,417,468.85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211,346,220.78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317,763,689.63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291,139,329.09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211,346,220.78</w:t>
            </w:r>
          </w:p>
        </w:tc>
      </w:tr>
    </w:tbl>
    <w:p>
      <w:pPr>
        <w:spacing w:line="240" w:lineRule="auto" w:before="10"/>
        <w:rPr>
          <w:rFonts w:ascii="Times New Roman" w:hAnsi="Times New Roman" w:cs="Times New Roman" w:eastAsia="Times New Roman" w:hint="default"/>
          <w:sz w:val="21"/>
          <w:szCs w:val="21"/>
        </w:rPr>
      </w:pPr>
    </w:p>
    <w:p>
      <w:pPr>
        <w:pStyle w:val="Heading7"/>
        <w:spacing w:line="240" w:lineRule="auto" w:before="35"/>
        <w:ind w:right="0"/>
        <w:jc w:val="left"/>
        <w:rPr>
          <w:b w:val="0"/>
          <w:bCs w:val="0"/>
        </w:rPr>
      </w:pPr>
      <w:bookmarkStart w:name="6、母公司现金流量表" w:id="153"/>
      <w:bookmarkEnd w:id="15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181,478,806.33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134,753,806.69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3,105,635.82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121,868,241.07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494,016,244.10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306,452,683.22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628,770,050.79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15,087,893.58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33,418,210.03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38,383,785.08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39,017,727.40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7,870,776.65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6,640,595.41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147,750,275.06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499,264,731.59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209,092,730.37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578,341,264.43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97,359,952.85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50,428,786.36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14,347,850.51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1,503,520.00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87,344,001.00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240,941,931.01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123,163,520.00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36,043,383.04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78,387,941.50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8,823,007.79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146,459,250.00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9,448,000.00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45,046,390.83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413,095,191.50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195,895,540.18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-289,931,671.50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6,792,444.00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384,360,000.00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389,792,444.00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384,360,000.00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567,956,000.00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81,404,000.00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19,759,039.57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15,654,137.96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587,715,039.57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100,058,137.96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-197,922,595.57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284,301,862.04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393,355.80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108,066.04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95,726,253.26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44,907,042.94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104,600,006.19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59,692,963.25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200,326,259.45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104,600,006.19</w:t>
            </w:r>
          </w:p>
        </w:tc>
      </w:tr>
    </w:tbl>
    <w:p>
      <w:pPr>
        <w:spacing w:line="240" w:lineRule="auto" w:before="3"/>
        <w:rPr>
          <w:rFonts w:ascii="宋体" w:hAnsi="宋体" w:cs="宋体" w:eastAsia="宋体" w:hint="default"/>
          <w:sz w:val="19"/>
          <w:szCs w:val="19"/>
        </w:rPr>
      </w:pPr>
    </w:p>
    <w:p>
      <w:pPr>
        <w:pStyle w:val="Heading7"/>
        <w:spacing w:line="240" w:lineRule="auto" w:before="35"/>
        <w:ind w:right="0"/>
        <w:jc w:val="left"/>
        <w:rPr>
          <w:b w:val="0"/>
          <w:bCs w:val="0"/>
        </w:rPr>
      </w:pPr>
      <w:bookmarkStart w:name="7、合并所有者权益变动表" w:id="154"/>
      <w:bookmarkEnd w:id="15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after="0" w:line="240" w:lineRule="auto"/>
        <w:jc w:val="righ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260,00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5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576,930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,758.18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155,368</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.58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18,138,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466.66</w:t>
            </w:r>
          </w:p>
        </w:tc>
        <w:tc>
          <w:tcPr>
            <w:tcW w:w="6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8"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67,104,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048.90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76,986,</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310.11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999,314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,952.43</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260,00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5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576,930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,758.18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155,368</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.58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18,138,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466.66</w:t>
            </w:r>
          </w:p>
        </w:tc>
        <w:tc>
          <w:tcPr>
            <w:tcW w:w="6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8"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67,104,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048.90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76,986,</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310.11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999,314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,952.43</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1,038,</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600.00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14,565,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067.38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-1,136,6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47.77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34,928,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072.42</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30,274,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693.06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-44,353,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005.35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35,316,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779.74</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53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-1,136,6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47.77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8"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65,202,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765.48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-2,595,8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31.99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61,470,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285.72</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所有者投入和</w:t>
            </w:r>
            <w:r>
              <w:rPr>
                <w:rFonts w:ascii="宋体" w:hAnsi="宋体" w:cs="宋体" w:eastAsia="宋体" w:hint="default"/>
                <w:w w:val="99"/>
                <w:sz w:val="18"/>
                <w:szCs w:val="18"/>
              </w:rPr>
              <w:t> </w:t>
            </w:r>
            <w:r>
              <w:rPr>
                <w:rFonts w:ascii="宋体" w:hAnsi="宋体" w:cs="宋体" w:eastAsia="宋体" w:hint="default"/>
                <w:sz w:val="18"/>
                <w:szCs w:val="18"/>
              </w:rPr>
              <w:t>减少资本</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1,038,</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600.00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240,060</w:t>
            </w:r>
          </w:p>
          <w:p>
            <w:pPr>
              <w:pStyle w:val="TableParagraph"/>
              <w:spacing w:line="240" w:lineRule="auto" w:before="106"/>
              <w:ind w:left="407" w:right="0"/>
              <w:jc w:val="left"/>
              <w:rPr>
                <w:rFonts w:ascii="Times New Roman" w:hAnsi="Times New Roman" w:cs="Times New Roman" w:eastAsia="Times New Roman" w:hint="default"/>
                <w:sz w:val="18"/>
                <w:szCs w:val="18"/>
              </w:rPr>
            </w:pPr>
            <w:r>
              <w:rPr>
                <w:rFonts w:ascii="Times New Roman"/>
                <w:sz w:val="18"/>
              </w:rPr>
              <w:t>.78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1,232,8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2,511,5</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30.78</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1,038,</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600.00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10,293,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315.00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1,232,8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12,564,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785.00</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-10,053,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254.22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-10,053,</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254.22</w:t>
            </w: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53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34,928,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072.42</w:t>
            </w:r>
          </w:p>
        </w:tc>
        <w:tc>
          <w:tcPr>
            <w:tcW w:w="66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8"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-34,928,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072.42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w:t>
            </w:r>
            <w:r>
              <w:rPr>
                <w:rFonts w:ascii="Times New Roman" w:hAnsi="Times New Roman" w:cs="Times New Roman" w:eastAsia="Times New Roman" w:hint="default"/>
                <w:sz w:val="18"/>
                <w:szCs w:val="18"/>
              </w:rPr>
              <w:t>)</w:t>
            </w:r>
            <w:r>
              <w:rPr>
                <w:rFonts w:ascii="宋体" w:hAnsi="宋体" w:cs="宋体" w:eastAsia="宋体" w:hint="default"/>
                <w:sz w:val="18"/>
                <w:szCs w:val="18"/>
              </w:rPr>
              <w:t>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53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34,928,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072.42</w:t>
            </w:r>
          </w:p>
        </w:tc>
        <w:tc>
          <w:tcPr>
            <w:tcW w:w="66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8"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-34,928,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072.42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．对所有者</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或股</w:t>
            </w:r>
            <w:r>
              <w:rPr>
                <w:rFonts w:ascii="宋体" w:hAnsi="宋体" w:cs="宋体" w:eastAsia="宋体" w:hint="default"/>
                <w:spacing w:val="-82"/>
                <w:sz w:val="18"/>
                <w:szCs w:val="18"/>
              </w:rPr>
              <w:t> </w:t>
            </w:r>
            <w:r>
              <w:rPr>
                <w:rFonts w:ascii="宋体" w:hAnsi="宋体" w:cs="宋体" w:eastAsia="宋体" w:hint="default"/>
                <w:sz w:val="18"/>
                <w:szCs w:val="18"/>
              </w:rPr>
              <w:t>东</w:t>
            </w:r>
            <w:r>
              <w:rPr>
                <w:rFonts w:ascii="Times New Roman" w:hAnsi="Times New Roman" w:cs="Times New Roman" w:eastAsia="Times New Roman" w:hint="default"/>
                <w:sz w:val="18"/>
                <w:szCs w:val="18"/>
              </w:rPr>
              <w:t>)</w:t>
            </w:r>
            <w:r>
              <w:rPr>
                <w:rFonts w:ascii="宋体" w:hAnsi="宋体" w:cs="宋体" w:eastAsia="宋体" w:hint="default"/>
                <w:sz w:val="18"/>
                <w:szCs w:val="18"/>
              </w:rPr>
              <w:t>的分配</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四</w:t>
            </w:r>
            <w:r>
              <w:rPr>
                <w:rFonts w:ascii="Times New Roman" w:hAnsi="Times New Roman" w:cs="Times New Roman" w:eastAsia="Times New Roman" w:hint="default"/>
                <w:sz w:val="18"/>
                <w:szCs w:val="18"/>
              </w:rPr>
              <w:t>)</w:t>
            </w:r>
            <w:r>
              <w:rPr>
                <w:rFonts w:ascii="宋体" w:hAnsi="宋体" w:cs="宋体" w:eastAsia="宋体" w:hint="default"/>
                <w:sz w:val="18"/>
                <w:szCs w:val="18"/>
              </w:rPr>
              <w:t>所有者权益内</w:t>
            </w:r>
            <w:r>
              <w:rPr>
                <w:rFonts w:ascii="宋体" w:hAnsi="宋体" w:cs="宋体" w:eastAsia="宋体" w:hint="default"/>
                <w:w w:val="99"/>
                <w:sz w:val="18"/>
                <w:szCs w:val="18"/>
              </w:rPr>
              <w:t> </w:t>
            </w:r>
            <w:r>
              <w:rPr>
                <w:rFonts w:ascii="宋体" w:hAnsi="宋体" w:cs="宋体" w:eastAsia="宋体" w:hint="default"/>
                <w:sz w:val="18"/>
                <w:szCs w:val="18"/>
              </w:rPr>
              <w:t>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专项储备</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六</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14,325,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006.60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-42,990,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043.36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-28,665,</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036.76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261,03</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8,600.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591,495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,825.56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-981,27</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9.19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53,066,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539.08</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97,378,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741.96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32,633,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304.76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1,034,6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31,732.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17</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260,00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5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573,289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,569.06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18,138,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466.66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94,339,</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942.38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57,595,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327.14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78,650.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05</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573,289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,569.06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18,138,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466.66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94,339,</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942.38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57,595,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327.14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78,650.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3,641,1</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89.12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140,023</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-27,235,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893.48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19,390,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982.97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-4,063,6</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97.62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140,023</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-22,035,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893.48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28,486,</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806.09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6,590,9</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36.38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所有者投入和</w:t>
            </w:r>
            <w:r>
              <w:rPr>
                <w:rFonts w:ascii="宋体" w:hAnsi="宋体" w:cs="宋体" w:eastAsia="宋体" w:hint="default"/>
                <w:w w:val="99"/>
                <w:sz w:val="18"/>
                <w:szCs w:val="18"/>
              </w:rPr>
              <w:t> </w:t>
            </w:r>
            <w:r>
              <w:rPr>
                <w:rFonts w:ascii="宋体" w:hAnsi="宋体" w:cs="宋体" w:eastAsia="宋体" w:hint="default"/>
                <w:sz w:val="18"/>
                <w:szCs w:val="18"/>
              </w:rPr>
              <w:t>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3,641,1</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89.12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-9,095,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823.12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-5,454,6</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34.00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4,900,0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4,900,0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678,445</w:t>
            </w:r>
          </w:p>
          <w:p>
            <w:pPr>
              <w:pStyle w:val="TableParagraph"/>
              <w:spacing w:line="240" w:lineRule="auto" w:before="106"/>
              <w:ind w:left="408" w:right="0"/>
              <w:jc w:val="left"/>
              <w:rPr>
                <w:rFonts w:ascii="Times New Roman" w:hAnsi="Times New Roman" w:cs="Times New Roman" w:eastAsia="Times New Roman" w:hint="default"/>
                <w:sz w:val="18"/>
                <w:szCs w:val="18"/>
              </w:rPr>
            </w:pPr>
            <w:r>
              <w:rPr>
                <w:rFonts w:ascii="Times New Roman"/>
                <w:sz w:val="18"/>
              </w:rPr>
              <w:t>.60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678,445</w:t>
            </w:r>
          </w:p>
          <w:p>
            <w:pPr>
              <w:pStyle w:val="TableParagraph"/>
              <w:spacing w:line="240" w:lineRule="auto" w:before="106"/>
              <w:ind w:left="400" w:right="0"/>
              <w:jc w:val="left"/>
              <w:rPr>
                <w:rFonts w:ascii="Times New Roman" w:hAnsi="Times New Roman" w:cs="Times New Roman" w:eastAsia="Times New Roman" w:hint="default"/>
                <w:sz w:val="18"/>
                <w:szCs w:val="18"/>
              </w:rPr>
            </w:pPr>
            <w:r>
              <w:rPr>
                <w:rFonts w:ascii="Times New Roman"/>
                <w:sz w:val="18"/>
              </w:rPr>
              <w:t>.60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2,962,7</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43.52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-13,995</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,823.12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-11,033,</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079.60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w:t>
            </w:r>
            <w:r>
              <w:rPr>
                <w:rFonts w:ascii="Times New Roman" w:hAnsi="Times New Roman" w:cs="Times New Roman" w:eastAsia="Times New Roman" w:hint="default"/>
                <w:sz w:val="18"/>
                <w:szCs w:val="18"/>
              </w:rPr>
              <w:t>)</w:t>
            </w:r>
            <w:r>
              <w:rPr>
                <w:rFonts w:ascii="宋体" w:hAnsi="宋体" w:cs="宋体" w:eastAsia="宋体" w:hint="default"/>
                <w:sz w:val="18"/>
                <w:szCs w:val="18"/>
              </w:rPr>
              <w:t>利润分配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-5,200,0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-5,200,0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．对所有者</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或股</w:t>
            </w:r>
            <w:r>
              <w:rPr>
                <w:rFonts w:ascii="宋体" w:hAnsi="宋体" w:cs="宋体" w:eastAsia="宋体" w:hint="default"/>
                <w:spacing w:val="-83"/>
                <w:sz w:val="18"/>
                <w:szCs w:val="18"/>
              </w:rPr>
              <w:t> </w:t>
            </w:r>
            <w:r>
              <w:rPr>
                <w:rFonts w:ascii="宋体" w:hAnsi="宋体" w:cs="宋体" w:eastAsia="宋体" w:hint="default"/>
                <w:sz w:val="18"/>
                <w:szCs w:val="18"/>
              </w:rPr>
              <w:t>东</w:t>
            </w:r>
            <w:r>
              <w:rPr>
                <w:rFonts w:ascii="Times New Roman" w:hAnsi="Times New Roman" w:cs="Times New Roman" w:eastAsia="Times New Roman" w:hint="default"/>
                <w:sz w:val="18"/>
                <w:szCs w:val="18"/>
              </w:rPr>
              <w:t>)</w:t>
            </w:r>
            <w:r>
              <w:rPr>
                <w:rFonts w:ascii="宋体" w:hAnsi="宋体" w:cs="宋体" w:eastAsia="宋体" w:hint="default"/>
                <w:sz w:val="18"/>
                <w:szCs w:val="18"/>
              </w:rPr>
              <w:t>的分配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-5,200,0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-5,200,0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四</w:t>
            </w:r>
            <w:r>
              <w:rPr>
                <w:rFonts w:ascii="Times New Roman" w:hAnsi="Times New Roman" w:cs="Times New Roman" w:eastAsia="Times New Roman" w:hint="default"/>
                <w:sz w:val="18"/>
                <w:szCs w:val="18"/>
              </w:rPr>
              <w:t>)</w:t>
            </w:r>
            <w:r>
              <w:rPr>
                <w:rFonts w:ascii="宋体" w:hAnsi="宋体" w:cs="宋体" w:eastAsia="宋体" w:hint="default"/>
                <w:sz w:val="18"/>
                <w:szCs w:val="18"/>
              </w:rPr>
              <w:t>所有者权益内</w:t>
            </w:r>
            <w:r>
              <w:rPr>
                <w:rFonts w:ascii="宋体" w:hAnsi="宋体" w:cs="宋体" w:eastAsia="宋体" w:hint="default"/>
                <w:w w:val="99"/>
                <w:sz w:val="18"/>
                <w:szCs w:val="18"/>
              </w:rPr>
              <w:t> </w:t>
            </w:r>
            <w:r>
              <w:rPr>
                <w:rFonts w:ascii="宋体" w:hAnsi="宋体" w:cs="宋体" w:eastAsia="宋体" w:hint="default"/>
                <w:sz w:val="18"/>
                <w:szCs w:val="18"/>
              </w:rPr>
              <w:t>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专项储备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六</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576,930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,758.18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155,368</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18,138,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466.66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67,104,</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048.90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76,986,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310.11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999,314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,952.43</w:t>
            </w:r>
          </w:p>
        </w:tc>
      </w:tr>
    </w:tbl>
    <w:p>
      <w:pPr>
        <w:spacing w:line="240" w:lineRule="auto" w:before="10"/>
        <w:rPr>
          <w:rFonts w:ascii="Times New Roman" w:hAnsi="Times New Roman" w:cs="Times New Roman" w:eastAsia="Times New Roman" w:hint="default"/>
          <w:sz w:val="21"/>
          <w:szCs w:val="21"/>
        </w:rPr>
      </w:pPr>
    </w:p>
    <w:p>
      <w:pPr>
        <w:pStyle w:val="Heading7"/>
        <w:spacing w:line="240" w:lineRule="auto" w:before="35"/>
        <w:ind w:right="0"/>
        <w:jc w:val="left"/>
        <w:rPr>
          <w:b w:val="0"/>
          <w:bCs w:val="0"/>
        </w:rPr>
      </w:pPr>
      <w:bookmarkStart w:name="8、母公司所有者权益变动表" w:id="155"/>
      <w:bookmarkEnd w:id="15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260,000,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574,042,9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75.04</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18,138,46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6.66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103" w:right="0"/>
              <w:jc w:val="left"/>
              <w:rPr>
                <w:rFonts w:ascii="Times New Roman" w:hAnsi="Times New Roman" w:cs="Times New Roman" w:eastAsia="Times New Roman" w:hint="default"/>
                <w:sz w:val="18"/>
                <w:szCs w:val="18"/>
              </w:rPr>
            </w:pPr>
            <w:r>
              <w:rPr>
                <w:rFonts w:ascii="Times New Roman"/>
                <w:sz w:val="18"/>
              </w:rPr>
              <w:t>22,709,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662.15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27" w:right="0"/>
              <w:jc w:val="left"/>
              <w:rPr>
                <w:rFonts w:ascii="Times New Roman" w:hAnsi="Times New Roman" w:cs="Times New Roman" w:eastAsia="Times New Roman" w:hint="default"/>
                <w:sz w:val="18"/>
                <w:szCs w:val="18"/>
              </w:rPr>
            </w:pPr>
            <w:r>
              <w:rPr>
                <w:rFonts w:ascii="Times New Roman"/>
                <w:sz w:val="18"/>
              </w:rPr>
              <w:t>874,891,1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03.85</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260,000,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574,042,9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75.04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18,138,46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6.66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22,709,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662.15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874,891,1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03.85</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金额</w:t>
            </w:r>
            <w:r>
              <w:rPr>
                <w:rFonts w:ascii="Times New Roman" w:hAnsi="Times New Roman" w:cs="Times New Roman" w:eastAsia="Times New Roman" w:hint="default"/>
                <w:sz w:val="18"/>
                <w:szCs w:val="18"/>
              </w:rPr>
              <w:t>(</w:t>
            </w: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1,038,60</w:t>
            </w:r>
          </w:p>
          <w:p>
            <w:pPr>
              <w:pStyle w:val="TableParagraph"/>
              <w:spacing w:line="240" w:lineRule="auto" w:before="106"/>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-2,549,36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34,928,07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2.42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314,352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,651.78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347,769,9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54.98</w:t>
            </w: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349,280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,724.20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349,280,7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24.20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所有者投入和</w:t>
            </w:r>
            <w:r>
              <w:rPr>
                <w:rFonts w:ascii="宋体" w:hAnsi="宋体" w:cs="宋体" w:eastAsia="宋体" w:hint="default"/>
                <w:w w:val="99"/>
                <w:sz w:val="18"/>
                <w:szCs w:val="18"/>
              </w:rPr>
              <w:t> </w:t>
            </w:r>
            <w:r>
              <w:rPr>
                <w:rFonts w:ascii="宋体" w:hAnsi="宋体" w:cs="宋体" w:eastAsia="宋体" w:hint="default"/>
                <w:sz w:val="18"/>
                <w:szCs w:val="18"/>
              </w:rPr>
              <w:t>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1,038,60</w:t>
            </w:r>
          </w:p>
          <w:p>
            <w:pPr>
              <w:pStyle w:val="TableParagraph"/>
              <w:spacing w:line="240" w:lineRule="auto" w:before="106"/>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-2,549,36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-1,510,76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9.22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1,038,60</w:t>
            </w:r>
          </w:p>
          <w:p>
            <w:pPr>
              <w:pStyle w:val="TableParagraph"/>
              <w:spacing w:line="240" w:lineRule="auto" w:before="106"/>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7,503,885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8,542,485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-10,053,2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54.22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-10,053,2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54.22</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34,928,07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2.42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-34,928,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072.42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w:t>
            </w:r>
            <w:r>
              <w:rPr>
                <w:rFonts w:ascii="Times New Roman" w:hAnsi="Times New Roman" w:cs="Times New Roman" w:eastAsia="Times New Roman" w:hint="default"/>
                <w:sz w:val="18"/>
                <w:szCs w:val="18"/>
              </w:rPr>
              <w:t>)</w:t>
            </w:r>
            <w:r>
              <w:rPr>
                <w:rFonts w:ascii="宋体" w:hAnsi="宋体" w:cs="宋体" w:eastAsia="宋体" w:hint="default"/>
                <w:sz w:val="18"/>
                <w:szCs w:val="18"/>
              </w:rPr>
              <w:t>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34,928,07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2.42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-34,928,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072.42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．对所有者</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或股</w:t>
            </w:r>
            <w:r>
              <w:rPr>
                <w:rFonts w:ascii="宋体" w:hAnsi="宋体" w:cs="宋体" w:eastAsia="宋体" w:hint="default"/>
                <w:sz w:val="18"/>
                <w:szCs w:val="18"/>
              </w:rPr>
              <w:t> 东</w:t>
            </w:r>
            <w:r>
              <w:rPr>
                <w:rFonts w:ascii="Times New Roman" w:hAnsi="Times New Roman" w:cs="Times New Roman" w:eastAsia="Times New Roman" w:hint="default"/>
                <w:sz w:val="18"/>
                <w:szCs w:val="18"/>
              </w:rPr>
              <w:t>)</w:t>
            </w:r>
            <w:r>
              <w:rPr>
                <w:rFonts w:ascii="宋体" w:hAnsi="宋体" w:cs="宋体" w:eastAsia="宋体" w:hint="default"/>
                <w:sz w:val="18"/>
                <w:szCs w:val="18"/>
              </w:rPr>
              <w:t>的分配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四</w:t>
            </w:r>
            <w:r>
              <w:rPr>
                <w:rFonts w:ascii="Times New Roman" w:hAnsi="Times New Roman" w:cs="Times New Roman" w:eastAsia="Times New Roman" w:hint="default"/>
                <w:sz w:val="18"/>
                <w:szCs w:val="18"/>
              </w:rPr>
              <w:t>)</w:t>
            </w:r>
            <w:r>
              <w:rPr>
                <w:rFonts w:ascii="宋体" w:hAnsi="宋体" w:cs="宋体" w:eastAsia="宋体" w:hint="default"/>
                <w:sz w:val="18"/>
                <w:szCs w:val="18"/>
              </w:rPr>
              <w:t>所有者权益内</w:t>
            </w:r>
            <w:r>
              <w:rPr>
                <w:rFonts w:ascii="宋体" w:hAnsi="宋体" w:cs="宋体" w:eastAsia="宋体" w:hint="default"/>
                <w:w w:val="99"/>
                <w:sz w:val="18"/>
                <w:szCs w:val="18"/>
              </w:rPr>
              <w:t> </w:t>
            </w:r>
            <w:r>
              <w:rPr>
                <w:rFonts w:ascii="宋体" w:hAnsi="宋体" w:cs="宋体" w:eastAsia="宋体" w:hint="default"/>
                <w:sz w:val="18"/>
                <w:szCs w:val="18"/>
              </w:rPr>
              <w:t>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专项储备</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六</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261,038,</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571,493,6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05.82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53,066,53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9.08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337,062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,313.93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1,222,661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,058.83</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260,000,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573,364,5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29.44</w:t>
            </w:r>
          </w:p>
        </w:tc>
        <w:tc>
          <w:tcPr>
            <w:tcW w:w="798" w:type="dxa"/>
            <w:vMerge w:val="restart"/>
            <w:tcBorders>
              <w:top w:val="single" w:sz="18" w:space="0" w:color="D2D2D2"/>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18" w:space="0" w:color="D2D2D2"/>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18,138,46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6.66</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18"/>
                <w:szCs w:val="18"/>
              </w:rPr>
            </w:pPr>
            <w:r>
              <w:rPr>
                <w:rFonts w:ascii="Times New Roman"/>
                <w:sz w:val="18"/>
              </w:rPr>
              <w:t>91,482,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765.92</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18"/>
                <w:szCs w:val="18"/>
              </w:rPr>
            </w:pPr>
            <w:r>
              <w:rPr>
                <w:rFonts w:ascii="Times New Roman"/>
                <w:sz w:val="18"/>
              </w:rPr>
              <w:t>942,985,7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62.02</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260,000,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573,364,5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29.44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18,138,46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6.66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91,482,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765.92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942,985,7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62.02</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7"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1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金额</w:t>
            </w:r>
            <w:r>
              <w:rPr>
                <w:rFonts w:ascii="Times New Roman" w:hAnsi="Times New Roman" w:cs="Times New Roman" w:eastAsia="Times New Roman" w:hint="default"/>
                <w:sz w:val="18"/>
                <w:szCs w:val="18"/>
              </w:rPr>
              <w:t>(</w:t>
            </w: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678,445.6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-68,773,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103.77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-68,094,6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58.17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-63,573,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103.77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-63,573,1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03.77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所有者投入和</w:t>
            </w:r>
            <w:r>
              <w:rPr>
                <w:rFonts w:ascii="宋体" w:hAnsi="宋体" w:cs="宋体" w:eastAsia="宋体" w:hint="default"/>
                <w:w w:val="99"/>
                <w:sz w:val="18"/>
                <w:szCs w:val="18"/>
              </w:rPr>
              <w:t> </w:t>
            </w:r>
            <w:r>
              <w:rPr>
                <w:rFonts w:ascii="宋体" w:hAnsi="宋体" w:cs="宋体" w:eastAsia="宋体" w:hint="default"/>
                <w:sz w:val="18"/>
                <w:szCs w:val="18"/>
              </w:rPr>
              <w:t>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678,445.6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678,445.6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678,445.6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678,445.6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w:t>
            </w:r>
            <w:r>
              <w:rPr>
                <w:rFonts w:ascii="Times New Roman" w:hAnsi="Times New Roman" w:cs="Times New Roman" w:eastAsia="Times New Roman" w:hint="default"/>
                <w:sz w:val="18"/>
                <w:szCs w:val="18"/>
              </w:rPr>
              <w:t>)</w:t>
            </w:r>
            <w:r>
              <w:rPr>
                <w:rFonts w:ascii="宋体" w:hAnsi="宋体" w:cs="宋体" w:eastAsia="宋体" w:hint="default"/>
                <w:sz w:val="18"/>
                <w:szCs w:val="18"/>
              </w:rPr>
              <w:t>利润分配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-5,200,0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-5,200,00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．对所有者</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或股</w:t>
            </w:r>
            <w:r>
              <w:rPr>
                <w:rFonts w:ascii="宋体" w:hAnsi="宋体" w:cs="宋体" w:eastAsia="宋体" w:hint="default"/>
                <w:sz w:val="18"/>
                <w:szCs w:val="18"/>
              </w:rPr>
              <w:t> 东</w:t>
            </w:r>
            <w:r>
              <w:rPr>
                <w:rFonts w:ascii="Times New Roman" w:hAnsi="Times New Roman" w:cs="Times New Roman" w:eastAsia="Times New Roman" w:hint="default"/>
                <w:sz w:val="18"/>
                <w:szCs w:val="18"/>
              </w:rPr>
              <w:t>)</w:t>
            </w:r>
            <w:r>
              <w:rPr>
                <w:rFonts w:ascii="宋体" w:hAnsi="宋体" w:cs="宋体" w:eastAsia="宋体" w:hint="default"/>
                <w:sz w:val="18"/>
                <w:szCs w:val="18"/>
              </w:rPr>
              <w:t>的分配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-5,200,0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-5,200,00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四</w:t>
            </w:r>
            <w:r>
              <w:rPr>
                <w:rFonts w:ascii="Times New Roman" w:hAnsi="Times New Roman" w:cs="Times New Roman" w:eastAsia="Times New Roman" w:hint="default"/>
                <w:sz w:val="18"/>
                <w:szCs w:val="18"/>
              </w:rPr>
              <w:t>)</w:t>
            </w:r>
            <w:r>
              <w:rPr>
                <w:rFonts w:ascii="宋体" w:hAnsi="宋体" w:cs="宋体" w:eastAsia="宋体" w:hint="default"/>
                <w:sz w:val="18"/>
                <w:szCs w:val="18"/>
              </w:rPr>
              <w:t>所有者权益内</w:t>
            </w:r>
            <w:r>
              <w:rPr>
                <w:rFonts w:ascii="宋体" w:hAnsi="宋体" w:cs="宋体" w:eastAsia="宋体" w:hint="default"/>
                <w:w w:val="99"/>
                <w:sz w:val="18"/>
                <w:szCs w:val="18"/>
              </w:rPr>
              <w:t> </w:t>
            </w:r>
            <w:r>
              <w:rPr>
                <w:rFonts w:ascii="宋体" w:hAnsi="宋体" w:cs="宋体" w:eastAsia="宋体" w:hint="default"/>
                <w:sz w:val="18"/>
                <w:szCs w:val="18"/>
              </w:rPr>
              <w:t>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专项储备</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六</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260,000,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574,042,9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75.04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18,138,46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6.66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22,709,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662.15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874,891,1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03.85</w:t>
            </w:r>
          </w:p>
        </w:tc>
      </w:tr>
    </w:tbl>
    <w:p>
      <w:pPr>
        <w:spacing w:line="240" w:lineRule="auto" w:before="2"/>
        <w:rPr>
          <w:rFonts w:ascii="宋体" w:hAnsi="宋体" w:cs="宋体" w:eastAsia="宋体" w:hint="default"/>
          <w:sz w:val="18"/>
          <w:szCs w:val="18"/>
        </w:rPr>
      </w:pPr>
    </w:p>
    <w:p>
      <w:pPr>
        <w:pStyle w:val="Heading3"/>
        <w:spacing w:line="240" w:lineRule="auto" w:before="26"/>
        <w:ind w:left="1134" w:right="0"/>
        <w:jc w:val="left"/>
        <w:rPr>
          <w:b w:val="0"/>
          <w:bCs w:val="0"/>
        </w:rPr>
      </w:pPr>
      <w:bookmarkStart w:name="三、公司基本情况" w:id="156"/>
      <w:bookmarkEnd w:id="156"/>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9" w:firstLine="440"/>
        <w:jc w:val="both"/>
      </w:pPr>
      <w:r>
        <w:rPr/>
        <w:t>深圳中青宝互动网络股份有限公司</w:t>
      </w:r>
      <w:r>
        <w:rPr>
          <w:rFonts w:ascii="宋体" w:hAnsi="宋体" w:cs="宋体" w:eastAsia="宋体" w:hint="default"/>
        </w:rPr>
        <w:t>(</w:t>
      </w:r>
      <w:r>
        <w:rPr/>
        <w:t>以下简称“本公司”或“公司”</w:t>
      </w:r>
      <w:r>
        <w:rPr>
          <w:rFonts w:ascii="宋体" w:hAnsi="宋体" w:cs="宋体" w:eastAsia="宋体" w:hint="default"/>
        </w:rPr>
        <w:t>)</w:t>
      </w:r>
      <w:r>
        <w:rPr/>
        <w:t>原名深圳市中青宝网网络科技股份有限公司，系 由深圳市宝德网络技术有限公司整体变更设立。</w:t>
      </w:r>
      <w:r>
        <w:rPr>
          <w:rFonts w:ascii="宋体" w:hAnsi="宋体" w:cs="宋体" w:eastAsia="宋体" w:hint="default"/>
        </w:rPr>
        <w:t>2008</w:t>
      </w:r>
      <w:r>
        <w:rPr/>
        <w:t>年</w:t>
      </w:r>
      <w:r>
        <w:rPr>
          <w:rFonts w:ascii="宋体" w:hAnsi="宋体" w:cs="宋体" w:eastAsia="宋体" w:hint="default"/>
        </w:rPr>
        <w:t>4</w:t>
      </w:r>
      <w:r>
        <w:rPr/>
        <w:t>月</w:t>
      </w:r>
      <w:r>
        <w:rPr>
          <w:rFonts w:ascii="宋体" w:hAnsi="宋体" w:cs="宋体" w:eastAsia="宋体" w:hint="default"/>
        </w:rPr>
        <w:t>28</w:t>
      </w:r>
      <w:r>
        <w:rPr/>
        <w:t>日，深圳市宝德网络技术有限公司股东会通过关于公司股份制</w:t>
      </w:r>
      <w:r>
        <w:rPr>
          <w:spacing w:val="-82"/>
        </w:rPr>
        <w:t> </w:t>
      </w:r>
      <w:r>
        <w:rPr>
          <w:spacing w:val="-82"/>
        </w:rPr>
      </w:r>
      <w:r>
        <w:rPr/>
        <w:t>改制的决议：同意以经审计的净资产折股方式整体变更为股份有限公司。具体方案为：截至</w:t>
      </w:r>
      <w:r>
        <w:rPr>
          <w:rFonts w:ascii="宋体" w:hAnsi="宋体" w:cs="宋体" w:eastAsia="宋体" w:hint="default"/>
        </w:rPr>
        <w:t>2008</w:t>
      </w:r>
      <w:r>
        <w:rPr/>
        <w:t>年</w:t>
      </w:r>
      <w:r>
        <w:rPr>
          <w:rFonts w:ascii="宋体" w:hAnsi="宋体" w:cs="宋体" w:eastAsia="宋体" w:hint="default"/>
        </w:rPr>
        <w:t>2</w:t>
      </w:r>
      <w:r>
        <w:rPr/>
        <w:t>月</w:t>
      </w:r>
      <w:r>
        <w:rPr>
          <w:rFonts w:ascii="宋体" w:hAnsi="宋体" w:cs="宋体" w:eastAsia="宋体" w:hint="default"/>
        </w:rPr>
        <w:t>29</w:t>
      </w:r>
      <w:r>
        <w:rPr/>
        <w:t>日公司经深圳市鹏</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29"/>
        <w:jc w:val="both"/>
      </w:pPr>
      <w:r>
        <w:rPr/>
        <w:t>城会计事务所有限公司审计</w:t>
      </w:r>
      <w:r>
        <w:rPr>
          <w:rFonts w:ascii="宋体" w:hAnsi="宋体" w:cs="宋体" w:eastAsia="宋体" w:hint="default"/>
        </w:rPr>
        <w:t>(</w:t>
      </w:r>
      <w:r>
        <w:rPr/>
        <w:t>深鹏所审字</w:t>
      </w:r>
      <w:r>
        <w:rPr>
          <w:rFonts w:ascii="宋体" w:hAnsi="宋体" w:cs="宋体" w:eastAsia="宋体" w:hint="default"/>
        </w:rPr>
        <w:t>[2008]565</w:t>
      </w:r>
      <w:r>
        <w:rPr/>
        <w:t>号《审计报告》</w:t>
      </w:r>
      <w:r>
        <w:rPr>
          <w:rFonts w:ascii="宋体" w:hAnsi="宋体" w:cs="宋体" w:eastAsia="宋体" w:hint="default"/>
        </w:rPr>
        <w:t>)</w:t>
      </w:r>
      <w:r>
        <w:rPr/>
        <w:t>的净资产为人民币</w:t>
      </w:r>
      <w:r>
        <w:rPr>
          <w:rFonts w:ascii="宋体" w:hAnsi="宋体" w:cs="宋体" w:eastAsia="宋体" w:hint="default"/>
        </w:rPr>
        <w:t>113,045,163.72</w:t>
      </w:r>
      <w:r>
        <w:rPr/>
        <w:t>元，将其中的人民币</w:t>
      </w:r>
      <w:r>
        <w:rPr>
          <w:spacing w:val="-84"/>
        </w:rPr>
        <w:t> </w:t>
      </w:r>
      <w:r>
        <w:rPr>
          <w:spacing w:val="-84"/>
        </w:rPr>
      </w:r>
      <w:r>
        <w:rPr>
          <w:rFonts w:ascii="宋体" w:hAnsi="宋体" w:cs="宋体" w:eastAsia="宋体" w:hint="default"/>
          <w:spacing w:val="-2"/>
        </w:rPr>
        <w:t>75,000,000.00</w:t>
      </w:r>
      <w:r>
        <w:rPr>
          <w:spacing w:val="-2"/>
        </w:rPr>
        <w:t>元按</w:t>
      </w:r>
      <w:r>
        <w:rPr>
          <w:rFonts w:ascii="宋体" w:hAnsi="宋体" w:cs="宋体" w:eastAsia="宋体" w:hint="default"/>
          <w:spacing w:val="-2"/>
        </w:rPr>
        <w:t>1</w:t>
      </w:r>
      <w:r>
        <w:rPr>
          <w:spacing w:val="-2"/>
        </w:rPr>
        <w:t>：</w:t>
      </w:r>
      <w:r>
        <w:rPr>
          <w:rFonts w:ascii="宋体" w:hAnsi="宋体" w:cs="宋体" w:eastAsia="宋体" w:hint="default"/>
          <w:spacing w:val="-2"/>
        </w:rPr>
        <w:t>1</w:t>
      </w:r>
      <w:r>
        <w:rPr>
          <w:spacing w:val="-2"/>
        </w:rPr>
        <w:t>的比例折为</w:t>
      </w:r>
      <w:r>
        <w:rPr>
          <w:rFonts w:ascii="宋体" w:hAnsi="宋体" w:cs="宋体" w:eastAsia="宋体" w:hint="default"/>
          <w:spacing w:val="-2"/>
        </w:rPr>
        <w:t>75,000,000</w:t>
      </w:r>
      <w:r>
        <w:rPr>
          <w:spacing w:val="-2"/>
        </w:rPr>
        <w:t>股，每股面值人民币</w:t>
      </w:r>
      <w:r>
        <w:rPr>
          <w:rFonts w:ascii="宋体" w:hAnsi="宋体" w:cs="宋体" w:eastAsia="宋体" w:hint="default"/>
          <w:spacing w:val="-2"/>
        </w:rPr>
        <w:t>1.00</w:t>
      </w:r>
      <w:r>
        <w:rPr>
          <w:spacing w:val="-2"/>
        </w:rPr>
        <w:t>元，其余人民币</w:t>
      </w:r>
      <w:r>
        <w:rPr>
          <w:rFonts w:ascii="宋体" w:hAnsi="宋体" w:cs="宋体" w:eastAsia="宋体" w:hint="default"/>
          <w:spacing w:val="-2"/>
        </w:rPr>
        <w:t>38,045,163.72</w:t>
      </w:r>
      <w:r>
        <w:rPr>
          <w:spacing w:val="-2"/>
        </w:rPr>
        <w:t>元转入资本公积，公</w:t>
      </w:r>
      <w:r>
        <w:rPr>
          <w:spacing w:val="-24"/>
        </w:rPr>
        <w:t> </w:t>
      </w:r>
      <w:r>
        <w:rPr>
          <w:spacing w:val="-24"/>
        </w:rPr>
      </w:r>
      <w:r>
        <w:rPr/>
        <w:t>司全体股东以其所持公司股权所对应的经审计的净资产作为出资，认购本公司的全部股份，股权比例保持不变。</w:t>
      </w:r>
      <w:r>
        <w:rPr>
          <w:rFonts w:ascii="宋体" w:hAnsi="宋体" w:cs="宋体" w:eastAsia="宋体" w:hint="default"/>
        </w:rPr>
        <w:t>2008</w:t>
      </w:r>
      <w:r>
        <w:rPr/>
        <w:t>年</w:t>
      </w:r>
      <w:r>
        <w:rPr>
          <w:rFonts w:ascii="宋体" w:hAnsi="宋体" w:cs="宋体" w:eastAsia="宋体" w:hint="default"/>
        </w:rPr>
        <w:t>5</w:t>
      </w:r>
      <w:r>
        <w:rPr/>
        <w:t>月</w:t>
      </w:r>
      <w:r>
        <w:rPr>
          <w:spacing w:val="-81"/>
        </w:rPr>
        <w:t> </w:t>
      </w:r>
      <w:r>
        <w:rPr>
          <w:rFonts w:ascii="宋体" w:hAnsi="宋体" w:cs="宋体" w:eastAsia="宋体" w:hint="default"/>
        </w:rPr>
        <w:t>13</w:t>
      </w:r>
      <w:r>
        <w:rPr/>
        <w:t>日深圳市工商行政管理局核准了股份公司设立登记，并颁发了注册号为</w:t>
      </w:r>
      <w:r>
        <w:rPr>
          <w:rFonts w:ascii="宋体" w:hAnsi="宋体" w:cs="宋体" w:eastAsia="宋体" w:hint="default"/>
        </w:rPr>
        <w:t>440301103051839</w:t>
      </w:r>
      <w:r>
        <w:rPr/>
        <w:t>的《企业法人营业执照》。</w:t>
      </w:r>
    </w:p>
    <w:p>
      <w:pPr>
        <w:spacing w:line="240" w:lineRule="auto" w:before="10"/>
        <w:rPr>
          <w:rFonts w:ascii="宋体" w:hAnsi="宋体" w:cs="宋体" w:eastAsia="宋体" w:hint="default"/>
          <w:sz w:val="22"/>
          <w:szCs w:val="22"/>
        </w:rPr>
      </w:pPr>
    </w:p>
    <w:p>
      <w:pPr>
        <w:pStyle w:val="Heading6"/>
        <w:spacing w:line="240" w:lineRule="auto"/>
        <w:ind w:left="1574" w:right="0"/>
        <w:jc w:val="left"/>
      </w:pPr>
      <w:r>
        <w:rPr/>
        <w:t>公司设立时的股权结构如下：</w:t>
      </w:r>
    </w:p>
    <w:p>
      <w:pPr>
        <w:spacing w:line="240" w:lineRule="auto" w:before="6"/>
        <w:rPr>
          <w:rFonts w:ascii="宋体" w:hAnsi="宋体" w:cs="宋体" w:eastAsia="宋体" w:hint="default"/>
          <w:sz w:val="27"/>
          <w:szCs w:val="27"/>
        </w:rPr>
      </w:pPr>
    </w:p>
    <w:tbl>
      <w:tblPr>
        <w:tblW w:w="0" w:type="auto"/>
        <w:jc w:val="left"/>
        <w:tblInd w:w="1126" w:type="dxa"/>
        <w:tblLayout w:type="fixed"/>
        <w:tblCellMar>
          <w:top w:w="0" w:type="dxa"/>
          <w:left w:w="0" w:type="dxa"/>
          <w:bottom w:w="0" w:type="dxa"/>
          <w:right w:w="0" w:type="dxa"/>
        </w:tblCellMar>
        <w:tblLook w:val="01E0"/>
      </w:tblPr>
      <w:tblGrid>
        <w:gridCol w:w="969"/>
        <w:gridCol w:w="3338"/>
        <w:gridCol w:w="1985"/>
        <w:gridCol w:w="2006"/>
      </w:tblGrid>
      <w:tr>
        <w:trPr>
          <w:trHeight w:val="349" w:hRule="exact"/>
        </w:trPr>
        <w:tc>
          <w:tcPr>
            <w:tcW w:w="96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333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right="2"/>
              <w:jc w:val="center"/>
              <w:rPr>
                <w:rFonts w:ascii="宋体" w:hAnsi="宋体" w:cs="宋体" w:eastAsia="宋体" w:hint="default"/>
                <w:sz w:val="20"/>
                <w:szCs w:val="20"/>
              </w:rPr>
            </w:pPr>
            <w:r>
              <w:rPr>
                <w:rFonts w:ascii="宋体" w:hAnsi="宋体" w:cs="宋体" w:eastAsia="宋体" w:hint="default"/>
                <w:b/>
                <w:bCs/>
                <w:sz w:val="20"/>
                <w:szCs w:val="20"/>
              </w:rPr>
              <w:t>股东名称</w:t>
            </w:r>
            <w:r>
              <w:rPr>
                <w:rFonts w:ascii="宋体" w:hAnsi="宋体" w:cs="宋体" w:eastAsia="宋体" w:hint="default"/>
                <w:sz w:val="20"/>
                <w:szCs w:val="20"/>
              </w:rPr>
            </w:r>
          </w:p>
        </w:tc>
        <w:tc>
          <w:tcPr>
            <w:tcW w:w="198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81" w:right="0"/>
              <w:jc w:val="left"/>
              <w:rPr>
                <w:rFonts w:ascii="宋体" w:hAnsi="宋体" w:cs="宋体" w:eastAsia="宋体" w:hint="default"/>
                <w:sz w:val="20"/>
                <w:szCs w:val="20"/>
              </w:rPr>
            </w:pPr>
            <w:r>
              <w:rPr>
                <w:rFonts w:ascii="宋体" w:hAnsi="宋体" w:cs="宋体" w:eastAsia="宋体" w:hint="default"/>
                <w:b/>
                <w:bCs/>
                <w:sz w:val="20"/>
                <w:szCs w:val="20"/>
              </w:rPr>
              <w:t>持股数量</w:t>
            </w:r>
            <w:r>
              <w:rPr>
                <w:rFonts w:ascii="宋体" w:hAnsi="宋体" w:cs="宋体" w:eastAsia="宋体" w:hint="default"/>
                <w:b/>
                <w:bCs/>
                <w:sz w:val="20"/>
                <w:szCs w:val="20"/>
              </w:rPr>
              <w:t>(</w:t>
            </w:r>
            <w:r>
              <w:rPr>
                <w:rFonts w:ascii="宋体" w:hAnsi="宋体" w:cs="宋体" w:eastAsia="宋体" w:hint="default"/>
                <w:b/>
                <w:bCs/>
                <w:sz w:val="20"/>
                <w:szCs w:val="20"/>
              </w:rPr>
              <w:t>万股</w:t>
            </w:r>
            <w:r>
              <w:rPr>
                <w:rFonts w:ascii="宋体" w:hAnsi="宋体" w:cs="宋体" w:eastAsia="宋体" w:hint="default"/>
                <w:b/>
                <w:bCs/>
                <w:sz w:val="20"/>
                <w:szCs w:val="20"/>
              </w:rPr>
              <w:t>)</w:t>
            </w:r>
            <w:r>
              <w:rPr>
                <w:rFonts w:ascii="宋体" w:hAnsi="宋体" w:cs="宋体" w:eastAsia="宋体" w:hint="default"/>
                <w:sz w:val="20"/>
                <w:szCs w:val="20"/>
              </w:rPr>
            </w:r>
          </w:p>
        </w:tc>
        <w:tc>
          <w:tcPr>
            <w:tcW w:w="2006"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5"/>
              <w:ind w:left="426"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持股比例</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r>
      <w:tr>
        <w:trPr>
          <w:trHeight w:val="347" w:hRule="exact"/>
        </w:trPr>
        <w:tc>
          <w:tcPr>
            <w:tcW w:w="9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w w:val="100"/>
                <w:sz w:val="20"/>
              </w:rPr>
              <w:t>1</w:t>
            </w:r>
          </w:p>
        </w:tc>
        <w:tc>
          <w:tcPr>
            <w:tcW w:w="33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深圳市宝德投资控股有限公司</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2,550.00</w:t>
            </w:r>
          </w:p>
        </w:tc>
        <w:tc>
          <w:tcPr>
            <w:tcW w:w="200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0"/>
                <w:szCs w:val="20"/>
              </w:rPr>
            </w:pPr>
            <w:r>
              <w:rPr>
                <w:rFonts w:ascii="Times New Roman"/>
                <w:sz w:val="20"/>
              </w:rPr>
              <w:t>34.00</w:t>
            </w:r>
          </w:p>
        </w:tc>
      </w:tr>
      <w:tr>
        <w:trPr>
          <w:trHeight w:val="347" w:hRule="exact"/>
        </w:trPr>
        <w:tc>
          <w:tcPr>
            <w:tcW w:w="9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w w:val="100"/>
                <w:sz w:val="20"/>
              </w:rPr>
              <w:t>2</w:t>
            </w:r>
          </w:p>
        </w:tc>
        <w:tc>
          <w:tcPr>
            <w:tcW w:w="33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深圳宝德科技股份有限公司</w:t>
            </w:r>
            <w:r>
              <w:rPr>
                <w:rFonts w:ascii="Times New Roman" w:hAnsi="Times New Roman" w:cs="Times New Roman" w:eastAsia="Times New Roman" w:hint="default"/>
                <w:sz w:val="20"/>
                <w:szCs w:val="20"/>
              </w:rPr>
              <w:t>*1</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1,530.00</w:t>
            </w:r>
          </w:p>
        </w:tc>
        <w:tc>
          <w:tcPr>
            <w:tcW w:w="200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0"/>
                <w:szCs w:val="20"/>
              </w:rPr>
            </w:pPr>
            <w:r>
              <w:rPr>
                <w:rFonts w:ascii="Times New Roman"/>
                <w:sz w:val="20"/>
              </w:rPr>
              <w:t>20.40</w:t>
            </w:r>
          </w:p>
        </w:tc>
      </w:tr>
      <w:tr>
        <w:trPr>
          <w:trHeight w:val="348" w:hRule="exact"/>
        </w:trPr>
        <w:tc>
          <w:tcPr>
            <w:tcW w:w="9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w w:val="100"/>
                <w:sz w:val="20"/>
              </w:rPr>
              <w:t>3</w:t>
            </w:r>
          </w:p>
        </w:tc>
        <w:tc>
          <w:tcPr>
            <w:tcW w:w="33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中青联创科技</w:t>
            </w:r>
            <w:r>
              <w:rPr>
                <w:rFonts w:ascii="宋体" w:hAnsi="宋体" w:cs="宋体" w:eastAsia="宋体" w:hint="default"/>
                <w:sz w:val="20"/>
                <w:szCs w:val="20"/>
              </w:rPr>
              <w:t>(</w:t>
            </w:r>
            <w:r>
              <w:rPr>
                <w:rFonts w:ascii="宋体" w:hAnsi="宋体" w:cs="宋体" w:eastAsia="宋体" w:hint="default"/>
                <w:sz w:val="20"/>
                <w:szCs w:val="20"/>
              </w:rPr>
              <w:t>北京</w:t>
            </w:r>
            <w:r>
              <w:rPr>
                <w:rFonts w:ascii="宋体" w:hAnsi="宋体" w:cs="宋体" w:eastAsia="宋体" w:hint="default"/>
                <w:sz w:val="20"/>
                <w:szCs w:val="20"/>
              </w:rPr>
              <w:t>)</w:t>
            </w:r>
            <w:r>
              <w:rPr>
                <w:rFonts w:ascii="宋体" w:hAnsi="宋体" w:cs="宋体" w:eastAsia="宋体" w:hint="default"/>
                <w:sz w:val="20"/>
                <w:szCs w:val="20"/>
              </w:rPr>
              <w:t>有限公司</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1,500.00</w:t>
            </w:r>
          </w:p>
        </w:tc>
        <w:tc>
          <w:tcPr>
            <w:tcW w:w="200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0"/>
                <w:szCs w:val="20"/>
              </w:rPr>
            </w:pPr>
            <w:r>
              <w:rPr>
                <w:rFonts w:ascii="Times New Roman"/>
                <w:sz w:val="20"/>
              </w:rPr>
              <w:t>20.00</w:t>
            </w:r>
          </w:p>
        </w:tc>
      </w:tr>
      <w:tr>
        <w:trPr>
          <w:trHeight w:val="347" w:hRule="exact"/>
        </w:trPr>
        <w:tc>
          <w:tcPr>
            <w:tcW w:w="9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0"/>
                <w:szCs w:val="20"/>
              </w:rPr>
            </w:pPr>
            <w:r>
              <w:rPr>
                <w:rFonts w:ascii="Times New Roman"/>
                <w:w w:val="100"/>
                <w:sz w:val="20"/>
              </w:rPr>
              <w:t>4</w:t>
            </w:r>
          </w:p>
        </w:tc>
        <w:tc>
          <w:tcPr>
            <w:tcW w:w="3338"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深圳市创新投资集团有限公司</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pacing w:val="-1"/>
                <w:sz w:val="20"/>
              </w:rPr>
              <w:t>600.00</w:t>
            </w:r>
          </w:p>
        </w:tc>
        <w:tc>
          <w:tcPr>
            <w:tcW w:w="200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0"/>
                <w:szCs w:val="20"/>
              </w:rPr>
            </w:pPr>
            <w:r>
              <w:rPr>
                <w:rFonts w:ascii="Times New Roman"/>
                <w:sz w:val="20"/>
              </w:rPr>
              <w:t>8.00</w:t>
            </w:r>
          </w:p>
        </w:tc>
      </w:tr>
      <w:tr>
        <w:trPr>
          <w:trHeight w:val="347" w:hRule="exact"/>
        </w:trPr>
        <w:tc>
          <w:tcPr>
            <w:tcW w:w="9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w w:val="100"/>
                <w:sz w:val="20"/>
              </w:rPr>
              <w:t>5</w:t>
            </w:r>
          </w:p>
        </w:tc>
        <w:tc>
          <w:tcPr>
            <w:tcW w:w="33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深圳市网诚科技有限公司</w:t>
            </w:r>
            <w:r>
              <w:rPr>
                <w:rFonts w:ascii="Times New Roman" w:hAnsi="Times New Roman" w:cs="Times New Roman" w:eastAsia="Times New Roman" w:hint="default"/>
                <w:sz w:val="20"/>
                <w:szCs w:val="20"/>
              </w:rPr>
              <w:t>*2</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363.75</w:t>
            </w:r>
          </w:p>
        </w:tc>
        <w:tc>
          <w:tcPr>
            <w:tcW w:w="200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8"/>
              <w:jc w:val="right"/>
              <w:rPr>
                <w:rFonts w:ascii="Times New Roman" w:hAnsi="Times New Roman" w:cs="Times New Roman" w:eastAsia="Times New Roman" w:hint="default"/>
                <w:sz w:val="20"/>
                <w:szCs w:val="20"/>
              </w:rPr>
            </w:pPr>
            <w:r>
              <w:rPr>
                <w:rFonts w:ascii="Times New Roman"/>
                <w:sz w:val="20"/>
              </w:rPr>
              <w:t>4.85</w:t>
            </w:r>
          </w:p>
        </w:tc>
      </w:tr>
      <w:tr>
        <w:trPr>
          <w:trHeight w:val="347" w:hRule="exact"/>
        </w:trPr>
        <w:tc>
          <w:tcPr>
            <w:tcW w:w="9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w w:val="100"/>
                <w:sz w:val="20"/>
              </w:rPr>
              <w:t>6</w:t>
            </w:r>
          </w:p>
        </w:tc>
        <w:tc>
          <w:tcPr>
            <w:tcW w:w="33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深圳市众志和科技有限公司</w:t>
            </w:r>
            <w:r>
              <w:rPr>
                <w:rFonts w:ascii="Times New Roman" w:hAnsi="Times New Roman" w:cs="Times New Roman" w:eastAsia="Times New Roman" w:hint="default"/>
                <w:sz w:val="20"/>
                <w:szCs w:val="20"/>
              </w:rPr>
              <w:t>*3</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360.75</w:t>
            </w:r>
          </w:p>
        </w:tc>
        <w:tc>
          <w:tcPr>
            <w:tcW w:w="200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8"/>
              <w:jc w:val="right"/>
              <w:rPr>
                <w:rFonts w:ascii="Times New Roman" w:hAnsi="Times New Roman" w:cs="Times New Roman" w:eastAsia="Times New Roman" w:hint="default"/>
                <w:sz w:val="20"/>
                <w:szCs w:val="20"/>
              </w:rPr>
            </w:pPr>
            <w:r>
              <w:rPr>
                <w:rFonts w:ascii="Times New Roman"/>
                <w:sz w:val="20"/>
              </w:rPr>
              <w:t>4.81</w:t>
            </w:r>
          </w:p>
        </w:tc>
      </w:tr>
      <w:tr>
        <w:trPr>
          <w:trHeight w:val="347" w:hRule="exact"/>
        </w:trPr>
        <w:tc>
          <w:tcPr>
            <w:tcW w:w="9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w w:val="100"/>
                <w:sz w:val="20"/>
              </w:rPr>
              <w:t>7</w:t>
            </w:r>
          </w:p>
        </w:tc>
        <w:tc>
          <w:tcPr>
            <w:tcW w:w="33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深圳市中科招商投资管理有限公司</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300.00</w:t>
            </w:r>
          </w:p>
        </w:tc>
        <w:tc>
          <w:tcPr>
            <w:tcW w:w="200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8"/>
              <w:jc w:val="right"/>
              <w:rPr>
                <w:rFonts w:ascii="Times New Roman" w:hAnsi="Times New Roman" w:cs="Times New Roman" w:eastAsia="Times New Roman" w:hint="default"/>
                <w:sz w:val="20"/>
                <w:szCs w:val="20"/>
              </w:rPr>
            </w:pPr>
            <w:r>
              <w:rPr>
                <w:rFonts w:ascii="Times New Roman"/>
                <w:sz w:val="20"/>
              </w:rPr>
              <w:t>4.00</w:t>
            </w:r>
          </w:p>
        </w:tc>
      </w:tr>
      <w:tr>
        <w:trPr>
          <w:trHeight w:val="347" w:hRule="exact"/>
        </w:trPr>
        <w:tc>
          <w:tcPr>
            <w:tcW w:w="9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w w:val="100"/>
                <w:sz w:val="20"/>
              </w:rPr>
              <w:t>8</w:t>
            </w:r>
          </w:p>
        </w:tc>
        <w:tc>
          <w:tcPr>
            <w:tcW w:w="33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深圳市南博投资有限公司</w:t>
            </w:r>
            <w:r>
              <w:rPr>
                <w:rFonts w:ascii="Times New Roman" w:hAnsi="Times New Roman" w:cs="Times New Roman" w:eastAsia="Times New Roman" w:hint="default"/>
                <w:sz w:val="20"/>
                <w:szCs w:val="20"/>
              </w:rPr>
              <w:t>*4</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295.50</w:t>
            </w:r>
          </w:p>
        </w:tc>
        <w:tc>
          <w:tcPr>
            <w:tcW w:w="200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8"/>
              <w:jc w:val="right"/>
              <w:rPr>
                <w:rFonts w:ascii="Times New Roman" w:hAnsi="Times New Roman" w:cs="Times New Roman" w:eastAsia="Times New Roman" w:hint="default"/>
                <w:sz w:val="20"/>
                <w:szCs w:val="20"/>
              </w:rPr>
            </w:pPr>
            <w:r>
              <w:rPr>
                <w:rFonts w:ascii="Times New Roman"/>
                <w:sz w:val="20"/>
              </w:rPr>
              <w:t>3.94</w:t>
            </w:r>
          </w:p>
        </w:tc>
      </w:tr>
      <w:tr>
        <w:trPr>
          <w:trHeight w:val="348" w:hRule="exact"/>
        </w:trPr>
        <w:tc>
          <w:tcPr>
            <w:tcW w:w="4306" w:type="dxa"/>
            <w:gridSpan w:val="2"/>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b/>
                <w:spacing w:val="-1"/>
                <w:sz w:val="20"/>
              </w:rPr>
              <w:t>7,500.00</w:t>
            </w:r>
            <w:r>
              <w:rPr>
                <w:rFonts w:ascii="Times New Roman"/>
                <w:spacing w:val="-1"/>
                <w:sz w:val="20"/>
              </w:rPr>
            </w:r>
          </w:p>
        </w:tc>
        <w:tc>
          <w:tcPr>
            <w:tcW w:w="200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9"/>
              <w:ind w:right="8"/>
              <w:jc w:val="right"/>
              <w:rPr>
                <w:rFonts w:ascii="Times New Roman" w:hAnsi="Times New Roman" w:cs="Times New Roman" w:eastAsia="Times New Roman" w:hint="default"/>
                <w:sz w:val="20"/>
                <w:szCs w:val="20"/>
              </w:rPr>
            </w:pPr>
            <w:r>
              <w:rPr>
                <w:rFonts w:ascii="Times New Roman"/>
                <w:b/>
                <w:spacing w:val="-1"/>
                <w:sz w:val="20"/>
              </w:rPr>
              <w:t>100.00</w:t>
            </w:r>
            <w:r>
              <w:rPr>
                <w:rFonts w:ascii="Times New Roman"/>
                <w:spacing w:val="-1"/>
                <w:sz w:val="20"/>
              </w:rPr>
            </w:r>
          </w:p>
        </w:tc>
      </w:tr>
    </w:tbl>
    <w:p>
      <w:pPr>
        <w:pStyle w:val="BodyText"/>
        <w:spacing w:line="240" w:lineRule="auto" w:before="10"/>
        <w:ind w:left="1494" w:right="0"/>
        <w:jc w:val="left"/>
      </w:pPr>
      <w:r>
        <w:rPr/>
        <w:t>注：</w:t>
      </w:r>
    </w:p>
    <w:p>
      <w:pPr>
        <w:pStyle w:val="BodyText"/>
        <w:spacing w:line="240" w:lineRule="auto" w:before="76"/>
        <w:ind w:left="1494" w:right="0"/>
        <w:jc w:val="left"/>
      </w:pPr>
      <w:r>
        <w:rPr>
          <w:rFonts w:ascii="Times New Roman" w:hAnsi="Times New Roman" w:cs="Times New Roman" w:eastAsia="Times New Roman" w:hint="default"/>
        </w:rPr>
        <w:t>*1</w:t>
      </w:r>
      <w:r>
        <w:rPr/>
        <w:t>现更名为宝德科技集团股份有限公司，发行后公司的股权结构下同。</w:t>
      </w:r>
    </w:p>
    <w:p>
      <w:pPr>
        <w:pStyle w:val="BodyText"/>
        <w:spacing w:line="240" w:lineRule="auto" w:before="63"/>
        <w:ind w:left="1493" w:right="0"/>
        <w:jc w:val="left"/>
      </w:pPr>
      <w:r>
        <w:rPr>
          <w:rFonts w:ascii="Times New Roman" w:hAnsi="Times New Roman" w:cs="Times New Roman" w:eastAsia="Times New Roman" w:hint="default"/>
        </w:rPr>
        <w:t>*2</w:t>
      </w:r>
      <w:r>
        <w:rPr/>
        <w:t>现更名为乌鲁木齐网诚股权投资管理合伙企业</w:t>
      </w:r>
      <w:r>
        <w:rPr>
          <w:rFonts w:ascii="宋体" w:hAnsi="宋体" w:cs="宋体" w:eastAsia="宋体" w:hint="default"/>
        </w:rPr>
        <w:t>(</w:t>
      </w:r>
      <w:r>
        <w:rPr/>
        <w:t>有限合伙</w:t>
      </w:r>
      <w:r>
        <w:rPr>
          <w:rFonts w:ascii="宋体" w:hAnsi="宋体" w:cs="宋体" w:eastAsia="宋体" w:hint="default"/>
        </w:rPr>
        <w:t>)</w:t>
      </w:r>
      <w:r>
        <w:rPr/>
        <w:t>，发行后公司的股权结构下同。</w:t>
      </w:r>
    </w:p>
    <w:p>
      <w:pPr>
        <w:pStyle w:val="BodyText"/>
        <w:spacing w:line="240" w:lineRule="auto" w:before="63"/>
        <w:ind w:left="1493" w:right="0"/>
        <w:jc w:val="left"/>
      </w:pPr>
      <w:r>
        <w:rPr>
          <w:rFonts w:ascii="Times New Roman" w:hAnsi="Times New Roman" w:cs="Times New Roman" w:eastAsia="Times New Roman" w:hint="default"/>
        </w:rPr>
        <w:t>*3</w:t>
      </w:r>
      <w:r>
        <w:rPr/>
        <w:t>现更名为乌鲁木齐众志和股权投资管理合伙企业</w:t>
      </w:r>
      <w:r>
        <w:rPr>
          <w:rFonts w:ascii="宋体" w:hAnsi="宋体" w:cs="宋体" w:eastAsia="宋体" w:hint="default"/>
        </w:rPr>
        <w:t>(</w:t>
      </w:r>
      <w:r>
        <w:rPr/>
        <w:t>有限合伙</w:t>
      </w:r>
      <w:r>
        <w:rPr>
          <w:rFonts w:ascii="宋体" w:hAnsi="宋体" w:cs="宋体" w:eastAsia="宋体" w:hint="default"/>
        </w:rPr>
        <w:t>)</w:t>
      </w:r>
      <w:r>
        <w:rPr/>
        <w:t>，发行后公司的股权结构下同。</w:t>
      </w:r>
    </w:p>
    <w:p>
      <w:pPr>
        <w:pStyle w:val="BodyText"/>
        <w:spacing w:line="240" w:lineRule="auto" w:before="63"/>
        <w:ind w:left="1493" w:right="0"/>
        <w:jc w:val="left"/>
      </w:pPr>
      <w:r>
        <w:rPr>
          <w:rFonts w:ascii="Times New Roman" w:hAnsi="Times New Roman" w:cs="Times New Roman" w:eastAsia="Times New Roman" w:hint="default"/>
        </w:rPr>
        <w:t>*4</w:t>
      </w:r>
      <w:r>
        <w:rPr/>
        <w:t>现更名为乌鲁木齐南博股权投资管理合伙企业</w:t>
      </w:r>
      <w:r>
        <w:rPr>
          <w:rFonts w:ascii="宋体" w:hAnsi="宋体" w:cs="宋体" w:eastAsia="宋体" w:hint="default"/>
        </w:rPr>
        <w:t>(</w:t>
      </w:r>
      <w:r>
        <w:rPr/>
        <w:t>有限合伙</w:t>
      </w:r>
      <w:r>
        <w:rPr>
          <w:rFonts w:ascii="宋体" w:hAnsi="宋体" w:cs="宋体" w:eastAsia="宋体" w:hint="default"/>
        </w:rPr>
        <w:t>)</w:t>
      </w:r>
      <w:r>
        <w:rPr/>
        <w:t>，发行后公司的股权结构下同。</w:t>
      </w:r>
    </w:p>
    <w:p>
      <w:pPr>
        <w:spacing w:line="240" w:lineRule="auto" w:before="0"/>
        <w:rPr>
          <w:rFonts w:ascii="宋体" w:hAnsi="宋体" w:cs="宋体" w:eastAsia="宋体" w:hint="default"/>
          <w:sz w:val="18"/>
          <w:szCs w:val="18"/>
        </w:rPr>
      </w:pPr>
    </w:p>
    <w:p>
      <w:pPr>
        <w:pStyle w:val="BodyText"/>
        <w:spacing w:line="316" w:lineRule="auto" w:before="139"/>
        <w:ind w:left="1134" w:right="1131" w:firstLine="360"/>
        <w:jc w:val="both"/>
      </w:pPr>
      <w:r>
        <w:rPr>
          <w:rFonts w:ascii="宋体" w:hAnsi="宋体" w:cs="宋体" w:eastAsia="宋体" w:hint="default"/>
        </w:rPr>
        <w:t>2010</w:t>
      </w:r>
      <w:r>
        <w:rPr/>
        <w:t>年</w:t>
      </w:r>
      <w:r>
        <w:rPr>
          <w:rFonts w:ascii="宋体" w:hAnsi="宋体" w:cs="宋体" w:eastAsia="宋体" w:hint="default"/>
        </w:rPr>
        <w:t>1</w:t>
      </w:r>
      <w:r>
        <w:rPr/>
        <w:t>月</w:t>
      </w:r>
      <w:r>
        <w:rPr>
          <w:rFonts w:ascii="宋体" w:hAnsi="宋体" w:cs="宋体" w:eastAsia="宋体" w:hint="default"/>
        </w:rPr>
        <w:t>20</w:t>
      </w:r>
      <w:r>
        <w:rPr/>
        <w:t>日中国证券监督管理委员会《关于核准深圳市中青宝网网络科技股份有限公司首次公开发行股票的批复》 </w:t>
      </w:r>
      <w:r>
        <w:rPr>
          <w:rFonts w:ascii="宋体" w:hAnsi="宋体" w:cs="宋体" w:eastAsia="宋体" w:hint="default"/>
          <w:spacing w:val="-2"/>
        </w:rPr>
        <w:t>(</w:t>
      </w:r>
      <w:r>
        <w:rPr>
          <w:spacing w:val="-2"/>
        </w:rPr>
        <w:t>证监许可</w:t>
      </w:r>
      <w:r>
        <w:rPr>
          <w:rFonts w:ascii="宋体" w:hAnsi="宋体" w:cs="宋体" w:eastAsia="宋体" w:hint="default"/>
          <w:spacing w:val="-2"/>
        </w:rPr>
        <w:t>[2010]94</w:t>
      </w:r>
      <w:r>
        <w:rPr>
          <w:spacing w:val="-2"/>
        </w:rPr>
        <w:t>号</w:t>
      </w:r>
      <w:r>
        <w:rPr>
          <w:rFonts w:ascii="宋体" w:hAnsi="宋体" w:cs="宋体" w:eastAsia="宋体" w:hint="default"/>
          <w:spacing w:val="-2"/>
        </w:rPr>
        <w:t>)</w:t>
      </w:r>
      <w:r>
        <w:rPr>
          <w:spacing w:val="-2"/>
        </w:rPr>
        <w:t>核准，由主承销商长江证劵承销保荐有限公司采用网下询价配售与网上资金申购定价发行相结合的方</w:t>
      </w:r>
      <w:r>
        <w:rPr>
          <w:spacing w:val="-54"/>
        </w:rPr>
        <w:t> </w:t>
      </w:r>
      <w:r>
        <w:rPr>
          <w:spacing w:val="-54"/>
        </w:rPr>
      </w:r>
      <w:r>
        <w:rPr/>
        <w:t>式发行人民币普通股</w:t>
      </w:r>
      <w:r>
        <w:rPr>
          <w:rFonts w:ascii="宋体" w:hAnsi="宋体" w:cs="宋体" w:eastAsia="宋体" w:hint="default"/>
        </w:rPr>
        <w:t>(A</w:t>
      </w:r>
      <w:r>
        <w:rPr/>
        <w:t>股</w:t>
      </w:r>
      <w:r>
        <w:rPr>
          <w:rFonts w:ascii="宋体" w:hAnsi="宋体" w:cs="宋体" w:eastAsia="宋体" w:hint="default"/>
        </w:rPr>
        <w:t>)2,500</w:t>
      </w:r>
      <w:r>
        <w:rPr/>
        <w:t>万股，发行价格为每股人民币</w:t>
      </w:r>
      <w:r>
        <w:rPr>
          <w:rFonts w:ascii="宋体" w:hAnsi="宋体" w:cs="宋体" w:eastAsia="宋体" w:hint="default"/>
        </w:rPr>
        <w:t>30.00</w:t>
      </w:r>
      <w:r>
        <w:rPr/>
        <w:t>元。发行后公司的股权结构如下：</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tbl>
      <w:tblPr>
        <w:tblW w:w="0" w:type="auto"/>
        <w:jc w:val="left"/>
        <w:tblInd w:w="1126" w:type="dxa"/>
        <w:tblLayout w:type="fixed"/>
        <w:tblCellMar>
          <w:top w:w="0" w:type="dxa"/>
          <w:left w:w="0" w:type="dxa"/>
          <w:bottom w:w="0" w:type="dxa"/>
          <w:right w:w="0" w:type="dxa"/>
        </w:tblCellMar>
        <w:tblLook w:val="01E0"/>
      </w:tblPr>
      <w:tblGrid>
        <w:gridCol w:w="994"/>
        <w:gridCol w:w="3514"/>
        <w:gridCol w:w="1985"/>
        <w:gridCol w:w="1804"/>
      </w:tblGrid>
      <w:tr>
        <w:trPr>
          <w:trHeight w:val="349" w:hRule="exact"/>
        </w:trPr>
        <w:tc>
          <w:tcPr>
            <w:tcW w:w="99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351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股东名称</w:t>
            </w:r>
            <w:r>
              <w:rPr>
                <w:rFonts w:ascii="宋体" w:hAnsi="宋体" w:cs="宋体" w:eastAsia="宋体" w:hint="default"/>
                <w:sz w:val="20"/>
                <w:szCs w:val="20"/>
              </w:rPr>
            </w:r>
          </w:p>
        </w:tc>
        <w:tc>
          <w:tcPr>
            <w:tcW w:w="198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81" w:right="0"/>
              <w:jc w:val="left"/>
              <w:rPr>
                <w:rFonts w:ascii="宋体" w:hAnsi="宋体" w:cs="宋体" w:eastAsia="宋体" w:hint="default"/>
                <w:sz w:val="20"/>
                <w:szCs w:val="20"/>
              </w:rPr>
            </w:pPr>
            <w:r>
              <w:rPr>
                <w:rFonts w:ascii="宋体" w:hAnsi="宋体" w:cs="宋体" w:eastAsia="宋体" w:hint="default"/>
                <w:b/>
                <w:bCs/>
                <w:sz w:val="20"/>
                <w:szCs w:val="20"/>
              </w:rPr>
              <w:t>持股数量</w:t>
            </w:r>
            <w:r>
              <w:rPr>
                <w:rFonts w:ascii="宋体" w:hAnsi="宋体" w:cs="宋体" w:eastAsia="宋体" w:hint="default"/>
                <w:b/>
                <w:bCs/>
                <w:sz w:val="20"/>
                <w:szCs w:val="20"/>
              </w:rPr>
              <w:t>(</w:t>
            </w:r>
            <w:r>
              <w:rPr>
                <w:rFonts w:ascii="宋体" w:hAnsi="宋体" w:cs="宋体" w:eastAsia="宋体" w:hint="default"/>
                <w:b/>
                <w:bCs/>
                <w:sz w:val="20"/>
                <w:szCs w:val="20"/>
              </w:rPr>
              <w:t>万股</w:t>
            </w:r>
            <w:r>
              <w:rPr>
                <w:rFonts w:ascii="宋体" w:hAnsi="宋体" w:cs="宋体" w:eastAsia="宋体" w:hint="default"/>
                <w:b/>
                <w:bCs/>
                <w:sz w:val="20"/>
                <w:szCs w:val="20"/>
              </w:rPr>
              <w:t>)</w:t>
            </w:r>
            <w:r>
              <w:rPr>
                <w:rFonts w:ascii="宋体" w:hAnsi="宋体" w:cs="宋体" w:eastAsia="宋体" w:hint="default"/>
                <w:sz w:val="20"/>
                <w:szCs w:val="20"/>
              </w:rPr>
            </w:r>
          </w:p>
        </w:tc>
        <w:tc>
          <w:tcPr>
            <w:tcW w:w="1804"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5"/>
              <w:ind w:left="325"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持股比例</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r>
      <w:tr>
        <w:trPr>
          <w:trHeight w:val="348"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35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一、发起人</w:t>
            </w:r>
          </w:p>
        </w:tc>
        <w:tc>
          <w:tcPr>
            <w:tcW w:w="1985" w:type="dxa"/>
            <w:tcBorders>
              <w:top w:val="single" w:sz="8" w:space="0" w:color="000000"/>
              <w:left w:val="single" w:sz="6" w:space="0" w:color="000000"/>
              <w:bottom w:val="single" w:sz="8" w:space="0" w:color="000000"/>
              <w:right w:val="single" w:sz="6" w:space="0" w:color="000000"/>
            </w:tcBorders>
          </w:tcPr>
          <w:p>
            <w:pPr/>
          </w:p>
        </w:tc>
        <w:tc>
          <w:tcPr>
            <w:tcW w:w="1804" w:type="dxa"/>
            <w:tcBorders>
              <w:top w:val="single" w:sz="8" w:space="0" w:color="000000"/>
              <w:left w:val="single" w:sz="6" w:space="0" w:color="000000"/>
              <w:bottom w:val="single" w:sz="8" w:space="0" w:color="000000"/>
              <w:right w:val="nil" w:sz="6" w:space="0" w:color="auto"/>
            </w:tcBorders>
          </w:tcPr>
          <w:p>
            <w:pPr/>
          </w:p>
        </w:tc>
      </w:tr>
      <w:tr>
        <w:trPr>
          <w:trHeight w:val="347"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0"/>
                <w:szCs w:val="20"/>
              </w:rPr>
            </w:pPr>
            <w:r>
              <w:rPr>
                <w:rFonts w:ascii="Times New Roman"/>
                <w:w w:val="100"/>
                <w:sz w:val="20"/>
              </w:rPr>
              <w:t>1</w:t>
            </w:r>
          </w:p>
        </w:tc>
        <w:tc>
          <w:tcPr>
            <w:tcW w:w="3514"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深圳市宝德投资控股有限公司</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pacing w:val="-1"/>
                <w:sz w:val="20"/>
              </w:rPr>
              <w:t>2,550.00</w:t>
            </w:r>
          </w:p>
        </w:tc>
        <w:tc>
          <w:tcPr>
            <w:tcW w:w="180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0"/>
                <w:szCs w:val="20"/>
              </w:rPr>
            </w:pPr>
            <w:r>
              <w:rPr>
                <w:rFonts w:ascii="Times New Roman"/>
                <w:sz w:val="20"/>
              </w:rPr>
              <w:t>25.50</w:t>
            </w:r>
          </w:p>
        </w:tc>
      </w:tr>
      <w:tr>
        <w:trPr>
          <w:trHeight w:val="347"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w w:val="100"/>
                <w:sz w:val="20"/>
              </w:rPr>
              <w:t>2</w:t>
            </w:r>
          </w:p>
        </w:tc>
        <w:tc>
          <w:tcPr>
            <w:tcW w:w="35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深圳宝德科技股份有限公司</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1,530.00</w:t>
            </w:r>
          </w:p>
        </w:tc>
        <w:tc>
          <w:tcPr>
            <w:tcW w:w="180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0"/>
                <w:szCs w:val="20"/>
              </w:rPr>
            </w:pPr>
            <w:r>
              <w:rPr>
                <w:rFonts w:ascii="Times New Roman"/>
                <w:sz w:val="20"/>
              </w:rPr>
              <w:t>15.30</w:t>
            </w:r>
          </w:p>
        </w:tc>
      </w:tr>
      <w:tr>
        <w:trPr>
          <w:trHeight w:val="347"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w w:val="100"/>
                <w:sz w:val="20"/>
              </w:rPr>
              <w:t>3</w:t>
            </w:r>
          </w:p>
        </w:tc>
        <w:tc>
          <w:tcPr>
            <w:tcW w:w="35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中青联创科技</w:t>
            </w:r>
            <w:r>
              <w:rPr>
                <w:rFonts w:ascii="宋体" w:hAnsi="宋体" w:cs="宋体" w:eastAsia="宋体" w:hint="default"/>
                <w:sz w:val="20"/>
                <w:szCs w:val="20"/>
              </w:rPr>
              <w:t>(</w:t>
            </w:r>
            <w:r>
              <w:rPr>
                <w:rFonts w:ascii="宋体" w:hAnsi="宋体" w:cs="宋体" w:eastAsia="宋体" w:hint="default"/>
                <w:sz w:val="20"/>
                <w:szCs w:val="20"/>
              </w:rPr>
              <w:t>北京</w:t>
            </w:r>
            <w:r>
              <w:rPr>
                <w:rFonts w:ascii="宋体" w:hAnsi="宋体" w:cs="宋体" w:eastAsia="宋体" w:hint="default"/>
                <w:sz w:val="20"/>
                <w:szCs w:val="20"/>
              </w:rPr>
              <w:t>)</w:t>
            </w:r>
            <w:r>
              <w:rPr>
                <w:rFonts w:ascii="宋体" w:hAnsi="宋体" w:cs="宋体" w:eastAsia="宋体" w:hint="default"/>
                <w:sz w:val="20"/>
                <w:szCs w:val="20"/>
              </w:rPr>
              <w:t>有限公司</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1,500.00</w:t>
            </w:r>
          </w:p>
        </w:tc>
        <w:tc>
          <w:tcPr>
            <w:tcW w:w="180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0"/>
                <w:szCs w:val="20"/>
              </w:rPr>
            </w:pPr>
            <w:r>
              <w:rPr>
                <w:rFonts w:ascii="Times New Roman"/>
                <w:sz w:val="20"/>
              </w:rPr>
              <w:t>15.00</w:t>
            </w:r>
          </w:p>
        </w:tc>
      </w:tr>
      <w:tr>
        <w:trPr>
          <w:trHeight w:val="347"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w w:val="100"/>
                <w:sz w:val="20"/>
              </w:rPr>
              <w:t>4</w:t>
            </w:r>
          </w:p>
        </w:tc>
        <w:tc>
          <w:tcPr>
            <w:tcW w:w="35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深圳市创新投资集团有限公司</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600.00</w:t>
            </w:r>
          </w:p>
        </w:tc>
        <w:tc>
          <w:tcPr>
            <w:tcW w:w="180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8"/>
              <w:jc w:val="right"/>
              <w:rPr>
                <w:rFonts w:ascii="Times New Roman" w:hAnsi="Times New Roman" w:cs="Times New Roman" w:eastAsia="Times New Roman" w:hint="default"/>
                <w:sz w:val="20"/>
                <w:szCs w:val="20"/>
              </w:rPr>
            </w:pPr>
            <w:r>
              <w:rPr>
                <w:rFonts w:ascii="Times New Roman"/>
                <w:sz w:val="20"/>
              </w:rPr>
              <w:t>6.00</w:t>
            </w:r>
          </w:p>
        </w:tc>
      </w:tr>
      <w:tr>
        <w:trPr>
          <w:trHeight w:val="347"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w w:val="100"/>
                <w:sz w:val="20"/>
              </w:rPr>
              <w:t>5</w:t>
            </w:r>
          </w:p>
        </w:tc>
        <w:tc>
          <w:tcPr>
            <w:tcW w:w="35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深圳市网诚科技有限公司</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363.75</w:t>
            </w:r>
          </w:p>
        </w:tc>
        <w:tc>
          <w:tcPr>
            <w:tcW w:w="180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8"/>
              <w:jc w:val="right"/>
              <w:rPr>
                <w:rFonts w:ascii="Times New Roman" w:hAnsi="Times New Roman" w:cs="Times New Roman" w:eastAsia="Times New Roman" w:hint="default"/>
                <w:sz w:val="20"/>
                <w:szCs w:val="20"/>
              </w:rPr>
            </w:pPr>
            <w:r>
              <w:rPr>
                <w:rFonts w:ascii="Times New Roman"/>
                <w:sz w:val="20"/>
              </w:rPr>
              <w:t>3.64</w:t>
            </w:r>
          </w:p>
        </w:tc>
      </w:tr>
      <w:tr>
        <w:trPr>
          <w:trHeight w:val="348"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w w:val="100"/>
                <w:sz w:val="20"/>
              </w:rPr>
              <w:t>6</w:t>
            </w:r>
          </w:p>
        </w:tc>
        <w:tc>
          <w:tcPr>
            <w:tcW w:w="35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深圳市众志和科技有限公司</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360.75</w:t>
            </w:r>
          </w:p>
        </w:tc>
        <w:tc>
          <w:tcPr>
            <w:tcW w:w="180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8"/>
              <w:jc w:val="right"/>
              <w:rPr>
                <w:rFonts w:ascii="Times New Roman" w:hAnsi="Times New Roman" w:cs="Times New Roman" w:eastAsia="Times New Roman" w:hint="default"/>
                <w:sz w:val="20"/>
                <w:szCs w:val="20"/>
              </w:rPr>
            </w:pPr>
            <w:r>
              <w:rPr>
                <w:rFonts w:ascii="Times New Roman"/>
                <w:sz w:val="20"/>
              </w:rPr>
              <w:t>3.61</w:t>
            </w:r>
          </w:p>
        </w:tc>
      </w:tr>
      <w:tr>
        <w:trPr>
          <w:trHeight w:val="347"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0"/>
                <w:szCs w:val="20"/>
              </w:rPr>
            </w:pPr>
            <w:r>
              <w:rPr>
                <w:rFonts w:ascii="Times New Roman"/>
                <w:w w:val="100"/>
                <w:sz w:val="20"/>
              </w:rPr>
              <w:t>7</w:t>
            </w:r>
          </w:p>
        </w:tc>
        <w:tc>
          <w:tcPr>
            <w:tcW w:w="3514"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深圳市中科招商投资管理有限公司</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pacing w:val="-1"/>
                <w:sz w:val="20"/>
              </w:rPr>
              <w:t>300.00</w:t>
            </w:r>
          </w:p>
        </w:tc>
        <w:tc>
          <w:tcPr>
            <w:tcW w:w="180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0"/>
                <w:szCs w:val="20"/>
              </w:rPr>
            </w:pPr>
            <w:r>
              <w:rPr>
                <w:rFonts w:ascii="Times New Roman"/>
                <w:sz w:val="20"/>
              </w:rPr>
              <w:t>3.00</w:t>
            </w:r>
          </w:p>
        </w:tc>
      </w:tr>
      <w:tr>
        <w:trPr>
          <w:trHeight w:val="347"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w w:val="100"/>
                <w:sz w:val="20"/>
              </w:rPr>
              <w:t>8</w:t>
            </w:r>
          </w:p>
        </w:tc>
        <w:tc>
          <w:tcPr>
            <w:tcW w:w="35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深圳市南博投资有限公司</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295.50</w:t>
            </w:r>
          </w:p>
        </w:tc>
        <w:tc>
          <w:tcPr>
            <w:tcW w:w="180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8"/>
              <w:jc w:val="right"/>
              <w:rPr>
                <w:rFonts w:ascii="Times New Roman" w:hAnsi="Times New Roman" w:cs="Times New Roman" w:eastAsia="Times New Roman" w:hint="default"/>
                <w:sz w:val="20"/>
                <w:szCs w:val="20"/>
              </w:rPr>
            </w:pPr>
            <w:r>
              <w:rPr>
                <w:rFonts w:ascii="Times New Roman"/>
                <w:sz w:val="20"/>
              </w:rPr>
              <w:t>2.95</w:t>
            </w:r>
          </w:p>
        </w:tc>
      </w:tr>
      <w:tr>
        <w:trPr>
          <w:trHeight w:val="347"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35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7,500.00</w:t>
            </w:r>
          </w:p>
        </w:tc>
        <w:tc>
          <w:tcPr>
            <w:tcW w:w="180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0"/>
                <w:szCs w:val="20"/>
              </w:rPr>
            </w:pPr>
            <w:r>
              <w:rPr>
                <w:rFonts w:ascii="Times New Roman"/>
                <w:sz w:val="20"/>
              </w:rPr>
              <w:t>75.00</w:t>
            </w:r>
          </w:p>
        </w:tc>
      </w:tr>
      <w:tr>
        <w:trPr>
          <w:trHeight w:val="347"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35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二、社会公众股</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2,500.00</w:t>
            </w:r>
          </w:p>
        </w:tc>
        <w:tc>
          <w:tcPr>
            <w:tcW w:w="180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0"/>
                <w:szCs w:val="20"/>
              </w:rPr>
            </w:pPr>
            <w:r>
              <w:rPr>
                <w:rFonts w:ascii="Times New Roman"/>
                <w:sz w:val="20"/>
              </w:rPr>
              <w:t>25.00</w:t>
            </w:r>
          </w:p>
        </w:tc>
      </w:tr>
      <w:tr>
        <w:trPr>
          <w:trHeight w:val="348" w:hRule="exact"/>
        </w:trPr>
        <w:tc>
          <w:tcPr>
            <w:tcW w:w="4508" w:type="dxa"/>
            <w:gridSpan w:val="2"/>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b/>
                <w:spacing w:val="-1"/>
                <w:sz w:val="20"/>
              </w:rPr>
              <w:t>10,000.00</w:t>
            </w:r>
            <w:r>
              <w:rPr>
                <w:rFonts w:ascii="Times New Roman"/>
                <w:spacing w:val="-1"/>
                <w:sz w:val="20"/>
              </w:rPr>
            </w:r>
          </w:p>
        </w:tc>
        <w:tc>
          <w:tcPr>
            <w:tcW w:w="180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9"/>
              <w:ind w:right="8"/>
              <w:jc w:val="right"/>
              <w:rPr>
                <w:rFonts w:ascii="Times New Roman" w:hAnsi="Times New Roman" w:cs="Times New Roman" w:eastAsia="Times New Roman" w:hint="default"/>
                <w:sz w:val="20"/>
                <w:szCs w:val="20"/>
              </w:rPr>
            </w:pPr>
            <w:r>
              <w:rPr>
                <w:rFonts w:ascii="Times New Roman"/>
                <w:b/>
                <w:spacing w:val="-1"/>
                <w:sz w:val="20"/>
              </w:rPr>
              <w:t>100.00</w:t>
            </w:r>
            <w:r>
              <w:rPr>
                <w:rFonts w:ascii="Times New Roman"/>
                <w:spacing w:val="-1"/>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0" w:firstLine="360"/>
        <w:jc w:val="both"/>
      </w:pP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29</w:t>
      </w:r>
      <w:r>
        <w:rPr/>
        <w:t>日，公司第一届董事会第十七次会议审议通过了《</w:t>
      </w:r>
      <w:r>
        <w:rPr>
          <w:rFonts w:ascii="宋体" w:hAnsi="宋体" w:cs="宋体" w:eastAsia="宋体" w:hint="default"/>
        </w:rPr>
        <w:t>2009</w:t>
      </w:r>
      <w:r>
        <w:rPr/>
        <w:t>年度利润分配和资本公积转增股本预案》以现有总 </w:t>
      </w:r>
      <w:r>
        <w:rPr>
          <w:spacing w:val="-2"/>
        </w:rPr>
        <w:t>股本</w:t>
      </w:r>
      <w:r>
        <w:rPr>
          <w:rFonts w:ascii="宋体" w:hAnsi="宋体" w:cs="宋体" w:eastAsia="宋体" w:hint="default"/>
          <w:spacing w:val="-2"/>
        </w:rPr>
        <w:t>100,000,000</w:t>
      </w:r>
      <w:r>
        <w:rPr>
          <w:spacing w:val="-2"/>
        </w:rPr>
        <w:t>股为基数，按每</w:t>
      </w:r>
      <w:r>
        <w:rPr>
          <w:rFonts w:ascii="宋体" w:hAnsi="宋体" w:cs="宋体" w:eastAsia="宋体" w:hint="default"/>
          <w:spacing w:val="-2"/>
        </w:rPr>
        <w:t>10</w:t>
      </w:r>
      <w:r>
        <w:rPr>
          <w:spacing w:val="-2"/>
        </w:rPr>
        <w:t>股派发现金股利人民币</w:t>
      </w:r>
      <w:r>
        <w:rPr>
          <w:rFonts w:ascii="宋体" w:hAnsi="宋体" w:cs="宋体" w:eastAsia="宋体" w:hint="default"/>
          <w:spacing w:val="-2"/>
        </w:rPr>
        <w:t>2</w:t>
      </w:r>
      <w:r>
        <w:rPr>
          <w:spacing w:val="-2"/>
        </w:rPr>
        <w:t>元</w:t>
      </w:r>
      <w:r>
        <w:rPr>
          <w:rFonts w:ascii="宋体" w:hAnsi="宋体" w:cs="宋体" w:eastAsia="宋体" w:hint="default"/>
          <w:spacing w:val="-2"/>
        </w:rPr>
        <w:t>(</w:t>
      </w:r>
      <w:r>
        <w:rPr>
          <w:spacing w:val="-2"/>
        </w:rPr>
        <w:t>含税</w:t>
      </w:r>
      <w:r>
        <w:rPr>
          <w:rFonts w:ascii="宋体" w:hAnsi="宋体" w:cs="宋体" w:eastAsia="宋体" w:hint="default"/>
          <w:spacing w:val="-2"/>
        </w:rPr>
        <w:t>)</w:t>
      </w:r>
      <w:r>
        <w:rPr>
          <w:spacing w:val="-2"/>
        </w:rPr>
        <w:t>，派发现金股利共人民币</w:t>
      </w:r>
      <w:r>
        <w:rPr>
          <w:rFonts w:ascii="宋体" w:hAnsi="宋体" w:cs="宋体" w:eastAsia="宋体" w:hint="default"/>
          <w:spacing w:val="-2"/>
        </w:rPr>
        <w:t>20,000,000</w:t>
      </w:r>
      <w:r>
        <w:rPr>
          <w:spacing w:val="-2"/>
        </w:rPr>
        <w:t>元，剩余未分配利</w:t>
      </w:r>
      <w:r>
        <w:rPr>
          <w:spacing w:val="-41"/>
        </w:rPr>
        <w:t> </w:t>
      </w:r>
      <w:r>
        <w:rPr>
          <w:spacing w:val="-41"/>
        </w:rPr>
      </w:r>
      <w:r>
        <w:rPr>
          <w:spacing w:val="-2"/>
        </w:rPr>
        <w:t>润结转以后年度，同时，以总股本</w:t>
      </w:r>
      <w:r>
        <w:rPr>
          <w:rFonts w:ascii="宋体" w:hAnsi="宋体" w:cs="宋体" w:eastAsia="宋体" w:hint="default"/>
          <w:spacing w:val="-2"/>
        </w:rPr>
        <w:t>100,000,000</w:t>
      </w:r>
      <w:r>
        <w:rPr>
          <w:spacing w:val="-2"/>
        </w:rPr>
        <w:t>股为基数，由资本公积向全体股东每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3</w:t>
      </w:r>
      <w:r>
        <w:rPr>
          <w:spacing w:val="-2"/>
        </w:rPr>
        <w:t>股，合计转增股本</w:t>
      </w:r>
      <w:r>
        <w:rPr>
          <w:rFonts w:ascii="宋体" w:hAnsi="宋体" w:cs="宋体" w:eastAsia="宋体" w:hint="default"/>
          <w:spacing w:val="-2"/>
        </w:rPr>
        <w:t>30,000,000</w:t>
      </w:r>
      <w:r>
        <w:rPr>
          <w:rFonts w:ascii="宋体" w:hAnsi="宋体" w:cs="宋体" w:eastAsia="宋体" w:hint="default"/>
          <w:spacing w:val="-42"/>
        </w:rPr>
        <w:t> </w:t>
      </w:r>
      <w:r>
        <w:rPr/>
        <w:t>股。以上方案已经</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20</w:t>
      </w:r>
      <w:r>
        <w:rPr/>
        <w:t>日召开的公司</w:t>
      </w:r>
      <w:r>
        <w:rPr>
          <w:rFonts w:ascii="宋体" w:hAnsi="宋体" w:cs="宋体" w:eastAsia="宋体" w:hint="default"/>
        </w:rPr>
        <w:t>2009</w:t>
      </w:r>
      <w:r>
        <w:rPr/>
        <w:t>年年度股东大会审议通过，转增后总股本为</w:t>
      </w:r>
      <w:r>
        <w:rPr>
          <w:rFonts w:ascii="宋体" w:hAnsi="宋体" w:cs="宋体" w:eastAsia="宋体" w:hint="default"/>
        </w:rPr>
        <w:t>130,000,000</w:t>
      </w:r>
      <w:r>
        <w:rPr/>
        <w:t>股。</w:t>
      </w:r>
    </w:p>
    <w:p>
      <w:pPr>
        <w:spacing w:line="240" w:lineRule="auto" w:before="4"/>
        <w:rPr>
          <w:rFonts w:ascii="宋体" w:hAnsi="宋体" w:cs="宋体" w:eastAsia="宋体" w:hint="default"/>
          <w:sz w:val="25"/>
          <w:szCs w:val="25"/>
        </w:rPr>
      </w:pPr>
    </w:p>
    <w:p>
      <w:pPr>
        <w:pStyle w:val="BodyText"/>
        <w:spacing w:line="240" w:lineRule="auto"/>
        <w:ind w:left="1584" w:right="0"/>
        <w:jc w:val="left"/>
      </w:pPr>
      <w:r>
        <w:rPr>
          <w:rFonts w:ascii="宋体" w:hAnsi="宋体" w:cs="宋体" w:eastAsia="宋体" w:hint="default"/>
        </w:rPr>
        <w:t>2010</w:t>
      </w:r>
      <w:r>
        <w:rPr/>
        <w:t>年</w:t>
      </w:r>
      <w:r>
        <w:rPr>
          <w:rFonts w:ascii="宋体" w:hAnsi="宋体" w:cs="宋体" w:eastAsia="宋体" w:hint="default"/>
        </w:rPr>
        <w:t>6</w:t>
      </w:r>
      <w:r>
        <w:rPr/>
        <w:t>月</w:t>
      </w:r>
      <w:r>
        <w:rPr>
          <w:rFonts w:ascii="宋体" w:hAnsi="宋体" w:cs="宋体" w:eastAsia="宋体" w:hint="default"/>
        </w:rPr>
        <w:t>3</w:t>
      </w:r>
      <w:r>
        <w:rPr/>
        <w:t>日，经深圳市市场监督管理局核准，公司名称变更为深圳中青宝互动网络股份有限公司。</w:t>
      </w:r>
    </w:p>
    <w:p>
      <w:pPr>
        <w:spacing w:line="240" w:lineRule="auto" w:before="0"/>
        <w:rPr>
          <w:rFonts w:ascii="宋体" w:hAnsi="宋体" w:cs="宋体" w:eastAsia="宋体" w:hint="default"/>
          <w:sz w:val="18"/>
          <w:szCs w:val="18"/>
        </w:rPr>
      </w:pPr>
    </w:p>
    <w:p>
      <w:pPr>
        <w:pStyle w:val="BodyText"/>
        <w:spacing w:line="316" w:lineRule="auto" w:before="153"/>
        <w:ind w:right="1132" w:firstLine="360"/>
        <w:jc w:val="both"/>
      </w:pPr>
      <w:r>
        <w:rPr>
          <w:rFonts w:ascii="宋体" w:hAnsi="宋体" w:cs="宋体" w:eastAsia="宋体" w:hint="default"/>
          <w:spacing w:val="-5"/>
        </w:rPr>
        <w:t>2013</w:t>
      </w:r>
      <w:r>
        <w:rPr>
          <w:spacing w:val="-5"/>
        </w:rPr>
        <w:t>年</w:t>
      </w:r>
      <w:r>
        <w:rPr>
          <w:rFonts w:ascii="宋体" w:hAnsi="宋体" w:cs="宋体" w:eastAsia="宋体" w:hint="default"/>
          <w:spacing w:val="-5"/>
        </w:rPr>
        <w:t>8</w:t>
      </w:r>
      <w:r>
        <w:rPr>
          <w:spacing w:val="-5"/>
        </w:rPr>
        <w:t>月</w:t>
      </w:r>
      <w:r>
        <w:rPr>
          <w:rFonts w:ascii="宋体" w:hAnsi="宋体" w:cs="宋体" w:eastAsia="宋体" w:hint="default"/>
          <w:spacing w:val="-5"/>
        </w:rPr>
        <w:t>29</w:t>
      </w:r>
      <w:r>
        <w:rPr>
          <w:spacing w:val="-5"/>
        </w:rPr>
        <w:t>日，公司</w:t>
      </w:r>
      <w:r>
        <w:rPr>
          <w:rFonts w:ascii="宋体" w:hAnsi="宋体" w:cs="宋体" w:eastAsia="宋体" w:hint="default"/>
          <w:spacing w:val="-5"/>
        </w:rPr>
        <w:t>2013</w:t>
      </w:r>
      <w:r>
        <w:rPr>
          <w:spacing w:val="-5"/>
        </w:rPr>
        <w:t>年第二次临时股东大会审议通过了《</w:t>
      </w:r>
      <w:r>
        <w:rPr>
          <w:rFonts w:ascii="宋体" w:hAnsi="宋体" w:cs="宋体" w:eastAsia="宋体" w:hint="default"/>
          <w:spacing w:val="-5"/>
        </w:rPr>
        <w:t>2013</w:t>
      </w:r>
      <w:r>
        <w:rPr>
          <w:spacing w:val="-5"/>
        </w:rPr>
        <w:t>年半年度权益分派方案》，以现有总股本</w:t>
      </w:r>
      <w:r>
        <w:rPr>
          <w:rFonts w:ascii="宋体" w:hAnsi="宋体" w:cs="宋体" w:eastAsia="宋体" w:hint="default"/>
          <w:spacing w:val="-5"/>
        </w:rPr>
        <w:t>130,000,000</w:t>
      </w:r>
      <w:r>
        <w:rPr>
          <w:rFonts w:ascii="宋体" w:hAnsi="宋体" w:cs="宋体" w:eastAsia="宋体" w:hint="default"/>
        </w:rPr>
        <w:t> </w:t>
      </w:r>
      <w:r>
        <w:rPr/>
        <w:t>股为基数，以资本公积向全体股东每</w:t>
      </w:r>
      <w:r>
        <w:rPr>
          <w:rFonts w:ascii="宋体" w:hAnsi="宋体" w:cs="宋体" w:eastAsia="宋体" w:hint="default"/>
        </w:rPr>
        <w:t>10</w:t>
      </w:r>
      <w:r>
        <w:rPr/>
        <w:t>股转增</w:t>
      </w:r>
      <w:r>
        <w:rPr>
          <w:rFonts w:ascii="宋体" w:hAnsi="宋体" w:cs="宋体" w:eastAsia="宋体" w:hint="default"/>
        </w:rPr>
        <w:t>10</w:t>
      </w:r>
      <w:r>
        <w:rPr/>
        <w:t>股，合计转增股本</w:t>
      </w:r>
      <w:r>
        <w:rPr>
          <w:rFonts w:ascii="宋体" w:hAnsi="宋体" w:cs="宋体" w:eastAsia="宋体" w:hint="default"/>
        </w:rPr>
        <w:t>130,000,000</w:t>
      </w:r>
      <w:r>
        <w:rPr/>
        <w:t>股，转增后总股本为</w:t>
      </w:r>
      <w:r>
        <w:rPr>
          <w:rFonts w:ascii="宋体" w:hAnsi="宋体" w:cs="宋体" w:eastAsia="宋体" w:hint="default"/>
        </w:rPr>
        <w:t>260,000,000</w:t>
      </w:r>
      <w:r>
        <w:rPr/>
        <w:t>股。</w:t>
      </w:r>
    </w:p>
    <w:p>
      <w:pPr>
        <w:spacing w:line="240" w:lineRule="auto" w:before="4"/>
        <w:rPr>
          <w:rFonts w:ascii="宋体" w:hAnsi="宋体" w:cs="宋体" w:eastAsia="宋体" w:hint="default"/>
          <w:sz w:val="25"/>
          <w:szCs w:val="25"/>
        </w:rPr>
      </w:pPr>
    </w:p>
    <w:p>
      <w:pPr>
        <w:pStyle w:val="BodyText"/>
        <w:spacing w:line="316" w:lineRule="auto"/>
        <w:ind w:left="1134" w:right="1131" w:firstLine="360"/>
        <w:jc w:val="both"/>
      </w:pPr>
      <w:r>
        <w:rPr>
          <w:rFonts w:ascii="宋体" w:hAnsi="宋体" w:cs="宋体" w:eastAsia="宋体" w:hint="default"/>
          <w:spacing w:val="-2"/>
        </w:rPr>
        <w:t>2015</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16</w:t>
      </w:r>
      <w:r>
        <w:rPr>
          <w:spacing w:val="-2"/>
        </w:rPr>
        <w:t>日公司召开的第三届董事会第十八次</w:t>
      </w:r>
      <w:r>
        <w:rPr>
          <w:rFonts w:ascii="宋体" w:hAnsi="宋体" w:cs="宋体" w:eastAsia="宋体" w:hint="default"/>
          <w:spacing w:val="-2"/>
        </w:rPr>
        <w:t>(</w:t>
      </w:r>
      <w:r>
        <w:rPr>
          <w:spacing w:val="-2"/>
        </w:rPr>
        <w:t>临时</w:t>
      </w:r>
      <w:r>
        <w:rPr>
          <w:rFonts w:ascii="宋体" w:hAnsi="宋体" w:cs="宋体" w:eastAsia="宋体" w:hint="default"/>
          <w:spacing w:val="-2"/>
        </w:rPr>
        <w:t>)</w:t>
      </w:r>
      <w:r>
        <w:rPr>
          <w:spacing w:val="-2"/>
        </w:rPr>
        <w:t>会议审议通过了《关于股票期权激励计划中首次授予的期权第</w:t>
      </w:r>
      <w:r>
        <w:rPr/>
        <w:t> </w:t>
      </w:r>
      <w:r>
        <w:rPr>
          <w:spacing w:val="-2"/>
        </w:rPr>
        <w:t>二个行权期可行权的议案》，公司股票期权激励计划中首次授权股票期权的</w:t>
      </w:r>
      <w:r>
        <w:rPr>
          <w:rFonts w:ascii="宋体" w:hAnsi="宋体" w:cs="宋体" w:eastAsia="宋体" w:hint="default"/>
          <w:spacing w:val="-2"/>
        </w:rPr>
        <w:t>59</w:t>
      </w:r>
      <w:r>
        <w:rPr>
          <w:spacing w:val="-2"/>
        </w:rPr>
        <w:t>名激励对象在第二个行权期行权的股票期权共</w:t>
      </w:r>
      <w:r>
        <w:rPr>
          <w:spacing w:val="-62"/>
        </w:rPr>
        <w:t> </w:t>
      </w:r>
      <w:r>
        <w:rPr/>
        <w:t>计</w:t>
      </w:r>
      <w:r>
        <w:rPr>
          <w:rFonts w:ascii="宋体" w:hAnsi="宋体" w:cs="宋体" w:eastAsia="宋体" w:hint="default"/>
        </w:rPr>
        <w:t>103.86</w:t>
      </w:r>
      <w:r>
        <w:rPr/>
        <w:t>万份，行权价格为</w:t>
      </w:r>
      <w:r>
        <w:rPr>
          <w:rFonts w:ascii="宋体" w:hAnsi="宋体" w:cs="宋体" w:eastAsia="宋体" w:hint="default"/>
        </w:rPr>
        <w:t>6.54</w:t>
      </w:r>
      <w:r>
        <w:rPr/>
        <w:t>元</w:t>
      </w:r>
      <w:r>
        <w:rPr>
          <w:rFonts w:ascii="宋体" w:hAnsi="宋体" w:cs="宋体" w:eastAsia="宋体" w:hint="default"/>
        </w:rPr>
        <w:t>/</w:t>
      </w:r>
      <w:r>
        <w:rPr/>
        <w:t>股，其中</w:t>
      </w:r>
      <w:r>
        <w:rPr>
          <w:rFonts w:ascii="宋体" w:hAnsi="宋体" w:cs="宋体" w:eastAsia="宋体" w:hint="default"/>
        </w:rPr>
        <w:t>1,038,600.00</w:t>
      </w:r>
      <w:r>
        <w:rPr/>
        <w:t>元增加股本，其余</w:t>
      </w:r>
      <w:r>
        <w:rPr>
          <w:rFonts w:ascii="宋体" w:hAnsi="宋体" w:cs="宋体" w:eastAsia="宋体" w:hint="default"/>
        </w:rPr>
        <w:t>5,753,844.00</w:t>
      </w:r>
      <w:r>
        <w:rPr/>
        <w:t>元计入资本公积。</w:t>
      </w:r>
    </w:p>
    <w:p>
      <w:pPr>
        <w:spacing w:line="240" w:lineRule="auto" w:before="4"/>
        <w:rPr>
          <w:rFonts w:ascii="宋体" w:hAnsi="宋体" w:cs="宋体" w:eastAsia="宋体" w:hint="default"/>
          <w:sz w:val="25"/>
          <w:szCs w:val="25"/>
        </w:rPr>
      </w:pPr>
    </w:p>
    <w:p>
      <w:pPr>
        <w:pStyle w:val="BodyText"/>
        <w:spacing w:line="316" w:lineRule="auto"/>
        <w:ind w:right="1131" w:firstLine="360"/>
        <w:jc w:val="both"/>
      </w:pPr>
      <w:r>
        <w:rPr>
          <w:spacing w:val="-2"/>
        </w:rPr>
        <w:t>截至</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日，本公司累计股本总数</w:t>
      </w:r>
      <w:r>
        <w:rPr>
          <w:rFonts w:ascii="宋体" w:hAnsi="宋体" w:cs="宋体" w:eastAsia="宋体" w:hint="default"/>
          <w:spacing w:val="-2"/>
        </w:rPr>
        <w:t>261,038,600.00</w:t>
      </w:r>
      <w:r>
        <w:rPr>
          <w:spacing w:val="-2"/>
        </w:rPr>
        <w:t>股，注册资本为</w:t>
      </w:r>
      <w:r>
        <w:rPr>
          <w:rFonts w:ascii="宋体" w:hAnsi="宋体" w:cs="宋体" w:eastAsia="宋体" w:hint="default"/>
          <w:spacing w:val="-2"/>
        </w:rPr>
        <w:t>261,038,600.00</w:t>
      </w:r>
      <w:r>
        <w:rPr>
          <w:spacing w:val="-2"/>
        </w:rPr>
        <w:t>元，股本及股权结构情况如</w:t>
      </w:r>
      <w:r>
        <w:rPr/>
        <w:t> 下：</w:t>
      </w:r>
    </w:p>
    <w:p>
      <w:pPr>
        <w:spacing w:line="240" w:lineRule="auto" w:before="6"/>
        <w:rPr>
          <w:rFonts w:ascii="宋体" w:hAnsi="宋体" w:cs="宋体" w:eastAsia="宋体" w:hint="default"/>
          <w:sz w:val="24"/>
          <w:szCs w:val="24"/>
        </w:rPr>
      </w:pPr>
    </w:p>
    <w:tbl>
      <w:tblPr>
        <w:tblW w:w="0" w:type="auto"/>
        <w:jc w:val="left"/>
        <w:tblInd w:w="1126" w:type="dxa"/>
        <w:tblLayout w:type="fixed"/>
        <w:tblCellMar>
          <w:top w:w="0" w:type="dxa"/>
          <w:left w:w="0" w:type="dxa"/>
          <w:bottom w:w="0" w:type="dxa"/>
          <w:right w:w="0" w:type="dxa"/>
        </w:tblCellMar>
        <w:tblLook w:val="01E0"/>
      </w:tblPr>
      <w:tblGrid>
        <w:gridCol w:w="3722"/>
        <w:gridCol w:w="2247"/>
        <w:gridCol w:w="2555"/>
      </w:tblGrid>
      <w:tr>
        <w:trPr>
          <w:trHeight w:val="349" w:hRule="exact"/>
        </w:trPr>
        <w:tc>
          <w:tcPr>
            <w:tcW w:w="3722" w:type="dxa"/>
            <w:tcBorders>
              <w:top w:val="single" w:sz="6" w:space="0" w:color="000000"/>
              <w:left w:val="single" w:sz="6" w:space="0" w:color="000000"/>
              <w:bottom w:val="single" w:sz="8" w:space="0" w:color="000000"/>
              <w:right w:val="single" w:sz="6" w:space="0" w:color="000000"/>
            </w:tcBorders>
          </w:tcPr>
          <w:p>
            <w:pPr/>
          </w:p>
        </w:tc>
        <w:tc>
          <w:tcPr>
            <w:tcW w:w="224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512" w:right="0"/>
              <w:jc w:val="left"/>
              <w:rPr>
                <w:rFonts w:ascii="宋体" w:hAnsi="宋体" w:cs="宋体" w:eastAsia="宋体" w:hint="default"/>
                <w:sz w:val="20"/>
                <w:szCs w:val="20"/>
              </w:rPr>
            </w:pPr>
            <w:r>
              <w:rPr>
                <w:rFonts w:ascii="宋体" w:hAnsi="宋体" w:cs="宋体" w:eastAsia="宋体" w:hint="default"/>
                <w:b/>
                <w:bCs/>
                <w:sz w:val="20"/>
                <w:szCs w:val="20"/>
              </w:rPr>
              <w:t>股份数量</w:t>
            </w:r>
            <w:r>
              <w:rPr>
                <w:rFonts w:ascii="宋体" w:hAnsi="宋体" w:cs="宋体" w:eastAsia="宋体" w:hint="default"/>
                <w:b/>
                <w:bCs/>
                <w:sz w:val="20"/>
                <w:szCs w:val="20"/>
              </w:rPr>
              <w:t>(</w:t>
            </w:r>
            <w:r>
              <w:rPr>
                <w:rFonts w:ascii="宋体" w:hAnsi="宋体" w:cs="宋体" w:eastAsia="宋体" w:hint="default"/>
                <w:b/>
                <w:bCs/>
                <w:sz w:val="20"/>
                <w:szCs w:val="20"/>
              </w:rPr>
              <w:t>股</w:t>
            </w:r>
            <w:r>
              <w:rPr>
                <w:rFonts w:ascii="宋体" w:hAnsi="宋体" w:cs="宋体" w:eastAsia="宋体" w:hint="default"/>
                <w:b/>
                <w:bCs/>
                <w:sz w:val="20"/>
                <w:szCs w:val="20"/>
              </w:rPr>
              <w:t>)</w:t>
            </w:r>
            <w:r>
              <w:rPr>
                <w:rFonts w:ascii="宋体" w:hAnsi="宋体" w:cs="宋体" w:eastAsia="宋体" w:hint="default"/>
                <w:sz w:val="20"/>
                <w:szCs w:val="20"/>
              </w:rPr>
            </w:r>
          </w:p>
        </w:tc>
        <w:tc>
          <w:tcPr>
            <w:tcW w:w="2555"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5"/>
              <w:ind w:left="667" w:right="0"/>
              <w:jc w:val="left"/>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r>
      <w:tr>
        <w:trPr>
          <w:trHeight w:val="347" w:hRule="exact"/>
        </w:trPr>
        <w:tc>
          <w:tcPr>
            <w:tcW w:w="37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b/>
                <w:bCs/>
                <w:sz w:val="20"/>
                <w:szCs w:val="20"/>
              </w:rPr>
              <w:t>一、有限售条件股份</w:t>
            </w:r>
            <w:r>
              <w:rPr>
                <w:rFonts w:ascii="宋体" w:hAnsi="宋体" w:cs="宋体" w:eastAsia="宋体" w:hint="default"/>
                <w:sz w:val="20"/>
                <w:szCs w:val="20"/>
              </w:rPr>
            </w:r>
          </w:p>
        </w:tc>
        <w:tc>
          <w:tcPr>
            <w:tcW w:w="2247" w:type="dxa"/>
            <w:tcBorders>
              <w:top w:val="single" w:sz="8" w:space="0" w:color="000000"/>
              <w:left w:val="single" w:sz="6" w:space="0" w:color="000000"/>
              <w:bottom w:val="single" w:sz="8" w:space="0" w:color="000000"/>
              <w:right w:val="single" w:sz="6" w:space="0" w:color="000000"/>
            </w:tcBorders>
          </w:tcPr>
          <w:p>
            <w:pPr/>
          </w:p>
        </w:tc>
        <w:tc>
          <w:tcPr>
            <w:tcW w:w="2555" w:type="dxa"/>
            <w:tcBorders>
              <w:top w:val="single" w:sz="8" w:space="0" w:color="000000"/>
              <w:left w:val="single" w:sz="6" w:space="0" w:color="000000"/>
              <w:bottom w:val="single" w:sz="8" w:space="0" w:color="000000"/>
              <w:right w:val="nil" w:sz="6" w:space="0" w:color="auto"/>
            </w:tcBorders>
          </w:tcPr>
          <w:p>
            <w:pPr/>
          </w:p>
        </w:tc>
      </w:tr>
      <w:tr>
        <w:trPr>
          <w:trHeight w:val="347" w:hRule="exact"/>
        </w:trPr>
        <w:tc>
          <w:tcPr>
            <w:tcW w:w="37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、高管锁定股</w:t>
            </w:r>
          </w:p>
        </w:tc>
        <w:tc>
          <w:tcPr>
            <w:tcW w:w="22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105,000.00</w:t>
            </w:r>
          </w:p>
        </w:tc>
        <w:tc>
          <w:tcPr>
            <w:tcW w:w="255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0"/>
                <w:szCs w:val="20"/>
              </w:rPr>
            </w:pPr>
            <w:r>
              <w:rPr>
                <w:rFonts w:ascii="Times New Roman"/>
                <w:sz w:val="20"/>
              </w:rPr>
              <w:t>0.04</w:t>
            </w:r>
          </w:p>
        </w:tc>
      </w:tr>
      <w:tr>
        <w:trPr>
          <w:trHeight w:val="348" w:hRule="exact"/>
        </w:trPr>
        <w:tc>
          <w:tcPr>
            <w:tcW w:w="37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22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b/>
                <w:spacing w:val="-1"/>
                <w:sz w:val="20"/>
              </w:rPr>
              <w:t>105,000.00</w:t>
            </w:r>
            <w:r>
              <w:rPr>
                <w:rFonts w:ascii="Times New Roman"/>
                <w:spacing w:val="-1"/>
                <w:sz w:val="20"/>
              </w:rPr>
            </w:r>
          </w:p>
        </w:tc>
        <w:tc>
          <w:tcPr>
            <w:tcW w:w="255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9"/>
              <w:ind w:right="7"/>
              <w:jc w:val="right"/>
              <w:rPr>
                <w:rFonts w:ascii="Times New Roman" w:hAnsi="Times New Roman" w:cs="Times New Roman" w:eastAsia="Times New Roman" w:hint="default"/>
                <w:sz w:val="20"/>
                <w:szCs w:val="20"/>
              </w:rPr>
            </w:pPr>
            <w:r>
              <w:rPr>
                <w:rFonts w:ascii="Times New Roman"/>
                <w:b/>
                <w:sz w:val="20"/>
              </w:rPr>
              <w:t>0.04</w:t>
            </w:r>
            <w:r>
              <w:rPr>
                <w:rFonts w:ascii="Times New Roman"/>
                <w:sz w:val="20"/>
              </w:rPr>
            </w:r>
          </w:p>
        </w:tc>
      </w:tr>
      <w:tr>
        <w:trPr>
          <w:trHeight w:val="347" w:hRule="exact"/>
        </w:trPr>
        <w:tc>
          <w:tcPr>
            <w:tcW w:w="3722"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b/>
                <w:bCs/>
                <w:sz w:val="20"/>
                <w:szCs w:val="20"/>
              </w:rPr>
              <w:t>二、无限售条件股份</w:t>
            </w:r>
            <w:r>
              <w:rPr>
                <w:rFonts w:ascii="宋体" w:hAnsi="宋体" w:cs="宋体" w:eastAsia="宋体" w:hint="default"/>
                <w:sz w:val="20"/>
                <w:szCs w:val="20"/>
              </w:rPr>
            </w:r>
          </w:p>
        </w:tc>
        <w:tc>
          <w:tcPr>
            <w:tcW w:w="2247" w:type="dxa"/>
            <w:tcBorders>
              <w:top w:val="single" w:sz="8" w:space="0" w:color="000000"/>
              <w:left w:val="single" w:sz="6" w:space="0" w:color="000000"/>
              <w:bottom w:val="single" w:sz="8" w:space="0" w:color="000000"/>
              <w:right w:val="single" w:sz="6" w:space="0" w:color="000000"/>
            </w:tcBorders>
          </w:tcPr>
          <w:p>
            <w:pPr/>
          </w:p>
        </w:tc>
        <w:tc>
          <w:tcPr>
            <w:tcW w:w="2555" w:type="dxa"/>
            <w:tcBorders>
              <w:top w:val="single" w:sz="8" w:space="0" w:color="000000"/>
              <w:left w:val="single" w:sz="6" w:space="0" w:color="000000"/>
              <w:bottom w:val="single" w:sz="8" w:space="0" w:color="000000"/>
              <w:right w:val="nil" w:sz="6" w:space="0" w:color="auto"/>
            </w:tcBorders>
          </w:tcPr>
          <w:p>
            <w:pPr/>
          </w:p>
        </w:tc>
      </w:tr>
      <w:tr>
        <w:trPr>
          <w:trHeight w:val="347" w:hRule="exact"/>
        </w:trPr>
        <w:tc>
          <w:tcPr>
            <w:tcW w:w="37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、人民币普通股</w:t>
            </w:r>
          </w:p>
        </w:tc>
        <w:tc>
          <w:tcPr>
            <w:tcW w:w="22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260,933,600.00</w:t>
            </w:r>
          </w:p>
        </w:tc>
        <w:tc>
          <w:tcPr>
            <w:tcW w:w="255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sz w:val="20"/>
              </w:rPr>
              <w:t>99.96</w:t>
            </w:r>
          </w:p>
        </w:tc>
      </w:tr>
      <w:tr>
        <w:trPr>
          <w:trHeight w:val="347" w:hRule="exact"/>
        </w:trPr>
        <w:tc>
          <w:tcPr>
            <w:tcW w:w="37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22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b/>
                <w:spacing w:val="-1"/>
                <w:sz w:val="20"/>
              </w:rPr>
              <w:t>260,933,600.00</w:t>
            </w:r>
            <w:r>
              <w:rPr>
                <w:rFonts w:ascii="Times New Roman"/>
                <w:spacing w:val="-1"/>
                <w:sz w:val="20"/>
              </w:rPr>
            </w:r>
          </w:p>
        </w:tc>
        <w:tc>
          <w:tcPr>
            <w:tcW w:w="255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9"/>
              <w:ind w:right="6"/>
              <w:jc w:val="right"/>
              <w:rPr>
                <w:rFonts w:ascii="Times New Roman" w:hAnsi="Times New Roman" w:cs="Times New Roman" w:eastAsia="Times New Roman" w:hint="default"/>
                <w:sz w:val="20"/>
                <w:szCs w:val="20"/>
              </w:rPr>
            </w:pPr>
            <w:r>
              <w:rPr>
                <w:rFonts w:ascii="Times New Roman"/>
                <w:b/>
                <w:sz w:val="20"/>
              </w:rPr>
              <w:t>99.96</w:t>
            </w:r>
            <w:r>
              <w:rPr>
                <w:rFonts w:ascii="Times New Roman"/>
                <w:sz w:val="20"/>
              </w:rPr>
            </w:r>
          </w:p>
        </w:tc>
      </w:tr>
      <w:tr>
        <w:trPr>
          <w:trHeight w:val="348" w:hRule="exact"/>
        </w:trPr>
        <w:tc>
          <w:tcPr>
            <w:tcW w:w="37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b/>
                <w:bCs/>
                <w:sz w:val="20"/>
                <w:szCs w:val="20"/>
              </w:rPr>
              <w:t>三、股份总额</w:t>
            </w:r>
            <w:r>
              <w:rPr>
                <w:rFonts w:ascii="宋体" w:hAnsi="宋体" w:cs="宋体" w:eastAsia="宋体" w:hint="default"/>
                <w:sz w:val="20"/>
                <w:szCs w:val="20"/>
              </w:rPr>
            </w:r>
          </w:p>
        </w:tc>
        <w:tc>
          <w:tcPr>
            <w:tcW w:w="22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b/>
                <w:spacing w:val="-1"/>
                <w:sz w:val="20"/>
              </w:rPr>
              <w:t>261,038,600.00</w:t>
            </w:r>
            <w:r>
              <w:rPr>
                <w:rFonts w:ascii="Times New Roman"/>
                <w:spacing w:val="-1"/>
                <w:sz w:val="20"/>
              </w:rPr>
            </w:r>
          </w:p>
        </w:tc>
        <w:tc>
          <w:tcPr>
            <w:tcW w:w="255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9"/>
              <w:ind w:right="6"/>
              <w:jc w:val="right"/>
              <w:rPr>
                <w:rFonts w:ascii="Times New Roman" w:hAnsi="Times New Roman" w:cs="Times New Roman" w:eastAsia="Times New Roman" w:hint="default"/>
                <w:sz w:val="20"/>
                <w:szCs w:val="20"/>
              </w:rPr>
            </w:pPr>
            <w:r>
              <w:rPr>
                <w:rFonts w:ascii="Times New Roman"/>
                <w:b/>
                <w:spacing w:val="-1"/>
                <w:sz w:val="20"/>
              </w:rPr>
              <w:t>100.00</w:t>
            </w:r>
            <w:r>
              <w:rPr>
                <w:rFonts w:ascii="Times New Roman"/>
                <w:spacing w:val="-1"/>
                <w:sz w:val="20"/>
              </w:rPr>
            </w:r>
          </w:p>
        </w:tc>
      </w:tr>
    </w:tbl>
    <w:p>
      <w:pPr>
        <w:spacing w:line="240" w:lineRule="auto" w:before="3"/>
        <w:rPr>
          <w:rFonts w:ascii="宋体" w:hAnsi="宋体" w:cs="宋体" w:eastAsia="宋体" w:hint="default"/>
          <w:sz w:val="21"/>
          <w:szCs w:val="21"/>
        </w:rPr>
      </w:pPr>
    </w:p>
    <w:p>
      <w:pPr>
        <w:pStyle w:val="BodyText"/>
        <w:spacing w:line="316" w:lineRule="auto" w:before="44"/>
        <w:ind w:left="1134" w:right="1122" w:firstLine="360"/>
        <w:jc w:val="left"/>
      </w:pPr>
      <w:r>
        <w:rPr/>
        <w:t>注册地址：广东省深圳市福田区深南中路电子科技大厦</w:t>
      </w:r>
      <w:r>
        <w:rPr>
          <w:rFonts w:ascii="宋体" w:hAnsi="宋体" w:cs="宋体" w:eastAsia="宋体" w:hint="default"/>
        </w:rPr>
        <w:t>C</w:t>
      </w:r>
      <w:r>
        <w:rPr/>
        <w:t>座</w:t>
      </w:r>
      <w:r>
        <w:rPr>
          <w:rFonts w:ascii="宋体" w:hAnsi="宋体" w:cs="宋体" w:eastAsia="宋体" w:hint="default"/>
        </w:rPr>
        <w:t>43</w:t>
      </w:r>
      <w:r>
        <w:rPr/>
        <w:t>层</w:t>
      </w:r>
      <w:r>
        <w:rPr>
          <w:rFonts w:ascii="宋体" w:hAnsi="宋体" w:cs="宋体" w:eastAsia="宋体" w:hint="default"/>
        </w:rPr>
        <w:t>A1</w:t>
      </w:r>
      <w:r>
        <w:rPr/>
        <w:t>，办公地址：广东省深圳市南山区科技园南区高新南 四道</w:t>
      </w:r>
      <w:r>
        <w:rPr>
          <w:rFonts w:ascii="宋体" w:hAnsi="宋体" w:cs="宋体" w:eastAsia="宋体" w:hint="default"/>
        </w:rPr>
        <w:t>W1B</w:t>
      </w:r>
      <w:r>
        <w:rPr/>
        <w:t>栋</w:t>
      </w:r>
      <w:r>
        <w:rPr>
          <w:rFonts w:ascii="宋体" w:hAnsi="宋体" w:cs="宋体" w:eastAsia="宋体" w:hint="default"/>
        </w:rPr>
        <w:t>4</w:t>
      </w:r>
      <w:r>
        <w:rPr/>
        <w:t>楼，实际控制人为李瑞杰和张云霞夫妇。</w:t>
      </w:r>
    </w:p>
    <w:p>
      <w:pPr>
        <w:spacing w:line="240" w:lineRule="auto" w:before="4"/>
        <w:rPr>
          <w:rFonts w:ascii="宋体" w:hAnsi="宋体" w:cs="宋体" w:eastAsia="宋体" w:hint="default"/>
          <w:sz w:val="25"/>
          <w:szCs w:val="25"/>
        </w:rPr>
      </w:pPr>
    </w:p>
    <w:p>
      <w:pPr>
        <w:pStyle w:val="BodyText"/>
        <w:spacing w:line="316" w:lineRule="auto"/>
        <w:ind w:right="1129" w:firstLine="360"/>
        <w:jc w:val="both"/>
      </w:pPr>
      <w:r>
        <w:rPr/>
        <w:t>本公司属网络游戏行业，根据《上市公司行业分类指引》，归类为“G87计算机应用服务业”行业，主要产品或服务为 </w:t>
      </w:r>
      <w:r>
        <w:rPr>
          <w:spacing w:val="-2"/>
        </w:rPr>
        <w:t>网络游戏的开发与运营。经营范围主要为：计算机软、硬件及网络系统的技术开发；电子通讯产品的技术开发、外观设计以</w:t>
      </w:r>
      <w:r>
        <w:rPr>
          <w:spacing w:val="-66"/>
        </w:rPr>
        <w:t> </w:t>
      </w:r>
      <w:r>
        <w:rPr>
          <w:spacing w:val="-66"/>
        </w:rPr>
      </w:r>
      <w:r>
        <w:rPr/>
        <w:t>及相关产品的销售和咨询服务</w:t>
      </w:r>
      <w:r>
        <w:rPr>
          <w:rFonts w:ascii="宋体" w:hAnsi="宋体" w:cs="宋体" w:eastAsia="宋体" w:hint="default"/>
        </w:rPr>
        <w:t>(</w:t>
      </w:r>
      <w:r>
        <w:rPr/>
        <w:t>不含专营、专控、专卖商品及限制项目</w:t>
      </w:r>
      <w:r>
        <w:rPr>
          <w:rFonts w:ascii="宋体" w:hAnsi="宋体" w:cs="宋体" w:eastAsia="宋体" w:hint="default"/>
        </w:rPr>
        <w:t>)</w:t>
      </w:r>
      <w:r>
        <w:rPr/>
        <w:t>；因特网接入服务业务、信息服务业务</w:t>
      </w:r>
      <w:r>
        <w:rPr>
          <w:rFonts w:ascii="宋体" w:hAnsi="宋体" w:cs="宋体" w:eastAsia="宋体" w:hint="default"/>
        </w:rPr>
        <w:t>(</w:t>
      </w:r>
      <w:r>
        <w:rPr/>
        <w:t>仅限互联网</w:t>
      </w:r>
      <w:r>
        <w:rPr>
          <w:spacing w:val="-83"/>
        </w:rPr>
        <w:t> </w:t>
      </w:r>
      <w:r>
        <w:rPr>
          <w:spacing w:val="-83"/>
        </w:rPr>
      </w:r>
      <w:r>
        <w:rPr/>
        <w:t>信息服务和移动网信息服务业务</w:t>
      </w:r>
      <w:r>
        <w:rPr>
          <w:rFonts w:ascii="宋体" w:hAnsi="宋体" w:cs="宋体" w:eastAsia="宋体" w:hint="default"/>
        </w:rPr>
        <w:t>)</w:t>
      </w:r>
      <w:r>
        <w:rPr/>
        <w:t>；进出口业务；互联网游戏出版物；手机游戏出版物。</w:t>
      </w:r>
    </w:p>
    <w:p>
      <w:pPr>
        <w:spacing w:line="240" w:lineRule="auto" w:before="4"/>
        <w:rPr>
          <w:rFonts w:ascii="宋体" w:hAnsi="宋体" w:cs="宋体" w:eastAsia="宋体" w:hint="default"/>
          <w:sz w:val="25"/>
          <w:szCs w:val="25"/>
        </w:rPr>
      </w:pPr>
    </w:p>
    <w:p>
      <w:pPr>
        <w:pStyle w:val="BodyText"/>
        <w:spacing w:line="309" w:lineRule="auto"/>
        <w:ind w:right="0" w:firstLine="360"/>
        <w:jc w:val="left"/>
      </w:pPr>
      <w:r>
        <w:rPr/>
        <w:t>本公司合并财务报表范围包括深圳卓页、深圳时代首游、</w:t>
      </w:r>
      <w:r>
        <w:rPr>
          <w:rFonts w:ascii="宋体" w:hAnsi="宋体" w:cs="宋体" w:eastAsia="宋体" w:hint="default"/>
        </w:rPr>
        <w:t>CUPLAY</w:t>
      </w:r>
      <w:r>
        <w:rPr/>
        <w:t>、深圳苏摩、上海美峰等</w:t>
      </w:r>
      <w:r>
        <w:rPr>
          <w:rFonts w:ascii="宋体" w:hAnsi="宋体" w:cs="宋体" w:eastAsia="宋体" w:hint="default"/>
        </w:rPr>
        <w:t>27</w:t>
      </w:r>
      <w:r>
        <w:rPr/>
        <w:t>家子公司</w:t>
      </w:r>
      <w:r>
        <w:rPr>
          <w:rFonts w:ascii="宋体" w:hAnsi="宋体" w:cs="宋体" w:eastAsia="宋体" w:hint="default"/>
        </w:rPr>
        <w:t>(</w:t>
      </w:r>
      <w:r>
        <w:rPr/>
        <w:t>子公司全称见附 注九、在其他主体中的权益</w:t>
      </w:r>
      <w:r>
        <w:rPr>
          <w:spacing w:val="24"/>
        </w:rPr>
        <w:t> </w:t>
      </w:r>
      <w:r>
        <w:rPr>
          <w:rFonts w:ascii="Times New Roman" w:hAnsi="Times New Roman" w:cs="Times New Roman" w:eastAsia="Times New Roman" w:hint="default"/>
        </w:rPr>
        <w:t>1</w:t>
      </w:r>
      <w:r>
        <w:rPr/>
        <w:t>、在子公司中的权益</w:t>
      </w:r>
      <w:r>
        <w:rPr>
          <w:spacing w:val="27"/>
        </w:rPr>
        <w:t> </w:t>
      </w:r>
      <w:r>
        <w:rPr>
          <w:rFonts w:ascii="Times New Roman" w:hAnsi="Times New Roman" w:cs="Times New Roman" w:eastAsia="Times New Roman" w:hint="default"/>
        </w:rPr>
        <w:t>(1)</w:t>
      </w:r>
      <w:r>
        <w:rPr/>
        <w:t>、企业集团的构成</w:t>
      </w:r>
      <w:r>
        <w:rPr>
          <w:rFonts w:ascii="宋体" w:hAnsi="宋体" w:cs="宋体" w:eastAsia="宋体" w:hint="default"/>
        </w:rPr>
        <w:t>)</w:t>
      </w:r>
      <w:r>
        <w:rPr/>
        <w:t>。与上年相比，因新设增加深圳五秒</w:t>
      </w:r>
      <w:r>
        <w:rPr>
          <w:rFonts w:ascii="宋体" w:hAnsi="宋体" w:cs="宋体" w:eastAsia="宋体" w:hint="default"/>
        </w:rPr>
        <w:t>1</w:t>
      </w:r>
      <w:r>
        <w:rPr/>
        <w:t>家子公司，</w:t>
      </w:r>
      <w:r>
        <w:rPr>
          <w:spacing w:val="-86"/>
        </w:rPr>
        <w:t> </w:t>
      </w:r>
      <w:r>
        <w:rPr>
          <w:spacing w:val="-86"/>
        </w:rPr>
      </w:r>
      <w:r>
        <w:rPr/>
        <w:t>因注销减少成都米斗、北京幻龙</w:t>
      </w:r>
      <w:r>
        <w:rPr>
          <w:rFonts w:ascii="宋体" w:hAnsi="宋体" w:cs="宋体" w:eastAsia="宋体" w:hint="default"/>
        </w:rPr>
        <w:t>2</w:t>
      </w:r>
      <w:r>
        <w:rPr/>
        <w:t>家子公司。</w:t>
      </w:r>
    </w:p>
    <w:p>
      <w:pPr>
        <w:spacing w:after="0" w:line="309"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四、财务报表的编制基础" w:id="157"/>
      <w:bookmarkEnd w:id="157"/>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left="1133" w:right="0"/>
        <w:jc w:val="left"/>
        <w:rPr>
          <w:b w:val="0"/>
          <w:bCs w:val="0"/>
        </w:rPr>
      </w:pPr>
      <w:bookmarkStart w:name="1、编制基础" w:id="158"/>
      <w:bookmarkEnd w:id="15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本公司财务报表以持续经营为基础，根据实际发生的交易和事项，按照财政部颁布的《企业会计准则》及相关规定，并</w:t>
      </w:r>
      <w:r>
        <w:rPr/>
        <w:t> 基于本附注“五、重要会计政策及会计估计”所述会计政策和会计估计编制。</w:t>
      </w:r>
    </w:p>
    <w:p>
      <w:pPr>
        <w:spacing w:line="240" w:lineRule="auto" w:before="7"/>
        <w:rPr>
          <w:rFonts w:ascii="宋体" w:hAnsi="宋体" w:cs="宋体" w:eastAsia="宋体" w:hint="default"/>
          <w:sz w:val="22"/>
          <w:szCs w:val="22"/>
        </w:rPr>
      </w:pPr>
    </w:p>
    <w:p>
      <w:pPr>
        <w:pStyle w:val="Heading7"/>
        <w:spacing w:line="240" w:lineRule="auto"/>
        <w:ind w:left="1133" w:right="0"/>
        <w:jc w:val="left"/>
        <w:rPr>
          <w:b w:val="0"/>
          <w:bCs w:val="0"/>
        </w:rPr>
      </w:pPr>
      <w:bookmarkStart w:name="2、持续经营" w:id="159"/>
      <w:bookmarkEnd w:id="159"/>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t>本公司有近期获利经营的历史且有财务资源支持，认为以持续经营为基础编制财务报表是合理的。</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五、重要会计政策及会计估计" w:id="160"/>
      <w:bookmarkEnd w:id="160"/>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553" w:right="1153"/>
        <w:jc w:val="left"/>
      </w:pPr>
      <w:r>
        <w:rPr/>
        <w:t>具体会计政策和会计估计提示： 本公司根据实际生产经营特点对应收款项坏账准备计提、固定资产折旧、无形资产摊销、收入确认等交易或事项制定</w:t>
      </w:r>
    </w:p>
    <w:p>
      <w:pPr>
        <w:pStyle w:val="BodyText"/>
        <w:spacing w:line="225" w:lineRule="exact"/>
        <w:ind w:right="0"/>
        <w:jc w:val="left"/>
      </w:pPr>
      <w:r>
        <w:rPr/>
        <w:t>了具体会计政策和会计估计。</w:t>
      </w:r>
    </w:p>
    <w:p>
      <w:pPr>
        <w:spacing w:line="240" w:lineRule="auto" w:before="10"/>
        <w:rPr>
          <w:rFonts w:ascii="宋体" w:hAnsi="宋体" w:cs="宋体" w:eastAsia="宋体" w:hint="default"/>
          <w:sz w:val="26"/>
          <w:szCs w:val="26"/>
        </w:rPr>
      </w:pPr>
    </w:p>
    <w:p>
      <w:pPr>
        <w:pStyle w:val="Heading7"/>
        <w:spacing w:line="240" w:lineRule="auto"/>
        <w:ind w:left="1133" w:right="0"/>
        <w:jc w:val="left"/>
        <w:rPr>
          <w:b w:val="0"/>
          <w:bCs w:val="0"/>
        </w:rPr>
      </w:pPr>
      <w:bookmarkStart w:name="1、遵循企业会计准则的声明" w:id="161"/>
      <w:bookmarkEnd w:id="161"/>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53" w:firstLine="420"/>
        <w:jc w:val="left"/>
      </w:pPr>
      <w:r>
        <w:rPr/>
        <w:t>本公司编制的财务报表符合企业会计准则的要求，真实、完整地反映了本集团的财务状况、经营成果和现金流量等有 关信息。</w:t>
      </w:r>
    </w:p>
    <w:p>
      <w:pPr>
        <w:spacing w:line="240" w:lineRule="auto" w:before="3"/>
        <w:rPr>
          <w:rFonts w:ascii="宋体" w:hAnsi="宋体" w:cs="宋体" w:eastAsia="宋体" w:hint="default"/>
          <w:sz w:val="22"/>
          <w:szCs w:val="22"/>
        </w:rPr>
      </w:pPr>
    </w:p>
    <w:p>
      <w:pPr>
        <w:pStyle w:val="Heading7"/>
        <w:spacing w:line="240" w:lineRule="auto"/>
        <w:ind w:left="1133" w:right="0"/>
        <w:jc w:val="left"/>
        <w:rPr>
          <w:b w:val="0"/>
          <w:bCs w:val="0"/>
        </w:rPr>
      </w:pPr>
      <w:bookmarkStart w:name="2、会计期间" w:id="162"/>
      <w:bookmarkEnd w:id="162"/>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53" w:right="0"/>
        <w:jc w:val="left"/>
      </w:pPr>
      <w:r>
        <w:rPr/>
        <w:t>本公司的会计期间为公历</w:t>
      </w:r>
      <w:r>
        <w:rPr>
          <w:spacing w:val="-46"/>
        </w:rPr>
        <w:t> </w:t>
      </w:r>
      <w:r>
        <w:rPr>
          <w:rFonts w:ascii="宋体" w:hAnsi="宋体" w:cs="宋体" w:eastAsia="宋体" w:hint="default"/>
        </w:rPr>
        <w:t>1</w:t>
      </w:r>
      <w:r>
        <w:rPr>
          <w:rFonts w:ascii="宋体" w:hAnsi="宋体" w:cs="宋体" w:eastAsia="宋体" w:hint="default"/>
          <w:spacing w:val="-45"/>
        </w:rPr>
        <w:t> </w:t>
      </w:r>
      <w:r>
        <w:rPr/>
        <w:t>月</w:t>
      </w:r>
      <w:r>
        <w:rPr>
          <w:spacing w:val="-46"/>
        </w:rPr>
        <w:t> </w:t>
      </w:r>
      <w:r>
        <w:rPr>
          <w:rFonts w:ascii="宋体" w:hAnsi="宋体" w:cs="宋体" w:eastAsia="宋体" w:hint="default"/>
        </w:rPr>
        <w:t>1</w:t>
      </w:r>
      <w:r>
        <w:rPr>
          <w:rFonts w:ascii="宋体" w:hAnsi="宋体" w:cs="宋体" w:eastAsia="宋体" w:hint="default"/>
          <w:spacing w:val="-46"/>
        </w:rPr>
        <w:t> </w:t>
      </w:r>
      <w:r>
        <w:rPr/>
        <w:t>日至</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rPr>
        <w:t>31</w:t>
      </w:r>
      <w:r>
        <w:rPr>
          <w:rFonts w:ascii="宋体" w:hAnsi="宋体" w:cs="宋体" w:eastAsia="宋体" w:hint="default"/>
          <w:spacing w:val="-46"/>
        </w:rPr>
        <w:t> </w:t>
      </w:r>
      <w:r>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7"/>
        <w:spacing w:line="240" w:lineRule="auto"/>
        <w:ind w:right="0"/>
        <w:jc w:val="left"/>
        <w:rPr>
          <w:b w:val="0"/>
          <w:bCs w:val="0"/>
        </w:rPr>
      </w:pPr>
      <w:bookmarkStart w:name="3、营业周期" w:id="163"/>
      <w:bookmarkEnd w:id="163"/>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54" w:right="0"/>
        <w:jc w:val="left"/>
      </w:pPr>
      <w:r>
        <w:rPr/>
        <w:t>本公司以一年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个月作为正常营业周期，并以营业周期作为资产和负债的流动性划分标准。</w:t>
      </w:r>
    </w:p>
    <w:p>
      <w:pPr>
        <w:spacing w:line="240" w:lineRule="auto" w:before="10"/>
        <w:rPr>
          <w:rFonts w:ascii="宋体" w:hAnsi="宋体" w:cs="宋体" w:eastAsia="宋体" w:hint="default"/>
          <w:sz w:val="25"/>
          <w:szCs w:val="25"/>
        </w:rPr>
      </w:pPr>
    </w:p>
    <w:p>
      <w:pPr>
        <w:pStyle w:val="Heading7"/>
        <w:spacing w:line="240" w:lineRule="auto"/>
        <w:ind w:right="0"/>
        <w:jc w:val="left"/>
        <w:rPr>
          <w:b w:val="0"/>
          <w:bCs w:val="0"/>
        </w:rPr>
      </w:pPr>
      <w:bookmarkStart w:name="4、记账本位币" w:id="164"/>
      <w:bookmarkEnd w:id="16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54" w:right="1152"/>
        <w:jc w:val="left"/>
      </w:pPr>
      <w:r>
        <w:rPr/>
        <w:t>本公司以人民币为记账本位币。 本公司全资孙公司美国中青宝采用美元为记账本位币，全资孙公司韩国中青宝采用韩元为记账本位币，本公司编制财</w:t>
      </w:r>
    </w:p>
    <w:p>
      <w:pPr>
        <w:pStyle w:val="BodyText"/>
        <w:spacing w:line="225" w:lineRule="exact"/>
        <w:ind w:left="1134" w:right="0"/>
        <w:jc w:val="left"/>
      </w:pPr>
      <w:r>
        <w:rPr/>
        <w:t>务报表时已经折算为人民币。</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5、同一控制下和非同一控制下企业合并的会计处理方法" w:id="165"/>
      <w:bookmarkEnd w:id="16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4" w:right="1131" w:firstLine="420"/>
        <w:jc w:val="both"/>
      </w:pPr>
      <w:r>
        <w:rPr/>
        <w:t>本公司作为合并方，在同一控制下企业合并中取得的资产和负债，在合并日按被合并方在最终控制方合并报表中的账 </w:t>
      </w:r>
      <w:r>
        <w:rPr>
          <w:spacing w:val="-2"/>
        </w:rPr>
        <w:t>面价值计量。取得的净资产账面价值与支付的合并对价账面价值的差额，调整资本公积；资本公积不足冲减的，调整留存收</w:t>
      </w:r>
      <w:r>
        <w:rPr>
          <w:spacing w:val="-66"/>
        </w:rPr>
        <w:t> </w:t>
      </w:r>
      <w:r>
        <w:rPr>
          <w:spacing w:val="-66"/>
        </w:rPr>
      </w:r>
      <w:r>
        <w:rPr/>
        <w:t>益。</w:t>
      </w:r>
    </w:p>
    <w:p>
      <w:pPr>
        <w:pStyle w:val="BodyText"/>
        <w:spacing w:line="316" w:lineRule="auto" w:before="55"/>
        <w:ind w:left="1134" w:right="0" w:firstLine="420"/>
        <w:jc w:val="left"/>
      </w:pPr>
      <w:r>
        <w:rPr/>
        <w:t>在非同一控制下企业合并中取得的被购买方可辨认资产、负债及或有负债在收购日以公允价值计量。合并成本为本公 </w:t>
      </w:r>
      <w:r>
        <w:rPr>
          <w:spacing w:val="-2"/>
        </w:rPr>
        <w:t>司在购买日为取得对被购买方的控制权而支付的现金或非现金资产、发行或承担的负债、发行的权益性证券等的公允价值以</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0"/>
        <w:jc w:val="left"/>
      </w:pPr>
      <w:r>
        <w:rPr>
          <w:spacing w:val="-2"/>
        </w:rPr>
        <w:t>及在企业合并中发生的各项直接相关费用之和</w:t>
      </w:r>
      <w:r>
        <w:rPr>
          <w:rFonts w:ascii="宋体" w:hAnsi="宋体" w:cs="宋体" w:eastAsia="宋体" w:hint="default"/>
          <w:spacing w:val="-2"/>
        </w:rPr>
        <w:t>(</w:t>
      </w:r>
      <w:r>
        <w:rPr>
          <w:spacing w:val="-2"/>
        </w:rPr>
        <w:t>通过多次交易分步实现的企业合并，其合并成本为每一单项交易的成本之和</w:t>
      </w:r>
      <w:r>
        <w:rPr>
          <w:rFonts w:ascii="宋体" w:hAnsi="宋体" w:cs="宋体" w:eastAsia="宋体" w:hint="default"/>
          <w:spacing w:val="-2"/>
        </w:rPr>
        <w:t>)</w:t>
      </w:r>
      <w:r>
        <w:rPr>
          <w:spacing w:val="-2"/>
        </w:rPr>
        <w:t>。</w:t>
      </w:r>
      <w:r>
        <w:rPr>
          <w:spacing w:val="-60"/>
        </w:rPr>
        <w:t> </w:t>
      </w:r>
      <w:r>
        <w:rPr/>
        <w:t>合并成本大于合并中取得的被购买方可辨认净资产公允价值份额的差额，确认为商誉；合并成本小于合并中取得的被购买方</w:t>
      </w:r>
      <w:r>
        <w:rPr/>
        <w:t> 可辨认净资产公允价值份额的，首先对合并中取得的各项可辨认资产、负债及或有负债的公允价值、以及合并对价的非现金 资产或发行的权益性证券等的公允价值进行复核，经复核后，合并成本仍小于合并中取得的被购买方可辨认净资产公允价值 份额的，将其差额计入合并当期营业外收入。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7"/>
        <w:spacing w:line="240" w:lineRule="auto"/>
        <w:ind w:left="1133" w:right="0"/>
        <w:jc w:val="left"/>
        <w:rPr>
          <w:b w:val="0"/>
          <w:bCs w:val="0"/>
        </w:rPr>
      </w:pPr>
      <w:bookmarkStart w:name="6、合并财务报表的编制方法" w:id="166"/>
      <w:bookmarkEnd w:id="16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53" w:right="1153"/>
        <w:jc w:val="left"/>
      </w:pPr>
      <w:r>
        <w:rPr/>
        <w:t>本公司将所有控制的子公司及结构化主体纳入合并财务报表范围。 在编制合并财务报表时，子公司与本公司采用的会计政策或会计期间不一致的，按照本公司的会计政策或会计期间对</w:t>
      </w:r>
    </w:p>
    <w:p>
      <w:pPr>
        <w:pStyle w:val="BodyText"/>
        <w:spacing w:line="357" w:lineRule="auto"/>
        <w:ind w:left="1553" w:right="1153" w:hanging="420"/>
        <w:jc w:val="left"/>
      </w:pPr>
      <w:r>
        <w:rPr/>
        <w:t>子公司财务报表进行必要的调整。 合并范围内的所有重大内部交易、往来余额及未实现利润在合并报表编制时予以抵销。子公司的所有者权益中不属于</w:t>
      </w:r>
    </w:p>
    <w:p>
      <w:pPr>
        <w:pStyle w:val="BodyText"/>
        <w:spacing w:line="224" w:lineRule="exact"/>
        <w:ind w:right="0"/>
        <w:jc w:val="left"/>
      </w:pPr>
      <w:r>
        <w:rPr/>
        <w:t>母公司的份额以及当期净损益、其他综合收益及综合收益总额中属于少数股东权益的份额，分别在合并财务报表“少数股东</w:t>
      </w:r>
    </w:p>
    <w:p>
      <w:pPr>
        <w:pStyle w:val="BodyText"/>
        <w:spacing w:line="357" w:lineRule="auto" w:before="77"/>
        <w:ind w:left="1553" w:right="1153" w:hanging="420"/>
        <w:jc w:val="left"/>
      </w:pPr>
      <w:r>
        <w:rPr/>
        <w:t>权益、少数股东损益、归属于少数股东的其他综合收益及归属于少数股东的综合收益总额”项目列示。 对于同一控制下企业合并取得的子公司，其经营成果和现金流量自合并当期期初纳入合并财务报表。编制比较合并财</w:t>
      </w:r>
    </w:p>
    <w:p>
      <w:pPr>
        <w:pStyle w:val="BodyText"/>
        <w:spacing w:line="357" w:lineRule="auto"/>
        <w:ind w:left="1553" w:right="1153" w:hanging="420"/>
        <w:jc w:val="left"/>
      </w:pPr>
      <w:r>
        <w:rPr/>
        <w:t>务报表时，对上年财务报表的相关项目进行调整，视同合并后形成的报告主体自最终控制方开始控制时点起一直存在。 通过多次交易分步取得同一控制下被投资单位的股权，最终形成企业合并的，应在取得控制权的报告期，补充披露在</w:t>
      </w:r>
    </w:p>
    <w:p>
      <w:pPr>
        <w:pStyle w:val="BodyText"/>
        <w:spacing w:line="224" w:lineRule="exact"/>
        <w:ind w:right="0"/>
        <w:jc w:val="left"/>
      </w:pPr>
      <w:r>
        <w:rPr/>
        <w:t>合并财务报表中的处理方法。例如：通过多次交易分步取得同一控制下被投资单位的股权，最终形成企业合并，编制合并报</w:t>
      </w:r>
    </w:p>
    <w:p>
      <w:pPr>
        <w:pStyle w:val="BodyText"/>
        <w:spacing w:line="319" w:lineRule="auto" w:before="76"/>
        <w:ind w:right="1131"/>
        <w:jc w:val="both"/>
      </w:pPr>
      <w:r>
        <w:rPr>
          <w:spacing w:val="-2"/>
        </w:rPr>
        <w:t>表时，视同在最终控制方开始控制时即以目前的状态存在进行调整，在编制比较报表时，以不早于本公司和被合并方同处于</w:t>
      </w:r>
      <w:r>
        <w:rPr>
          <w:spacing w:val="-66"/>
        </w:rPr>
        <w:t> </w:t>
      </w:r>
      <w:r>
        <w:rPr>
          <w:spacing w:val="-66"/>
        </w:rPr>
      </w:r>
      <w:r>
        <w:rPr>
          <w:spacing w:val="-2"/>
        </w:rPr>
        <w:t>最终控制方的控制之下的时点为限，将被合并方的有关资产、负债并入本公司合并财务报表的比较报表中，并将合并而增加</w:t>
      </w:r>
      <w:r>
        <w:rPr>
          <w:spacing w:val="-66"/>
        </w:rPr>
        <w:t> </w:t>
      </w:r>
      <w:r>
        <w:rPr>
          <w:spacing w:val="-66"/>
        </w:rPr>
      </w:r>
      <w:r>
        <w:rPr>
          <w:spacing w:val="-2"/>
        </w:rPr>
        <w:t>的净资产在比较报表中调整所有者权益项下的相关项目。为避免对被合并方净资产的价值进行重复计算，本公司在达到合并</w:t>
      </w:r>
      <w:r>
        <w:rPr>
          <w:spacing w:val="-64"/>
        </w:rPr>
        <w:t> </w:t>
      </w:r>
      <w:r>
        <w:rPr>
          <w:spacing w:val="-64"/>
        </w:rPr>
      </w:r>
      <w:r>
        <w:rPr>
          <w:spacing w:val="-2"/>
        </w:rPr>
        <w:t>之前持有的长期股权投资，在取得原股权之日与本公司和被合并方处于同一方最终控制之日孰晚日起至合并日之间已确认有</w:t>
      </w:r>
      <w:r>
        <w:rPr>
          <w:spacing w:val="-64"/>
        </w:rPr>
        <w:t> </w:t>
      </w:r>
      <w:r>
        <w:rPr>
          <w:spacing w:val="-64"/>
        </w:rPr>
      </w:r>
      <w:r>
        <w:rPr/>
        <w:t>关损益、其他综合收益和其他净资产变动，应分别冲减比较报表期间的期初留存收益和当期损益。</w:t>
      </w:r>
    </w:p>
    <w:p>
      <w:pPr>
        <w:pStyle w:val="BodyText"/>
        <w:spacing w:line="319" w:lineRule="auto" w:before="55"/>
        <w:ind w:right="1170" w:firstLine="420"/>
        <w:jc w:val="both"/>
      </w:pPr>
      <w:r>
        <w:rPr/>
        <w:t>对于非同一控制下企业合并取得子公司，经营成果和现金流量自本公司取得控制权之日起纳入合并财务报表。在编制 合并财务报表时，以购买日确定的各项可辨认资产、负债及或有负债的公允价值为基础对子公司的财务报表进行调整。</w:t>
      </w:r>
    </w:p>
    <w:p>
      <w:pPr>
        <w:pStyle w:val="BodyText"/>
        <w:spacing w:line="319" w:lineRule="auto" w:before="55"/>
        <w:ind w:right="1033" w:firstLine="420"/>
        <w:jc w:val="left"/>
      </w:pPr>
      <w:r>
        <w:rPr/>
        <w:t>通过多次交易分步取得非同一控制下被投资单位的股权，最终形成企业合并的，应在取得控制权的报告期，补充披露 </w:t>
      </w:r>
      <w:r>
        <w:rPr>
          <w:spacing w:val="-2"/>
        </w:rPr>
        <w:t>在合并财务报表中的处理方法。例如：通过多次交易分步取得非同一控制下被投资单位的股权，最终形成企业合并，编制合</w:t>
      </w:r>
      <w:r>
        <w:rPr>
          <w:spacing w:val="-66"/>
        </w:rPr>
        <w:t> </w:t>
      </w:r>
      <w:r>
        <w:rPr>
          <w:spacing w:val="-66"/>
        </w:rPr>
      </w:r>
      <w:r>
        <w:rPr>
          <w:spacing w:val="-2"/>
        </w:rPr>
        <w:t>并报表时，对于购买日之前持有的被购买方的股权，按照该股权在购买日的公允价值进行重新计量，公允价值与其账面价值</w:t>
      </w:r>
      <w:r>
        <w:rPr>
          <w:spacing w:val="-65"/>
        </w:rPr>
        <w:t> </w:t>
      </w:r>
      <w:r>
        <w:rPr>
          <w:spacing w:val="-65"/>
        </w:rPr>
      </w:r>
      <w:r>
        <w:rPr/>
        <w:t>的差额计入当期投资收益；与其相关的购买日之前持有的被购买方的股权涉及权益法核算下的其他综合收益以及除净损益、</w:t>
      </w:r>
      <w:r>
        <w:rPr>
          <w:spacing w:val="-85"/>
        </w:rPr>
        <w:t> </w:t>
      </w:r>
      <w:r>
        <w:rPr>
          <w:spacing w:val="-85"/>
        </w:rPr>
      </w:r>
      <w:r>
        <w:rPr>
          <w:spacing w:val="-2"/>
        </w:rPr>
        <w:t>其他综合收益和利润分配外的其他所有者权益变动，在购买日所属当期转为投资损益，由于被投资方重新计量设定受益计划</w:t>
      </w:r>
      <w:r>
        <w:rPr>
          <w:spacing w:val="-64"/>
        </w:rPr>
        <w:t> </w:t>
      </w:r>
      <w:r>
        <w:rPr>
          <w:spacing w:val="-64"/>
        </w:rPr>
      </w:r>
      <w:r>
        <w:rPr/>
        <w:t>净负债或净资产变动而产生的其他综合收益除外。</w:t>
      </w:r>
    </w:p>
    <w:p>
      <w:pPr>
        <w:pStyle w:val="BodyText"/>
        <w:spacing w:line="319" w:lineRule="auto" w:before="56"/>
        <w:ind w:right="1132" w:firstLine="420"/>
        <w:jc w:val="both"/>
      </w:pPr>
      <w:r>
        <w:rPr/>
        <w:t>本公司在不丧失控制权的情况下部分处置对子公司的长期股权投资，在合并财务报表中，处置价款与处置长期股权投 </w:t>
      </w:r>
      <w:r>
        <w:rPr>
          <w:spacing w:val="-2"/>
        </w:rPr>
        <w:t>资相对应享有子公司自购买日或合并日开始持续计算的净资产份额之间的差额，调整资本溢价或股本溢价，资本公积不足冲</w:t>
      </w:r>
      <w:r>
        <w:rPr>
          <w:spacing w:val="-64"/>
        </w:rPr>
        <w:t> </w:t>
      </w:r>
      <w:r>
        <w:rPr>
          <w:spacing w:val="-64"/>
        </w:rPr>
      </w:r>
      <w:r>
        <w:rPr/>
        <w:t>减的，调整留存收益。</w:t>
      </w:r>
    </w:p>
    <w:p>
      <w:pPr>
        <w:pStyle w:val="BodyText"/>
        <w:spacing w:line="319" w:lineRule="auto" w:before="55"/>
        <w:ind w:right="1132" w:firstLine="420"/>
        <w:jc w:val="both"/>
      </w:pPr>
      <w:r>
        <w:rPr/>
        <w:t>本公司因处置部分股权投资等原因丧失了对被投资方的控制权的，在编制合并财务报表时，对于剩余股权，按照其在 </w:t>
      </w:r>
      <w:r>
        <w:rPr>
          <w:spacing w:val="-2"/>
        </w:rPr>
        <w:t>丧失控制权日的公允价值进行重新计量。处置股权取得的对价与剩余股权公允价值之和，减去按原持股比例计算应享有原有</w:t>
      </w:r>
      <w:r>
        <w:rPr>
          <w:spacing w:val="-64"/>
        </w:rPr>
        <w:t> </w:t>
      </w:r>
      <w:r>
        <w:rPr>
          <w:spacing w:val="-64"/>
        </w:rPr>
      </w:r>
      <w:r>
        <w:rPr>
          <w:spacing w:val="-2"/>
        </w:rPr>
        <w:t>子公司自购买日或合并日开始持续计算的净资产的份额之间的差额，计入丧失控制权当期的投资损益，同时冲减商誉。与原</w:t>
      </w:r>
      <w:r>
        <w:rPr>
          <w:spacing w:val="-66"/>
        </w:rPr>
        <w:t> </w:t>
      </w:r>
      <w:r>
        <w:rPr>
          <w:spacing w:val="-66"/>
        </w:rPr>
      </w:r>
      <w:r>
        <w:rPr/>
        <w:t>有子公司股权投资相关的其他综合收益等，在丧失控制权时转为当期投资损益 。</w:t>
      </w:r>
    </w:p>
    <w:p>
      <w:pPr>
        <w:pStyle w:val="BodyText"/>
        <w:spacing w:line="319" w:lineRule="auto" w:before="56"/>
        <w:ind w:right="1132" w:firstLine="420"/>
        <w:jc w:val="both"/>
      </w:pPr>
      <w:r>
        <w:rPr/>
        <w:t>本公司通过多次交易分步处置对子公司股权投资直至丧失控制权的，如果处置对子公司股权投资直至丧失控制权的各 </w:t>
      </w:r>
      <w:r>
        <w:rPr>
          <w:spacing w:val="-2"/>
        </w:rPr>
        <w:t>项交易属于一揽子交易的，应当将各项交易作为一项处置子公司并丧失控制权的交易进行会计处理；但是，在丧失控制权之</w:t>
      </w:r>
      <w:r>
        <w:rPr>
          <w:spacing w:val="-66"/>
        </w:rPr>
        <w:t> </w:t>
      </w:r>
      <w:r>
        <w:rPr>
          <w:spacing w:val="-66"/>
        </w:rPr>
      </w:r>
      <w:r>
        <w:rPr>
          <w:spacing w:val="-2"/>
        </w:rPr>
        <w:t>前每一次处置价款与处置投资对应的享有该子公司净资产份额的差额，在合并财务报表中确认为其他综合收益，在丧失控制</w:t>
      </w:r>
      <w:r>
        <w:rPr>
          <w:spacing w:val="-64"/>
        </w:rPr>
        <w:t> </w:t>
      </w:r>
      <w:r>
        <w:rPr>
          <w:spacing w:val="-64"/>
        </w:rPr>
      </w:r>
      <w:r>
        <w:rPr/>
        <w:t>权时一并转入丧失控制权当期的投资损益。</w:t>
      </w:r>
    </w:p>
    <w:p>
      <w:pPr>
        <w:spacing w:after="0" w:line="319"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40" w:lineRule="auto" w:before="35"/>
        <w:ind w:left="1133" w:right="0"/>
        <w:jc w:val="left"/>
        <w:rPr>
          <w:b w:val="0"/>
          <w:bCs w:val="0"/>
        </w:rPr>
      </w:pPr>
      <w:bookmarkStart w:name="7、合营安排分类及共同经营会计处理方法" w:id="167"/>
      <w:bookmarkEnd w:id="167"/>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4" w:right="1131" w:firstLine="420"/>
        <w:jc w:val="both"/>
      </w:pPr>
      <w:r>
        <w:rPr>
          <w:spacing w:val="-1"/>
        </w:rPr>
        <w:t>本公司的合营安排包括共同经营和合营企业。对于共同经营项目</w:t>
      </w:r>
      <w:r>
        <w:rPr>
          <w:rFonts w:ascii="宋体" w:hAnsi="宋体" w:cs="宋体" w:eastAsia="宋体" w:hint="default"/>
          <w:spacing w:val="-1"/>
        </w:rPr>
        <w:t>,</w:t>
      </w:r>
      <w:r>
        <w:rPr>
          <w:spacing w:val="-1"/>
        </w:rPr>
        <w:t>本公司作为共同经营中的合营方确认单独持有的资产</w:t>
      </w:r>
      <w:r>
        <w:rPr/>
        <w:t> </w:t>
      </w:r>
      <w:r>
        <w:rPr>
          <w:spacing w:val="-2"/>
        </w:rPr>
        <w:t>和承担的负债，以及按份额确认持有的资产和承担的负债，根据相关约定单独或按份额确认相关的收入和费用。与共同经营</w:t>
      </w:r>
      <w:r>
        <w:rPr>
          <w:spacing w:val="-66"/>
        </w:rPr>
        <w:t> </w:t>
      </w:r>
      <w:r>
        <w:rPr>
          <w:spacing w:val="-66"/>
        </w:rPr>
      </w:r>
      <w:r>
        <w:rPr/>
        <w:t>发生购买、销售不构成业务的资产交易的，仅确认因该交易产生的损益中归属于共同经营其他参与方的部分。</w:t>
      </w:r>
    </w:p>
    <w:p>
      <w:pPr>
        <w:spacing w:line="240" w:lineRule="auto" w:before="3"/>
        <w:rPr>
          <w:rFonts w:ascii="宋体" w:hAnsi="宋体" w:cs="宋体" w:eastAsia="宋体" w:hint="default"/>
          <w:sz w:val="22"/>
          <w:szCs w:val="22"/>
        </w:rPr>
      </w:pPr>
    </w:p>
    <w:p>
      <w:pPr>
        <w:pStyle w:val="Heading7"/>
        <w:spacing w:line="240" w:lineRule="auto"/>
        <w:ind w:right="0"/>
        <w:jc w:val="left"/>
        <w:rPr>
          <w:b w:val="0"/>
          <w:bCs w:val="0"/>
        </w:rPr>
      </w:pPr>
      <w:bookmarkStart w:name="8、现金及现金等价物的确定标准" w:id="168"/>
      <w:bookmarkEnd w:id="168"/>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4" w:right="1170" w:firstLine="420"/>
        <w:jc w:val="both"/>
      </w:pPr>
      <w:r>
        <w:rPr/>
        <w:t>本公司现金流量表之现金指库存现金以及可以随时用于支付的存款。现金流量表之现金等价物指持有期限不超过</w:t>
      </w:r>
      <w:r>
        <w:rPr>
          <w:spacing w:val="-45"/>
        </w:rPr>
        <w:t> </w:t>
      </w:r>
      <w:r>
        <w:rPr>
          <w:rFonts w:ascii="宋体" w:hAnsi="宋体" w:cs="宋体" w:eastAsia="宋体" w:hint="default"/>
        </w:rPr>
        <w:t>3</w:t>
      </w:r>
      <w:r>
        <w:rPr>
          <w:rFonts w:ascii="宋体" w:hAnsi="宋体" w:cs="宋体" w:eastAsia="宋体" w:hint="default"/>
          <w:spacing w:val="-46"/>
        </w:rPr>
        <w:t> </w:t>
      </w:r>
      <w:r>
        <w:rPr/>
        <w:t>个 月、流动性强、易于转换为已知金额现金且价值变动风险很小的投资。</w:t>
      </w:r>
    </w:p>
    <w:p>
      <w:pPr>
        <w:spacing w:line="240" w:lineRule="auto" w:before="3"/>
        <w:rPr>
          <w:rFonts w:ascii="宋体" w:hAnsi="宋体" w:cs="宋体" w:eastAsia="宋体" w:hint="default"/>
          <w:sz w:val="22"/>
          <w:szCs w:val="22"/>
        </w:rPr>
      </w:pPr>
    </w:p>
    <w:p>
      <w:pPr>
        <w:pStyle w:val="Heading7"/>
        <w:spacing w:line="240" w:lineRule="auto"/>
        <w:ind w:right="0"/>
        <w:jc w:val="left"/>
        <w:rPr>
          <w:b w:val="0"/>
          <w:bCs w:val="0"/>
        </w:rPr>
      </w:pPr>
      <w:bookmarkStart w:name="9、外币业务和外币报表折算" w:id="169"/>
      <w:bookmarkEnd w:id="16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53" w:right="1153"/>
        <w:jc w:val="left"/>
      </w:pPr>
      <w:r>
        <w:rPr>
          <w:rFonts w:ascii="宋体" w:hAnsi="宋体" w:cs="宋体" w:eastAsia="宋体" w:hint="default"/>
        </w:rPr>
        <w:t>(1)</w:t>
      </w:r>
      <w:r>
        <w:rPr/>
        <w:t>外币交易 本公司外币交易按交易发生日的即期汇率将外币金额折算为人民币金额。于资产负债表日，外币货币性项目采用资产</w:t>
      </w:r>
    </w:p>
    <w:p>
      <w:pPr>
        <w:pStyle w:val="BodyText"/>
        <w:spacing w:line="224" w:lineRule="exact"/>
        <w:ind w:right="0"/>
        <w:jc w:val="left"/>
      </w:pPr>
      <w:r>
        <w:rPr/>
        <w:t>负债表日的即期汇率折算为人民币</w:t>
      </w:r>
      <w:r>
        <w:rPr>
          <w:spacing w:val="-82"/>
        </w:rPr>
        <w:t>，</w:t>
      </w:r>
      <w:r>
        <w:rPr/>
        <w:t>所产生的折算差额除了为购建或生产符合资本化条件的资产而借入的外币专门借款产生</w:t>
      </w:r>
    </w:p>
    <w:p>
      <w:pPr>
        <w:pStyle w:val="BodyText"/>
        <w:spacing w:line="357" w:lineRule="auto" w:before="77"/>
        <w:ind w:left="1554" w:right="6252" w:hanging="420"/>
        <w:jc w:val="left"/>
      </w:pPr>
      <w:r>
        <w:rPr/>
        <w:t>的汇兑差额按资本化的原则处理外，直接计入当期损益。 </w:t>
      </w:r>
      <w:r>
        <w:rPr>
          <w:rFonts w:ascii="宋体" w:hAnsi="宋体" w:cs="宋体" w:eastAsia="宋体" w:hint="default"/>
        </w:rPr>
        <w:t>(2)</w:t>
      </w:r>
      <w:r>
        <w:rPr/>
        <w:t>外币财务报表的折算</w:t>
      </w:r>
    </w:p>
    <w:p>
      <w:pPr>
        <w:pStyle w:val="BodyText"/>
        <w:spacing w:line="319" w:lineRule="auto" w:before="26"/>
        <w:ind w:right="1131" w:firstLine="420"/>
        <w:jc w:val="both"/>
      </w:pPr>
      <w:r>
        <w:rPr/>
        <w:t>外币资产负债表中资产、负债类项目采用资产负债表日的即期汇率折算；所有者权益类项目除“未分配利润”外，均 </w:t>
      </w:r>
      <w:r>
        <w:rPr>
          <w:spacing w:val="-2"/>
        </w:rPr>
        <w:t>按业务发生时的即期汇率折算；利润表中的收入与费用项目，采用交易发生日的即期汇率折算。上述折算产生的外币报表折</w:t>
      </w:r>
      <w:r>
        <w:rPr>
          <w:spacing w:val="-66"/>
        </w:rPr>
        <w:t> </w:t>
      </w:r>
      <w:r>
        <w:rPr>
          <w:spacing w:val="-66"/>
        </w:rPr>
      </w:r>
      <w:r>
        <w:rPr>
          <w:spacing w:val="-2"/>
        </w:rPr>
        <w:t>算差额，在其他综合收益项目中列示。外币现金流量采用现金流量发生日的即期汇率折算。汇率变动对现金的影响额，在现</w:t>
      </w:r>
      <w:r>
        <w:rPr>
          <w:spacing w:val="-66"/>
        </w:rPr>
        <w:t> </w:t>
      </w:r>
      <w:r>
        <w:rPr>
          <w:spacing w:val="-66"/>
        </w:rPr>
      </w:r>
      <w:r>
        <w:rPr/>
        <w:t>金流量表中单独列示。</w:t>
      </w:r>
    </w:p>
    <w:p>
      <w:pPr>
        <w:spacing w:line="240" w:lineRule="auto" w:before="4"/>
        <w:rPr>
          <w:rFonts w:ascii="宋体" w:hAnsi="宋体" w:cs="宋体" w:eastAsia="宋体" w:hint="default"/>
          <w:sz w:val="22"/>
          <w:szCs w:val="22"/>
        </w:rPr>
      </w:pPr>
    </w:p>
    <w:p>
      <w:pPr>
        <w:pStyle w:val="Heading7"/>
        <w:spacing w:line="240" w:lineRule="auto"/>
        <w:ind w:left="1133" w:right="0"/>
        <w:jc w:val="left"/>
        <w:rPr>
          <w:b w:val="0"/>
          <w:bCs w:val="0"/>
        </w:rPr>
      </w:pPr>
      <w:bookmarkStart w:name="10、金融工具" w:id="170"/>
      <w:bookmarkEnd w:id="17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53" w:right="5113"/>
        <w:jc w:val="left"/>
      </w:pPr>
      <w:r>
        <w:rPr/>
        <w:t>本公司成为金融工具合同的一方时确认一项金融资产或金融负债。 </w:t>
      </w:r>
      <w:r>
        <w:rPr>
          <w:rFonts w:ascii="宋体" w:hAnsi="宋体" w:cs="宋体" w:eastAsia="宋体" w:hint="default"/>
        </w:rPr>
        <w:t>(1)</w:t>
      </w:r>
      <w:r>
        <w:rPr/>
        <w:t>金融资产</w:t>
      </w:r>
    </w:p>
    <w:p>
      <w:pPr>
        <w:pStyle w:val="BodyText"/>
        <w:spacing w:line="357" w:lineRule="auto" w:before="26"/>
        <w:ind w:left="1554" w:right="1152" w:firstLine="450"/>
        <w:jc w:val="left"/>
      </w:pPr>
      <w:r>
        <w:rPr>
          <w:rFonts w:ascii="宋体" w:hAnsi="宋体" w:cs="宋体" w:eastAsia="宋体" w:hint="default"/>
        </w:rPr>
        <w:t>1)</w:t>
      </w:r>
      <w:r>
        <w:rPr/>
        <w:t>金融资产分类、确认依据和计量方法 本公司按投资目的和经济实质对拥有的金融资产分类为以公允价值计量且其变动计入当期损益的金融资产、持有至到</w:t>
      </w:r>
    </w:p>
    <w:p>
      <w:pPr>
        <w:pStyle w:val="BodyText"/>
        <w:spacing w:line="357" w:lineRule="auto"/>
        <w:ind w:left="1553" w:right="1153" w:hanging="420"/>
        <w:jc w:val="left"/>
      </w:pPr>
      <w:r>
        <w:rPr/>
        <w:t>期投资、应收款项及可供出售金融资产。 以公允价值计量且其变动计入当期损益的金融资产，包括交易性金融资产和在初始确认时指定为以公允价值计量且其</w:t>
      </w:r>
    </w:p>
    <w:p>
      <w:pPr>
        <w:pStyle w:val="BodyText"/>
        <w:spacing w:line="224" w:lineRule="exact"/>
        <w:ind w:right="0"/>
        <w:jc w:val="left"/>
      </w:pPr>
      <w:r>
        <w:rPr/>
        <w:t>变动计入当期损益的金融资产。本公司将满足下列条件之一的金融资产归类为交易性金融资产：取得该金融资产的目的是为</w:t>
      </w:r>
    </w:p>
    <w:p>
      <w:pPr>
        <w:pStyle w:val="BodyText"/>
        <w:spacing w:line="319" w:lineRule="auto" w:before="76"/>
        <w:ind w:right="1130"/>
        <w:jc w:val="both"/>
      </w:pPr>
      <w:r>
        <w:rPr>
          <w:spacing w:val="-2"/>
        </w:rPr>
        <w:t>了在短期内出售；属于进行集中管理的可辨认金融工具组合的一部分，且有客观证据表明公司近期采用短期获利方式对该组</w:t>
      </w:r>
      <w:r>
        <w:rPr>
          <w:spacing w:val="-64"/>
        </w:rPr>
        <w:t> </w:t>
      </w:r>
      <w:r>
        <w:rPr>
          <w:spacing w:val="-64"/>
        </w:rPr>
      </w:r>
      <w:r>
        <w:rPr>
          <w:spacing w:val="-2"/>
        </w:rPr>
        <w:t>合进行管理；属于衍生工具，但是，被指定且为有效套期工具的衍生工具、属于财务担保合同的衍生工具、与在活跃市场中</w:t>
      </w:r>
      <w:r>
        <w:rPr>
          <w:spacing w:val="-66"/>
        </w:rPr>
        <w:t> </w:t>
      </w:r>
      <w:r>
        <w:rPr>
          <w:spacing w:val="-66"/>
        </w:rPr>
      </w:r>
      <w:r>
        <w:rPr>
          <w:spacing w:val="-2"/>
        </w:rPr>
        <w:t>没有报价且其公允价值不能可靠计量的权益工具投资挂钩并须通过交付该权益工具结算的衍生工具除外。本公司将只有符合</w:t>
      </w:r>
      <w:r>
        <w:rPr>
          <w:spacing w:val="-63"/>
        </w:rPr>
        <w:t> </w:t>
      </w:r>
      <w:r>
        <w:rPr>
          <w:spacing w:val="-63"/>
        </w:rPr>
      </w:r>
      <w:r>
        <w:rPr>
          <w:spacing w:val="-2"/>
        </w:rPr>
        <w:t>下列条件之一的金融工具，才可在初始确认时指定为以公允价值计量且其变动计入当期损益的金融资产：该指定可以消除或</w:t>
      </w:r>
      <w:r>
        <w:rPr>
          <w:spacing w:val="-64"/>
        </w:rPr>
        <w:t> </w:t>
      </w:r>
      <w:r>
        <w:rPr>
          <w:spacing w:val="-64"/>
        </w:rPr>
      </w:r>
      <w:r>
        <w:rPr>
          <w:spacing w:val="-2"/>
        </w:rPr>
        <w:t>明显减少由于该金融工具的计量基础不同所导致的相关利得或损失在确认或计量方面不一致的情况；公司风险管理或投资策</w:t>
      </w:r>
      <w:r>
        <w:rPr>
          <w:spacing w:val="-64"/>
        </w:rPr>
        <w:t> </w:t>
      </w:r>
      <w:r>
        <w:rPr>
          <w:spacing w:val="-64"/>
        </w:rPr>
      </w:r>
      <w:r>
        <w:rPr>
          <w:spacing w:val="-2"/>
        </w:rPr>
        <w:t>略的正式书面文件已载明，该金融工具组合以公允价值为基础进行管理、评价并向关键管理人员报告；包含一项或多项嵌入</w:t>
      </w:r>
      <w:r>
        <w:rPr>
          <w:spacing w:val="-66"/>
        </w:rPr>
        <w:t> </w:t>
      </w:r>
      <w:r>
        <w:rPr>
          <w:spacing w:val="-66"/>
        </w:rPr>
      </w:r>
      <w:r>
        <w:rPr>
          <w:spacing w:val="-2"/>
        </w:rPr>
        <w:t>衍生工具的混合工具，除非嵌入衍生工具对混合工具的现金流量没有重大改变，或所嵌入的衍生工具明显不应当从相关混合</w:t>
      </w:r>
      <w:r>
        <w:rPr>
          <w:spacing w:val="-64"/>
        </w:rPr>
        <w:t> </w:t>
      </w:r>
      <w:r>
        <w:rPr>
          <w:spacing w:val="-64"/>
        </w:rPr>
      </w:r>
      <w:r>
        <w:rPr>
          <w:spacing w:val="-2"/>
        </w:rPr>
        <w:t>工具中分拆；包含需要分拆但无法在取得时或后续的资产负债表日对其进行单独计量的嵌入衍生工具的混合工具。本公司指</w:t>
      </w:r>
      <w:r>
        <w:rPr>
          <w:spacing w:val="-64"/>
        </w:rPr>
        <w:t> </w:t>
      </w:r>
      <w:r>
        <w:rPr>
          <w:spacing w:val="-64"/>
        </w:rPr>
      </w:r>
      <w:r>
        <w:rPr>
          <w:spacing w:val="-2"/>
        </w:rPr>
        <w:t>定的该类金融资产主要包括属于交易性金融资产的上市的权益工具投资。对此类金融资产，采用公允价值进行后续计量。公</w:t>
      </w:r>
      <w:r>
        <w:rPr>
          <w:spacing w:val="-66"/>
        </w:rPr>
        <w:t> </w:t>
      </w:r>
      <w:r>
        <w:rPr>
          <w:spacing w:val="-66"/>
        </w:rPr>
      </w:r>
      <w:r>
        <w:rPr>
          <w:spacing w:val="-2"/>
        </w:rPr>
        <w:t>允价值变动计入公允价值变动损益；在资产持有期间所取得的利息或现金股利，确认为投资收益；处置时，其公允价值与初</w:t>
      </w:r>
      <w:r>
        <w:rPr>
          <w:spacing w:val="-66"/>
        </w:rPr>
        <w:t> </w:t>
      </w:r>
      <w:r>
        <w:rPr>
          <w:spacing w:val="-66"/>
        </w:rPr>
      </w:r>
      <w:r>
        <w:rPr/>
        <w:t>始入账金额之间的差额确认为投资损益，同时调整公允价值变动损益。</w:t>
      </w:r>
    </w:p>
    <w:p>
      <w:pPr>
        <w:pStyle w:val="BodyText"/>
        <w:spacing w:line="240" w:lineRule="auto" w:before="55"/>
        <w:ind w:left="1553" w:right="0"/>
        <w:jc w:val="left"/>
      </w:pPr>
      <w:r>
        <w:rPr/>
        <w:t>持有至到期投资，是指到期日固定、回收金额固定或可确定，且本公司有明确意图和能力持有至到期的非衍生金融资</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1118"/>
        <w:jc w:val="left"/>
      </w:pPr>
      <w:r>
        <w:rPr>
          <w:spacing w:val="-2"/>
        </w:rPr>
        <w:t>产。持有至到期投资采用实际利率法，按照摊余成本进行后续计量，其摊销或减值以及终止确认产生的利得或损失，均计入</w:t>
      </w:r>
      <w:r>
        <w:rPr>
          <w:spacing w:val="-65"/>
        </w:rPr>
        <w:t> </w:t>
      </w:r>
      <w:r>
        <w:rPr>
          <w:spacing w:val="-65"/>
        </w:rPr>
      </w:r>
      <w:r>
        <w:rPr/>
        <w:t>当期损益。</w:t>
      </w:r>
    </w:p>
    <w:p>
      <w:pPr>
        <w:pStyle w:val="BodyText"/>
        <w:spacing w:line="319" w:lineRule="auto" w:before="55"/>
        <w:ind w:right="1153" w:firstLine="420"/>
        <w:jc w:val="left"/>
      </w:pPr>
      <w:r>
        <w:rPr/>
        <w:t>应收款项，是指在活跃市场中没有报价，回收金额固定或可确定的非衍生金融资产。采用实际利率法，按照摊余成本 进行后续计量，其摊销或减值以及终止确认产生的利得或损失，均计入当期损益。</w:t>
      </w:r>
    </w:p>
    <w:p>
      <w:pPr>
        <w:pStyle w:val="BodyText"/>
        <w:spacing w:line="319" w:lineRule="auto" w:before="57"/>
        <w:ind w:right="1033" w:firstLine="420"/>
        <w:jc w:val="left"/>
      </w:pPr>
      <w:r>
        <w:rPr/>
        <w:t>可供出售金融资产，是指初始确认时即被指定为可供出售的非衍生金融资产，以及未被划分为其他类的金融资产。这 </w:t>
      </w:r>
      <w:r>
        <w:rPr>
          <w:spacing w:val="-2"/>
        </w:rPr>
        <w:t>类资产中，在活跃市场中没有报价且其公允价值不能可靠计量的权益工具投资以及与该权益工具挂钩并须通过交付该权益工</w:t>
      </w:r>
      <w:r>
        <w:rPr>
          <w:spacing w:val="-64"/>
        </w:rPr>
        <w:t> </w:t>
      </w:r>
      <w:r>
        <w:rPr>
          <w:spacing w:val="-64"/>
        </w:rPr>
      </w:r>
      <w:r>
        <w:rPr/>
        <w:t>具结算的衍生金融资产，按成本进行后续计量；其他存在活跃市场报价或虽没有活跃市场报价但公允价值能够可靠计量的，</w:t>
      </w:r>
      <w:r>
        <w:rPr>
          <w:spacing w:val="-84"/>
        </w:rPr>
        <w:t> </w:t>
      </w:r>
      <w:r>
        <w:rPr>
          <w:spacing w:val="-84"/>
        </w:rPr>
      </w:r>
      <w:r>
        <w:rPr>
          <w:spacing w:val="-2"/>
        </w:rPr>
        <w:t>按公允价值计量，公允价值变动计入其他综合收益。对于此类金融资产采用公允价值进行后续计量，除减值损失及外币货币</w:t>
      </w:r>
      <w:r>
        <w:rPr>
          <w:spacing w:val="-66"/>
        </w:rPr>
        <w:t> </w:t>
      </w:r>
      <w:r>
        <w:rPr>
          <w:spacing w:val="-66"/>
        </w:rPr>
      </w:r>
      <w:r>
        <w:rPr>
          <w:spacing w:val="-2"/>
        </w:rPr>
        <w:t>性金融资产形成的汇兑损益外，可供出售金融资产公允价值变动直接计入股东权益，待该金融资产终止确认时，原直接计入</w:t>
      </w:r>
      <w:r>
        <w:rPr>
          <w:spacing w:val="-66"/>
        </w:rPr>
        <w:t> </w:t>
      </w:r>
      <w:r>
        <w:rPr>
          <w:spacing w:val="-66"/>
        </w:rPr>
      </w:r>
      <w:r>
        <w:rPr>
          <w:spacing w:val="-2"/>
        </w:rPr>
        <w:t>权益的公允价值变动累计额转入当期损益。可供出售债务工具投资在持有期间按实际利率法计算的利息，以及被投资单位宣</w:t>
      </w:r>
      <w:r>
        <w:rPr>
          <w:spacing w:val="-64"/>
        </w:rPr>
        <w:t> </w:t>
      </w:r>
      <w:r>
        <w:rPr>
          <w:spacing w:val="-64"/>
        </w:rPr>
      </w:r>
      <w:r>
        <w:rPr>
          <w:spacing w:val="-2"/>
        </w:rPr>
        <w:t>告发放的与可供出售权益工具投资相关的现金股利，作为投资收益计入当期损益。对于在活跃市场中没有报价且其公允价值</w:t>
      </w:r>
      <w:r>
        <w:rPr>
          <w:spacing w:val="-64"/>
        </w:rPr>
        <w:t> </w:t>
      </w:r>
      <w:r>
        <w:rPr>
          <w:spacing w:val="-64"/>
        </w:rPr>
      </w:r>
      <w:r>
        <w:rPr/>
        <w:t>不能可靠计量的权益工具投资，按成本计量。</w:t>
      </w:r>
    </w:p>
    <w:p>
      <w:pPr>
        <w:pStyle w:val="BodyText"/>
        <w:spacing w:line="357" w:lineRule="auto" w:before="56"/>
        <w:ind w:left="1553" w:right="1153"/>
        <w:jc w:val="left"/>
      </w:pPr>
      <w:r>
        <w:rPr>
          <w:rFonts w:ascii="宋体" w:hAnsi="宋体" w:cs="宋体" w:eastAsia="宋体" w:hint="default"/>
        </w:rPr>
        <w:t>2)</w:t>
      </w:r>
      <w:r>
        <w:rPr/>
        <w:t>金融资产转移的确认依据和计量方法 金融资产满足下列条件之一的，予以终止确认：①收取该金融资产现金流量的合同权利终止；②该金融资产已转移，</w:t>
      </w:r>
    </w:p>
    <w:p>
      <w:pPr>
        <w:pStyle w:val="BodyText"/>
        <w:spacing w:line="224" w:lineRule="exact"/>
        <w:ind w:right="0"/>
        <w:jc w:val="left"/>
      </w:pPr>
      <w:r>
        <w:rPr/>
        <w:t>且本公司将金融资产所有权上几乎所有的风险和报酬转移给转入方； ③该金融资产已转移，虽然本公司既没有转移也没有</w:t>
      </w:r>
    </w:p>
    <w:p>
      <w:pPr>
        <w:pStyle w:val="BodyText"/>
        <w:spacing w:line="357" w:lineRule="auto" w:before="77"/>
        <w:ind w:left="1553" w:right="1153" w:hanging="420"/>
        <w:jc w:val="left"/>
      </w:pPr>
      <w:r>
        <w:rPr/>
        <w:t>保留金融资产所有权上几乎所有的风险和报酬，但是放弃了对该金融资产控制。 企业既没有转移也没有保留金融资产所有权上几乎所有的风险和报酬，且未放弃对该金融资产控制的，则按照其继续</w:t>
      </w:r>
    </w:p>
    <w:p>
      <w:pPr>
        <w:pStyle w:val="BodyText"/>
        <w:spacing w:line="357" w:lineRule="auto"/>
        <w:ind w:left="1553" w:right="1153" w:hanging="420"/>
        <w:jc w:val="left"/>
      </w:pPr>
      <w:r>
        <w:rPr/>
        <w:t>涉入所转移金融资产的程度确认有关金融资产，并相应确认有关负债。 金融资产整体转移满足终止确认条件的，将所转移金融资产的账面价值，与因转移而收到的对价及原计入其他综合收</w:t>
      </w:r>
    </w:p>
    <w:p>
      <w:pPr>
        <w:pStyle w:val="BodyText"/>
        <w:spacing w:line="357" w:lineRule="auto"/>
        <w:ind w:left="1554" w:right="1128" w:hanging="420"/>
        <w:jc w:val="left"/>
      </w:pPr>
      <w:r>
        <w:rPr/>
        <w:t>益的公允价值变动累计额之和的差额计入当期损益。 </w:t>
      </w:r>
      <w:r>
        <w:rPr>
          <w:spacing w:val="-3"/>
        </w:rPr>
        <w:t>金融资产部分转移满足终止确认条件的，将所转移金融资产整体的账面价值，在终止确认部分和未终止确认部分之间，</w:t>
      </w:r>
    </w:p>
    <w:p>
      <w:pPr>
        <w:pStyle w:val="BodyText"/>
        <w:spacing w:line="224" w:lineRule="exact"/>
        <w:ind w:left="1134" w:right="0"/>
        <w:jc w:val="left"/>
      </w:pPr>
      <w:r>
        <w:rPr/>
        <w:t>按照各自的相对公允价值进行分摊</w:t>
      </w:r>
      <w:r>
        <w:rPr>
          <w:spacing w:val="-82"/>
        </w:rPr>
        <w:t>，</w:t>
      </w:r>
      <w:r>
        <w:rPr/>
        <w:t>并将因转移而收到的对价及应分摊至终止确认部分的原计入其他综合收益的公允价值变</w:t>
      </w:r>
    </w:p>
    <w:p>
      <w:pPr>
        <w:pStyle w:val="BodyText"/>
        <w:spacing w:line="360" w:lineRule="auto" w:before="77"/>
        <w:ind w:left="1554" w:right="5892" w:hanging="420"/>
        <w:jc w:val="left"/>
      </w:pPr>
      <w:r>
        <w:rPr/>
        <w:t>动累计额之和，与分摊的前述账面金额的差额计入当期损益。 </w:t>
      </w:r>
      <w:r>
        <w:rPr>
          <w:rFonts w:ascii="宋体" w:hAnsi="宋体" w:cs="宋体" w:eastAsia="宋体" w:hint="default"/>
        </w:rPr>
        <w:t>3)</w:t>
      </w:r>
      <w:r>
        <w:rPr/>
        <w:t>金融资产减值的测试方法及会计处理方法</w:t>
      </w:r>
    </w:p>
    <w:p>
      <w:pPr>
        <w:pStyle w:val="BodyText"/>
        <w:spacing w:line="319" w:lineRule="auto" w:before="25"/>
        <w:ind w:left="1134" w:right="1040" w:firstLine="420"/>
        <w:jc w:val="both"/>
      </w:pPr>
      <w:r>
        <w:rPr>
          <w:spacing w:val="-1"/>
        </w:rPr>
        <w:t>除以公允价值计量且其变动计入当期损益的金融资产外，本公司于资产负债表日对其他金融资产的账面价值进行检查，</w:t>
      </w:r>
      <w:r>
        <w:rPr/>
        <w:t> 如果有客观证据表明某项金融资产发生减值的，计提减值准备。</w:t>
      </w:r>
    </w:p>
    <w:p>
      <w:pPr>
        <w:pStyle w:val="BodyText"/>
        <w:spacing w:line="319" w:lineRule="auto" w:before="55"/>
        <w:ind w:left="1134" w:right="1043" w:firstLine="420"/>
        <w:jc w:val="both"/>
      </w:pPr>
      <w:r>
        <w:rPr/>
        <w:t>当可供出售金融资产发生减值，原直接计入所有者权益的因公允价值下降形成的累计损失予以转出并计入减值损失。 </w:t>
      </w:r>
      <w:r>
        <w:rPr>
          <w:spacing w:val="-2"/>
        </w:rPr>
        <w:t>对已确认减值损失的可供出售债务工具投资，在期后公允价值上升且客观上与确认原减值损失后发生的事项有关的，原确认</w:t>
      </w:r>
      <w:r>
        <w:rPr>
          <w:spacing w:val="-64"/>
        </w:rPr>
        <w:t> </w:t>
      </w:r>
      <w:r>
        <w:rPr>
          <w:spacing w:val="-64"/>
        </w:rPr>
      </w:r>
      <w:r>
        <w:rPr>
          <w:spacing w:val="-4"/>
        </w:rPr>
        <w:t>的减值损失予以转回并计入当期损益。对已确认减值损失的可供出售权益工具投资，期后公允价值上升直接计入所有者权益。</w:t>
      </w:r>
    </w:p>
    <w:p>
      <w:pPr>
        <w:pStyle w:val="BodyText"/>
        <w:spacing w:line="357" w:lineRule="auto" w:before="58"/>
        <w:ind w:left="1553" w:right="7273"/>
        <w:jc w:val="left"/>
      </w:pPr>
      <w:r>
        <w:rPr>
          <w:rFonts w:ascii="宋体" w:hAnsi="宋体" w:cs="宋体" w:eastAsia="宋体" w:hint="default"/>
        </w:rPr>
        <w:t>(2)</w:t>
      </w:r>
      <w:r>
        <w:rPr/>
        <w:t>金融负债 </w:t>
      </w:r>
      <w:r>
        <w:rPr>
          <w:rFonts w:ascii="宋体" w:hAnsi="宋体" w:cs="宋体" w:eastAsia="宋体" w:hint="default"/>
        </w:rPr>
        <w:t>1)</w:t>
      </w:r>
      <w:r>
        <w:rPr/>
        <w:t>金融负债分类、确认依据和计量方法</w:t>
      </w:r>
    </w:p>
    <w:p>
      <w:pPr>
        <w:pStyle w:val="BodyText"/>
        <w:spacing w:line="357" w:lineRule="auto" w:before="28"/>
        <w:ind w:left="1553" w:right="1153"/>
        <w:jc w:val="left"/>
      </w:pPr>
      <w:r>
        <w:rPr/>
        <w:t>本公司的金融负债于初始确认时分类为以公允价值计量且其变动计入当期损益的金融负债和其他金融负债。 以公允价值计量且其变动计入当期损益的金融负债，包括交易性金融负债和初始确认时指定为以公允价值计量且其变</w:t>
      </w:r>
    </w:p>
    <w:p>
      <w:pPr>
        <w:pStyle w:val="BodyText"/>
        <w:spacing w:line="224" w:lineRule="exact"/>
        <w:ind w:right="0"/>
        <w:jc w:val="left"/>
      </w:pPr>
      <w:r>
        <w:rPr/>
        <w:t>动计入当期损益的金融负债。按照公允价值进行后续计量，公允价值变动形成的利得或损失以及与该金融负债相关的股利和</w:t>
      </w:r>
    </w:p>
    <w:p>
      <w:pPr>
        <w:pStyle w:val="BodyText"/>
        <w:spacing w:line="357" w:lineRule="auto" w:before="77"/>
        <w:ind w:left="1553" w:right="5473" w:hanging="420"/>
        <w:jc w:val="left"/>
      </w:pPr>
      <w:r>
        <w:rPr/>
        <w:t>利息支出计入当期损益。 其他金融负债采用实际利率法，按照摊余成本进行后续计量。 </w:t>
      </w:r>
      <w:r>
        <w:rPr>
          <w:rFonts w:ascii="宋体" w:hAnsi="宋体" w:cs="宋体" w:eastAsia="宋体" w:hint="default"/>
        </w:rPr>
        <w:t>2)</w:t>
      </w:r>
      <w:r>
        <w:rPr/>
        <w:t>金融负债终止确认条件</w:t>
      </w:r>
    </w:p>
    <w:p>
      <w:pPr>
        <w:pStyle w:val="BodyText"/>
        <w:spacing w:line="319" w:lineRule="auto" w:before="28"/>
        <w:ind w:left="1134" w:right="1133" w:firstLine="420"/>
        <w:jc w:val="both"/>
      </w:pPr>
      <w:r>
        <w:rPr/>
        <w:t>当金融负债的现时义务全部或部分已经解除时，终止确认该金融负债或义务已解除的部分。公司与债权人之间签订协 </w:t>
      </w:r>
      <w:r>
        <w:rPr>
          <w:spacing w:val="-2"/>
        </w:rPr>
        <w:t>议，以承担新金融负债方式替换现存金融负债，且新金融负债与现存金融负债的合同条款实质上不同的，终止确认现存金融</w:t>
      </w:r>
      <w:r>
        <w:rPr>
          <w:spacing w:val="-66"/>
        </w:rPr>
        <w:t> </w:t>
      </w:r>
      <w:r>
        <w:rPr>
          <w:spacing w:val="-66"/>
        </w:rPr>
      </w:r>
      <w:r>
        <w:rPr>
          <w:spacing w:val="-2"/>
        </w:rPr>
        <w:t>负债，并同时确认新金融负债。公司对现存金融负债全部或部分的合同条款作出实质性修改的，终止确认现存金融负债或其</w:t>
      </w:r>
      <w:r>
        <w:rPr>
          <w:spacing w:val="-66"/>
        </w:rPr>
        <w:t> </w:t>
      </w:r>
      <w:r>
        <w:rPr>
          <w:spacing w:val="-66"/>
        </w:rPr>
      </w:r>
      <w:r>
        <w:rPr>
          <w:spacing w:val="-2"/>
        </w:rPr>
        <w:t>一部分，同时将修改条款后的金融负债确认为一项新金融负债。终止确认部分的账面价值与支付的对价之间的差额，计入当</w:t>
      </w:r>
      <w:r>
        <w:rPr>
          <w:spacing w:val="-66"/>
        </w:rPr>
        <w:t> </w:t>
      </w:r>
      <w:r>
        <w:rPr>
          <w:spacing w:val="-66"/>
        </w:rPr>
      </w:r>
      <w:r>
        <w:rPr/>
        <w:t>期损益。</w:t>
      </w:r>
    </w:p>
    <w:p>
      <w:pPr>
        <w:spacing w:after="0" w:line="319" w:lineRule="auto"/>
        <w:jc w:val="both"/>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57" w:lineRule="auto" w:before="44"/>
        <w:ind w:left="1554" w:right="1152"/>
        <w:jc w:val="left"/>
      </w:pPr>
      <w:r>
        <w:rPr>
          <w:rFonts w:ascii="宋体" w:hAnsi="宋体" w:cs="宋体" w:eastAsia="宋体" w:hint="default"/>
        </w:rPr>
        <w:t>(3)</w:t>
      </w:r>
      <w:r>
        <w:rPr/>
        <w:t>金融资产和金融负债的公允价值确定方法 本公司以公允价值计量且其变动计入当期损益的金融资产以主要市场的价格计量金融资产和金融负债的公允价值，不</w:t>
      </w:r>
    </w:p>
    <w:p>
      <w:pPr>
        <w:pStyle w:val="BodyText"/>
        <w:spacing w:line="224" w:lineRule="exact"/>
        <w:ind w:left="1134" w:right="0"/>
        <w:jc w:val="both"/>
      </w:pPr>
      <w:r>
        <w:rPr/>
        <w:t>存在主要市场的，以最有利市场的价格计量金融资产和金融负债的公允价值，并且采用当时适用并且有足够可利用数据和其</w:t>
      </w:r>
    </w:p>
    <w:p>
      <w:pPr>
        <w:pStyle w:val="BodyText"/>
        <w:spacing w:line="319" w:lineRule="auto" w:before="76"/>
        <w:ind w:left="1134" w:right="1131"/>
        <w:jc w:val="both"/>
      </w:pPr>
      <w:r>
        <w:rPr>
          <w:spacing w:val="-2"/>
        </w:rPr>
        <w:t>他信息支持的估值技术。公允价值计量所使用的输入值分为三个层次，即第一层次输入值是计量日能够取得的相同资产或负</w:t>
      </w:r>
      <w:r>
        <w:rPr>
          <w:spacing w:val="-64"/>
        </w:rPr>
        <w:t> </w:t>
      </w:r>
      <w:r>
        <w:rPr>
          <w:spacing w:val="-64"/>
        </w:rPr>
      </w:r>
      <w:r>
        <w:rPr>
          <w:spacing w:val="-2"/>
        </w:rPr>
        <w:t>债在活跃市场上未经调整的报价；第二层次输入值是除第一层次输入值外相关资产或负债直接或间接可观察的输入值；第三</w:t>
      </w:r>
      <w:r>
        <w:rPr>
          <w:spacing w:val="-64"/>
        </w:rPr>
        <w:t> </w:t>
      </w:r>
      <w:r>
        <w:rPr>
          <w:spacing w:val="-64"/>
        </w:rPr>
      </w:r>
      <w:r>
        <w:rPr>
          <w:spacing w:val="-2"/>
        </w:rPr>
        <w:t>层次输入值是相关资产或负债的不可观察输入值。本公司优先使用第一层次输入值，最后再使用第三层次输入值，交易性金</w:t>
      </w:r>
      <w:r>
        <w:rPr>
          <w:spacing w:val="-65"/>
        </w:rPr>
        <w:t> </w:t>
      </w:r>
      <w:r>
        <w:rPr>
          <w:spacing w:val="-65"/>
        </w:rPr>
      </w:r>
      <w:r>
        <w:rPr>
          <w:spacing w:val="-2"/>
        </w:rPr>
        <w:t>融资产中上市的权益工具投资使用第一层次输入值。公允价值计量结果所属的层次，由对公允价值计量整体而言具有重大意</w:t>
      </w:r>
      <w:r>
        <w:rPr>
          <w:spacing w:val="-64"/>
        </w:rPr>
        <w:t> </w:t>
      </w:r>
      <w:r>
        <w:rPr>
          <w:spacing w:val="-64"/>
        </w:rPr>
      </w:r>
      <w:r>
        <w:rPr/>
        <w:t>义的输入值所属的最低层次决定。</w:t>
      </w:r>
    </w:p>
    <w:p>
      <w:pPr>
        <w:spacing w:line="240" w:lineRule="auto" w:before="4"/>
        <w:rPr>
          <w:rFonts w:ascii="宋体" w:hAnsi="宋体" w:cs="宋体" w:eastAsia="宋体" w:hint="default"/>
          <w:sz w:val="22"/>
          <w:szCs w:val="22"/>
        </w:rPr>
      </w:pPr>
    </w:p>
    <w:p>
      <w:pPr>
        <w:pStyle w:val="Heading7"/>
        <w:spacing w:line="240" w:lineRule="auto"/>
        <w:ind w:right="0"/>
        <w:jc w:val="both"/>
        <w:rPr>
          <w:b w:val="0"/>
          <w:bCs w:val="0"/>
        </w:rPr>
      </w:pPr>
      <w:bookmarkStart w:name="11、应收款项" w:id="171"/>
      <w:bookmarkEnd w:id="171"/>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130" w:firstLine="420"/>
        <w:jc w:val="both"/>
      </w:pPr>
      <w:r>
        <w:rPr/>
        <w:t>本公司将下列情形作为应收款项坏账损失确认标准：债务单位撤销、破产、资不抵债、现金流量严重不足、发生严重 自然灾害等导致停产而在可预见的时间内无法偿付债务等；债务单位逾期未履行偿债义务超过</w:t>
      </w:r>
      <w:r>
        <w:rPr>
          <w:spacing w:val="-61"/>
        </w:rPr>
        <w:t> </w:t>
      </w:r>
      <w:r>
        <w:rPr>
          <w:rFonts w:ascii="宋体" w:hAnsi="宋体" w:cs="宋体" w:eastAsia="宋体" w:hint="default"/>
        </w:rPr>
        <w:t>3</w:t>
      </w:r>
      <w:r>
        <w:rPr>
          <w:rFonts w:ascii="宋体" w:hAnsi="宋体" w:cs="宋体" w:eastAsia="宋体" w:hint="default"/>
          <w:spacing w:val="-61"/>
        </w:rPr>
        <w:t> </w:t>
      </w:r>
      <w:r>
        <w:rPr>
          <w:spacing w:val="-4"/>
        </w:rPr>
        <w:t>年；其他确凿证据表明确实</w:t>
      </w:r>
      <w:r>
        <w:rPr/>
        <w:t> 无法收回或收回的可能性不大。</w:t>
      </w:r>
    </w:p>
    <w:p>
      <w:pPr>
        <w:pStyle w:val="BodyText"/>
        <w:spacing w:line="319" w:lineRule="auto" w:before="56"/>
        <w:ind w:left="1134" w:right="1169" w:firstLine="420"/>
        <w:jc w:val="both"/>
      </w:pPr>
      <w:r>
        <w:rPr/>
        <w:t>对可能发生的坏账损失采用备抵法核算，年末单独或按组合进行减值测试，计提坏账准备，计入当期损益。对于有确 凿证据表明确实无法收回的应收款项，经本公司按规定程序批准后作为坏账损失，冲销提取的坏账准备。</w:t>
      </w:r>
    </w:p>
    <w:p>
      <w:pPr>
        <w:spacing w:line="240" w:lineRule="auto" w:before="3"/>
        <w:rPr>
          <w:rFonts w:ascii="宋体" w:hAnsi="宋体" w:cs="宋体" w:eastAsia="宋体" w:hint="default"/>
          <w:sz w:val="22"/>
          <w:szCs w:val="22"/>
        </w:rPr>
      </w:pPr>
    </w:p>
    <w:p>
      <w:pPr>
        <w:pStyle w:val="Heading7"/>
        <w:spacing w:line="240" w:lineRule="auto"/>
        <w:ind w:right="0"/>
        <w:jc w:val="both"/>
        <w:rPr>
          <w:b w:val="0"/>
          <w:bCs w:val="0"/>
        </w:rPr>
      </w:pPr>
      <w:bookmarkStart w:name="(1)单项金额重大并单独计提坏账准备的应收款项" w:id="172"/>
      <w:bookmarkEnd w:id="172"/>
      <w:r>
        <w:rPr>
          <w:b w:val="0"/>
          <w:bCs w:val="0"/>
        </w:rPr>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万元的应收款项视为重大应收款项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40" w:lineRule="auto" w:before="2"/>
        <w:rPr>
          <w:rFonts w:ascii="宋体" w:hAnsi="宋体" w:cs="宋体" w:eastAsia="宋体" w:hint="default"/>
          <w:b/>
          <w:bCs/>
          <w:sz w:val="19"/>
          <w:szCs w:val="19"/>
        </w:rPr>
      </w:pPr>
    </w:p>
    <w:p>
      <w:pPr>
        <w:pStyle w:val="Heading7"/>
        <w:spacing w:line="240" w:lineRule="auto" w:before="35"/>
        <w:ind w:right="0"/>
        <w:jc w:val="left"/>
        <w:rPr>
          <w:b w:val="0"/>
          <w:bCs w:val="0"/>
        </w:rPr>
      </w:pPr>
      <w:bookmarkStart w:name="(2)按信用风险特征组合计提坏账准备的应收款项" w:id="173"/>
      <w:bookmarkEnd w:id="173"/>
      <w:r>
        <w:rPr>
          <w:b w:val="0"/>
          <w:bCs w:val="0"/>
        </w:rPr>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left="1134" w:right="0"/>
        <w:jc w:val="left"/>
      </w:pPr>
      <w:r>
        <w:rPr/>
        <w:t>组合中，采用账龄分析法计提坏账准备的：</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3)单项金额不重大但单独计提坏账准备的应收款项" w:id="174"/>
      <w:bookmarkEnd w:id="174"/>
      <w:r>
        <w:rPr>
          <w:b w:val="0"/>
          <w:bCs w:val="0"/>
        </w:rPr>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69"/>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 款项</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40" w:lineRule="auto" w:before="2"/>
        <w:rPr>
          <w:rFonts w:ascii="宋体" w:hAnsi="宋体" w:cs="宋体" w:eastAsia="宋体" w:hint="default"/>
          <w:b/>
          <w:bCs/>
          <w:sz w:val="19"/>
          <w:szCs w:val="19"/>
        </w:rPr>
      </w:pPr>
    </w:p>
    <w:p>
      <w:pPr>
        <w:pStyle w:val="Heading7"/>
        <w:spacing w:line="240" w:lineRule="auto" w:before="35"/>
        <w:ind w:right="0"/>
        <w:jc w:val="both"/>
        <w:rPr>
          <w:b w:val="0"/>
          <w:bCs w:val="0"/>
        </w:rPr>
      </w:pPr>
      <w:bookmarkStart w:name="12、存货" w:id="175"/>
      <w:bookmarkEnd w:id="175"/>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both"/>
      </w:pPr>
      <w:r>
        <w:rPr/>
        <w:t>不适用。</w:t>
      </w:r>
    </w:p>
    <w:p>
      <w:pPr>
        <w:spacing w:line="240" w:lineRule="auto" w:before="12"/>
        <w:rPr>
          <w:rFonts w:ascii="宋体" w:hAnsi="宋体" w:cs="宋体" w:eastAsia="宋体" w:hint="default"/>
          <w:sz w:val="26"/>
          <w:szCs w:val="26"/>
        </w:rPr>
      </w:pPr>
    </w:p>
    <w:p>
      <w:pPr>
        <w:pStyle w:val="Heading7"/>
        <w:spacing w:line="240" w:lineRule="auto"/>
        <w:ind w:left="1133" w:right="0"/>
        <w:jc w:val="both"/>
        <w:rPr>
          <w:b w:val="0"/>
          <w:bCs w:val="0"/>
        </w:rPr>
      </w:pPr>
      <w:bookmarkStart w:name="13、划分为持有待售资产" w:id="176"/>
      <w:bookmarkEnd w:id="176"/>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12"/>
        <w:rPr>
          <w:rFonts w:ascii="宋体" w:hAnsi="宋体" w:cs="宋体" w:eastAsia="宋体" w:hint="default"/>
          <w:sz w:val="26"/>
          <w:szCs w:val="26"/>
        </w:rPr>
      </w:pPr>
    </w:p>
    <w:p>
      <w:pPr>
        <w:pStyle w:val="Heading7"/>
        <w:spacing w:line="240" w:lineRule="auto"/>
        <w:ind w:left="1133" w:right="0"/>
        <w:jc w:val="both"/>
        <w:rPr>
          <w:b w:val="0"/>
          <w:bCs w:val="0"/>
        </w:rPr>
      </w:pPr>
      <w:bookmarkStart w:name="14、长期股权投资" w:id="177"/>
      <w:bookmarkEnd w:id="177"/>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53" w:right="1153"/>
        <w:jc w:val="left"/>
      </w:pPr>
      <w:r>
        <w:rPr/>
        <w:t>本公司长期股权投资主要是对子公司的投资、对联营企业的投资和对合营企业的投资。 本公司对共同控制的判断依据是所有参与方或参与方组合集体控制该安排，并且该安排相关活动的政策必须经过这些</w:t>
      </w:r>
    </w:p>
    <w:p>
      <w:pPr>
        <w:pStyle w:val="BodyText"/>
        <w:spacing w:line="225" w:lineRule="exact"/>
        <w:ind w:right="0"/>
        <w:jc w:val="both"/>
      </w:pPr>
      <w:r>
        <w:rPr/>
        <w:t>集体控制该安排的参与方一致同意。</w:t>
      </w:r>
    </w:p>
    <w:p>
      <w:pPr>
        <w:pStyle w:val="BodyText"/>
        <w:spacing w:line="319" w:lineRule="auto" w:before="116"/>
        <w:ind w:right="1131" w:firstLine="420"/>
        <w:jc w:val="both"/>
      </w:pPr>
      <w:r>
        <w:rPr/>
        <w:t>本公司直接或通过子公司间接拥有被投资单位</w:t>
      </w:r>
      <w:r>
        <w:rPr>
          <w:spacing w:val="-36"/>
        </w:rPr>
        <w:t> </w:t>
      </w:r>
      <w:r>
        <w:rPr>
          <w:rFonts w:ascii="宋体" w:hAnsi="宋体" w:cs="宋体" w:eastAsia="宋体" w:hint="default"/>
        </w:rPr>
        <w:t>20%(</w:t>
      </w:r>
      <w:r>
        <w:rPr/>
        <w:t>含</w:t>
      </w:r>
      <w:r>
        <w:rPr>
          <w:rFonts w:ascii="宋体" w:hAnsi="宋体" w:cs="宋体" w:eastAsia="宋体" w:hint="default"/>
        </w:rPr>
        <w:t>)</w:t>
      </w:r>
      <w:r>
        <w:rPr/>
        <w:t>以上但低于</w:t>
      </w:r>
      <w:r>
        <w:rPr>
          <w:spacing w:val="-37"/>
        </w:rPr>
        <w:t> </w:t>
      </w:r>
      <w:r>
        <w:rPr>
          <w:rFonts w:ascii="宋体" w:hAnsi="宋体" w:cs="宋体" w:eastAsia="宋体" w:hint="default"/>
          <w:spacing w:val="-3"/>
        </w:rPr>
        <w:t>50%</w:t>
      </w:r>
      <w:r>
        <w:rPr>
          <w:spacing w:val="-3"/>
        </w:rPr>
        <w:t>的表决权时，通常认为对被投资单位具有重大影</w:t>
      </w:r>
      <w:r>
        <w:rPr/>
        <w:t> </w:t>
      </w:r>
      <w:r>
        <w:rPr>
          <w:spacing w:val="-2"/>
        </w:rPr>
        <w:t>响。持有被投资单位</w:t>
      </w:r>
      <w:r>
        <w:rPr>
          <w:spacing w:val="-26"/>
        </w:rPr>
        <w:t> </w:t>
      </w:r>
      <w:r>
        <w:rPr>
          <w:rFonts w:ascii="宋体" w:hAnsi="宋体" w:cs="宋体" w:eastAsia="宋体" w:hint="default"/>
          <w:spacing w:val="-1"/>
        </w:rPr>
        <w:t>20%</w:t>
      </w:r>
      <w:r>
        <w:rPr>
          <w:spacing w:val="-1"/>
        </w:rPr>
        <w:t>以下表决权的，还需要综合考虑在被投资单位的董事会或类似权力机构中派有代表、或参与被投资</w:t>
      </w:r>
      <w:r>
        <w:rPr>
          <w:spacing w:val="-85"/>
        </w:rPr>
        <w:t> </w:t>
      </w:r>
      <w:r>
        <w:rPr>
          <w:spacing w:val="-85"/>
        </w:rPr>
      </w:r>
      <w:r>
        <w:rPr>
          <w:spacing w:val="-2"/>
        </w:rPr>
        <w:t>单位财务和经营政策制定过程、或与被投资单位之间发生重要交易、或向被投资单位派出管理人员、或向被投资单位提供关</w:t>
      </w:r>
      <w:r>
        <w:rPr>
          <w:spacing w:val="-66"/>
        </w:rPr>
        <w:t> </w:t>
      </w:r>
      <w:r>
        <w:rPr>
          <w:spacing w:val="-66"/>
        </w:rPr>
      </w:r>
      <w:r>
        <w:rPr/>
        <w:t>键技术资料等事实和情况判断对被投资单位具有重大影响。</w:t>
      </w:r>
    </w:p>
    <w:p>
      <w:pPr>
        <w:pStyle w:val="BodyText"/>
        <w:spacing w:line="319" w:lineRule="auto" w:before="55"/>
        <w:ind w:left="1134" w:right="1130" w:firstLine="420"/>
        <w:jc w:val="both"/>
      </w:pPr>
      <w:r>
        <w:rPr/>
        <w:t>对被投资单位形成控制的，为本公司的子公司。通过同一控制下的企业合并取得的长期股权投资，在合并日按照取得 </w:t>
      </w:r>
      <w:r>
        <w:rPr>
          <w:spacing w:val="-2"/>
        </w:rPr>
        <w:t>被合并方在最终控制方合并报表中净资产的账面价值的份额作为长期股权投资的初始投资成本。被合并方在合并日的净资产</w:t>
      </w:r>
      <w:r>
        <w:rPr>
          <w:spacing w:val="-63"/>
        </w:rPr>
        <w:t> </w:t>
      </w:r>
      <w:r>
        <w:rPr>
          <w:spacing w:val="-63"/>
        </w:rPr>
      </w:r>
      <w:r>
        <w:rPr/>
        <w:t>账面价值为负数的，长期股权投资成本按零确定。</w:t>
      </w:r>
    </w:p>
    <w:p>
      <w:pPr>
        <w:pStyle w:val="BodyText"/>
        <w:spacing w:line="319" w:lineRule="auto" w:before="55"/>
        <w:ind w:left="1134" w:right="0" w:firstLine="420"/>
        <w:jc w:val="left"/>
      </w:pPr>
      <w:r>
        <w:rPr/>
        <w:t>通过多次交易分步取得同一控制下被投资单位的股权，最终形成企业合并的，应在取得控制权的报告期，补充披露在 母公司财务报表中的长期股权投资的处理方法。例如：通过多次交易分步取得同一控制下被投资单位的股权，最终形成企业 合并，属于一揽子交易的，本公司将各项交易作为一项取得控制权的交易进行会计处理。不属于一览交易的，在合并日，根 </w:t>
      </w:r>
      <w:r>
        <w:rPr>
          <w:spacing w:val="-2"/>
        </w:rPr>
        <w:t>据合并后享有被合并方净资产在最终控制方合并财务报表中的账面价值的份额作为长期股权投资的的初始投资成本。初始投</w:t>
      </w:r>
      <w:r>
        <w:rPr>
          <w:spacing w:val="-64"/>
        </w:rPr>
        <w:t> </w:t>
      </w:r>
      <w:r>
        <w:rPr>
          <w:spacing w:val="-64"/>
        </w:rPr>
      </w:r>
      <w:r>
        <w:rPr>
          <w:spacing w:val="-2"/>
        </w:rPr>
        <w:t>资成本与达到合并前的长期股权投资账面价值加上合并日进一步取得股份新支付对价的账面价值之和的差额，调整资本公积，</w:t>
      </w:r>
      <w:r>
        <w:rPr>
          <w:spacing w:val="-62"/>
        </w:rPr>
        <w:t> </w:t>
      </w:r>
      <w:r>
        <w:rPr>
          <w:spacing w:val="-62"/>
        </w:rPr>
      </w:r>
      <w:r>
        <w:rPr/>
        <w:t>资本公积不足冲减的，冲减留存收益。</w:t>
      </w:r>
    </w:p>
    <w:p>
      <w:pPr>
        <w:pStyle w:val="BodyText"/>
        <w:spacing w:line="357" w:lineRule="auto" w:before="58"/>
        <w:ind w:left="1553" w:right="1153"/>
        <w:jc w:val="left"/>
      </w:pPr>
      <w:r>
        <w:rPr/>
        <w:t>通过非同一控制下的企业合并取得的长期股权投资，以合并成本作为初始投资成本。 通过多次交易分步取得非同一控制下被投资单位的股权，最终形成企业合并的，应在取得控制权的报告期，补充披露</w:t>
      </w:r>
    </w:p>
    <w:p>
      <w:pPr>
        <w:pStyle w:val="BodyText"/>
        <w:spacing w:line="224" w:lineRule="exact"/>
        <w:ind w:right="0"/>
        <w:jc w:val="both"/>
      </w:pPr>
      <w:r>
        <w:rPr/>
        <w:t>在母公司财务报表中的长期股权投资成本处理方法。例如：通过多次交易分步取得非同一控制下被投资单位的股权，最终形</w:t>
      </w:r>
    </w:p>
    <w:p>
      <w:pPr>
        <w:pStyle w:val="BodyText"/>
        <w:spacing w:line="319" w:lineRule="auto" w:before="76"/>
        <w:ind w:right="1130"/>
        <w:jc w:val="both"/>
      </w:pPr>
      <w:r>
        <w:rPr>
          <w:spacing w:val="-2"/>
        </w:rPr>
        <w:t>成企业合并，属于一揽子交易的，本公司将各项交易作为一项取得控制权的交易进行会计处理。不属于一览交易的，按照原</w:t>
      </w:r>
      <w:r>
        <w:rPr>
          <w:spacing w:val="-65"/>
        </w:rPr>
        <w:t> </w:t>
      </w:r>
      <w:r>
        <w:rPr>
          <w:spacing w:val="-65"/>
        </w:rPr>
      </w:r>
      <w:r>
        <w:rPr>
          <w:spacing w:val="-2"/>
        </w:rPr>
        <w:t>持有的股权投资账面价值加上新增投资成本之和，作为改按成本法核算的初始投资成本。购买日之前持有的股权采用权益法</w:t>
      </w:r>
      <w:r>
        <w:rPr>
          <w:spacing w:val="-64"/>
        </w:rPr>
        <w:t> </w:t>
      </w:r>
      <w:r>
        <w:rPr>
          <w:spacing w:val="-64"/>
        </w:rPr>
      </w:r>
      <w:r>
        <w:rPr>
          <w:spacing w:val="-2"/>
        </w:rPr>
        <w:t>核算的，原权益法核算的相关其他综合收益暂不做调整，在处置该项投资时采用与被投资单位直接处置相关资产或负债相同</w:t>
      </w:r>
      <w:r>
        <w:rPr>
          <w:spacing w:val="-64"/>
        </w:rPr>
        <w:t> </w:t>
      </w:r>
      <w:r>
        <w:rPr>
          <w:spacing w:val="-64"/>
        </w:rPr>
      </w:r>
      <w:r>
        <w:rPr>
          <w:spacing w:val="-2"/>
        </w:rPr>
        <w:t>的基础进行会计处理。购买日之前持有的股权在可供出售金融资产中采用公允价值核算的，原计入其他综合收益的累计公允</w:t>
      </w:r>
      <w:r>
        <w:rPr>
          <w:spacing w:val="-64"/>
        </w:rPr>
        <w:t> </w:t>
      </w:r>
      <w:r>
        <w:rPr>
          <w:spacing w:val="-64"/>
        </w:rPr>
      </w:r>
      <w:r>
        <w:rPr/>
        <w:t>价值变动在合并日转入当期投资损益。</w:t>
      </w:r>
    </w:p>
    <w:p>
      <w:pPr>
        <w:spacing w:after="0" w:line="319"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1033" w:firstLine="420"/>
        <w:jc w:val="left"/>
      </w:pPr>
      <w:r>
        <w:rPr/>
        <w:t>除上述通过企业合并取得的长期股权投资外，以支付现金取得的长期股权投资，按照实际支付的购买价款作为投资成 本；以发行权益性证券取得的长期股权投资，按照发行权益性证券的公允价值作为投资成本；投资者投入的长期股权投资，</w:t>
      </w:r>
      <w:r>
        <w:rPr>
          <w:spacing w:val="-85"/>
        </w:rPr>
        <w:t> </w:t>
      </w:r>
      <w:r>
        <w:rPr>
          <w:spacing w:val="-85"/>
        </w:rPr>
      </w:r>
      <w:r>
        <w:rPr/>
        <w:t>按照投资合同或协议约定的价值作为投资成本；</w:t>
      </w:r>
      <w:r>
        <w:rPr>
          <w:rFonts w:ascii="宋体" w:hAnsi="宋体" w:cs="宋体" w:eastAsia="宋体" w:hint="default"/>
        </w:rPr>
        <w:t>[</w:t>
      </w:r>
      <w:r>
        <w:rPr/>
        <w:t>公司如有以债务重组、非货币性资产交换等方式取得的长期股权投资，应 根据相关企业会计准则的规定并结合公司的实际情况披露确定投资成本的方法。</w:t>
      </w:r>
    </w:p>
    <w:p>
      <w:pPr>
        <w:pStyle w:val="BodyText"/>
        <w:spacing w:line="357" w:lineRule="auto" w:before="57"/>
        <w:ind w:left="1553" w:right="1153"/>
        <w:jc w:val="left"/>
      </w:pPr>
      <w:r>
        <w:rPr/>
        <w:t>本公司对子公司投资采用成本法核算，对合营企业及联营企业投资采用权益法核算。 后续计量采用成本法核算的长期股权投资，在追加投资时，按照追加投资支付的成本额公允价值及发生的相关交易费</w:t>
      </w:r>
    </w:p>
    <w:p>
      <w:pPr>
        <w:pStyle w:val="BodyText"/>
        <w:spacing w:line="357" w:lineRule="auto"/>
        <w:ind w:left="1553" w:right="1153" w:hanging="420"/>
        <w:jc w:val="left"/>
      </w:pPr>
      <w:r>
        <w:rPr/>
        <w:t>用增加长期股权投资成本的账面价值。被投资单位宣告分派的现金股利或利润，按照应享有的金额确认为当期投资收益。 后续计量采用权益法核算的长期股权投资，随着被他投资单位所有者权益的变动相应调整增加或减少长期股权投资的</w:t>
      </w:r>
    </w:p>
    <w:p>
      <w:pPr>
        <w:pStyle w:val="BodyText"/>
        <w:spacing w:line="224" w:lineRule="exact"/>
        <w:ind w:right="0"/>
        <w:jc w:val="left"/>
      </w:pPr>
      <w:r>
        <w:rPr/>
        <w:t>账面价值。其中在确认应享有被投资单位净损益的份额时，以取得投资时被投资单位各项可辨认资产等的公允价值为基础，</w:t>
      </w:r>
    </w:p>
    <w:p>
      <w:pPr>
        <w:pStyle w:val="BodyText"/>
        <w:spacing w:line="319" w:lineRule="auto" w:before="76"/>
        <w:ind w:right="0"/>
        <w:jc w:val="left"/>
      </w:pPr>
      <w:r>
        <w:rPr>
          <w:spacing w:val="-2"/>
        </w:rPr>
        <w:t>按照本公司的会计政策及会计期间，并抵销与联营企业及合营企业之间发生的内部交易损益按照持股比例计算归属于投资企</w:t>
      </w:r>
      <w:r>
        <w:rPr>
          <w:spacing w:val="-64"/>
        </w:rPr>
        <w:t> </w:t>
      </w:r>
      <w:r>
        <w:rPr>
          <w:spacing w:val="-64"/>
        </w:rPr>
      </w:r>
      <w:r>
        <w:rPr/>
        <w:t>业的部分，对被投资单位的净利润进行调整后确认。</w:t>
      </w:r>
    </w:p>
    <w:p>
      <w:pPr>
        <w:pStyle w:val="BodyText"/>
        <w:spacing w:line="319" w:lineRule="auto" w:before="55"/>
        <w:ind w:left="1134" w:right="1131" w:firstLine="420"/>
        <w:jc w:val="both"/>
      </w:pPr>
      <w:r>
        <w:rPr/>
        <w:t>处置长期股权投资，其账面价值与实际取得价款的差额，计入当期投资收益。采用权益法核算的长期股权投资，因被 </w:t>
      </w:r>
      <w:r>
        <w:rPr>
          <w:spacing w:val="-2"/>
        </w:rPr>
        <w:t>投资单位除净损益以外所有者权益的其他变动而计入所有者权益的，处置该项投资时将原计入所有者权益的部分按相应比例</w:t>
      </w:r>
      <w:r>
        <w:rPr>
          <w:spacing w:val="-64"/>
        </w:rPr>
        <w:t> </w:t>
      </w:r>
      <w:r>
        <w:rPr>
          <w:spacing w:val="-64"/>
        </w:rPr>
      </w:r>
      <w:r>
        <w:rPr/>
        <w:t>转入当期投资损益。</w:t>
      </w:r>
    </w:p>
    <w:p>
      <w:pPr>
        <w:pStyle w:val="BodyText"/>
        <w:spacing w:line="319" w:lineRule="auto" w:before="56"/>
        <w:ind w:left="1134" w:right="0" w:firstLine="420"/>
        <w:jc w:val="left"/>
      </w:pPr>
      <w:r>
        <w:rPr/>
        <w:t>因处置部分股权投资等原因丧失了对被投资单位的共同控制或重大影响的，处置后的剩余股权改按可供出售金融资产 核算，剩余股权在丧失共同控制或重大影响之日的公允价值与账面价值之间的差额计入当期损益。原股权投资因采用权益法 </w:t>
      </w:r>
      <w:r>
        <w:rPr>
          <w:spacing w:val="-2"/>
        </w:rPr>
        <w:t>核算而确认的其他综合收益，在终止采用权益法核算时采用与被投资单位直接处置相关资产或负债相同的基础进行会计处理。</w:t>
      </w:r>
    </w:p>
    <w:p>
      <w:pPr>
        <w:pStyle w:val="BodyText"/>
        <w:spacing w:line="319" w:lineRule="auto" w:before="55"/>
        <w:ind w:left="1134" w:right="1132" w:firstLine="420"/>
        <w:jc w:val="both"/>
      </w:pPr>
      <w:r>
        <w:rPr/>
        <w:t>因处置部分长期股权投资丧失了对被投资单位控制的，处置后的剩余股权能够对被投资单位实施共同控制或施加重大 </w:t>
      </w:r>
      <w:r>
        <w:rPr>
          <w:spacing w:val="-2"/>
        </w:rPr>
        <w:t>影响的，改按权益法核算，处置股权账面价值和处置对价的差额计入投资收益，并对该剩余股权视同自取得时即采用权益法</w:t>
      </w:r>
      <w:r>
        <w:rPr>
          <w:spacing w:val="-66"/>
        </w:rPr>
        <w:t> </w:t>
      </w:r>
      <w:r>
        <w:rPr>
          <w:spacing w:val="-66"/>
        </w:rPr>
      </w:r>
      <w:r>
        <w:rPr>
          <w:spacing w:val="-2"/>
        </w:rPr>
        <w:t>核算进行调整；处置后的剩余股权不能对被投资单位实施共同控制或施加重大影响的，改按可供出售金融资产的有关规定进</w:t>
      </w:r>
      <w:r>
        <w:rPr>
          <w:spacing w:val="-64"/>
        </w:rPr>
        <w:t> </w:t>
      </w:r>
      <w:r>
        <w:rPr>
          <w:spacing w:val="-64"/>
        </w:rPr>
      </w:r>
      <w:r>
        <w:rPr>
          <w:spacing w:val="-2"/>
        </w:rPr>
        <w:t>行会计处理，处置股权账面价值和处置对价的差额计入投资收益，剩余股权在丧失控制之日的公允价值与账面价值间的差额</w:t>
      </w:r>
      <w:r>
        <w:rPr>
          <w:spacing w:val="-64"/>
        </w:rPr>
        <w:t> </w:t>
      </w:r>
      <w:r>
        <w:rPr>
          <w:spacing w:val="-64"/>
        </w:rPr>
      </w:r>
      <w:r>
        <w:rPr/>
        <w:t>计入当期投资损益。</w:t>
      </w:r>
    </w:p>
    <w:p>
      <w:pPr>
        <w:pStyle w:val="BodyText"/>
        <w:spacing w:line="319" w:lineRule="auto" w:before="55"/>
        <w:ind w:right="1132" w:firstLine="420"/>
        <w:jc w:val="both"/>
      </w:pPr>
      <w:r>
        <w:rPr/>
        <w:t>本公司对于分步处置股权至丧失控股权的各项交易不属于一揽子交易的，对每一项交易分别进行会计处理。属于“一 </w:t>
      </w:r>
      <w:r>
        <w:rPr>
          <w:spacing w:val="-2"/>
        </w:rPr>
        <w:t>揽子交易”的，将各项交易作为一项处置子公司并丧失控制权的交易进行会计处理，但是，在丧失控制权之前每一次交易处</w:t>
      </w:r>
      <w:r>
        <w:rPr>
          <w:spacing w:val="-66"/>
        </w:rPr>
        <w:t> </w:t>
      </w:r>
      <w:r>
        <w:rPr>
          <w:spacing w:val="-66"/>
        </w:rPr>
      </w:r>
      <w:r>
        <w:rPr>
          <w:spacing w:val="-2"/>
        </w:rPr>
        <w:t>置价款与所处置的股权对应的长期股权投资账面价值之间的差额，确认为其他综合收益，到丧失控制权时再一并转入丧失控</w:t>
      </w:r>
      <w:r>
        <w:rPr>
          <w:spacing w:val="-64"/>
        </w:rPr>
        <w:t> </w:t>
      </w:r>
      <w:r>
        <w:rPr>
          <w:spacing w:val="-64"/>
        </w:rPr>
      </w:r>
      <w:r>
        <w:rPr/>
        <w:t>制权的当期损益。</w:t>
      </w:r>
    </w:p>
    <w:p>
      <w:pPr>
        <w:spacing w:line="240" w:lineRule="auto" w:before="4"/>
        <w:rPr>
          <w:rFonts w:ascii="宋体" w:hAnsi="宋体" w:cs="宋体" w:eastAsia="宋体" w:hint="default"/>
          <w:sz w:val="22"/>
          <w:szCs w:val="22"/>
        </w:rPr>
      </w:pPr>
    </w:p>
    <w:p>
      <w:pPr>
        <w:pStyle w:val="Heading7"/>
        <w:spacing w:line="240" w:lineRule="auto"/>
        <w:ind w:right="0"/>
        <w:jc w:val="left"/>
        <w:rPr>
          <w:b w:val="0"/>
          <w:bCs w:val="0"/>
        </w:rPr>
      </w:pPr>
      <w:bookmarkStart w:name="15、投资性房地产" w:id="178"/>
      <w:bookmarkEnd w:id="178"/>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不适用。</w:t>
      </w:r>
    </w:p>
    <w:p>
      <w:pPr>
        <w:spacing w:line="240" w:lineRule="auto" w:before="11"/>
        <w:rPr>
          <w:rFonts w:ascii="宋体" w:hAnsi="宋体" w:cs="宋体" w:eastAsia="宋体" w:hint="default"/>
          <w:sz w:val="26"/>
          <w:szCs w:val="26"/>
        </w:rPr>
      </w:pPr>
    </w:p>
    <w:p>
      <w:pPr>
        <w:pStyle w:val="Heading7"/>
        <w:spacing w:line="506" w:lineRule="auto"/>
        <w:ind w:right="9488"/>
        <w:jc w:val="left"/>
        <w:rPr>
          <w:b w:val="0"/>
          <w:bCs w:val="0"/>
        </w:rPr>
      </w:pPr>
      <w:bookmarkStart w:name="16、固定资产" w:id="179"/>
      <w:bookmarkEnd w:id="179"/>
      <w:r>
        <w:rPr>
          <w:b w:val="0"/>
          <w:bCs w:val="0"/>
        </w:rPr>
      </w:r>
      <w:r>
        <w:rPr>
          <w:rFonts w:ascii="Times New Roman" w:hAnsi="Times New Roman" w:cs="Times New Roman" w:eastAsia="Times New Roman" w:hint="default"/>
        </w:rPr>
        <w:t>16</w:t>
      </w:r>
      <w:r>
        <w:rPr/>
        <w:t>、固定资产</w:t>
      </w:r>
      <w:r>
        <w:rPr>
          <w:w w:val="99"/>
        </w:rPr>
        <w:t> </w:t>
      </w:r>
      <w:bookmarkStart w:name="(1)确认条件" w:id="180"/>
      <w:bookmarkEnd w:id="180"/>
      <w:r>
        <w:rPr>
          <w:w w:val="99"/>
        </w:rPr>
      </w:r>
      <w:r>
        <w:rPr>
          <w:rFonts w:ascii="Times New Roman" w:hAnsi="Times New Roman" w:cs="Times New Roman" w:eastAsia="Times New Roman" w:hint="default"/>
        </w:rPr>
        <w:t>(1)</w:t>
      </w:r>
      <w:r>
        <w:rPr/>
        <w:t>确认条件</w:t>
      </w:r>
      <w:r>
        <w:rPr>
          <w:b w:val="0"/>
          <w:bCs w:val="0"/>
        </w:rPr>
      </w:r>
    </w:p>
    <w:p>
      <w:pPr>
        <w:pStyle w:val="BodyText"/>
        <w:spacing w:line="319" w:lineRule="auto" w:before="90"/>
        <w:ind w:left="1134" w:right="1170" w:firstLine="420"/>
        <w:jc w:val="both"/>
      </w:pPr>
      <w:r>
        <w:rPr/>
        <w:t>本公司固定资产是指同时具有以下特征，即为游戏开发及运营、提供劳务、出租或经营管理而持有的，使用年限超过 一年的有形资产。</w:t>
      </w:r>
    </w:p>
    <w:p>
      <w:pPr>
        <w:pStyle w:val="BodyText"/>
        <w:spacing w:line="319" w:lineRule="auto" w:before="55"/>
        <w:ind w:left="1134" w:right="1170" w:firstLine="420"/>
        <w:jc w:val="both"/>
      </w:pPr>
      <w:r>
        <w:rPr/>
        <w:t>固定资产在与其有关的经济利益很可能流入本公司、且其成本能够可靠计量时予以确认。本公司固定资产包括房屋及 建筑物、机器设备、运输设备、电子办公设备和其他设备。</w:t>
      </w:r>
    </w:p>
    <w:p>
      <w:pPr>
        <w:spacing w:line="240" w:lineRule="auto" w:before="3"/>
        <w:rPr>
          <w:rFonts w:ascii="宋体" w:hAnsi="宋体" w:cs="宋体" w:eastAsia="宋体" w:hint="default"/>
          <w:sz w:val="22"/>
          <w:szCs w:val="22"/>
        </w:rPr>
      </w:pPr>
    </w:p>
    <w:p>
      <w:pPr>
        <w:pStyle w:val="Heading7"/>
        <w:spacing w:line="240" w:lineRule="auto"/>
        <w:ind w:right="0"/>
        <w:jc w:val="left"/>
        <w:rPr>
          <w:b w:val="0"/>
          <w:bCs w:val="0"/>
        </w:rPr>
      </w:pPr>
      <w:bookmarkStart w:name="(2)折旧方法" w:id="181"/>
      <w:bookmarkEnd w:id="181"/>
      <w:r>
        <w:rPr>
          <w:b w:val="0"/>
          <w:bCs w:val="0"/>
        </w:rPr>
      </w:r>
      <w:r>
        <w:rPr>
          <w:rFonts w:ascii="Times New Roman" w:hAnsi="Times New Roman" w:cs="Times New Roman" w:eastAsia="Times New Roman" w:hint="default"/>
        </w:rPr>
        <w:t>(2)</w:t>
      </w:r>
      <w:r>
        <w:rPr/>
        <w:t>折旧方法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69" w:firstLine="420"/>
        <w:jc w:val="both"/>
      </w:pPr>
      <w:r>
        <w:rPr/>
        <w:t>除已提足折旧仍继续使用的固定资产和单独计价入账的土地外，本公司对所有固定资产计提折旧。计提折旧时采用平 均年限法。本公司固定资产的分类折旧年限、预计净残值率、折旧率如下：</w:t>
      </w:r>
    </w:p>
    <w:p>
      <w:pPr>
        <w:spacing w:after="0" w:line="319" w:lineRule="auto"/>
        <w:jc w:val="both"/>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4.75-1.90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bl>
    <w:p>
      <w:pPr>
        <w:pStyle w:val="BodyText"/>
        <w:spacing w:line="319" w:lineRule="auto" w:before="51"/>
        <w:ind w:left="1134" w:right="1170" w:firstLine="420"/>
        <w:jc w:val="both"/>
      </w:pPr>
      <w:r>
        <w:rPr/>
        <w:t>本公司于每年年度终了，对固定资产的预计使用寿命、预计净残值和折旧方法进行复核，如发生改变，则作为会计估 计变更处理。</w:t>
      </w:r>
    </w:p>
    <w:p>
      <w:pPr>
        <w:spacing w:line="240" w:lineRule="auto" w:before="3"/>
        <w:rPr>
          <w:rFonts w:ascii="宋体" w:hAnsi="宋体" w:cs="宋体" w:eastAsia="宋体" w:hint="default"/>
          <w:sz w:val="22"/>
          <w:szCs w:val="22"/>
        </w:rPr>
      </w:pPr>
    </w:p>
    <w:p>
      <w:pPr>
        <w:pStyle w:val="Heading7"/>
        <w:spacing w:line="240" w:lineRule="auto"/>
        <w:ind w:left="1133" w:right="0"/>
        <w:jc w:val="left"/>
        <w:rPr>
          <w:b w:val="0"/>
          <w:bCs w:val="0"/>
        </w:rPr>
      </w:pPr>
      <w:bookmarkStart w:name="(3)融资租入固定资产的认定依据、计价和折旧方法" w:id="182"/>
      <w:bookmarkEnd w:id="182"/>
      <w:r>
        <w:rPr>
          <w:b w:val="0"/>
          <w:bCs w:val="0"/>
        </w:rPr>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7"/>
        <w:spacing w:line="240" w:lineRule="auto"/>
        <w:ind w:left="1133" w:right="0"/>
        <w:jc w:val="left"/>
        <w:rPr>
          <w:b w:val="0"/>
          <w:bCs w:val="0"/>
        </w:rPr>
      </w:pPr>
      <w:bookmarkStart w:name="17、在建工程" w:id="183"/>
      <w:bookmarkEnd w:id="183"/>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4" w:right="1170" w:firstLine="420"/>
        <w:jc w:val="both"/>
      </w:pPr>
      <w:r>
        <w:rPr/>
        <w:t>在建工程在达到预定可使用状态之日起，根据工程预算、造价或工程实际成本等，按估计的价值结转固定资产，次月 起开始计提折旧，待办理了竣工决算手续后再对固定资产原值差异进行调整。</w:t>
      </w:r>
    </w:p>
    <w:p>
      <w:pPr>
        <w:spacing w:line="240" w:lineRule="auto" w:before="3"/>
        <w:rPr>
          <w:rFonts w:ascii="宋体" w:hAnsi="宋体" w:cs="宋体" w:eastAsia="宋体" w:hint="default"/>
          <w:sz w:val="22"/>
          <w:szCs w:val="22"/>
        </w:rPr>
      </w:pPr>
    </w:p>
    <w:p>
      <w:pPr>
        <w:pStyle w:val="Heading7"/>
        <w:spacing w:line="240" w:lineRule="auto"/>
        <w:ind w:left="1133" w:right="0"/>
        <w:jc w:val="left"/>
        <w:rPr>
          <w:b w:val="0"/>
          <w:bCs w:val="0"/>
        </w:rPr>
      </w:pPr>
      <w:bookmarkStart w:name="18、借款费用" w:id="184"/>
      <w:bookmarkEnd w:id="184"/>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8"/>
        <w:rPr>
          <w:rFonts w:ascii="宋体" w:hAnsi="宋体" w:cs="宋体" w:eastAsia="宋体" w:hint="default"/>
          <w:b/>
          <w:bCs/>
          <w:sz w:val="26"/>
          <w:szCs w:val="26"/>
        </w:rPr>
      </w:pPr>
    </w:p>
    <w:p>
      <w:pPr>
        <w:pStyle w:val="BodyText"/>
        <w:spacing w:line="314" w:lineRule="auto"/>
        <w:ind w:right="1132" w:firstLine="420"/>
        <w:jc w:val="both"/>
      </w:pPr>
      <w:r>
        <w:rPr/>
        <w:t>发生的可直接归属于需要经过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年以上的购建或者生产活动才能达到预定可使用或者可销售状态的固定资产、投资性 </w:t>
      </w:r>
      <w:r>
        <w:rPr>
          <w:spacing w:val="-2"/>
        </w:rPr>
        <w:t>房地产和存货等的借款费用，在资产支出已经发生、借款费用已经发生、为使资产达到预定可使用或可销售状态所必要的购</w:t>
      </w:r>
      <w:r>
        <w:rPr>
          <w:spacing w:val="-66"/>
        </w:rPr>
        <w:t> </w:t>
      </w:r>
      <w:r>
        <w:rPr>
          <w:spacing w:val="-66"/>
        </w:rPr>
      </w:r>
      <w:r>
        <w:rPr>
          <w:spacing w:val="-5"/>
        </w:rPr>
        <w:t>建或生产活动已经开始时，开始资本化；当购建或生产符合资本化条件的资产达到预定可使用或可销售状态时，停止资本化，</w:t>
      </w:r>
      <w:r>
        <w:rPr>
          <w:spacing w:val="-79"/>
        </w:rPr>
        <w:t> </w:t>
      </w:r>
      <w:r>
        <w:rPr>
          <w:spacing w:val="-79"/>
        </w:rPr>
      </w:r>
      <w:r>
        <w:rPr>
          <w:spacing w:val="-2"/>
        </w:rPr>
        <w:t>其后发生的借款费用计入当期损益。如果符合资本化条件的资产在购建或者生产过程中发生非正常中断、且中断时间连续超</w:t>
      </w:r>
      <w:r>
        <w:rPr>
          <w:spacing w:val="-64"/>
        </w:rPr>
        <w:t> </w:t>
      </w:r>
      <w:r>
        <w:rPr>
          <w:spacing w:val="-64"/>
        </w:rPr>
      </w:r>
      <w:r>
        <w:rPr/>
        <w:t>过</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个月，暂停借款费用的资本化，直至资产的购建或生产活动重新开始。</w:t>
      </w:r>
    </w:p>
    <w:p>
      <w:pPr>
        <w:pStyle w:val="BodyText"/>
        <w:spacing w:line="319" w:lineRule="auto" w:before="39"/>
        <w:ind w:right="1131" w:firstLine="420"/>
        <w:jc w:val="both"/>
      </w:pPr>
      <w:r>
        <w:rPr/>
        <w:t>专门借款当期实际发生的利息费用，扣除尚未动用的借款资金存入银行取得的利息收入或进行暂时性投资取得的投资 </w:t>
      </w:r>
      <w:r>
        <w:rPr>
          <w:spacing w:val="-2"/>
        </w:rPr>
        <w:t>收益后的金额予以资本化；一般借款根据累计资产支出超过专门借款部分的资产支出加权平均数乘以所占用一般借款的资本</w:t>
      </w:r>
      <w:r>
        <w:rPr>
          <w:spacing w:val="-64"/>
        </w:rPr>
        <w:t> </w:t>
      </w:r>
      <w:r>
        <w:rPr>
          <w:spacing w:val="-64"/>
        </w:rPr>
      </w:r>
      <w:r>
        <w:rPr/>
        <w:t>化率，确定资本化金额。资本化率根据一般借款加权平均利率计算确定。</w:t>
      </w:r>
    </w:p>
    <w:p>
      <w:pPr>
        <w:spacing w:line="240" w:lineRule="auto" w:before="4"/>
        <w:rPr>
          <w:rFonts w:ascii="宋体" w:hAnsi="宋体" w:cs="宋体" w:eastAsia="宋体" w:hint="default"/>
          <w:sz w:val="22"/>
          <w:szCs w:val="22"/>
        </w:rPr>
      </w:pPr>
    </w:p>
    <w:p>
      <w:pPr>
        <w:pStyle w:val="Heading7"/>
        <w:spacing w:line="240" w:lineRule="auto"/>
        <w:ind w:left="1133" w:right="0"/>
        <w:jc w:val="left"/>
        <w:rPr>
          <w:b w:val="0"/>
          <w:bCs w:val="0"/>
        </w:rPr>
      </w:pPr>
      <w:bookmarkStart w:name="19、生物资产" w:id="185"/>
      <w:bookmarkEnd w:id="185"/>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不适用。</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20、油气资产" w:id="186"/>
      <w:bookmarkEnd w:id="186"/>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不适用。</w:t>
      </w:r>
    </w:p>
    <w:p>
      <w:pPr>
        <w:spacing w:line="240" w:lineRule="auto" w:before="12"/>
        <w:rPr>
          <w:rFonts w:ascii="宋体" w:hAnsi="宋体" w:cs="宋体" w:eastAsia="宋体" w:hint="default"/>
          <w:sz w:val="26"/>
          <w:szCs w:val="26"/>
        </w:rPr>
      </w:pPr>
    </w:p>
    <w:p>
      <w:pPr>
        <w:pStyle w:val="Heading7"/>
        <w:spacing w:line="506" w:lineRule="auto"/>
        <w:ind w:right="7450"/>
        <w:jc w:val="left"/>
        <w:rPr>
          <w:b w:val="0"/>
          <w:bCs w:val="0"/>
        </w:rPr>
      </w:pPr>
      <w:bookmarkStart w:name="21、无形资产" w:id="187"/>
      <w:bookmarkEnd w:id="187"/>
      <w:r>
        <w:rPr>
          <w:b w:val="0"/>
          <w:bCs w:val="0"/>
        </w:rPr>
      </w:r>
      <w:r>
        <w:rPr>
          <w:rFonts w:ascii="Times New Roman" w:hAnsi="Times New Roman" w:cs="Times New Roman" w:eastAsia="Times New Roman" w:hint="default"/>
        </w:rPr>
        <w:t>21</w:t>
      </w:r>
      <w:r>
        <w:rPr/>
        <w:t>、无形资产</w:t>
      </w:r>
      <w:r>
        <w:rPr>
          <w:w w:val="99"/>
        </w:rPr>
        <w:t> </w:t>
      </w:r>
      <w:bookmarkStart w:name="(一)计价方法、使用寿命、减值测试" w:id="188"/>
      <w:bookmarkEnd w:id="188"/>
      <w:r>
        <w:rPr>
          <w:w w:val="99"/>
        </w:rPr>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计价方法、使用寿命、减值测试</w:t>
      </w:r>
      <w:r>
        <w:rPr>
          <w:b w:val="0"/>
          <w:bCs w:val="0"/>
        </w:rPr>
      </w:r>
    </w:p>
    <w:p>
      <w:pPr>
        <w:pStyle w:val="BodyText"/>
        <w:spacing w:line="316" w:lineRule="auto" w:before="90"/>
        <w:ind w:left="1553" w:right="2953"/>
        <w:jc w:val="left"/>
      </w:pPr>
      <w:r>
        <w:rPr/>
        <w:t>本公司无形资产包括系统软件、开发工具、游戏产品、运营工具、土地使用权、办公软件等。 </w:t>
      </w:r>
      <w:r>
        <w:rPr>
          <w:rFonts w:ascii="宋体" w:hAnsi="宋体" w:cs="宋体" w:eastAsia="宋体" w:hint="default"/>
        </w:rPr>
        <w:t>(1)</w:t>
      </w:r>
      <w:r>
        <w:rPr/>
        <w:t>无形资产的初始计量</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0" w:firstLine="420"/>
        <w:jc w:val="left"/>
      </w:pPr>
      <w:r>
        <w:rPr/>
        <w:t>外购无形资产的成本，包括购买价款、相关税费以及直接归属于使该项资产达到预定用途所发生的其他支出。购买无 形资产的价款超过正常信用条件延期支付，实质上具有融资性质的，无形资产的成本以购买价款的现值为基础确定。 </w:t>
      </w:r>
      <w:r>
        <w:rPr>
          <w:spacing w:val="-2"/>
        </w:rPr>
        <w:t>以同一控制下的企业吸收合并方式取得的无形资产按被合并方的账面价值确定其入账价值；以非同一控制下的企业吸收合并</w:t>
      </w:r>
      <w:r>
        <w:rPr>
          <w:spacing w:val="-64"/>
        </w:rPr>
        <w:t> </w:t>
      </w:r>
      <w:r>
        <w:rPr>
          <w:spacing w:val="-64"/>
        </w:rPr>
      </w:r>
      <w:r>
        <w:rPr/>
        <w:t>方式取得的无形资产按公允价值确定其入账价值。</w:t>
      </w:r>
    </w:p>
    <w:p>
      <w:pPr>
        <w:pStyle w:val="BodyText"/>
        <w:spacing w:line="316" w:lineRule="auto" w:before="19"/>
        <w:ind w:right="1153" w:firstLine="420"/>
        <w:jc w:val="left"/>
      </w:pPr>
      <w:r>
        <w:rPr/>
        <w:t>内部自行开发的无形资产，其成本包括：开发该无形资产时耗用的材料、劳务成本、注册费、在开发过程中使用的其 他专利权和特许权的摊销以及满足资本化条件的利息费用，以及为使该无形资产达到预定用途前所发生的其他直接费用。</w:t>
      </w:r>
    </w:p>
    <w:p>
      <w:pPr>
        <w:pStyle w:val="BodyText"/>
        <w:spacing w:line="316" w:lineRule="auto" w:before="19"/>
        <w:ind w:left="1553" w:right="2413"/>
        <w:jc w:val="left"/>
      </w:pPr>
      <w:r>
        <w:rPr>
          <w:rFonts w:ascii="宋体" w:hAnsi="宋体" w:cs="宋体" w:eastAsia="宋体" w:hint="default"/>
        </w:rPr>
        <w:t>(2)</w:t>
      </w:r>
      <w:r>
        <w:rPr/>
        <w:t>无形资产的后续计量 本公司在取得无形资产时分析判断其使用寿命，划分为使用寿命有限和使用寿命不确定的无形资产。 </w:t>
      </w:r>
      <w:r>
        <w:rPr>
          <w:rFonts w:ascii="宋体" w:hAnsi="宋体" w:cs="宋体" w:eastAsia="宋体" w:hint="default"/>
        </w:rPr>
        <w:t>1)</w:t>
      </w:r>
      <w:r>
        <w:rPr/>
        <w:t>使用寿命有限的无形资产</w:t>
      </w:r>
    </w:p>
    <w:p>
      <w:pPr>
        <w:pStyle w:val="BodyText"/>
        <w:spacing w:line="316" w:lineRule="auto" w:before="19"/>
        <w:ind w:right="1118"/>
        <w:jc w:val="left"/>
      </w:pPr>
      <w:r>
        <w:rPr>
          <w:spacing w:val="-2"/>
        </w:rPr>
        <w:t>对于使用寿命有限的无形资产，在为企业带来经济利益的期限内按直线法摊销。使用寿命有限的无形资产预计寿命及依据如</w:t>
      </w:r>
      <w:r>
        <w:rPr>
          <w:spacing w:val="-64"/>
        </w:rPr>
        <w:t> </w:t>
      </w:r>
      <w:r>
        <w:rPr>
          <w:spacing w:val="-64"/>
        </w:rPr>
      </w:r>
      <w:r>
        <w:rPr/>
        <w:t>下：</w:t>
      </w:r>
    </w:p>
    <w:tbl>
      <w:tblPr>
        <w:tblW w:w="0" w:type="auto"/>
        <w:jc w:val="left"/>
        <w:tblInd w:w="1126" w:type="dxa"/>
        <w:tblLayout w:type="fixed"/>
        <w:tblCellMar>
          <w:top w:w="0" w:type="dxa"/>
          <w:left w:w="0" w:type="dxa"/>
          <w:bottom w:w="0" w:type="dxa"/>
          <w:right w:w="0" w:type="dxa"/>
        </w:tblCellMar>
        <w:tblLook w:val="01E0"/>
      </w:tblPr>
      <w:tblGrid>
        <w:gridCol w:w="2872"/>
        <w:gridCol w:w="1914"/>
        <w:gridCol w:w="3830"/>
      </w:tblGrid>
      <w:tr>
        <w:trPr>
          <w:trHeight w:val="349" w:hRule="exact"/>
        </w:trPr>
        <w:tc>
          <w:tcPr>
            <w:tcW w:w="287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91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预计使用寿命</w:t>
            </w:r>
          </w:p>
        </w:tc>
        <w:tc>
          <w:tcPr>
            <w:tcW w:w="3830"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5"/>
              <w:ind w:right="4"/>
              <w:jc w:val="center"/>
              <w:rPr>
                <w:rFonts w:ascii="宋体" w:hAnsi="宋体" w:cs="宋体" w:eastAsia="宋体" w:hint="default"/>
                <w:sz w:val="20"/>
                <w:szCs w:val="20"/>
              </w:rPr>
            </w:pPr>
            <w:r>
              <w:rPr>
                <w:rFonts w:ascii="宋体" w:hAnsi="宋体" w:cs="宋体" w:eastAsia="宋体" w:hint="default"/>
                <w:sz w:val="20"/>
                <w:szCs w:val="20"/>
              </w:rPr>
              <w:t>依据</w:t>
            </w:r>
          </w:p>
        </w:tc>
      </w:tr>
      <w:tr>
        <w:trPr>
          <w:trHeight w:val="347" w:hRule="exact"/>
        </w:trPr>
        <w:tc>
          <w:tcPr>
            <w:tcW w:w="287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9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sz w:val="20"/>
              </w:rPr>
              <w:t>50</w:t>
            </w:r>
          </w:p>
        </w:tc>
        <w:tc>
          <w:tcPr>
            <w:tcW w:w="3830"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合同规定的受益年限</w:t>
            </w:r>
          </w:p>
        </w:tc>
      </w:tr>
      <w:tr>
        <w:trPr>
          <w:trHeight w:val="347" w:hRule="exact"/>
        </w:trPr>
        <w:tc>
          <w:tcPr>
            <w:tcW w:w="287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开发工具</w:t>
            </w:r>
          </w:p>
        </w:tc>
        <w:tc>
          <w:tcPr>
            <w:tcW w:w="19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sz w:val="20"/>
              </w:rPr>
              <w:t>5-10</w:t>
            </w:r>
          </w:p>
        </w:tc>
        <w:tc>
          <w:tcPr>
            <w:tcW w:w="3830"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预计使用年限</w:t>
            </w:r>
          </w:p>
        </w:tc>
      </w:tr>
      <w:tr>
        <w:trPr>
          <w:trHeight w:val="348" w:hRule="exact"/>
        </w:trPr>
        <w:tc>
          <w:tcPr>
            <w:tcW w:w="287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游戏产品</w:t>
            </w:r>
          </w:p>
        </w:tc>
        <w:tc>
          <w:tcPr>
            <w:tcW w:w="19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w:t>
            </w:r>
            <w:r>
              <w:rPr>
                <w:rFonts w:ascii="Times New Roman" w:hAnsi="Times New Roman" w:cs="Times New Roman" w:eastAsia="Times New Roman" w:hint="default"/>
                <w:sz w:val="20"/>
                <w:szCs w:val="20"/>
              </w:rPr>
              <w:t>5</w:t>
            </w:r>
          </w:p>
        </w:tc>
        <w:tc>
          <w:tcPr>
            <w:tcW w:w="3830"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预计使用年限</w:t>
            </w:r>
          </w:p>
        </w:tc>
      </w:tr>
      <w:tr>
        <w:trPr>
          <w:trHeight w:val="347" w:hRule="exact"/>
        </w:trPr>
        <w:tc>
          <w:tcPr>
            <w:tcW w:w="2872"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其中：客户端网络游戏</w:t>
            </w:r>
          </w:p>
        </w:tc>
        <w:tc>
          <w:tcPr>
            <w:tcW w:w="19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0"/>
                <w:szCs w:val="20"/>
              </w:rPr>
            </w:pPr>
            <w:r>
              <w:rPr>
                <w:rFonts w:ascii="Times New Roman"/>
                <w:w w:val="100"/>
                <w:sz w:val="20"/>
              </w:rPr>
              <w:t>5</w:t>
            </w:r>
          </w:p>
        </w:tc>
        <w:tc>
          <w:tcPr>
            <w:tcW w:w="3830" w:type="dxa"/>
            <w:tcBorders>
              <w:top w:val="single" w:sz="8" w:space="0" w:color="000000"/>
              <w:left w:val="single" w:sz="6" w:space="0" w:color="000000"/>
              <w:bottom w:val="single" w:sz="8" w:space="0" w:color="000000"/>
              <w:right w:val="nil" w:sz="6" w:space="0" w:color="auto"/>
            </w:tcBorders>
          </w:tcPr>
          <w:p>
            <w:pPr>
              <w:pStyle w:val="TableParagraph"/>
              <w:spacing w:line="261" w:lineRule="exact"/>
              <w:ind w:right="3"/>
              <w:jc w:val="center"/>
              <w:rPr>
                <w:rFonts w:ascii="宋体" w:hAnsi="宋体" w:cs="宋体" w:eastAsia="宋体" w:hint="default"/>
                <w:sz w:val="20"/>
                <w:szCs w:val="20"/>
              </w:rPr>
            </w:pPr>
            <w:r>
              <w:rPr>
                <w:rFonts w:ascii="宋体" w:hAnsi="宋体" w:cs="宋体" w:eastAsia="宋体" w:hint="default"/>
                <w:sz w:val="20"/>
                <w:szCs w:val="20"/>
              </w:rPr>
              <w:t>预计使用年限</w:t>
            </w:r>
          </w:p>
        </w:tc>
      </w:tr>
      <w:tr>
        <w:trPr>
          <w:trHeight w:val="347" w:hRule="exact"/>
        </w:trPr>
        <w:tc>
          <w:tcPr>
            <w:tcW w:w="287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602" w:right="0"/>
              <w:jc w:val="left"/>
              <w:rPr>
                <w:rFonts w:ascii="宋体" w:hAnsi="宋体" w:cs="宋体" w:eastAsia="宋体" w:hint="default"/>
                <w:sz w:val="20"/>
                <w:szCs w:val="20"/>
              </w:rPr>
            </w:pPr>
            <w:r>
              <w:rPr>
                <w:rFonts w:ascii="宋体" w:hAnsi="宋体" w:cs="宋体" w:eastAsia="宋体" w:hint="default"/>
                <w:sz w:val="20"/>
                <w:szCs w:val="20"/>
              </w:rPr>
              <w:t>网页游戏</w:t>
            </w:r>
          </w:p>
        </w:tc>
        <w:tc>
          <w:tcPr>
            <w:tcW w:w="19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Times New Roman"/>
                <w:w w:val="100"/>
                <w:sz w:val="20"/>
              </w:rPr>
              <w:t>1</w:t>
            </w:r>
          </w:p>
        </w:tc>
        <w:tc>
          <w:tcPr>
            <w:tcW w:w="3830"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预计使用年限</w:t>
            </w:r>
          </w:p>
        </w:tc>
      </w:tr>
      <w:tr>
        <w:trPr>
          <w:trHeight w:val="347" w:hRule="exact"/>
        </w:trPr>
        <w:tc>
          <w:tcPr>
            <w:tcW w:w="287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602" w:right="0"/>
              <w:jc w:val="left"/>
              <w:rPr>
                <w:rFonts w:ascii="宋体" w:hAnsi="宋体" w:cs="宋体" w:eastAsia="宋体" w:hint="default"/>
                <w:sz w:val="20"/>
                <w:szCs w:val="20"/>
              </w:rPr>
            </w:pPr>
            <w:r>
              <w:rPr>
                <w:rFonts w:ascii="宋体" w:hAnsi="宋体" w:cs="宋体" w:eastAsia="宋体" w:hint="default"/>
                <w:sz w:val="20"/>
                <w:szCs w:val="20"/>
              </w:rPr>
              <w:t>手机游戏</w:t>
            </w:r>
          </w:p>
        </w:tc>
        <w:tc>
          <w:tcPr>
            <w:tcW w:w="19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Times New Roman"/>
                <w:w w:val="100"/>
                <w:sz w:val="20"/>
              </w:rPr>
              <w:t>1</w:t>
            </w:r>
          </w:p>
        </w:tc>
        <w:tc>
          <w:tcPr>
            <w:tcW w:w="3830"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预计使用年限</w:t>
            </w:r>
          </w:p>
        </w:tc>
      </w:tr>
      <w:tr>
        <w:trPr>
          <w:trHeight w:val="347" w:hRule="exact"/>
        </w:trPr>
        <w:tc>
          <w:tcPr>
            <w:tcW w:w="287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602" w:right="0"/>
              <w:jc w:val="left"/>
              <w:rPr>
                <w:rFonts w:ascii="宋体" w:hAnsi="宋体" w:cs="宋体" w:eastAsia="宋体" w:hint="default"/>
                <w:sz w:val="20"/>
                <w:szCs w:val="20"/>
              </w:rPr>
            </w:pPr>
            <w:r>
              <w:rPr>
                <w:rFonts w:ascii="宋体" w:hAnsi="宋体" w:cs="宋体" w:eastAsia="宋体" w:hint="default"/>
                <w:sz w:val="20"/>
                <w:szCs w:val="20"/>
              </w:rPr>
              <w:t>社交游戏</w:t>
            </w:r>
          </w:p>
        </w:tc>
        <w:tc>
          <w:tcPr>
            <w:tcW w:w="19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Times New Roman"/>
                <w:w w:val="100"/>
                <w:sz w:val="20"/>
              </w:rPr>
              <w:t>1</w:t>
            </w:r>
          </w:p>
        </w:tc>
        <w:tc>
          <w:tcPr>
            <w:tcW w:w="3830"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预计使用年限</w:t>
            </w:r>
          </w:p>
        </w:tc>
      </w:tr>
      <w:tr>
        <w:trPr>
          <w:trHeight w:val="347" w:hRule="exact"/>
        </w:trPr>
        <w:tc>
          <w:tcPr>
            <w:tcW w:w="287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运营工具</w:t>
            </w:r>
          </w:p>
        </w:tc>
        <w:tc>
          <w:tcPr>
            <w:tcW w:w="19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Times New Roman"/>
                <w:w w:val="100"/>
                <w:sz w:val="20"/>
              </w:rPr>
              <w:t>5</w:t>
            </w:r>
          </w:p>
        </w:tc>
        <w:tc>
          <w:tcPr>
            <w:tcW w:w="3830"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预计使用年限</w:t>
            </w:r>
          </w:p>
        </w:tc>
      </w:tr>
      <w:tr>
        <w:trPr>
          <w:trHeight w:val="348" w:hRule="exact"/>
        </w:trPr>
        <w:tc>
          <w:tcPr>
            <w:tcW w:w="287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系统软件</w:t>
            </w:r>
          </w:p>
        </w:tc>
        <w:tc>
          <w:tcPr>
            <w:tcW w:w="19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Times New Roman"/>
                <w:w w:val="100"/>
                <w:sz w:val="20"/>
              </w:rPr>
              <w:t>5</w:t>
            </w:r>
          </w:p>
        </w:tc>
        <w:tc>
          <w:tcPr>
            <w:tcW w:w="3830" w:type="dxa"/>
            <w:tcBorders>
              <w:top w:val="single" w:sz="8" w:space="0" w:color="000000"/>
              <w:left w:val="single" w:sz="6" w:space="0" w:color="000000"/>
              <w:bottom w:val="single" w:sz="8" w:space="0" w:color="000000"/>
              <w:right w:val="nil" w:sz="6" w:space="0" w:color="auto"/>
            </w:tcBorders>
          </w:tcPr>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预计使用年限</w:t>
            </w:r>
          </w:p>
        </w:tc>
      </w:tr>
      <w:tr>
        <w:trPr>
          <w:trHeight w:val="347" w:hRule="exact"/>
        </w:trPr>
        <w:tc>
          <w:tcPr>
            <w:tcW w:w="2872"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办公软件</w:t>
            </w:r>
          </w:p>
        </w:tc>
        <w:tc>
          <w:tcPr>
            <w:tcW w:w="19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0"/>
                <w:szCs w:val="20"/>
              </w:rPr>
            </w:pPr>
            <w:r>
              <w:rPr>
                <w:rFonts w:ascii="Times New Roman"/>
                <w:w w:val="100"/>
                <w:sz w:val="20"/>
              </w:rPr>
              <w:t>5</w:t>
            </w:r>
          </w:p>
        </w:tc>
        <w:tc>
          <w:tcPr>
            <w:tcW w:w="3830" w:type="dxa"/>
            <w:tcBorders>
              <w:top w:val="single" w:sz="8" w:space="0" w:color="000000"/>
              <w:left w:val="single" w:sz="6" w:space="0" w:color="000000"/>
              <w:bottom w:val="single" w:sz="8" w:space="0" w:color="000000"/>
              <w:right w:val="nil" w:sz="6" w:space="0" w:color="auto"/>
            </w:tcBorders>
          </w:tcPr>
          <w:p>
            <w:pPr>
              <w:pStyle w:val="TableParagraph"/>
              <w:spacing w:line="261" w:lineRule="exact"/>
              <w:ind w:right="3"/>
              <w:jc w:val="center"/>
              <w:rPr>
                <w:rFonts w:ascii="宋体" w:hAnsi="宋体" w:cs="宋体" w:eastAsia="宋体" w:hint="default"/>
                <w:sz w:val="20"/>
                <w:szCs w:val="20"/>
              </w:rPr>
            </w:pPr>
            <w:r>
              <w:rPr>
                <w:rFonts w:ascii="宋体" w:hAnsi="宋体" w:cs="宋体" w:eastAsia="宋体" w:hint="default"/>
                <w:sz w:val="20"/>
                <w:szCs w:val="20"/>
              </w:rPr>
              <w:t>预计使用年限</w:t>
            </w:r>
          </w:p>
        </w:tc>
      </w:tr>
    </w:tbl>
    <w:p>
      <w:pPr>
        <w:pStyle w:val="BodyText"/>
        <w:spacing w:line="316" w:lineRule="auto" w:before="19"/>
        <w:ind w:left="1553" w:right="1129"/>
        <w:jc w:val="left"/>
      </w:pPr>
      <w:r>
        <w:rPr>
          <w:spacing w:val="-3"/>
        </w:rPr>
        <w:t>每期末，对使用寿命有限的无形资产的使用寿命及摊销方法进行复核，如与原先估计数存在差异的，进行相应的调整。</w:t>
      </w:r>
      <w:r>
        <w:rPr>
          <w:spacing w:val="-75"/>
        </w:rPr>
        <w:t> </w:t>
      </w:r>
      <w:r>
        <w:rPr>
          <w:spacing w:val="-75"/>
        </w:rPr>
      </w:r>
      <w:r>
        <w:rPr/>
        <w:t>经复核，本期期末无形资产的使用寿命及摊销方法与以前估计未有不同。</w:t>
      </w:r>
    </w:p>
    <w:p>
      <w:pPr>
        <w:pStyle w:val="BodyText"/>
        <w:spacing w:line="316" w:lineRule="auto" w:before="19"/>
        <w:ind w:left="1554" w:right="7272"/>
        <w:jc w:val="left"/>
      </w:pPr>
      <w:r>
        <w:rPr>
          <w:rFonts w:ascii="宋体" w:hAnsi="宋体" w:cs="宋体" w:eastAsia="宋体" w:hint="default"/>
        </w:rPr>
        <w:t>2)</w:t>
      </w:r>
      <w:r>
        <w:rPr/>
        <w:t>使用寿命不确定的无形资产 本公司无使用寿命不确定的无形资产。</w:t>
      </w:r>
    </w:p>
    <w:p>
      <w:pPr>
        <w:spacing w:line="240" w:lineRule="auto" w:before="7"/>
        <w:rPr>
          <w:rFonts w:ascii="宋体" w:hAnsi="宋体" w:cs="宋体" w:eastAsia="宋体" w:hint="default"/>
          <w:sz w:val="22"/>
          <w:szCs w:val="22"/>
        </w:rPr>
      </w:pPr>
    </w:p>
    <w:p>
      <w:pPr>
        <w:pStyle w:val="Heading7"/>
        <w:spacing w:line="240" w:lineRule="auto"/>
        <w:ind w:right="0"/>
        <w:jc w:val="both"/>
        <w:rPr>
          <w:b w:val="0"/>
          <w:bCs w:val="0"/>
        </w:rPr>
      </w:pPr>
      <w:bookmarkStart w:name="(二)内部研究开发支出会计政策" w:id="189"/>
      <w:bookmarkEnd w:id="189"/>
      <w:r>
        <w:rPr>
          <w:b w:val="0"/>
          <w:bCs w:val="0"/>
        </w:rPr>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内部研究开发支出会计政策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54" w:right="1152"/>
        <w:jc w:val="left"/>
      </w:pPr>
      <w:r>
        <w:rPr>
          <w:rFonts w:ascii="宋体" w:hAnsi="宋体" w:cs="宋体" w:eastAsia="宋体" w:hint="default"/>
        </w:rPr>
        <w:t>(1)</w:t>
      </w:r>
      <w:r>
        <w:rPr/>
        <w:t>划分公司内部研究开发项目的研究阶段和开发阶段具体标准 本公司根据《研发项目管理和会计核算制度》的流程，将内部研究开发项目划分研究阶段和开发阶段。其中，项目策</w:t>
      </w:r>
    </w:p>
    <w:p>
      <w:pPr>
        <w:pStyle w:val="BodyText"/>
        <w:spacing w:line="316" w:lineRule="auto" w:before="19"/>
        <w:ind w:left="1553" w:right="1153" w:hanging="420"/>
        <w:jc w:val="left"/>
      </w:pPr>
      <w:r>
        <w:rPr/>
        <w:t>划阶段与项目立项阶段作为研究阶段；项目计划阶段、项目实施与执行阶段和项目验收阶段作为开发阶段。 研究阶段起点为游戏策划，终点为立项评审通过，表明公司研发中心判断该项目在技术上、商业上等具有可行性；开</w:t>
      </w:r>
    </w:p>
    <w:p>
      <w:pPr>
        <w:pStyle w:val="BodyText"/>
        <w:spacing w:line="316" w:lineRule="auto" w:before="19"/>
        <w:ind w:right="1130"/>
        <w:jc w:val="both"/>
      </w:pPr>
      <w:r>
        <w:rPr>
          <w:spacing w:val="-2"/>
        </w:rPr>
        <w:t>发阶段的起点为项目开发计划，终点为项目相关测试完成后可进入商业运营。研究阶段的项目支出直接记入当期损益；进入</w:t>
      </w:r>
      <w:r>
        <w:rPr>
          <w:spacing w:val="-66"/>
        </w:rPr>
        <w:t> </w:t>
      </w:r>
      <w:r>
        <w:rPr>
          <w:spacing w:val="-66"/>
        </w:rPr>
      </w:r>
      <w:r>
        <w:rPr>
          <w:spacing w:val="-2"/>
        </w:rPr>
        <w:t>开发阶段的项目支出，则予以资本化，先在“开发支出”科目分项目进行明细核算，可商业运营时，再转入“无形资产”科</w:t>
      </w:r>
      <w:r>
        <w:rPr>
          <w:spacing w:val="-68"/>
        </w:rPr>
        <w:t> </w:t>
      </w:r>
      <w:r>
        <w:rPr>
          <w:spacing w:val="-68"/>
        </w:rPr>
      </w:r>
      <w:r>
        <w:rPr/>
        <w:t>目分项目进行明细核算。</w:t>
      </w:r>
    </w:p>
    <w:p>
      <w:pPr>
        <w:pStyle w:val="BodyText"/>
        <w:spacing w:line="316" w:lineRule="auto" w:before="17"/>
        <w:ind w:left="1553" w:right="4393"/>
        <w:jc w:val="left"/>
      </w:pPr>
      <w:r>
        <w:rPr>
          <w:rFonts w:ascii="宋体" w:hAnsi="宋体" w:cs="宋体" w:eastAsia="宋体" w:hint="default"/>
        </w:rPr>
        <w:t>(2)</w:t>
      </w:r>
      <w:r>
        <w:rPr/>
        <w:t>开发阶段支出符合资本化的具体标准 内部研究开发项目开发阶段的支出，同时满足下列条件时确认为无形资产： </w:t>
      </w:r>
      <w:r>
        <w:rPr>
          <w:rFonts w:ascii="宋体" w:hAnsi="宋体" w:cs="宋体" w:eastAsia="宋体" w:hint="default"/>
        </w:rPr>
        <w:t>1)</w:t>
      </w:r>
      <w:r>
        <w:rPr/>
        <w:t>完成该无形资产以使其能够使用或出售在技术上具有可行性；</w:t>
      </w:r>
    </w:p>
    <w:p>
      <w:pPr>
        <w:pStyle w:val="BodyText"/>
        <w:spacing w:line="240" w:lineRule="auto" w:before="19"/>
        <w:ind w:left="1554" w:right="0"/>
        <w:jc w:val="left"/>
      </w:pPr>
      <w:r>
        <w:rPr>
          <w:rFonts w:ascii="宋体" w:hAnsi="宋体" w:cs="宋体" w:eastAsia="宋体" w:hint="default"/>
        </w:rPr>
        <w:t>2)</w:t>
      </w:r>
      <w:r>
        <w:rPr/>
        <w:t>具有完成该无形资产并使用或出售的意图；</w:t>
      </w:r>
    </w:p>
    <w:p>
      <w:pPr>
        <w:pStyle w:val="BodyText"/>
        <w:spacing w:line="316" w:lineRule="auto" w:before="76"/>
        <w:ind w:left="1134" w:right="1152" w:firstLine="420"/>
        <w:jc w:val="left"/>
      </w:pPr>
      <w:r>
        <w:rPr>
          <w:rFonts w:ascii="宋体" w:hAnsi="宋体" w:cs="宋体" w:eastAsia="宋体" w:hint="default"/>
        </w:rPr>
        <w:t>3)</w:t>
      </w:r>
      <w:r>
        <w:rPr/>
        <w:t>无形资产产生经济利益的方式，包括能够证明运用该无形资产生产的产品存在市场或无形资产自身存在市场，无形 资产将在内部使用的，能够证明其有用性；</w:t>
      </w:r>
    </w:p>
    <w:p>
      <w:pPr>
        <w:pStyle w:val="BodyText"/>
        <w:spacing w:line="240" w:lineRule="auto" w:before="19"/>
        <w:ind w:left="1554" w:right="0"/>
        <w:jc w:val="left"/>
      </w:pPr>
      <w:r>
        <w:rPr>
          <w:rFonts w:ascii="宋体" w:hAnsi="宋体" w:cs="宋体" w:eastAsia="宋体" w:hint="default"/>
        </w:rPr>
        <w:t>4)</w:t>
      </w:r>
      <w:r>
        <w:rPr/>
        <w:t>有足够的技术、财务资源和其他资源支持，以完成该无形资产的开发，并有能力使用或出售该无形资产；</w:t>
      </w:r>
    </w:p>
    <w:p>
      <w:pPr>
        <w:spacing w:after="0" w:line="240" w:lineRule="auto"/>
        <w:jc w:val="left"/>
        <w:sectPr>
          <w:footerReference w:type="default" r:id="rId13"/>
          <w:pgSz w:w="11910" w:h="16840"/>
          <w:pgMar w:footer="979" w:header="747"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554" w:right="1152"/>
        <w:jc w:val="left"/>
      </w:pPr>
      <w:r>
        <w:rPr>
          <w:rFonts w:ascii="宋体" w:hAnsi="宋体" w:cs="宋体" w:eastAsia="宋体" w:hint="default"/>
        </w:rPr>
        <w:t>5)</w:t>
      </w:r>
      <w:r>
        <w:rPr/>
        <w:t>归属于该无形资产开发阶段的支出能够可靠地计量。 不满足上述条件的开发阶段的支出，于发生时计入当期损益。以前期间已计入损益的开发支出不在以后期间重新确认</w:t>
      </w:r>
    </w:p>
    <w:p>
      <w:pPr>
        <w:pStyle w:val="BodyText"/>
        <w:spacing w:line="240" w:lineRule="auto" w:before="19"/>
        <w:ind w:left="1134" w:right="0"/>
        <w:jc w:val="both"/>
      </w:pPr>
      <w:r>
        <w:rPr/>
        <w:t>为资产。已资本化的开发阶段的支出在资产负债表上列示为开发支出，自该项目达到预定用途之日起转为无形资产。</w:t>
      </w:r>
    </w:p>
    <w:p>
      <w:pPr>
        <w:spacing w:line="240" w:lineRule="auto" w:before="12"/>
        <w:rPr>
          <w:rFonts w:ascii="宋体" w:hAnsi="宋体" w:cs="宋体" w:eastAsia="宋体" w:hint="default"/>
          <w:sz w:val="26"/>
          <w:szCs w:val="26"/>
        </w:rPr>
      </w:pPr>
    </w:p>
    <w:p>
      <w:pPr>
        <w:pStyle w:val="Heading7"/>
        <w:spacing w:line="240" w:lineRule="auto"/>
        <w:ind w:left="1133" w:right="0"/>
        <w:jc w:val="both"/>
        <w:rPr>
          <w:b w:val="0"/>
          <w:bCs w:val="0"/>
        </w:rPr>
      </w:pPr>
      <w:bookmarkStart w:name="22、长期资产减值" w:id="190"/>
      <w:bookmarkEnd w:id="190"/>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032" w:firstLine="420"/>
        <w:jc w:val="left"/>
      </w:pPr>
      <w:r>
        <w:rPr/>
        <w:t>本公司在资产负债表日判断长期资产是否存在可能发生减值的迹象。如果长期资产存在减值迹象的，以单项资产为基 础估计其可收回金额；难以对单项资产的可收回金额进行估计的，以该资产所属的资产组为基础确定资产组的可收回金额。</w:t>
      </w:r>
    </w:p>
    <w:p>
      <w:pPr>
        <w:pStyle w:val="BodyText"/>
        <w:spacing w:line="316" w:lineRule="auto" w:before="19"/>
        <w:ind w:left="1554" w:right="1024"/>
        <w:jc w:val="left"/>
      </w:pPr>
      <w:r>
        <w:rPr>
          <w:spacing w:val="-1"/>
        </w:rPr>
        <w:t>资产可收回金额的估计，根据其公允价值减去处置费用后的净额与资产预计未来现金流量的现值两者之间较高者确定。</w:t>
      </w:r>
      <w:r>
        <w:rPr/>
        <w:t> 可收回金额的计量结果表明，长期资产的可收回金额低于其账面价值的，将长期资产的账面价值减记至可收回金额，</w:t>
      </w:r>
    </w:p>
    <w:p>
      <w:pPr>
        <w:pStyle w:val="BodyText"/>
        <w:spacing w:line="316" w:lineRule="auto" w:before="19"/>
        <w:ind w:left="1134" w:right="1131"/>
        <w:jc w:val="both"/>
      </w:pPr>
      <w:r>
        <w:rPr>
          <w:spacing w:val="-2"/>
        </w:rPr>
        <w:t>减记的金额确认为资产减值损失，计入当期损益，同时计提相应的资产减值准备。资产减值损失一经确认，在以后会计期间</w:t>
      </w:r>
      <w:r>
        <w:rPr>
          <w:spacing w:val="-66"/>
        </w:rPr>
        <w:t> </w:t>
      </w:r>
      <w:r>
        <w:rPr>
          <w:spacing w:val="-66"/>
        </w:rPr>
      </w:r>
      <w:r>
        <w:rPr/>
        <w:t>不得转回。</w:t>
      </w:r>
    </w:p>
    <w:p>
      <w:pPr>
        <w:pStyle w:val="BodyText"/>
        <w:spacing w:line="316" w:lineRule="auto" w:before="19"/>
        <w:ind w:left="1134" w:right="1152" w:firstLine="420"/>
        <w:jc w:val="left"/>
      </w:pPr>
      <w:r>
        <w:rPr/>
        <w:t>资产减值损失确认后，减值资产的折旧或者摊销费用在未来期间作相应调整，以使该资产在剩余使用寿命内，系统地 分摊调整后的资产账面价值</w:t>
      </w:r>
      <w:r>
        <w:rPr>
          <w:rFonts w:ascii="宋体" w:hAnsi="宋体" w:cs="宋体" w:eastAsia="宋体" w:hint="default"/>
        </w:rPr>
        <w:t>(</w:t>
      </w:r>
      <w:r>
        <w:rPr/>
        <w:t>扣除预计净残值</w:t>
      </w:r>
      <w:r>
        <w:rPr>
          <w:rFonts w:ascii="宋体" w:hAnsi="宋体" w:cs="宋体" w:eastAsia="宋体" w:hint="default"/>
        </w:rPr>
        <w:t>)</w:t>
      </w:r>
      <w:r>
        <w:rPr/>
        <w:t>。</w:t>
      </w:r>
    </w:p>
    <w:p>
      <w:pPr>
        <w:pStyle w:val="BodyText"/>
        <w:spacing w:line="316" w:lineRule="auto" w:before="19"/>
        <w:ind w:left="1553" w:right="1153"/>
        <w:jc w:val="left"/>
      </w:pPr>
      <w:r>
        <w:rPr/>
        <w:t>因企业合并所形成的商誉和使用寿命不确定的无形资产，无论是否存在减值迹象，每年都进行减值测试。 商誉结合与其相关的资产组或者资产组组合进行减值测试。在对包含商誉的相关资产组或者资产组组合进行减值测试</w:t>
      </w:r>
    </w:p>
    <w:p>
      <w:pPr>
        <w:pStyle w:val="BodyText"/>
        <w:spacing w:line="316" w:lineRule="auto" w:before="19"/>
        <w:ind w:right="1131"/>
        <w:jc w:val="both"/>
      </w:pPr>
      <w:r>
        <w:rPr>
          <w:spacing w:val="-2"/>
        </w:rPr>
        <w:t>时，如与商誉相关的资产组或者资产组组合存在减值迹象的，先对不包含商誉的资产组或者资产组组合进行减值测试，计算</w:t>
      </w:r>
      <w:r>
        <w:rPr>
          <w:spacing w:val="-66"/>
        </w:rPr>
        <w:t> </w:t>
      </w:r>
      <w:r>
        <w:rPr>
          <w:spacing w:val="-66"/>
        </w:rPr>
      </w:r>
      <w:r>
        <w:rPr>
          <w:spacing w:val="-2"/>
        </w:rPr>
        <w:t>可收回金额，并与相关账面价值相比较，确认相应的减值损失。再对包含商誉的资产组或者资产组组合进行减值测试，比较</w:t>
      </w:r>
      <w:r>
        <w:rPr>
          <w:spacing w:val="-66"/>
        </w:rPr>
        <w:t> </w:t>
      </w:r>
      <w:r>
        <w:rPr>
          <w:spacing w:val="-66"/>
        </w:rPr>
      </w:r>
      <w:r>
        <w:rPr>
          <w:spacing w:val="-2"/>
        </w:rPr>
        <w:t>这些相关资产组或者资产组组合的账面价值</w:t>
      </w:r>
      <w:r>
        <w:rPr>
          <w:rFonts w:ascii="宋体" w:hAnsi="宋体" w:cs="宋体" w:eastAsia="宋体" w:hint="default"/>
          <w:spacing w:val="-2"/>
        </w:rPr>
        <w:t>(</w:t>
      </w:r>
      <w:r>
        <w:rPr>
          <w:spacing w:val="-2"/>
        </w:rPr>
        <w:t>包括所分摊的商誉的账面价值部分</w:t>
      </w:r>
      <w:r>
        <w:rPr>
          <w:rFonts w:ascii="宋体" w:hAnsi="宋体" w:cs="宋体" w:eastAsia="宋体" w:hint="default"/>
          <w:spacing w:val="-2"/>
        </w:rPr>
        <w:t>)</w:t>
      </w:r>
      <w:r>
        <w:rPr>
          <w:spacing w:val="-2"/>
        </w:rPr>
        <w:t>与其可收回金额，如相关资产组或者资产组</w:t>
      </w:r>
      <w:r>
        <w:rPr>
          <w:spacing w:val="-62"/>
        </w:rPr>
        <w:t> </w:t>
      </w:r>
      <w:r>
        <w:rPr>
          <w:spacing w:val="-62"/>
        </w:rPr>
      </w:r>
      <w:r>
        <w:rPr/>
        <w:t>组合的可收回金额低于其账面价值的，确认商誉的减值损失。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7"/>
        <w:spacing w:line="240" w:lineRule="auto" w:before="136"/>
        <w:ind w:right="0"/>
        <w:jc w:val="both"/>
        <w:rPr>
          <w:b w:val="0"/>
          <w:bCs w:val="0"/>
        </w:rPr>
      </w:pPr>
      <w:bookmarkStart w:name="23、长期待摊费用" w:id="191"/>
      <w:bookmarkEnd w:id="191"/>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52" w:firstLine="420"/>
        <w:jc w:val="left"/>
      </w:pPr>
      <w:r>
        <w:rPr/>
        <w:t>本公司的长期待摊费用包括版权金代理费和装修费等。该等费用在受益期内平均摊销，如果长期待摊费用项目不能使 以后会计期间受益，则将尚未摊销的该项目的摊余价值全部转入当期损益。摊销年限如下：</w:t>
      </w:r>
    </w:p>
    <w:tbl>
      <w:tblPr>
        <w:tblW w:w="0" w:type="auto"/>
        <w:jc w:val="left"/>
        <w:tblInd w:w="1126" w:type="dxa"/>
        <w:tblLayout w:type="fixed"/>
        <w:tblCellMar>
          <w:top w:w="0" w:type="dxa"/>
          <w:left w:w="0" w:type="dxa"/>
          <w:bottom w:w="0" w:type="dxa"/>
          <w:right w:w="0" w:type="dxa"/>
        </w:tblCellMar>
        <w:tblLook w:val="01E0"/>
      </w:tblPr>
      <w:tblGrid>
        <w:gridCol w:w="2908"/>
        <w:gridCol w:w="2908"/>
        <w:gridCol w:w="2908"/>
      </w:tblGrid>
      <w:tr>
        <w:trPr>
          <w:trHeight w:val="349" w:hRule="exact"/>
        </w:trPr>
        <w:tc>
          <w:tcPr>
            <w:tcW w:w="290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2908" w:type="dxa"/>
            <w:tcBorders>
              <w:top w:val="single" w:sz="6" w:space="0" w:color="000000"/>
              <w:left w:val="single" w:sz="6" w:space="0" w:color="000000"/>
              <w:bottom w:val="single" w:sz="8"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摊销年限</w:t>
            </w:r>
            <w:r>
              <w:rPr>
                <w:rFonts w:ascii="宋体" w:hAnsi="宋体" w:cs="宋体" w:eastAsia="宋体" w:hint="default"/>
                <w:sz w:val="20"/>
                <w:szCs w:val="20"/>
              </w:rPr>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b/>
                <w:bCs/>
                <w:sz w:val="20"/>
                <w:szCs w:val="20"/>
              </w:rPr>
              <w:t>备注</w:t>
            </w:r>
            <w:r>
              <w:rPr>
                <w:rFonts w:ascii="宋体" w:hAnsi="宋体" w:cs="宋体" w:eastAsia="宋体" w:hint="default"/>
                <w:sz w:val="20"/>
                <w:szCs w:val="20"/>
              </w:rPr>
            </w:r>
          </w:p>
        </w:tc>
      </w:tr>
      <w:tr>
        <w:trPr>
          <w:trHeight w:val="347" w:hRule="exact"/>
        </w:trPr>
        <w:tc>
          <w:tcPr>
            <w:tcW w:w="29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版权金代理费</w:t>
            </w:r>
          </w:p>
        </w:tc>
        <w:tc>
          <w:tcPr>
            <w:tcW w:w="290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sz w:val="18"/>
              </w:rPr>
              <w:t>2-5</w:t>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按照游戏授权运营期</w:t>
            </w:r>
          </w:p>
        </w:tc>
      </w:tr>
      <w:tr>
        <w:trPr>
          <w:trHeight w:val="348" w:hRule="exact"/>
        </w:trPr>
        <w:tc>
          <w:tcPr>
            <w:tcW w:w="29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2908"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sz w:val="18"/>
              </w:rPr>
              <w:t>2-5</w:t>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按照剩余租赁期</w:t>
            </w:r>
          </w:p>
        </w:tc>
      </w:tr>
      <w:tr>
        <w:trPr>
          <w:trHeight w:val="347" w:hRule="exact"/>
        </w:trPr>
        <w:tc>
          <w:tcPr>
            <w:tcW w:w="290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2-5</w:t>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按照实际受益期</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7"/>
        <w:spacing w:line="240" w:lineRule="auto" w:before="35"/>
        <w:ind w:right="0"/>
        <w:jc w:val="left"/>
        <w:rPr>
          <w:b w:val="0"/>
          <w:bCs w:val="0"/>
        </w:rPr>
      </w:pPr>
      <w:bookmarkStart w:name="24、职工薪酬" w:id="192"/>
      <w:bookmarkEnd w:id="192"/>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54" w:right="0"/>
        <w:jc w:val="left"/>
      </w:pPr>
      <w:r>
        <w:rPr/>
        <w:t>本公司职工薪酬包括短期薪酬、离职后福利和辞退福利。</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1)短期薪酬的会计处理方法" w:id="193"/>
      <w:bookmarkEnd w:id="193"/>
      <w:r>
        <w:rPr>
          <w:b w:val="0"/>
          <w:bCs w:val="0"/>
        </w:rPr>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420"/>
        <w:jc w:val="both"/>
      </w:pPr>
      <w:r>
        <w:rPr>
          <w:spacing w:val="-3"/>
        </w:rPr>
        <w:t>短期薪酬主要包括职工工资、奖金、津贴和补贴、职工福利费、医疗保险费、工伤保险费和生育保险费等社会保险费、</w:t>
      </w:r>
      <w:r>
        <w:rPr/>
        <w:t> </w:t>
      </w:r>
      <w:r>
        <w:rPr>
          <w:spacing w:val="-2"/>
        </w:rPr>
        <w:t>住房公积金、工会经费和职工教育经费、短期带薪缺勤以及其他短期薪酬等，在职工提供服务的会计期间，将实际发生的短</w:t>
      </w:r>
      <w:r>
        <w:rPr>
          <w:spacing w:val="-66"/>
        </w:rPr>
        <w:t> </w:t>
      </w:r>
      <w:r>
        <w:rPr>
          <w:spacing w:val="-66"/>
        </w:rPr>
      </w:r>
      <w:r>
        <w:rPr/>
        <w:t>期薪酬确认为负债，并按照受益对象计入当期损益或相关资产成本。</w:t>
      </w:r>
    </w:p>
    <w:p>
      <w:pPr>
        <w:spacing w:after="0" w:line="319" w:lineRule="auto"/>
        <w:jc w:val="both"/>
        <w:sectPr>
          <w:footerReference w:type="default" r:id="rId14"/>
          <w:pgSz w:w="11910" w:h="16840"/>
          <w:pgMar w:footer="979" w:header="747" w:top="1060" w:bottom="1160" w:left="0" w:right="0"/>
          <w:pgNumType w:start="101"/>
        </w:sectPr>
      </w:pPr>
    </w:p>
    <w:p>
      <w:pPr>
        <w:spacing w:line="240" w:lineRule="auto" w:before="10"/>
        <w:rPr>
          <w:rFonts w:ascii="宋体" w:hAnsi="宋体" w:cs="宋体" w:eastAsia="宋体" w:hint="default"/>
          <w:sz w:val="24"/>
          <w:szCs w:val="24"/>
        </w:rPr>
      </w:pPr>
    </w:p>
    <w:p>
      <w:pPr>
        <w:pStyle w:val="Heading7"/>
        <w:spacing w:line="240" w:lineRule="auto" w:before="35"/>
        <w:ind w:left="1133" w:right="0"/>
        <w:jc w:val="left"/>
        <w:rPr>
          <w:b w:val="0"/>
          <w:bCs w:val="0"/>
        </w:rPr>
      </w:pPr>
      <w:bookmarkStart w:name="(2)离职后福利的会计处理方法" w:id="194"/>
      <w:bookmarkEnd w:id="194"/>
      <w:r>
        <w:rPr>
          <w:b w:val="0"/>
          <w:bCs w:val="0"/>
        </w:rPr>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0" w:firstLine="420"/>
        <w:jc w:val="both"/>
      </w:pPr>
      <w:r>
        <w:rPr/>
        <w:t>离职后福利主要包括基本养老保险费、失业保险等，按照公司承担的风险和义务，分类为设定提存计划。对于设定提 </w:t>
      </w:r>
      <w:r>
        <w:rPr>
          <w:spacing w:val="-2"/>
        </w:rPr>
        <w:t>存计划在根据在资产负债表日为换取职工在会计期间提供的服务而向单独主体缴存的提存金确认为负债，并按照受益对象计</w:t>
      </w:r>
      <w:r>
        <w:rPr>
          <w:spacing w:val="-63"/>
        </w:rPr>
        <w:t> </w:t>
      </w:r>
      <w:r>
        <w:rPr>
          <w:spacing w:val="-63"/>
        </w:rPr>
      </w:r>
      <w:r>
        <w:rPr/>
        <w:t>入当期损益或相关资产成本。</w:t>
      </w:r>
    </w:p>
    <w:p>
      <w:pPr>
        <w:spacing w:line="240" w:lineRule="auto" w:before="5"/>
        <w:rPr>
          <w:rFonts w:ascii="宋体" w:hAnsi="宋体" w:cs="宋体" w:eastAsia="宋体" w:hint="default"/>
          <w:sz w:val="22"/>
          <w:szCs w:val="22"/>
        </w:rPr>
      </w:pPr>
    </w:p>
    <w:p>
      <w:pPr>
        <w:pStyle w:val="Heading7"/>
        <w:spacing w:line="240" w:lineRule="auto"/>
        <w:ind w:left="1133" w:right="0"/>
        <w:jc w:val="left"/>
        <w:rPr>
          <w:b w:val="0"/>
          <w:bCs w:val="0"/>
        </w:rPr>
      </w:pPr>
      <w:bookmarkStart w:name="(3)辞退福利的会计处理方法" w:id="195"/>
      <w:bookmarkEnd w:id="195"/>
      <w:r>
        <w:rPr>
          <w:b w:val="0"/>
          <w:bCs w:val="0"/>
        </w:rPr>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2" w:firstLine="420"/>
        <w:jc w:val="both"/>
      </w:pPr>
      <w:r>
        <w:rPr>
          <w:spacing w:val="-1"/>
        </w:rPr>
        <w:t>辞退福利是由于因解除与职工的劳动关系而给予的补偿产生，在劳动合同解除日日确认辞退福利产生的职工薪酬负债，</w:t>
      </w:r>
      <w:r>
        <w:rPr/>
        <w:t> 并计入当期损益。</w:t>
      </w:r>
    </w:p>
    <w:p>
      <w:pPr>
        <w:spacing w:line="240" w:lineRule="auto" w:before="7"/>
        <w:rPr>
          <w:rFonts w:ascii="宋体" w:hAnsi="宋体" w:cs="宋体" w:eastAsia="宋体" w:hint="default"/>
          <w:sz w:val="22"/>
          <w:szCs w:val="22"/>
        </w:rPr>
      </w:pPr>
    </w:p>
    <w:p>
      <w:pPr>
        <w:pStyle w:val="Heading7"/>
        <w:spacing w:line="240" w:lineRule="auto"/>
        <w:ind w:left="1133" w:right="0"/>
        <w:jc w:val="left"/>
        <w:rPr>
          <w:b w:val="0"/>
          <w:bCs w:val="0"/>
        </w:rPr>
      </w:pPr>
      <w:bookmarkStart w:name="(4)其他长期职工福利的会计处理方法" w:id="196"/>
      <w:bookmarkEnd w:id="196"/>
      <w:r>
        <w:rPr>
          <w:b w:val="0"/>
          <w:bCs w:val="0"/>
        </w:rPr>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53" w:right="0"/>
        <w:jc w:val="left"/>
      </w:pPr>
      <w:r>
        <w:rPr/>
        <w:t>无</w:t>
      </w:r>
    </w:p>
    <w:p>
      <w:pPr>
        <w:spacing w:line="240" w:lineRule="auto" w:before="11"/>
        <w:rPr>
          <w:rFonts w:ascii="宋体" w:hAnsi="宋体" w:cs="宋体" w:eastAsia="宋体" w:hint="default"/>
          <w:sz w:val="26"/>
          <w:szCs w:val="26"/>
        </w:rPr>
      </w:pPr>
    </w:p>
    <w:p>
      <w:pPr>
        <w:pStyle w:val="Heading7"/>
        <w:spacing w:line="240" w:lineRule="auto"/>
        <w:ind w:left="1133" w:right="0"/>
        <w:jc w:val="left"/>
        <w:rPr>
          <w:b w:val="0"/>
          <w:bCs w:val="0"/>
        </w:rPr>
      </w:pPr>
      <w:bookmarkStart w:name="25、预计负债" w:id="197"/>
      <w:bookmarkEnd w:id="197"/>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70" w:firstLine="420"/>
        <w:jc w:val="both"/>
      </w:pPr>
      <w:r>
        <w:rPr/>
        <w:t>当与或有事项相关的业务同时符合以下条件时，本公司将其确认为负债：该义务是本公司承担的现时义务；该义务的 履行很可能导致经济利益流出企业；该义务的金额能够可靠地计量。</w:t>
      </w:r>
    </w:p>
    <w:p>
      <w:pPr>
        <w:pStyle w:val="BodyText"/>
        <w:spacing w:line="316" w:lineRule="auto" w:before="19"/>
        <w:ind w:left="1554" w:right="4212"/>
        <w:jc w:val="left"/>
      </w:pPr>
      <w:r>
        <w:rPr/>
        <w:t>预计负债的计量方法： 本公司预计负债按履行相关现时义务所需的支出的最佳估计数进行初始计量。</w:t>
      </w:r>
    </w:p>
    <w:p>
      <w:pPr>
        <w:pStyle w:val="BodyText"/>
        <w:spacing w:line="319" w:lineRule="auto" w:before="19"/>
        <w:ind w:left="1134" w:right="1170" w:firstLine="420"/>
        <w:jc w:val="both"/>
      </w:pPr>
      <w:r>
        <w:rPr/>
        <w:t>本公司在确定最佳估计数时，综合考虑与或有事项有关的风险、不确定性和货币时间价值等因素。对于货币时间价值 影响重大的，通过对相关未来现金流出进行折现后确定最佳估计数。</w:t>
      </w:r>
    </w:p>
    <w:p>
      <w:pPr>
        <w:pStyle w:val="BodyText"/>
        <w:spacing w:line="316" w:lineRule="auto" w:before="17"/>
        <w:ind w:left="1554" w:right="1152"/>
        <w:jc w:val="left"/>
      </w:pPr>
      <w:r>
        <w:rPr/>
        <w:t>最佳估计数分别以下情况处理： 所需支出存在一个连续范围</w:t>
      </w:r>
      <w:r>
        <w:rPr>
          <w:rFonts w:ascii="宋体" w:hAnsi="宋体" w:cs="宋体" w:eastAsia="宋体" w:hint="default"/>
        </w:rPr>
        <w:t>(</w:t>
      </w:r>
      <w:r>
        <w:rPr/>
        <w:t>或区间</w:t>
      </w:r>
      <w:r>
        <w:rPr>
          <w:rFonts w:ascii="宋体" w:hAnsi="宋体" w:cs="宋体" w:eastAsia="宋体" w:hint="default"/>
        </w:rPr>
        <w:t>)</w:t>
      </w:r>
      <w:r>
        <w:rPr/>
        <w:t>，且该范围内各种结果发生的可能性相同的，则最佳估计数按照该范围的中间值</w:t>
      </w:r>
    </w:p>
    <w:p>
      <w:pPr>
        <w:pStyle w:val="BodyText"/>
        <w:spacing w:line="316" w:lineRule="auto" w:before="19"/>
        <w:ind w:left="1553" w:right="1153" w:hanging="420"/>
        <w:jc w:val="left"/>
      </w:pPr>
      <w:r>
        <w:rPr/>
        <w:t>即上下限金额的平均数确定。 所需支出不存在一个连续范围</w:t>
      </w:r>
      <w:r>
        <w:rPr>
          <w:rFonts w:ascii="宋体" w:hAnsi="宋体" w:cs="宋体" w:eastAsia="宋体" w:hint="default"/>
        </w:rPr>
        <w:t>(</w:t>
      </w:r>
      <w:r>
        <w:rPr/>
        <w:t>或区间</w:t>
      </w:r>
      <w:r>
        <w:rPr>
          <w:rFonts w:ascii="宋体" w:hAnsi="宋体" w:cs="宋体" w:eastAsia="宋体" w:hint="default"/>
        </w:rPr>
        <w:t>)</w:t>
      </w:r>
      <w:r>
        <w:rPr/>
        <w:t>，或虽然存在一个连续范围但该范围内各种结果发生的可能性不相同的，如或</w:t>
      </w:r>
    </w:p>
    <w:p>
      <w:pPr>
        <w:pStyle w:val="BodyText"/>
        <w:spacing w:line="316" w:lineRule="auto" w:before="19"/>
        <w:ind w:right="0"/>
        <w:jc w:val="left"/>
      </w:pPr>
      <w:r>
        <w:rPr>
          <w:spacing w:val="-2"/>
        </w:rPr>
        <w:t>有事项涉及单个项目的，则最佳估计数按照最可能发生金额确定；如或有事项涉及多个项目的，则最佳估计数按各种可能结</w:t>
      </w:r>
      <w:r>
        <w:rPr>
          <w:spacing w:val="-66"/>
        </w:rPr>
        <w:t> </w:t>
      </w:r>
      <w:r>
        <w:rPr>
          <w:spacing w:val="-66"/>
        </w:rPr>
      </w:r>
      <w:r>
        <w:rPr/>
        <w:t>果及相关概率计算确定。</w:t>
      </w:r>
    </w:p>
    <w:p>
      <w:pPr>
        <w:pStyle w:val="BodyText"/>
        <w:spacing w:line="316" w:lineRule="auto" w:before="19"/>
        <w:ind w:right="1131" w:firstLine="420"/>
        <w:jc w:val="both"/>
      </w:pPr>
      <w:r>
        <w:rPr>
          <w:spacing w:val="-3"/>
        </w:rPr>
        <w:t>本公司清偿预计负债所需支出全部或部分预期由第三方补偿的，补偿金额在基本确定能够收到时，作为资产单独确认，</w:t>
      </w:r>
      <w:r>
        <w:rPr/>
        <w:t> 确认的补偿金额不超过预计负债的账面价值。</w:t>
      </w:r>
    </w:p>
    <w:p>
      <w:pPr>
        <w:spacing w:line="240" w:lineRule="auto" w:before="7"/>
        <w:rPr>
          <w:rFonts w:ascii="宋体" w:hAnsi="宋体" w:cs="宋体" w:eastAsia="宋体" w:hint="default"/>
          <w:sz w:val="22"/>
          <w:szCs w:val="22"/>
        </w:rPr>
      </w:pPr>
    </w:p>
    <w:p>
      <w:pPr>
        <w:pStyle w:val="Heading7"/>
        <w:spacing w:line="240" w:lineRule="auto"/>
        <w:ind w:left="1133" w:right="0"/>
        <w:jc w:val="left"/>
        <w:rPr>
          <w:b w:val="0"/>
          <w:bCs w:val="0"/>
        </w:rPr>
      </w:pPr>
      <w:bookmarkStart w:name="26、股份支付" w:id="198"/>
      <w:bookmarkEnd w:id="198"/>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2" w:firstLine="420"/>
        <w:jc w:val="both"/>
      </w:pPr>
      <w:r>
        <w:rPr/>
        <w:t>用以换取职工提供服务的以权益结算的股份支付，以授予职工权益工具在授予日的公允价值计量。该公允价值的金额 </w:t>
      </w:r>
      <w:r>
        <w:rPr>
          <w:spacing w:val="-2"/>
        </w:rPr>
        <w:t>在完成等待期内的服务或达到规定业绩条件才可行权的情况下，在等待期内以对可行权权益工具数量的最佳估计为基础，按</w:t>
      </w:r>
      <w:r>
        <w:rPr>
          <w:spacing w:val="-64"/>
        </w:rPr>
        <w:t> </w:t>
      </w:r>
      <w:r>
        <w:rPr>
          <w:spacing w:val="-64"/>
        </w:rPr>
      </w:r>
      <w:r>
        <w:rPr/>
        <w:t>直线法计算计入相关成本或费用，相应增加资本公积。</w:t>
      </w:r>
    </w:p>
    <w:p>
      <w:pPr>
        <w:pStyle w:val="BodyText"/>
        <w:spacing w:line="319" w:lineRule="auto" w:before="19"/>
        <w:ind w:left="1134" w:right="1133" w:firstLine="420"/>
        <w:jc w:val="both"/>
      </w:pPr>
      <w:r>
        <w:rPr/>
        <w:t>以现金结算的股份支付，按照本公司承担的以股份或其他权益工具为基础确定的负债的公允价值计量。如授予后立即 </w:t>
      </w:r>
      <w:r>
        <w:rPr>
          <w:spacing w:val="-2"/>
        </w:rPr>
        <w:t>可行权，在授予日以承担负债的公允价值计入相关成本或费用，相应增加负债；如需完成等待期内的服务或达到规定业绩条</w:t>
      </w:r>
      <w:r>
        <w:rPr>
          <w:spacing w:val="-66"/>
        </w:rPr>
        <w:t> </w:t>
      </w:r>
      <w:r>
        <w:rPr>
          <w:spacing w:val="-66"/>
        </w:rPr>
      </w:r>
      <w:r>
        <w:rPr>
          <w:spacing w:val="-5"/>
        </w:rPr>
        <w:t>件以后才可行权，在等待期的每个资产负债表日，以对可行权情况的最佳估计为基础，按照本公司承担负债的公允价值金额，</w:t>
      </w:r>
      <w:r>
        <w:rPr>
          <w:spacing w:val="-79"/>
        </w:rPr>
        <w:t> </w:t>
      </w:r>
      <w:r>
        <w:rPr>
          <w:spacing w:val="-79"/>
        </w:rPr>
      </w:r>
      <w:r>
        <w:rPr/>
        <w:t>将当期取得的服务计入成本或费用，相应调整负债。</w:t>
      </w:r>
    </w:p>
    <w:p>
      <w:pPr>
        <w:pStyle w:val="BodyText"/>
        <w:spacing w:line="316" w:lineRule="auto" w:before="17"/>
        <w:ind w:left="1553" w:right="1153"/>
        <w:jc w:val="left"/>
      </w:pPr>
      <w:r>
        <w:rPr/>
        <w:t>在相关负债结算前的每个资产负债表日以及结算日，对负债的公允价值重新计量，其变动计入当期损益。 本公司在等待期内取消所授予权益工具的</w:t>
      </w:r>
      <w:r>
        <w:rPr>
          <w:rFonts w:ascii="宋体" w:hAnsi="宋体" w:cs="宋体" w:eastAsia="宋体" w:hint="default"/>
        </w:rPr>
        <w:t>(</w:t>
      </w:r>
      <w:r>
        <w:rPr/>
        <w:t>因未满足可行权条件而被取消的除外</w:t>
      </w:r>
      <w:r>
        <w:rPr>
          <w:rFonts w:ascii="宋体" w:hAnsi="宋体" w:cs="宋体" w:eastAsia="宋体" w:hint="default"/>
        </w:rPr>
        <w:t>)</w:t>
      </w:r>
      <w:r>
        <w:rPr/>
        <w:t>，作为加速行权处理，即视同剩余等</w:t>
      </w:r>
    </w:p>
    <w:p>
      <w:pPr>
        <w:pStyle w:val="BodyText"/>
        <w:spacing w:line="240" w:lineRule="auto" w:before="19"/>
        <w:ind w:right="0"/>
        <w:jc w:val="left"/>
      </w:pPr>
      <w:r>
        <w:rPr/>
        <w:t>待期内的股权支付计划已经全部满足可行权条件，在取消所授予权益工具的当期确认剩余等待期内的所有费用。</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7"/>
        <w:spacing w:line="240" w:lineRule="auto" w:before="35"/>
        <w:ind w:left="1133" w:right="0"/>
        <w:jc w:val="left"/>
        <w:rPr>
          <w:b w:val="0"/>
          <w:bCs w:val="0"/>
        </w:rPr>
      </w:pPr>
      <w:bookmarkStart w:name="27、优先股、永续债等其他金融工具" w:id="199"/>
      <w:bookmarkEnd w:id="199"/>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7"/>
        <w:spacing w:line="240" w:lineRule="auto"/>
        <w:ind w:left="1133" w:right="0"/>
        <w:jc w:val="left"/>
        <w:rPr>
          <w:b w:val="0"/>
          <w:bCs w:val="0"/>
        </w:rPr>
      </w:pPr>
      <w:bookmarkStart w:name="28、收入" w:id="200"/>
      <w:bookmarkEnd w:id="200"/>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30" w:firstLine="420"/>
        <w:jc w:val="both"/>
      </w:pPr>
      <w:r>
        <w:rPr/>
        <w:t>本公司的营业收入主要包括网络游戏收入和让渡资产使用权收入。其中网络游戏收收入主要包括游戏运营和游戏著作 </w:t>
      </w:r>
      <w:r>
        <w:rPr>
          <w:spacing w:val="-2"/>
        </w:rPr>
        <w:t>权、运营权转让，游戏运营模式主要包括官方运营</w:t>
      </w:r>
      <w:r>
        <w:rPr>
          <w:rFonts w:ascii="宋体" w:hAnsi="宋体" w:cs="宋体" w:eastAsia="宋体" w:hint="default"/>
          <w:spacing w:val="-2"/>
        </w:rPr>
        <w:t>(</w:t>
      </w:r>
      <w:r>
        <w:rPr>
          <w:spacing w:val="-2"/>
        </w:rPr>
        <w:t>包括公司自主运营、与游戏平台联合运营</w:t>
      </w:r>
      <w:r>
        <w:rPr>
          <w:rFonts w:ascii="宋体" w:hAnsi="宋体" w:cs="宋体" w:eastAsia="宋体" w:hint="default"/>
          <w:spacing w:val="-2"/>
        </w:rPr>
        <w:t>)</w:t>
      </w:r>
      <w:r>
        <w:rPr>
          <w:spacing w:val="-2"/>
        </w:rPr>
        <w:t>和分服运营。收入确认政策如</w:t>
      </w:r>
      <w:r>
        <w:rPr>
          <w:spacing w:val="-64"/>
        </w:rPr>
        <w:t> </w:t>
      </w:r>
      <w:r>
        <w:rPr>
          <w:spacing w:val="-64"/>
        </w:rPr>
      </w:r>
      <w:r>
        <w:rPr/>
        <w:t>下：</w:t>
      </w:r>
    </w:p>
    <w:p>
      <w:pPr>
        <w:pStyle w:val="BodyText"/>
        <w:spacing w:line="316" w:lineRule="auto" w:before="19"/>
        <w:ind w:left="1554" w:right="6732"/>
        <w:jc w:val="left"/>
      </w:pPr>
      <w:r>
        <w:rPr>
          <w:rFonts w:ascii="宋体" w:hAnsi="宋体" w:cs="宋体" w:eastAsia="宋体" w:hint="default"/>
        </w:rPr>
        <w:t>(</w:t>
      </w:r>
      <w:r>
        <w:rPr/>
        <w:t>一</w:t>
      </w:r>
      <w:r>
        <w:rPr>
          <w:rFonts w:ascii="宋体" w:hAnsi="宋体" w:cs="宋体" w:eastAsia="宋体" w:hint="default"/>
        </w:rPr>
        <w:t>)</w:t>
      </w:r>
      <w:r>
        <w:rPr/>
        <w:t>网络游戏收入 </w:t>
      </w:r>
      <w:r>
        <w:rPr>
          <w:rFonts w:ascii="宋体" w:hAnsi="宋体" w:cs="宋体" w:eastAsia="宋体" w:hint="default"/>
        </w:rPr>
        <w:t>(1)</w:t>
      </w:r>
      <w:r>
        <w:rPr/>
        <w:t>官方运营收入的确认原则、方式和流程 </w:t>
      </w:r>
      <w:r>
        <w:rPr>
          <w:rFonts w:ascii="宋体" w:hAnsi="宋体" w:cs="宋体" w:eastAsia="宋体" w:hint="default"/>
        </w:rPr>
        <w:t>1)</w:t>
      </w:r>
      <w:r>
        <w:rPr/>
        <w:t>公司自主运营收入的确认原则、方式和流程</w:t>
      </w:r>
    </w:p>
    <w:p>
      <w:pPr>
        <w:pStyle w:val="BodyText"/>
        <w:spacing w:line="316" w:lineRule="auto" w:before="19"/>
        <w:ind w:left="1134" w:right="1132" w:firstLine="420"/>
        <w:jc w:val="both"/>
      </w:pPr>
      <w:r>
        <w:rPr/>
        <w:t>公司是通过游戏玩家在网络游戏中购买虚拟游戏装备、某些特殊游戏功能模块或为游戏在线时间支付费用的方式取得 </w:t>
      </w:r>
      <w:r>
        <w:rPr>
          <w:spacing w:val="-2"/>
        </w:rPr>
        <w:t>在线网络游戏运营收入。游戏玩家可以从公司的游戏点卡经销商处购得游戏点卡，也可以从公司的官方运营网站上通过银行</w:t>
      </w:r>
      <w:r>
        <w:rPr>
          <w:spacing w:val="-64"/>
        </w:rPr>
        <w:t> </w:t>
      </w:r>
      <w:r>
        <w:rPr>
          <w:spacing w:val="-64"/>
        </w:rPr>
      </w:r>
      <w:r>
        <w:rPr>
          <w:spacing w:val="-2"/>
        </w:rPr>
        <w:t>借记卡、信用卡、手机支付以及银行转账等方式购得游戏点卡。游戏玩家可以使用上述游戏点卡进入公司的运营网络游戏中</w:t>
      </w:r>
      <w:r>
        <w:rPr>
          <w:spacing w:val="-66"/>
        </w:rPr>
        <w:t> </w:t>
      </w:r>
      <w:r>
        <w:rPr>
          <w:spacing w:val="-66"/>
        </w:rPr>
      </w:r>
      <w:r>
        <w:rPr/>
        <w:t>进行消费</w:t>
      </w:r>
      <w:r>
        <w:rPr>
          <w:rFonts w:ascii="宋体" w:hAnsi="宋体" w:cs="宋体" w:eastAsia="宋体" w:hint="default"/>
        </w:rPr>
        <w:t>(</w:t>
      </w:r>
      <w:r>
        <w:rPr/>
        <w:t>如购买游戏虚拟装备及其他特殊游戏功能体验或购买游戏在线时间等</w:t>
      </w:r>
      <w:r>
        <w:rPr>
          <w:rFonts w:ascii="宋体" w:hAnsi="宋体" w:cs="宋体" w:eastAsia="宋体" w:hint="default"/>
        </w:rPr>
        <w:t>)</w:t>
      </w:r>
      <w:r>
        <w:rPr/>
        <w:t>。</w:t>
      </w:r>
    </w:p>
    <w:p>
      <w:pPr>
        <w:pStyle w:val="BodyText"/>
        <w:spacing w:line="316" w:lineRule="auto" w:before="19"/>
        <w:ind w:right="1132" w:firstLine="420"/>
        <w:jc w:val="both"/>
      </w:pPr>
      <w:r>
        <w:rPr/>
        <w:t>公司在道具收费模式下，游戏玩家可以免费体验公司在线运营的网络游戏的基本功能，只有游戏玩家购买游戏中的虚 </w:t>
      </w:r>
      <w:r>
        <w:rPr>
          <w:spacing w:val="-2"/>
        </w:rPr>
        <w:t>拟道具时才需要支付费用。销售游戏虚拟道具所取得的收入在游戏玩家实际使用虚拟货币购买道具时予以确认。其收入确认</w:t>
      </w:r>
      <w:r>
        <w:rPr>
          <w:spacing w:val="-64"/>
        </w:rPr>
        <w:t> </w:t>
      </w:r>
      <w:r>
        <w:rPr>
          <w:spacing w:val="-64"/>
        </w:rPr>
      </w:r>
      <w:r>
        <w:rPr/>
        <w:t>流程如下：</w:t>
      </w:r>
    </w:p>
    <w:p>
      <w:pPr>
        <w:spacing w:line="240" w:lineRule="auto" w:before="7"/>
        <w:rPr>
          <w:rFonts w:ascii="宋体" w:hAnsi="宋体" w:cs="宋体" w:eastAsia="宋体" w:hint="default"/>
          <w:sz w:val="20"/>
          <w:szCs w:val="20"/>
        </w:rPr>
      </w:pPr>
    </w:p>
    <w:p>
      <w:pPr>
        <w:spacing w:line="4954" w:lineRule="exact"/>
        <w:ind w:left="1564" w:right="0" w:firstLine="0"/>
        <w:rPr>
          <w:rFonts w:ascii="宋体" w:hAnsi="宋体" w:cs="宋体" w:eastAsia="宋体" w:hint="default"/>
          <w:sz w:val="20"/>
          <w:szCs w:val="20"/>
        </w:rPr>
      </w:pPr>
      <w:r>
        <w:rPr>
          <w:rFonts w:ascii="宋体" w:hAnsi="宋体" w:cs="宋体" w:eastAsia="宋体" w:hint="default"/>
          <w:position w:val="-98"/>
          <w:sz w:val="20"/>
          <w:szCs w:val="20"/>
        </w:rPr>
        <w:drawing>
          <wp:inline distT="0" distB="0" distL="0" distR="0">
            <wp:extent cx="4947669" cy="3145917"/>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5" cstate="print"/>
                    <a:stretch>
                      <a:fillRect/>
                    </a:stretch>
                  </pic:blipFill>
                  <pic:spPr>
                    <a:xfrm>
                      <a:off x="0" y="0"/>
                      <a:ext cx="4947669" cy="3145917"/>
                    </a:xfrm>
                    <a:prstGeom prst="rect">
                      <a:avLst/>
                    </a:prstGeom>
                  </pic:spPr>
                </pic:pic>
              </a:graphicData>
            </a:graphic>
          </wp:inline>
        </w:drawing>
      </w:r>
      <w:r>
        <w:rPr>
          <w:rFonts w:ascii="宋体" w:hAnsi="宋体" w:cs="宋体" w:eastAsia="宋体" w:hint="default"/>
          <w:position w:val="-98"/>
          <w:sz w:val="20"/>
          <w:szCs w:val="20"/>
        </w:rPr>
      </w:r>
    </w:p>
    <w:p>
      <w:pPr>
        <w:spacing w:line="240" w:lineRule="auto" w:before="13"/>
        <w:rPr>
          <w:rFonts w:ascii="宋体" w:hAnsi="宋体" w:cs="宋体" w:eastAsia="宋体" w:hint="default"/>
          <w:sz w:val="25"/>
          <w:szCs w:val="25"/>
        </w:rPr>
      </w:pPr>
    </w:p>
    <w:p>
      <w:pPr>
        <w:pStyle w:val="BodyText"/>
        <w:spacing w:line="316" w:lineRule="auto"/>
        <w:ind w:left="1554" w:right="1152" w:firstLine="90"/>
        <w:jc w:val="left"/>
      </w:pPr>
      <w:r>
        <w:rPr>
          <w:rFonts w:ascii="宋体" w:hAnsi="宋体" w:cs="宋体" w:eastAsia="宋体" w:hint="default"/>
        </w:rPr>
        <w:t>2)</w:t>
      </w:r>
      <w:r>
        <w:rPr/>
        <w:t>与游戏平台联合运营收入的确认原则、方式和流程： 公司与多家大型网络游戏平台签订合作运营网络游戏协议，其玩家通过平台的宣传了解公司游戏产品，直接通过平台</w:t>
      </w:r>
    </w:p>
    <w:p>
      <w:pPr>
        <w:pStyle w:val="BodyText"/>
        <w:spacing w:line="319" w:lineRule="auto" w:before="19"/>
        <w:ind w:left="1134" w:right="1131"/>
        <w:jc w:val="both"/>
      </w:pPr>
      <w:r>
        <w:rPr>
          <w:spacing w:val="-2"/>
        </w:rPr>
        <w:t>提供的游戏链接下载游戏客户端，注册后进入游戏。游戏用户通过购买平台发行的点卡充值到账户中兑换成虚拟货币，在游</w:t>
      </w:r>
      <w:r>
        <w:rPr>
          <w:spacing w:val="-66"/>
        </w:rPr>
        <w:t> </w:t>
      </w:r>
      <w:r>
        <w:rPr>
          <w:spacing w:val="-66"/>
        </w:rPr>
      </w:r>
      <w:r>
        <w:rPr>
          <w:spacing w:val="-2"/>
        </w:rPr>
        <w:t>戏中购买道具等虚拟物品。虽然游戏玩家购买的是平台发行的点卡，并通过平台的链接进入到游戏，但是游戏的服务器由公</w:t>
      </w:r>
      <w:r>
        <w:rPr>
          <w:spacing w:val="-66"/>
        </w:rPr>
        <w:t> </w:t>
      </w:r>
      <w:r>
        <w:rPr>
          <w:spacing w:val="-66"/>
        </w:rPr>
      </w:r>
      <w:r>
        <w:rPr>
          <w:spacing w:val="-2"/>
        </w:rPr>
        <w:t>司提供，游戏的维护、升级、客户服务等仍由公司负责。网络游戏平台将其在合作运营游戏中取得的收入按协议约定的比例</w:t>
      </w:r>
      <w:r>
        <w:rPr>
          <w:spacing w:val="-66"/>
        </w:rPr>
        <w:t> </w:t>
      </w:r>
      <w:r>
        <w:rPr>
          <w:spacing w:val="-66"/>
        </w:rPr>
      </w:r>
      <w:r>
        <w:rPr/>
        <w:t>分成给公司，在双方核对数据确认无误后，公司确认营业收入。其收入确认流程如下：</w:t>
      </w:r>
    </w:p>
    <w:p>
      <w:pPr>
        <w:spacing w:after="0" w:line="319"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p>
      <w:pPr>
        <w:spacing w:line="4620" w:lineRule="exact"/>
        <w:ind w:left="1564" w:right="0" w:firstLine="0"/>
        <w:rPr>
          <w:rFonts w:ascii="宋体" w:hAnsi="宋体" w:cs="宋体" w:eastAsia="宋体" w:hint="default"/>
          <w:sz w:val="20"/>
          <w:szCs w:val="20"/>
        </w:rPr>
      </w:pPr>
      <w:r>
        <w:rPr>
          <w:rFonts w:ascii="宋体" w:hAnsi="宋体" w:cs="宋体" w:eastAsia="宋体" w:hint="default"/>
          <w:position w:val="-91"/>
          <w:sz w:val="20"/>
          <w:szCs w:val="20"/>
        </w:rPr>
        <w:drawing>
          <wp:inline distT="0" distB="0" distL="0" distR="0">
            <wp:extent cx="5306114" cy="2934080"/>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6" cstate="print"/>
                    <a:stretch>
                      <a:fillRect/>
                    </a:stretch>
                  </pic:blipFill>
                  <pic:spPr>
                    <a:xfrm>
                      <a:off x="0" y="0"/>
                      <a:ext cx="5306114" cy="2934080"/>
                    </a:xfrm>
                    <a:prstGeom prst="rect">
                      <a:avLst/>
                    </a:prstGeom>
                  </pic:spPr>
                </pic:pic>
              </a:graphicData>
            </a:graphic>
          </wp:inline>
        </w:drawing>
      </w:r>
      <w:r>
        <w:rPr>
          <w:rFonts w:ascii="宋体" w:hAnsi="宋体" w:cs="宋体" w:eastAsia="宋体" w:hint="default"/>
          <w:position w:val="-91"/>
          <w:sz w:val="20"/>
          <w:szCs w:val="20"/>
        </w:rPr>
      </w:r>
    </w:p>
    <w:p>
      <w:pPr>
        <w:spacing w:line="240" w:lineRule="auto" w:before="8"/>
        <w:rPr>
          <w:rFonts w:ascii="宋体" w:hAnsi="宋体" w:cs="宋体" w:eastAsia="宋体" w:hint="default"/>
          <w:sz w:val="23"/>
          <w:szCs w:val="23"/>
        </w:rPr>
      </w:pPr>
    </w:p>
    <w:p>
      <w:pPr>
        <w:pStyle w:val="BodyText"/>
        <w:spacing w:line="316" w:lineRule="auto" w:before="44"/>
        <w:ind w:left="1554" w:right="1152"/>
        <w:jc w:val="left"/>
      </w:pPr>
      <w:r>
        <w:rPr>
          <w:rFonts w:ascii="宋体" w:hAnsi="宋体" w:cs="宋体" w:eastAsia="宋体" w:hint="default"/>
        </w:rPr>
        <w:t>(2)</w:t>
      </w:r>
      <w:r>
        <w:rPr/>
        <w:t>分服运营服务收入的确认原则、方式和流程 公司与分服商签订合作运营协议，由公司为其提供约定的后续服务，分服商将其在合作运营游戏中取得的收入按协议</w:t>
      </w:r>
    </w:p>
    <w:p>
      <w:pPr>
        <w:pStyle w:val="BodyText"/>
        <w:spacing w:line="240" w:lineRule="auto" w:before="19"/>
        <w:ind w:left="1134" w:right="0"/>
        <w:jc w:val="left"/>
      </w:pPr>
      <w:r>
        <w:rPr/>
        <w:t>约定的比例分成给公司，在双方核对数据确认无误后，公司确认营业收入。其收入确认流程如下：</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p>
      <w:pPr>
        <w:spacing w:line="4508" w:lineRule="exact"/>
        <w:ind w:left="1564" w:right="0" w:firstLine="0"/>
        <w:rPr>
          <w:rFonts w:ascii="宋体" w:hAnsi="宋体" w:cs="宋体" w:eastAsia="宋体" w:hint="default"/>
          <w:sz w:val="20"/>
          <w:szCs w:val="20"/>
        </w:rPr>
      </w:pPr>
      <w:r>
        <w:rPr>
          <w:rFonts w:ascii="宋体" w:hAnsi="宋体" w:cs="宋体" w:eastAsia="宋体" w:hint="default"/>
          <w:position w:val="-89"/>
          <w:sz w:val="20"/>
          <w:szCs w:val="20"/>
        </w:rPr>
        <w:drawing>
          <wp:inline distT="0" distB="0" distL="0" distR="0">
            <wp:extent cx="5331965" cy="2862929"/>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7" cstate="print"/>
                    <a:stretch>
                      <a:fillRect/>
                    </a:stretch>
                  </pic:blipFill>
                  <pic:spPr>
                    <a:xfrm>
                      <a:off x="0" y="0"/>
                      <a:ext cx="5331965" cy="2862929"/>
                    </a:xfrm>
                    <a:prstGeom prst="rect">
                      <a:avLst/>
                    </a:prstGeom>
                  </pic:spPr>
                </pic:pic>
              </a:graphicData>
            </a:graphic>
          </wp:inline>
        </w:drawing>
      </w:r>
      <w:r>
        <w:rPr>
          <w:rFonts w:ascii="宋体" w:hAnsi="宋体" w:cs="宋体" w:eastAsia="宋体" w:hint="default"/>
          <w:position w:val="-89"/>
          <w:sz w:val="20"/>
          <w:szCs w:val="20"/>
        </w:rPr>
      </w:r>
    </w:p>
    <w:p>
      <w:pPr>
        <w:pStyle w:val="BodyText"/>
        <w:spacing w:line="316" w:lineRule="auto" w:before="78"/>
        <w:ind w:right="1153" w:firstLine="420"/>
        <w:jc w:val="left"/>
      </w:pPr>
      <w:r>
        <w:rPr/>
        <w:t>公司与分服运营商签订合作运营网络游戏协议，由于公司需后续不断提供服务，将一次性收取的版权金予以递延并列 为其他流动负债项下的递延收益，分别于协议约定的受益期间内对其按直线法摊销确认营业收入。</w:t>
      </w:r>
    </w:p>
    <w:p>
      <w:pPr>
        <w:pStyle w:val="BodyText"/>
        <w:spacing w:line="316" w:lineRule="auto" w:before="19"/>
        <w:ind w:left="1554" w:right="1152"/>
        <w:jc w:val="left"/>
      </w:pPr>
      <w:r>
        <w:rPr>
          <w:rFonts w:ascii="宋体" w:hAnsi="宋体" w:cs="宋体" w:eastAsia="宋体" w:hint="default"/>
        </w:rPr>
        <w:t>(3)</w:t>
      </w:r>
      <w:r>
        <w:rPr/>
        <w:t>游戏产品著作权、运营权转让收入的确认原则、方式和流程 公司按照合同条款将游戏产品交付对方后，由于公司不再提供与该款游戏相关的任何服务，同时也不再享有该游戏相</w:t>
      </w:r>
    </w:p>
    <w:p>
      <w:pPr>
        <w:pStyle w:val="BodyText"/>
        <w:spacing w:line="319" w:lineRule="auto" w:before="19"/>
        <w:ind w:left="1554" w:right="6612" w:hanging="420"/>
        <w:jc w:val="left"/>
      </w:pPr>
      <w:r>
        <w:rPr/>
        <w:t>关的权益，于对方验收合格后一次性确认营业收入。 </w:t>
      </w:r>
      <w:r>
        <w:rPr>
          <w:rFonts w:ascii="宋体" w:hAnsi="宋体" w:cs="宋体" w:eastAsia="宋体" w:hint="default"/>
        </w:rPr>
        <w:t>(</w:t>
      </w:r>
      <w:r>
        <w:rPr/>
        <w:t>二</w:t>
      </w:r>
      <w:r>
        <w:rPr>
          <w:rFonts w:ascii="宋体" w:hAnsi="宋体" w:cs="宋体" w:eastAsia="宋体" w:hint="default"/>
        </w:rPr>
        <w:t>)</w:t>
      </w:r>
      <w:r>
        <w:rPr/>
        <w:t>让渡资产使用权收入</w:t>
      </w:r>
    </w:p>
    <w:p>
      <w:pPr>
        <w:pStyle w:val="BodyText"/>
        <w:spacing w:line="316" w:lineRule="auto" w:before="17"/>
        <w:ind w:left="1553" w:right="1129"/>
        <w:jc w:val="left"/>
      </w:pPr>
      <w:r>
        <w:rPr>
          <w:spacing w:val="-3"/>
        </w:rPr>
        <w:t>与交易相关的经济利益很可能流入企业，收入的金额能够可靠地计量时，分别下列情况确定让渡资产使用权收入金额：</w:t>
      </w:r>
      <w:r>
        <w:rPr>
          <w:spacing w:val="-76"/>
        </w:rPr>
        <w:t> </w:t>
      </w:r>
      <w:r>
        <w:rPr>
          <w:spacing w:val="-76"/>
        </w:rPr>
      </w:r>
      <w:r>
        <w:rPr>
          <w:rFonts w:ascii="宋体" w:hAnsi="宋体" w:cs="宋体" w:eastAsia="宋体" w:hint="default"/>
        </w:rPr>
        <w:t>(1)</w:t>
      </w:r>
      <w:r>
        <w:rPr/>
        <w:t>利息收入金额，按照他人使用本企业货币资金的时间和实际利率计算确定。 </w:t>
      </w:r>
      <w:r>
        <w:rPr>
          <w:rFonts w:ascii="宋体" w:hAnsi="宋体" w:cs="宋体" w:eastAsia="宋体" w:hint="default"/>
        </w:rPr>
        <w:t>(2)</w:t>
      </w:r>
      <w:r>
        <w:rPr/>
        <w:t>使用费收入金额，按照有关合同或协议约定的收费时间和方法计算确定。</w:t>
      </w:r>
    </w:p>
    <w:p>
      <w:pPr>
        <w:spacing w:after="0" w:line="316"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7"/>
        <w:spacing w:line="240" w:lineRule="auto" w:before="35"/>
        <w:ind w:left="1133" w:right="0"/>
        <w:jc w:val="left"/>
        <w:rPr>
          <w:b w:val="0"/>
          <w:bCs w:val="0"/>
        </w:rPr>
      </w:pPr>
      <w:bookmarkStart w:name="29、政府补助" w:id="201"/>
      <w:bookmarkEnd w:id="201"/>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53" w:right="1153"/>
        <w:jc w:val="left"/>
      </w:pPr>
      <w:r>
        <w:rPr/>
        <w:t>本公司的政府补助包括增值税即征即退、发展专项资金、出口奖励和品牌培育资助等。 政府补助为货币性资产的，按照实际收到的金额计量，对于按照固定的定额标准拨付的补助，或对年末有确凿证据表</w:t>
      </w:r>
    </w:p>
    <w:p>
      <w:pPr>
        <w:pStyle w:val="BodyText"/>
        <w:spacing w:line="316" w:lineRule="auto" w:before="19"/>
        <w:ind w:right="1123"/>
        <w:jc w:val="left"/>
      </w:pPr>
      <w:r>
        <w:rPr/>
        <w:t>明能够符合财政扶持政策规定的相关条件且预计能够收到财政扶持资金时 ，按照应收的金额计量；政府补助为非货币性资 产的，按照公允价值计量，公允价值不能可靠取得的，按照名义金额</w:t>
      </w:r>
      <w:r>
        <w:rPr>
          <w:rFonts w:ascii="宋体" w:hAnsi="宋体" w:cs="宋体" w:eastAsia="宋体" w:hint="default"/>
        </w:rPr>
        <w:t>(1</w:t>
      </w:r>
      <w:r>
        <w:rPr/>
        <w:t>元</w:t>
      </w:r>
      <w:r>
        <w:rPr>
          <w:rFonts w:ascii="宋体" w:hAnsi="宋体" w:cs="宋体" w:eastAsia="宋体" w:hint="default"/>
        </w:rPr>
        <w:t>)</w:t>
      </w:r>
      <w:r>
        <w:rPr/>
        <w:t>计量。</w:t>
      </w:r>
    </w:p>
    <w:p>
      <w:pPr>
        <w:spacing w:line="240" w:lineRule="auto" w:before="7"/>
        <w:rPr>
          <w:rFonts w:ascii="宋体" w:hAnsi="宋体" w:cs="宋体" w:eastAsia="宋体" w:hint="default"/>
          <w:sz w:val="22"/>
          <w:szCs w:val="22"/>
        </w:rPr>
      </w:pPr>
    </w:p>
    <w:p>
      <w:pPr>
        <w:pStyle w:val="Heading7"/>
        <w:spacing w:line="240" w:lineRule="auto"/>
        <w:ind w:left="1133" w:right="0"/>
        <w:jc w:val="left"/>
        <w:rPr>
          <w:b w:val="0"/>
          <w:bCs w:val="0"/>
        </w:rPr>
      </w:pPr>
      <w:bookmarkStart w:name="(1)与资产相关的政府补助判断依据及会计处理方法" w:id="202"/>
      <w:bookmarkEnd w:id="202"/>
      <w:r>
        <w:rPr>
          <w:b w:val="0"/>
          <w:bCs w:val="0"/>
        </w:rPr>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53" w:right="0"/>
        <w:jc w:val="left"/>
      </w:pPr>
      <w:r>
        <w:rPr/>
        <w:t>与资产相关的政府补助确认为递延收益，在相关资产使用寿命内平均分配计入当期损益。</w:t>
      </w:r>
    </w:p>
    <w:p>
      <w:pPr>
        <w:spacing w:line="240" w:lineRule="auto" w:before="12"/>
        <w:rPr>
          <w:rFonts w:ascii="宋体" w:hAnsi="宋体" w:cs="宋体" w:eastAsia="宋体" w:hint="default"/>
          <w:sz w:val="26"/>
          <w:szCs w:val="26"/>
        </w:rPr>
      </w:pPr>
    </w:p>
    <w:p>
      <w:pPr>
        <w:pStyle w:val="Heading7"/>
        <w:spacing w:line="240" w:lineRule="auto"/>
        <w:ind w:left="1133" w:right="0"/>
        <w:jc w:val="left"/>
        <w:rPr>
          <w:b w:val="0"/>
          <w:bCs w:val="0"/>
        </w:rPr>
      </w:pPr>
      <w:bookmarkStart w:name="(2)与收益相关的政府补助判断依据及会计处理方法" w:id="203"/>
      <w:bookmarkEnd w:id="203"/>
      <w:r>
        <w:rPr>
          <w:b w:val="0"/>
          <w:bCs w:val="0"/>
        </w:rPr>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53" w:firstLine="420"/>
        <w:jc w:val="left"/>
      </w:pPr>
      <w:r>
        <w:rPr/>
        <w:t>与收益相关的政府补助，用于补偿以后期间的相关费用或损失的，确认为递延收益，并在确认相关费用的期间计入当 期损益；用于补偿已发生的相关费用或损失的，直接计入当期损益。</w:t>
      </w:r>
    </w:p>
    <w:p>
      <w:pPr>
        <w:spacing w:line="240" w:lineRule="auto" w:before="7"/>
        <w:rPr>
          <w:rFonts w:ascii="宋体" w:hAnsi="宋体" w:cs="宋体" w:eastAsia="宋体" w:hint="default"/>
          <w:sz w:val="22"/>
          <w:szCs w:val="22"/>
        </w:rPr>
      </w:pPr>
    </w:p>
    <w:p>
      <w:pPr>
        <w:pStyle w:val="Heading7"/>
        <w:spacing w:line="240" w:lineRule="auto"/>
        <w:ind w:left="1133" w:right="0"/>
        <w:jc w:val="left"/>
        <w:rPr>
          <w:b w:val="0"/>
          <w:bCs w:val="0"/>
        </w:rPr>
      </w:pPr>
      <w:bookmarkStart w:name="30、递延所得税资产/递延所得税负债" w:id="204"/>
      <w:bookmarkEnd w:id="204"/>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420"/>
        <w:jc w:val="left"/>
      </w:pPr>
      <w:r>
        <w:rPr/>
        <w:t>本公司递延所得税资产和递延所得税负债根据资产和负债的计税基础与其账面价值的差额</w:t>
      </w:r>
      <w:r>
        <w:rPr>
          <w:rFonts w:ascii="宋体" w:hAnsi="宋体" w:cs="宋体" w:eastAsia="宋体" w:hint="default"/>
        </w:rPr>
        <w:t>(</w:t>
      </w:r>
      <w:r>
        <w:rPr/>
        <w:t>暂时性差异</w:t>
      </w:r>
      <w:r>
        <w:rPr>
          <w:rFonts w:ascii="宋体" w:hAnsi="宋体" w:cs="宋体" w:eastAsia="宋体" w:hint="default"/>
        </w:rPr>
        <w:t>)</w:t>
      </w:r>
      <w:r>
        <w:rPr/>
        <w:t>计算确认。对 </w:t>
      </w:r>
      <w:r>
        <w:rPr>
          <w:spacing w:val="-2"/>
        </w:rPr>
        <w:t>于按照税法规定能够于以后年度抵减应纳税所得额的可抵扣亏损，确认相应的递延所得税资产。对于商誉的初始确认产生的</w:t>
      </w:r>
      <w:r>
        <w:rPr>
          <w:spacing w:val="-64"/>
        </w:rPr>
        <w:t> </w:t>
      </w:r>
      <w:r>
        <w:rPr>
          <w:spacing w:val="-64"/>
        </w:rPr>
      </w:r>
      <w:r>
        <w:rPr>
          <w:spacing w:val="-2"/>
        </w:rPr>
        <w:t>暂时性差异，不确认相应的递延所得税负债。对于既不影响会计利润也不影响应纳税所得额</w:t>
      </w:r>
      <w:r>
        <w:rPr>
          <w:rFonts w:ascii="宋体" w:hAnsi="宋体" w:cs="宋体" w:eastAsia="宋体" w:hint="default"/>
          <w:spacing w:val="-2"/>
        </w:rPr>
        <w:t>(</w:t>
      </w:r>
      <w:r>
        <w:rPr>
          <w:spacing w:val="-2"/>
        </w:rPr>
        <w:t>或可抵扣亏损</w:t>
      </w:r>
      <w:r>
        <w:rPr>
          <w:rFonts w:ascii="宋体" w:hAnsi="宋体" w:cs="宋体" w:eastAsia="宋体" w:hint="default"/>
          <w:spacing w:val="-2"/>
        </w:rPr>
        <w:t>)</w:t>
      </w:r>
      <w:r>
        <w:rPr>
          <w:spacing w:val="-2"/>
        </w:rPr>
        <w:t>的非企业合并的</w:t>
      </w:r>
      <w:r>
        <w:rPr>
          <w:spacing w:val="-62"/>
        </w:rPr>
        <w:t> </w:t>
      </w:r>
      <w:r>
        <w:rPr>
          <w:spacing w:val="-4"/>
        </w:rPr>
        <w:t>交易中产生的资产或负债的初始确认形成的暂时性差异，不确认相应的递延所得税资产和递延所得税负债。于资产负债表日，</w:t>
      </w:r>
      <w:r>
        <w:rPr>
          <w:spacing w:val="-44"/>
        </w:rPr>
        <w:t> </w:t>
      </w:r>
      <w:r>
        <w:rPr>
          <w:spacing w:val="-44"/>
        </w:rPr>
      </w:r>
      <w:r>
        <w:rPr/>
        <w:t>递延所得税资产和递延所得税负债，按照预期收回该资产或清偿该负债期间的适用税率计量。</w:t>
      </w:r>
    </w:p>
    <w:p>
      <w:pPr>
        <w:pStyle w:val="BodyText"/>
        <w:spacing w:line="316" w:lineRule="auto" w:before="17"/>
        <w:ind w:right="1153" w:firstLine="420"/>
        <w:jc w:val="left"/>
      </w:pPr>
      <w:r>
        <w:rPr/>
        <w:t>本公司以很可能取得用来抵扣可抵扣暂时性差异、可抵扣亏损和税款抵减的未来应纳税所得额为限，确认递延所得税 资产。</w:t>
      </w:r>
    </w:p>
    <w:p>
      <w:pPr>
        <w:spacing w:line="240" w:lineRule="auto" w:before="7"/>
        <w:rPr>
          <w:rFonts w:ascii="宋体" w:hAnsi="宋体" w:cs="宋体" w:eastAsia="宋体" w:hint="default"/>
          <w:sz w:val="22"/>
          <w:szCs w:val="22"/>
        </w:rPr>
      </w:pPr>
    </w:p>
    <w:p>
      <w:pPr>
        <w:pStyle w:val="Heading7"/>
        <w:spacing w:line="506" w:lineRule="auto"/>
        <w:ind w:right="8188"/>
        <w:jc w:val="left"/>
        <w:rPr>
          <w:b w:val="0"/>
          <w:bCs w:val="0"/>
        </w:rPr>
      </w:pPr>
      <w:bookmarkStart w:name="31、租赁" w:id="205"/>
      <w:bookmarkEnd w:id="205"/>
      <w:r>
        <w:rPr>
          <w:b w:val="0"/>
          <w:bCs w:val="0"/>
        </w:rPr>
      </w:r>
      <w:r>
        <w:rPr>
          <w:rFonts w:ascii="Times New Roman" w:hAnsi="Times New Roman" w:cs="Times New Roman" w:eastAsia="Times New Roman" w:hint="default"/>
        </w:rPr>
        <w:t>31</w:t>
      </w:r>
      <w:r>
        <w:rPr/>
        <w:t>、租赁</w:t>
      </w:r>
      <w:r>
        <w:rPr>
          <w:w w:val="99"/>
        </w:rPr>
        <w:t> </w:t>
      </w:r>
      <w:bookmarkStart w:name="(1)经营租赁的会计处理方法" w:id="206"/>
      <w:bookmarkEnd w:id="206"/>
      <w:r>
        <w:rPr>
          <w:w w:val="99"/>
        </w:rPr>
      </w:r>
      <w:r>
        <w:rPr>
          <w:rFonts w:ascii="Times New Roman" w:hAnsi="Times New Roman" w:cs="Times New Roman" w:eastAsia="Times New Roman" w:hint="default"/>
        </w:rPr>
        <w:t>(1)</w:t>
      </w:r>
      <w:r>
        <w:rPr/>
        <w:t>经营租赁的会计处理方法</w:t>
      </w:r>
      <w:r>
        <w:rPr>
          <w:b w:val="0"/>
          <w:bCs w:val="0"/>
        </w:rPr>
      </w:r>
    </w:p>
    <w:p>
      <w:pPr>
        <w:pStyle w:val="BodyText"/>
        <w:spacing w:line="316" w:lineRule="auto" w:before="88"/>
        <w:ind w:left="1554" w:right="2592"/>
        <w:jc w:val="left"/>
      </w:pPr>
      <w:r>
        <w:rPr/>
        <w:t>本公司的租赁业务包括经营租赁租入房屋建筑物。 本公司作为经营租赁承租方的租金在租赁期内的各个期间按直线法计入相关资产成本或当期损益。</w:t>
      </w:r>
    </w:p>
    <w:p>
      <w:pPr>
        <w:spacing w:line="240" w:lineRule="auto" w:before="7"/>
        <w:rPr>
          <w:rFonts w:ascii="宋体" w:hAnsi="宋体" w:cs="宋体" w:eastAsia="宋体" w:hint="default"/>
          <w:sz w:val="22"/>
          <w:szCs w:val="22"/>
        </w:rPr>
      </w:pPr>
    </w:p>
    <w:p>
      <w:pPr>
        <w:pStyle w:val="Heading7"/>
        <w:spacing w:line="240" w:lineRule="auto"/>
        <w:ind w:left="1133" w:right="0"/>
        <w:jc w:val="left"/>
        <w:rPr>
          <w:b w:val="0"/>
          <w:bCs w:val="0"/>
        </w:rPr>
      </w:pPr>
      <w:bookmarkStart w:name="(2)融资租赁的会计处理方法" w:id="207"/>
      <w:bookmarkEnd w:id="207"/>
      <w:r>
        <w:rPr>
          <w:b w:val="0"/>
          <w:bCs w:val="0"/>
        </w:rPr>
      </w:r>
      <w:r>
        <w:rPr>
          <w:rFonts w:ascii="Times New Roman" w:hAnsi="Times New Roman" w:cs="Times New Roman" w:eastAsia="Times New Roman" w:hint="default"/>
        </w:rPr>
        <w:t>(2)</w:t>
      </w:r>
      <w:r>
        <w:rPr/>
        <w:t>融资租赁的会计处理方法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7"/>
        <w:spacing w:line="240" w:lineRule="auto"/>
        <w:ind w:left="1133" w:right="0"/>
        <w:jc w:val="left"/>
        <w:rPr>
          <w:b w:val="0"/>
          <w:bCs w:val="0"/>
        </w:rPr>
      </w:pPr>
      <w:bookmarkStart w:name="32、其他重要的会计政策和会计估计" w:id="208"/>
      <w:bookmarkEnd w:id="208"/>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506" w:lineRule="auto" w:before="35"/>
        <w:ind w:left="1133" w:right="7591"/>
        <w:jc w:val="left"/>
        <w:rPr>
          <w:b w:val="0"/>
          <w:bCs w:val="0"/>
        </w:rPr>
      </w:pPr>
      <w:bookmarkStart w:name="33、重要会计政策和会计估计变更" w:id="209"/>
      <w:bookmarkEnd w:id="209"/>
      <w:r>
        <w:rPr>
          <w:b w:val="0"/>
          <w:bCs w:val="0"/>
        </w:rPr>
      </w:r>
      <w:r>
        <w:rPr>
          <w:rFonts w:ascii="Times New Roman" w:hAnsi="Times New Roman" w:cs="Times New Roman" w:eastAsia="Times New Roman" w:hint="default"/>
        </w:rPr>
        <w:t>33</w:t>
      </w:r>
      <w:r>
        <w:rPr/>
        <w:t>、重要会计政策和会计估计变更</w:t>
      </w:r>
      <w:r>
        <w:rPr>
          <w:w w:val="99"/>
        </w:rPr>
        <w:t> </w:t>
      </w:r>
      <w:bookmarkStart w:name="(1)重要会计政策变更" w:id="210"/>
      <w:bookmarkEnd w:id="210"/>
      <w:r>
        <w:rPr>
          <w:w w:val="99"/>
        </w:rPr>
      </w:r>
      <w:r>
        <w:rPr>
          <w:rFonts w:ascii="Times New Roman" w:hAnsi="Times New Roman" w:cs="Times New Roman" w:eastAsia="Times New Roman" w:hint="default"/>
        </w:rPr>
        <w:t>(1)</w:t>
      </w:r>
      <w:r>
        <w:rPr/>
        <w:t>重要会计政策变更</w:t>
      </w:r>
      <w:r>
        <w:rPr>
          <w:b w:val="0"/>
          <w:bCs w:val="0"/>
        </w:rPr>
      </w:r>
    </w:p>
    <w:p>
      <w:pPr>
        <w:pStyle w:val="BodyText"/>
        <w:spacing w:line="240" w:lineRule="auto" w:before="9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240" w:lineRule="auto"/>
        <w:ind w:left="1133" w:right="0"/>
        <w:jc w:val="left"/>
        <w:rPr>
          <w:b w:val="0"/>
          <w:bCs w:val="0"/>
        </w:rPr>
      </w:pPr>
      <w:bookmarkStart w:name="(2)重要会计估计变更" w:id="211"/>
      <w:bookmarkEnd w:id="211"/>
      <w:r>
        <w:rPr>
          <w:b w:val="0"/>
          <w:bCs w:val="0"/>
        </w:rPr>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spacing w:line="487" w:lineRule="auto" w:before="0"/>
        <w:ind w:left="1134" w:right="8966" w:firstLine="0"/>
        <w:jc w:val="left"/>
        <w:rPr>
          <w:rFonts w:ascii="宋体" w:hAnsi="宋体" w:cs="宋体" w:eastAsia="宋体" w:hint="default"/>
          <w:sz w:val="21"/>
          <w:szCs w:val="21"/>
        </w:rPr>
      </w:pPr>
      <w:bookmarkStart w:name="34、其他" w:id="212"/>
      <w:bookmarkEnd w:id="212"/>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3"/>
      <w:bookmarkEnd w:id="213"/>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14"/>
      <w:bookmarkEnd w:id="214"/>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销售收入、加工及修理修配劳务收入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162"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95"/>
              <w:jc w:val="left"/>
              <w:rPr>
                <w:rFonts w:ascii="宋体" w:hAnsi="宋体" w:cs="宋体" w:eastAsia="宋体" w:hint="default"/>
                <w:sz w:val="18"/>
                <w:szCs w:val="18"/>
              </w:rPr>
            </w:pPr>
            <w:r>
              <w:rPr>
                <w:rFonts w:ascii="宋体" w:hAnsi="宋体" w:cs="宋体" w:eastAsia="宋体" w:hint="default"/>
                <w:sz w:val="18"/>
                <w:szCs w:val="18"/>
              </w:rPr>
              <w:t>软件服务收入、转让无形资产、销售不 动产收入及租赁服务收入</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现代服务业收入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0"/>
              <w:jc w:val="both"/>
              <w:rPr>
                <w:rFonts w:ascii="宋体" w:hAnsi="宋体" w:cs="宋体" w:eastAsia="宋体" w:hint="default"/>
                <w:sz w:val="18"/>
                <w:szCs w:val="18"/>
              </w:rPr>
            </w:pPr>
            <w:r>
              <w:rPr>
                <w:rFonts w:ascii="宋体" w:hAnsi="宋体" w:cs="宋体" w:eastAsia="宋体" w:hint="default"/>
                <w:sz w:val="18"/>
                <w:szCs w:val="18"/>
              </w:rPr>
              <w:t>经营自用的房屋，按照房产原值的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 </w:t>
            </w:r>
            <w:r>
              <w:rPr>
                <w:rFonts w:ascii="宋体" w:hAnsi="宋体" w:cs="宋体" w:eastAsia="宋体" w:hint="default"/>
                <w:spacing w:val="-5"/>
                <w:sz w:val="18"/>
                <w:szCs w:val="18"/>
              </w:rPr>
              <w:t>为纳税基准，税率为</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；出租的房屋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以租金收入为计税依据，税率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员工个人所得税由本公司代扣代缴。</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pict>
          <v:group style="position:absolute;margin-left:375.940002pt;margin-top:-56.388287pt;width:157.9pt;height:20.7pt;mso-position-horizontal-relative:page;mso-position-vertical-relative:paragraph;z-index:-1112560" coordorigin="7519,-1128" coordsize="3158,414">
            <v:group style="position:absolute;left:7530;top:-1116;width:2;height:392" coordorigin="7530,-1116" coordsize="2,392">
              <v:shape style="position:absolute;left:7530;top:-1116;width:2;height:392" coordorigin="7530,-1116" coordsize="0,392" path="m7530,-1116l7530,-725e" filled="false" stroked="true" strokeweight="1.140pt" strokecolor="#ffffff">
                <v:path arrowok="t"/>
              </v:shape>
            </v:group>
            <v:group style="position:absolute;left:7542;top:-1116;width:3135;height:392" coordorigin="7542,-1116" coordsize="3135,392">
              <v:shape style="position:absolute;left:7542;top:-1116;width:3135;height:392" coordorigin="7542,-1116" coordsize="3135,392" path="m7542,-725l10676,-725,10676,-1116,7542,-1116,7542,-725xe" filled="true" fillcolor="#ffffff" stroked="false">
                <v:path arrowok="t"/>
                <v:fill type="solid"/>
              </v:shape>
            </v:group>
            <w10:wrap type="none"/>
          </v:group>
        </w:pict>
      </w: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深圳卓页</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上海美峰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深圳比格</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福州卓越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深圳时代首游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上海集美</w:t>
            </w:r>
          </w:p>
        </w:tc>
        <w:tc>
          <w:tcPr>
            <w:tcW w:w="47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深圳五秒</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pacing w:val="-3"/>
                <w:sz w:val="18"/>
              </w:rPr>
              <w:t>CUPLAY</w:t>
            </w:r>
          </w:p>
        </w:tc>
        <w:tc>
          <w:tcPr>
            <w:tcW w:w="47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美国中青宝</w:t>
            </w:r>
          </w:p>
        </w:tc>
        <w:tc>
          <w:tcPr>
            <w:tcW w:w="47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韩国中青宝</w:t>
            </w:r>
          </w:p>
        </w:tc>
        <w:tc>
          <w:tcPr>
            <w:tcW w:w="47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香港中青宝</w:t>
            </w:r>
          </w:p>
        </w:tc>
        <w:tc>
          <w:tcPr>
            <w:tcW w:w="47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LEEPLAY</w:t>
            </w:r>
          </w:p>
        </w:tc>
        <w:tc>
          <w:tcPr>
            <w:tcW w:w="47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LEEGAME</w:t>
            </w:r>
          </w:p>
        </w:tc>
        <w:tc>
          <w:tcPr>
            <w:tcW w:w="47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税收优惠" w:id="215"/>
      <w:bookmarkEnd w:id="21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54" w:right="1118"/>
        <w:jc w:val="left"/>
      </w:pPr>
      <w:r>
        <w:rPr/>
        <w:t>增值税 </w:t>
      </w:r>
      <w:r>
        <w:rPr>
          <w:rFonts w:ascii="宋体" w:hAnsi="宋体" w:cs="宋体" w:eastAsia="宋体" w:hint="default"/>
          <w:spacing w:val="-3"/>
        </w:rPr>
        <w:t>(1)</w:t>
      </w:r>
      <w:r>
        <w:rPr>
          <w:spacing w:val="-3"/>
        </w:rPr>
        <w:t>根椐国发【</w:t>
      </w:r>
      <w:r>
        <w:rPr>
          <w:rFonts w:ascii="宋体" w:hAnsi="宋体" w:cs="宋体" w:eastAsia="宋体" w:hint="default"/>
          <w:spacing w:val="-3"/>
        </w:rPr>
        <w:t>2011</w:t>
      </w:r>
      <w:r>
        <w:rPr>
          <w:spacing w:val="-3"/>
        </w:rPr>
        <w:t>】</w:t>
      </w:r>
      <w:r>
        <w:rPr>
          <w:rFonts w:ascii="宋体" w:hAnsi="宋体" w:cs="宋体" w:eastAsia="宋体" w:hint="default"/>
          <w:spacing w:val="-3"/>
        </w:rPr>
        <w:t>4</w:t>
      </w:r>
      <w:r>
        <w:rPr>
          <w:spacing w:val="-3"/>
        </w:rPr>
        <w:t>号《国务院关于印发进一步鼓励软件产业和集成电路产业发展若干政策的通知》、财税【</w:t>
      </w:r>
      <w:r>
        <w:rPr>
          <w:rFonts w:ascii="宋体" w:hAnsi="宋体" w:cs="宋体" w:eastAsia="宋体" w:hint="default"/>
          <w:spacing w:val="-3"/>
        </w:rPr>
        <w:t>2011</w:t>
      </w:r>
      <w:r>
        <w:rPr>
          <w:spacing w:val="-3"/>
        </w:rPr>
        <w:t>】</w:t>
      </w:r>
    </w:p>
    <w:p>
      <w:pPr>
        <w:pStyle w:val="BodyText"/>
        <w:spacing w:line="316" w:lineRule="auto" w:before="19"/>
        <w:ind w:left="1134" w:right="1122"/>
        <w:jc w:val="left"/>
      </w:pPr>
      <w:r>
        <w:rPr>
          <w:rFonts w:ascii="宋体" w:hAnsi="宋体" w:cs="宋体" w:eastAsia="宋体" w:hint="default"/>
        </w:rPr>
        <w:t>100</w:t>
      </w:r>
      <w:r>
        <w:rPr/>
        <w:t>号《关于软件产品增值税政策的通知》及《深圳市软件产品增值税即征即退管理办法》对增值税一般纳税人销售其自行 开发生产的软件产品，按</w:t>
      </w:r>
      <w:r>
        <w:rPr>
          <w:rFonts w:ascii="宋体" w:hAnsi="宋体" w:cs="宋体" w:eastAsia="宋体" w:hint="default"/>
        </w:rPr>
        <w:t>17%</w:t>
      </w:r>
      <w:r>
        <w:rPr/>
        <w:t>的法定税率征收增值税后，对其增值税实际税负超过</w:t>
      </w:r>
      <w:r>
        <w:rPr>
          <w:rFonts w:ascii="宋体" w:hAnsi="宋体" w:cs="宋体" w:eastAsia="宋体" w:hint="default"/>
        </w:rPr>
        <w:t>3%</w:t>
      </w:r>
      <w:r>
        <w:rPr/>
        <w:t>的部分实行即征即退政策。</w:t>
      </w:r>
    </w:p>
    <w:p>
      <w:pPr>
        <w:pStyle w:val="BodyText"/>
        <w:spacing w:line="316" w:lineRule="auto" w:before="19"/>
        <w:ind w:right="0" w:firstLine="420"/>
        <w:jc w:val="left"/>
      </w:pPr>
      <w:r>
        <w:rPr>
          <w:rFonts w:ascii="宋体" w:hAnsi="宋体" w:cs="宋体" w:eastAsia="宋体" w:hint="default"/>
          <w:spacing w:val="-3"/>
        </w:rPr>
        <w:t>(2)</w:t>
      </w:r>
      <w:r>
        <w:rPr>
          <w:spacing w:val="-3"/>
        </w:rPr>
        <w:t>根据《财政部、国家税务总局关于在全国开展交通运输业和部分现代服务业营业税改征增值税试点税收政策的通知》</w:t>
      </w:r>
      <w:r>
        <w:rPr/>
        <w:t> </w:t>
      </w:r>
      <w:r>
        <w:rPr>
          <w:rFonts w:ascii="宋体" w:hAnsi="宋体" w:cs="宋体" w:eastAsia="宋体" w:hint="default"/>
        </w:rPr>
        <w:t>(</w:t>
      </w:r>
      <w:r>
        <w:rPr/>
        <w:t>财税〔</w:t>
      </w:r>
      <w:r>
        <w:rPr>
          <w:rFonts w:ascii="宋体" w:hAnsi="宋体" w:cs="宋体" w:eastAsia="宋体" w:hint="default"/>
        </w:rPr>
        <w:t>2013</w:t>
      </w:r>
      <w:r>
        <w:rPr/>
        <w:t>〕</w:t>
      </w:r>
      <w:r>
        <w:rPr>
          <w:rFonts w:ascii="宋体" w:hAnsi="宋体" w:cs="宋体" w:eastAsia="宋体" w:hint="default"/>
        </w:rPr>
        <w:t>37</w:t>
      </w:r>
      <w:r>
        <w:rPr/>
        <w:t>号</w:t>
      </w:r>
      <w:r>
        <w:rPr>
          <w:rFonts w:ascii="宋体" w:hAnsi="宋体" w:cs="宋体" w:eastAsia="宋体" w:hint="default"/>
        </w:rPr>
        <w:t>)</w:t>
      </w:r>
      <w:r>
        <w:rPr/>
        <w:t>及《国家税务总局关于印发</w:t>
      </w:r>
      <w:r>
        <w:rPr>
          <w:rFonts w:ascii="宋体" w:hAnsi="宋体" w:cs="宋体" w:eastAsia="宋体" w:hint="default"/>
        </w:rPr>
        <w:t>&lt;</w:t>
      </w:r>
      <w:r>
        <w:rPr/>
        <w:t>税收减免管理办法</w:t>
      </w:r>
      <w:r>
        <w:rPr>
          <w:rFonts w:ascii="宋体" w:hAnsi="宋体" w:cs="宋体" w:eastAsia="宋体" w:hint="default"/>
        </w:rPr>
        <w:t>(</w:t>
      </w:r>
      <w:r>
        <w:rPr/>
        <w:t>实行</w:t>
      </w:r>
      <w:r>
        <w:rPr>
          <w:rFonts w:ascii="宋体" w:hAnsi="宋体" w:cs="宋体" w:eastAsia="宋体" w:hint="default"/>
        </w:rPr>
        <w:t>)&gt;</w:t>
      </w:r>
      <w:r>
        <w:rPr/>
        <w:t>的通知》</w:t>
      </w:r>
      <w:r>
        <w:rPr>
          <w:rFonts w:ascii="宋体" w:hAnsi="宋体" w:cs="宋体" w:eastAsia="宋体" w:hint="default"/>
        </w:rPr>
        <w:t>(</w:t>
      </w:r>
      <w:r>
        <w:rPr/>
        <w:t>国税发〔</w:t>
      </w:r>
      <w:r>
        <w:rPr>
          <w:rFonts w:ascii="宋体" w:hAnsi="宋体" w:cs="宋体" w:eastAsia="宋体" w:hint="default"/>
        </w:rPr>
        <w:t>2005</w:t>
      </w:r>
      <w:r>
        <w:rPr/>
        <w:t>〕</w:t>
      </w:r>
      <w:r>
        <w:rPr>
          <w:rFonts w:ascii="宋体" w:hAnsi="宋体" w:cs="宋体" w:eastAsia="宋体" w:hint="default"/>
        </w:rPr>
        <w:t>129</w:t>
      </w:r>
      <w:r>
        <w:rPr/>
        <w:t>号</w:t>
      </w:r>
      <w:r>
        <w:rPr>
          <w:rFonts w:ascii="宋体" w:hAnsi="宋体" w:cs="宋体" w:eastAsia="宋体" w:hint="default"/>
        </w:rPr>
        <w:t>)</w:t>
      </w:r>
      <w:r>
        <w:rPr/>
        <w:t>，技术转让、 </w:t>
      </w:r>
      <w:r>
        <w:rPr>
          <w:spacing w:val="-2"/>
        </w:rPr>
        <w:t>技术开发和与之相关的技术咨询、技术服务免征增值税，已取得福田区国税局深国税福减免备【</w:t>
      </w:r>
      <w:r>
        <w:rPr>
          <w:rFonts w:ascii="宋体" w:hAnsi="宋体" w:cs="宋体" w:eastAsia="宋体" w:hint="default"/>
          <w:spacing w:val="-2"/>
        </w:rPr>
        <w:t>2014</w:t>
      </w:r>
      <w:r>
        <w:rPr>
          <w:spacing w:val="-2"/>
        </w:rPr>
        <w:t>】</w:t>
      </w:r>
      <w:r>
        <w:rPr>
          <w:rFonts w:ascii="宋体" w:hAnsi="宋体" w:cs="宋体" w:eastAsia="宋体" w:hint="default"/>
          <w:spacing w:val="-2"/>
        </w:rPr>
        <w:t>1663</w:t>
      </w:r>
      <w:r>
        <w:rPr>
          <w:spacing w:val="-2"/>
        </w:rPr>
        <w:t>号、深国税福减</w:t>
      </w:r>
      <w:r>
        <w:rPr>
          <w:spacing w:val="-57"/>
        </w:rPr>
        <w:t> </w:t>
      </w:r>
      <w:r>
        <w:rPr>
          <w:spacing w:val="-57"/>
        </w:rPr>
      </w:r>
      <w:r>
        <w:rPr/>
        <w:t>免备【</w:t>
      </w:r>
      <w:r>
        <w:rPr>
          <w:rFonts w:ascii="宋体" w:hAnsi="宋体" w:cs="宋体" w:eastAsia="宋体" w:hint="default"/>
        </w:rPr>
        <w:t>2014</w:t>
      </w:r>
      <w:r>
        <w:rPr/>
        <w:t>】</w:t>
      </w:r>
      <w:r>
        <w:rPr>
          <w:rFonts w:ascii="宋体" w:hAnsi="宋体" w:cs="宋体" w:eastAsia="宋体" w:hint="default"/>
        </w:rPr>
        <w:t>1664</w:t>
      </w:r>
      <w:r>
        <w:rPr/>
        <w:t>号、深国税福减免备【</w:t>
      </w:r>
      <w:r>
        <w:rPr>
          <w:rFonts w:ascii="宋体" w:hAnsi="宋体" w:cs="宋体" w:eastAsia="宋体" w:hint="default"/>
        </w:rPr>
        <w:t>2014</w:t>
      </w:r>
      <w:r>
        <w:rPr/>
        <w:t>】</w:t>
      </w:r>
      <w:r>
        <w:rPr>
          <w:rFonts w:ascii="宋体" w:hAnsi="宋体" w:cs="宋体" w:eastAsia="宋体" w:hint="default"/>
        </w:rPr>
        <w:t>2070</w:t>
      </w:r>
      <w:r>
        <w:rPr/>
        <w:t>号增值税税收优惠备案通知书。</w:t>
      </w:r>
    </w:p>
    <w:p>
      <w:pPr>
        <w:pStyle w:val="BodyText"/>
        <w:spacing w:line="316" w:lineRule="auto" w:before="19"/>
        <w:ind w:right="1132" w:firstLine="420"/>
        <w:jc w:val="both"/>
      </w:pPr>
      <w:r>
        <w:rPr>
          <w:rFonts w:ascii="宋体" w:hAnsi="宋体" w:cs="宋体" w:eastAsia="宋体" w:hint="default"/>
          <w:spacing w:val="-4"/>
        </w:rPr>
        <w:t>(3)</w:t>
      </w:r>
      <w:r>
        <w:rPr>
          <w:spacing w:val="-4"/>
        </w:rPr>
        <w:t>本期取得福田区国税局深国税福减免备【</w:t>
      </w:r>
      <w:r>
        <w:rPr>
          <w:rFonts w:ascii="宋体" w:hAnsi="宋体" w:cs="宋体" w:eastAsia="宋体" w:hint="default"/>
          <w:spacing w:val="-4"/>
        </w:rPr>
        <w:t>2013</w:t>
      </w:r>
      <w:r>
        <w:rPr>
          <w:spacing w:val="-4"/>
        </w:rPr>
        <w:t>】</w:t>
      </w:r>
      <w:r>
        <w:rPr>
          <w:rFonts w:ascii="宋体" w:hAnsi="宋体" w:cs="宋体" w:eastAsia="宋体" w:hint="default"/>
          <w:spacing w:val="-4"/>
        </w:rPr>
        <w:t>1343</w:t>
      </w:r>
      <w:r>
        <w:rPr>
          <w:spacing w:val="-4"/>
        </w:rPr>
        <w:t>号、深国税福减免备【</w:t>
      </w:r>
      <w:r>
        <w:rPr>
          <w:rFonts w:ascii="宋体" w:hAnsi="宋体" w:cs="宋体" w:eastAsia="宋体" w:hint="default"/>
          <w:spacing w:val="-4"/>
        </w:rPr>
        <w:t>2013</w:t>
      </w:r>
      <w:r>
        <w:rPr>
          <w:spacing w:val="-4"/>
        </w:rPr>
        <w:t>】</w:t>
      </w:r>
      <w:r>
        <w:rPr>
          <w:rFonts w:ascii="宋体" w:hAnsi="宋体" w:cs="宋体" w:eastAsia="宋体" w:hint="default"/>
          <w:spacing w:val="-4"/>
        </w:rPr>
        <w:t>0424</w:t>
      </w:r>
      <w:r>
        <w:rPr>
          <w:spacing w:val="-4"/>
        </w:rPr>
        <w:t>号、深国税福减免备【</w:t>
      </w:r>
      <w:r>
        <w:rPr>
          <w:rFonts w:ascii="宋体" w:hAnsi="宋体" w:cs="宋体" w:eastAsia="宋体" w:hint="default"/>
          <w:spacing w:val="-4"/>
        </w:rPr>
        <w:t>2013</w:t>
      </w:r>
      <w:r>
        <w:rPr>
          <w:spacing w:val="-4"/>
        </w:rPr>
        <w:t>】</w:t>
      </w:r>
      <w:r>
        <w:rPr/>
        <w:t> </w:t>
      </w:r>
      <w:r>
        <w:rPr>
          <w:rFonts w:ascii="宋体" w:hAnsi="宋体" w:cs="宋体" w:eastAsia="宋体" w:hint="default"/>
        </w:rPr>
        <w:t>1506</w:t>
      </w:r>
      <w:r>
        <w:rPr/>
        <w:t>号、上海市浦东新区国家税务局文书号为</w:t>
      </w:r>
      <w:r>
        <w:rPr>
          <w:rFonts w:ascii="宋体" w:hAnsi="宋体" w:cs="宋体" w:eastAsia="宋体" w:hint="default"/>
        </w:rPr>
        <w:t>3101151412044520</w:t>
      </w:r>
      <w:r>
        <w:rPr/>
        <w:t>的增值税税收优惠备案通知书，软件出口免税。</w:t>
      </w:r>
    </w:p>
    <w:p>
      <w:pPr>
        <w:pStyle w:val="BodyText"/>
        <w:spacing w:line="319" w:lineRule="auto" w:before="19"/>
        <w:ind w:left="1553" w:right="1153"/>
        <w:jc w:val="left"/>
      </w:pPr>
      <w:r>
        <w:rPr/>
        <w:t>企业所得税 </w:t>
      </w:r>
      <w:r>
        <w:rPr>
          <w:rFonts w:ascii="宋体" w:hAnsi="宋体" w:cs="宋体" w:eastAsia="宋体" w:hint="default"/>
        </w:rPr>
        <w:t>(1)2014</w:t>
      </w:r>
      <w:r>
        <w:rPr/>
        <w:t>年</w:t>
      </w:r>
      <w:r>
        <w:rPr>
          <w:rFonts w:ascii="宋体" w:hAnsi="宋体" w:cs="宋体" w:eastAsia="宋体" w:hint="default"/>
        </w:rPr>
        <w:t>9</w:t>
      </w:r>
      <w:r>
        <w:rPr/>
        <w:t>月</w:t>
      </w:r>
      <w:r>
        <w:rPr>
          <w:rFonts w:ascii="宋体" w:hAnsi="宋体" w:cs="宋体" w:eastAsia="宋体" w:hint="default"/>
        </w:rPr>
        <w:t>30</w:t>
      </w:r>
      <w:r>
        <w:rPr/>
        <w:t>日，本公司高新技术企业资格复审合格，取得深圳市科技创新委员会、深圳市财政委员会、深圳市国</w:t>
      </w:r>
    </w:p>
    <w:p>
      <w:pPr>
        <w:pStyle w:val="BodyText"/>
        <w:spacing w:line="316" w:lineRule="auto" w:before="17"/>
        <w:ind w:right="0"/>
        <w:jc w:val="left"/>
      </w:pPr>
      <w:r>
        <w:rPr>
          <w:spacing w:val="-2"/>
        </w:rPr>
        <w:t>家税务局、深圳市地方税务局联合颁发的《高新技术企业证书》，证书编号：</w:t>
      </w:r>
      <w:r>
        <w:rPr>
          <w:rFonts w:ascii="宋体" w:hAnsi="宋体" w:cs="宋体" w:eastAsia="宋体" w:hint="default"/>
          <w:spacing w:val="-2"/>
        </w:rPr>
        <w:t>GR201444201357</w:t>
      </w:r>
      <w:r>
        <w:rPr>
          <w:spacing w:val="-2"/>
        </w:rPr>
        <w:t>，企业所得税税率自</w:t>
      </w:r>
      <w:r>
        <w:rPr>
          <w:rFonts w:ascii="宋体" w:hAnsi="宋体" w:cs="宋体" w:eastAsia="宋体" w:hint="default"/>
          <w:spacing w:val="-2"/>
        </w:rPr>
        <w:t>2014</w:t>
      </w:r>
      <w:r>
        <w:rPr>
          <w:spacing w:val="-2"/>
        </w:rPr>
        <w:t>年起</w:t>
      </w:r>
      <w:r>
        <w:rPr>
          <w:spacing w:val="-50"/>
        </w:rPr>
        <w:t> </w:t>
      </w:r>
      <w:r>
        <w:rPr>
          <w:rFonts w:ascii="宋体" w:hAnsi="宋体" w:cs="宋体" w:eastAsia="宋体" w:hint="default"/>
        </w:rPr>
        <w:t>(</w:t>
      </w:r>
      <w:r>
        <w:rPr/>
        <w:t>包括</w:t>
      </w:r>
      <w:r>
        <w:rPr>
          <w:rFonts w:ascii="宋体" w:hAnsi="宋体" w:cs="宋体" w:eastAsia="宋体" w:hint="default"/>
        </w:rPr>
        <w:t>2014</w:t>
      </w:r>
      <w:r>
        <w:rPr/>
        <w:t>年度</w:t>
      </w:r>
      <w:r>
        <w:rPr>
          <w:rFonts w:ascii="宋体" w:hAnsi="宋体" w:cs="宋体" w:eastAsia="宋体" w:hint="default"/>
        </w:rPr>
        <w:t>)3</w:t>
      </w:r>
      <w:r>
        <w:rPr/>
        <w:t>年享受</w:t>
      </w:r>
      <w:r>
        <w:rPr>
          <w:rFonts w:ascii="宋体" w:hAnsi="宋体" w:cs="宋体" w:eastAsia="宋体" w:hint="default"/>
        </w:rPr>
        <w:t>15%</w:t>
      </w:r>
      <w:r>
        <w:rPr/>
        <w:t>的优惠政策。</w:t>
      </w:r>
    </w:p>
    <w:p>
      <w:pPr>
        <w:pStyle w:val="BodyText"/>
        <w:spacing w:line="316" w:lineRule="auto" w:before="19"/>
        <w:ind w:right="1139" w:firstLine="420"/>
        <w:jc w:val="both"/>
      </w:pPr>
      <w:r>
        <w:rPr>
          <w:rFonts w:ascii="宋体" w:hAnsi="宋体" w:cs="宋体" w:eastAsia="宋体" w:hint="default"/>
        </w:rPr>
        <w:t>(2)2011</w:t>
      </w:r>
      <w:r>
        <w:rPr/>
        <w:t>年</w:t>
      </w:r>
      <w:r>
        <w:rPr>
          <w:rFonts w:ascii="宋体" w:hAnsi="宋体" w:cs="宋体" w:eastAsia="宋体" w:hint="default"/>
        </w:rPr>
        <w:t>1</w:t>
      </w:r>
      <w:r>
        <w:rPr/>
        <w:t>月</w:t>
      </w:r>
      <w:r>
        <w:rPr>
          <w:rFonts w:ascii="宋体" w:hAnsi="宋体" w:cs="宋体" w:eastAsia="宋体" w:hint="default"/>
        </w:rPr>
        <w:t>11</w:t>
      </w:r>
      <w:r>
        <w:rPr/>
        <w:t>日，全资子公司深圳卓页获得软件行业企业所得税减免批复，深圳市南山区国家税务局以《深圳市国 家税务局税收优惠登记备案通知书》</w:t>
      </w:r>
      <w:r>
        <w:rPr>
          <w:rFonts w:ascii="宋体" w:hAnsi="宋体" w:cs="宋体" w:eastAsia="宋体" w:hint="default"/>
        </w:rPr>
        <w:t>(</w:t>
      </w:r>
      <w:r>
        <w:rPr/>
        <w:t>深国税南减免备案</w:t>
      </w:r>
      <w:r>
        <w:rPr>
          <w:rFonts w:ascii="宋体" w:hAnsi="宋体" w:cs="宋体" w:eastAsia="宋体" w:hint="default"/>
        </w:rPr>
        <w:t>[2011]</w:t>
      </w:r>
      <w:r>
        <w:rPr/>
        <w:t>第</w:t>
      </w:r>
      <w:r>
        <w:rPr>
          <w:rFonts w:ascii="宋体" w:hAnsi="宋体" w:cs="宋体" w:eastAsia="宋体" w:hint="default"/>
        </w:rPr>
        <w:t>5</w:t>
      </w:r>
      <w:r>
        <w:rPr/>
        <w:t>号</w:t>
      </w:r>
      <w:r>
        <w:rPr>
          <w:rFonts w:ascii="宋体" w:hAnsi="宋体" w:cs="宋体" w:eastAsia="宋体" w:hint="default"/>
        </w:rPr>
        <w:t>)</w:t>
      </w:r>
      <w:r>
        <w:rPr/>
        <w:t>，同意深圳卓页从开始获利年度起，两年免征企业所 得税，三年减半征收企业所得税，</w:t>
      </w:r>
      <w:r>
        <w:rPr>
          <w:rFonts w:ascii="宋体" w:hAnsi="宋体" w:cs="宋体" w:eastAsia="宋体" w:hint="default"/>
        </w:rPr>
        <w:t>2011</w:t>
      </w:r>
      <w:r>
        <w:rPr/>
        <w:t>年为该深圳卓页的首个获利年度。</w:t>
      </w:r>
      <w:r>
        <w:rPr>
          <w:rFonts w:ascii="宋体" w:hAnsi="宋体" w:cs="宋体" w:eastAsia="宋体" w:hint="default"/>
        </w:rPr>
        <w:t>2015</w:t>
      </w:r>
      <w:r>
        <w:rPr/>
        <w:t>年度减半按</w:t>
      </w:r>
      <w:r>
        <w:rPr>
          <w:rFonts w:ascii="宋体" w:hAnsi="宋体" w:cs="宋体" w:eastAsia="宋体" w:hint="default"/>
        </w:rPr>
        <w:t>12.5%</w:t>
      </w:r>
      <w:r>
        <w:rPr/>
        <w:t>征收企业所得税。</w:t>
      </w:r>
    </w:p>
    <w:p>
      <w:pPr>
        <w:pStyle w:val="BodyText"/>
        <w:spacing w:line="316" w:lineRule="auto" w:before="19"/>
        <w:ind w:right="1120" w:firstLine="420"/>
        <w:jc w:val="left"/>
      </w:pPr>
      <w:r>
        <w:rPr>
          <w:rFonts w:ascii="宋体" w:hAnsi="宋体" w:cs="宋体" w:eastAsia="宋体" w:hint="default"/>
          <w:spacing w:val="-1"/>
        </w:rPr>
        <w:t>(3)2015</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30</w:t>
      </w:r>
      <w:r>
        <w:rPr>
          <w:spacing w:val="-1"/>
        </w:rPr>
        <w:t>日，控股子公司上海美峰获得上海市科学技术局、上海市财政局、上海市国家税务局、上海市地方税</w:t>
      </w:r>
      <w:r>
        <w:rPr/>
        <w:t> 务局联合颁发的高新技术企业证书，证书编号：</w:t>
      </w:r>
      <w:r>
        <w:rPr>
          <w:rFonts w:ascii="宋体" w:hAnsi="宋体" w:cs="宋体" w:eastAsia="宋体" w:hint="default"/>
        </w:rPr>
        <w:t>GR201531000655</w:t>
      </w:r>
      <w:r>
        <w:rPr/>
        <w:t>，企业所得税税率自</w:t>
      </w:r>
      <w:r>
        <w:rPr>
          <w:rFonts w:ascii="宋体" w:hAnsi="宋体" w:cs="宋体" w:eastAsia="宋体" w:hint="default"/>
        </w:rPr>
        <w:t>2015</w:t>
      </w:r>
      <w:r>
        <w:rPr/>
        <w:t>年起</w:t>
      </w:r>
      <w:r>
        <w:rPr>
          <w:rFonts w:ascii="宋体" w:hAnsi="宋体" w:cs="宋体" w:eastAsia="宋体" w:hint="default"/>
        </w:rPr>
        <w:t>(</w:t>
      </w:r>
      <w:r>
        <w:rPr/>
        <w:t>包括</w:t>
      </w:r>
      <w:r>
        <w:rPr>
          <w:rFonts w:ascii="宋体" w:hAnsi="宋体" w:cs="宋体" w:eastAsia="宋体" w:hint="default"/>
        </w:rPr>
        <w:t>2015</w:t>
      </w:r>
      <w:r>
        <w:rPr/>
        <w:t>年度</w:t>
      </w:r>
      <w:r>
        <w:rPr>
          <w:rFonts w:ascii="宋体" w:hAnsi="宋体" w:cs="宋体" w:eastAsia="宋体" w:hint="default"/>
        </w:rPr>
        <w:t>)3</w:t>
      </w:r>
      <w:r>
        <w:rPr/>
        <w:t>年享受</w:t>
      </w:r>
      <w:r>
        <w:rPr>
          <w:rFonts w:ascii="宋体" w:hAnsi="宋体" w:cs="宋体" w:eastAsia="宋体" w:hint="default"/>
        </w:rPr>
        <w:t>15% </w:t>
      </w:r>
      <w:r>
        <w:rPr/>
        <w:t>的优惠政策。</w:t>
      </w:r>
    </w:p>
    <w:p>
      <w:pPr>
        <w:pStyle w:val="BodyText"/>
        <w:spacing w:line="316" w:lineRule="auto" w:before="19"/>
        <w:ind w:right="1130" w:firstLine="420"/>
        <w:jc w:val="both"/>
      </w:pPr>
      <w:r>
        <w:rPr>
          <w:rFonts w:ascii="宋体" w:hAnsi="宋体" w:cs="宋体" w:eastAsia="宋体" w:hint="default"/>
        </w:rPr>
        <w:t>(4)2012</w:t>
      </w:r>
      <w:r>
        <w:rPr/>
        <w:t>年</w:t>
      </w:r>
      <w:r>
        <w:rPr>
          <w:rFonts w:ascii="宋体" w:hAnsi="宋体" w:cs="宋体" w:eastAsia="宋体" w:hint="default"/>
        </w:rPr>
        <w:t>7</w:t>
      </w:r>
      <w:r>
        <w:rPr/>
        <w:t>月</w:t>
      </w:r>
      <w:r>
        <w:rPr>
          <w:rFonts w:ascii="宋体" w:hAnsi="宋体" w:cs="宋体" w:eastAsia="宋体" w:hint="default"/>
        </w:rPr>
        <w:t>16</w:t>
      </w:r>
      <w:r>
        <w:rPr/>
        <w:t>日，本公司控股孙公司深圳比格获得深圳市蛇口国家税务局税收优惠备案通知书，深国税蛇减免备案 </w:t>
      </w:r>
      <w:r>
        <w:rPr>
          <w:rFonts w:ascii="宋体" w:hAnsi="宋体" w:cs="宋体" w:eastAsia="宋体" w:hint="default"/>
          <w:spacing w:val="-2"/>
        </w:rPr>
        <w:t>(2012)78</w:t>
      </w:r>
      <w:r>
        <w:rPr>
          <w:spacing w:val="-2"/>
        </w:rPr>
        <w:t>号，核定深圳比格从开始获利年度起，两年免征企业所得税，三年减半征收企业所得税。</w:t>
      </w:r>
      <w:r>
        <w:rPr>
          <w:rFonts w:ascii="宋体" w:hAnsi="宋体" w:cs="宋体" w:eastAsia="宋体" w:hint="default"/>
          <w:spacing w:val="-2"/>
        </w:rPr>
        <w:t>2012</w:t>
      </w:r>
      <w:r>
        <w:rPr>
          <w:spacing w:val="-2"/>
        </w:rPr>
        <w:t>年为该公司的首个获</w:t>
      </w:r>
      <w:r>
        <w:rPr>
          <w:spacing w:val="-53"/>
        </w:rPr>
        <w:t> </w:t>
      </w:r>
      <w:r>
        <w:rPr/>
        <w:t>利年度，</w:t>
      </w:r>
      <w:r>
        <w:rPr>
          <w:rFonts w:ascii="宋体" w:hAnsi="宋体" w:cs="宋体" w:eastAsia="宋体" w:hint="default"/>
        </w:rPr>
        <w:t>2015</w:t>
      </w:r>
      <w:r>
        <w:rPr/>
        <w:t>年度按减半</w:t>
      </w:r>
      <w:r>
        <w:rPr>
          <w:rFonts w:ascii="宋体" w:hAnsi="宋体" w:cs="宋体" w:eastAsia="宋体" w:hint="default"/>
        </w:rPr>
        <w:t>12.5%</w:t>
      </w:r>
      <w:r>
        <w:rPr/>
        <w:t>的税率征收企业所得税。</w:t>
      </w:r>
    </w:p>
    <w:p>
      <w:pPr>
        <w:pStyle w:val="BodyText"/>
        <w:spacing w:line="316" w:lineRule="auto" w:before="19"/>
        <w:ind w:right="1130" w:firstLine="420"/>
        <w:jc w:val="both"/>
      </w:pPr>
      <w:r>
        <w:rPr>
          <w:rFonts w:ascii="宋体" w:hAnsi="宋体" w:cs="宋体" w:eastAsia="宋体" w:hint="default"/>
          <w:spacing w:val="-6"/>
        </w:rPr>
        <w:t>(5)2012</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28</w:t>
      </w:r>
      <w:r>
        <w:rPr>
          <w:spacing w:val="-6"/>
        </w:rPr>
        <w:t>日，控股子公司福州卓越获得福建省信息化局颁发的《软件企业认定证书》，证书编号：闽</w:t>
      </w:r>
      <w:r>
        <w:rPr>
          <w:rFonts w:ascii="宋体" w:hAnsi="宋体" w:cs="宋体" w:eastAsia="宋体" w:hint="default"/>
          <w:spacing w:val="-6"/>
        </w:rPr>
        <w:t>R20120079</w:t>
      </w:r>
      <w:r>
        <w:rPr>
          <w:spacing w:val="-6"/>
        </w:rPr>
        <w:t>，</w:t>
      </w:r>
      <w:r>
        <w:rPr/>
        <w:t> </w:t>
      </w:r>
      <w:r>
        <w:rPr>
          <w:spacing w:val="-2"/>
        </w:rPr>
        <w:t>核定福州卓越从开始获利年度起，两年免征企业所得税，三年减半征收企业所得税。</w:t>
      </w:r>
      <w:r>
        <w:rPr>
          <w:rFonts w:ascii="宋体" w:hAnsi="宋体" w:cs="宋体" w:eastAsia="宋体" w:hint="default"/>
          <w:spacing w:val="-2"/>
        </w:rPr>
        <w:t>2012</w:t>
      </w:r>
      <w:r>
        <w:rPr>
          <w:spacing w:val="-2"/>
        </w:rPr>
        <w:t>年为该公司的首个获利年度，</w:t>
      </w:r>
      <w:r>
        <w:rPr>
          <w:rFonts w:ascii="宋体" w:hAnsi="宋体" w:cs="宋体" w:eastAsia="宋体" w:hint="default"/>
          <w:spacing w:val="-2"/>
        </w:rPr>
        <w:t>2015</w:t>
      </w:r>
      <w:r>
        <w:rPr>
          <w:rFonts w:ascii="宋体" w:hAnsi="宋体" w:cs="宋体" w:eastAsia="宋体" w:hint="default"/>
          <w:spacing w:val="-57"/>
        </w:rPr>
        <w:t> </w:t>
      </w:r>
      <w:r>
        <w:rPr/>
        <w:t>年度按减半</w:t>
      </w:r>
      <w:r>
        <w:rPr>
          <w:rFonts w:ascii="宋体" w:hAnsi="宋体" w:cs="宋体" w:eastAsia="宋体" w:hint="default"/>
        </w:rPr>
        <w:t>12.5%</w:t>
      </w:r>
      <w:r>
        <w:rPr/>
        <w:t>的税率征收企业所得税。</w:t>
      </w:r>
    </w:p>
    <w:p>
      <w:pPr>
        <w:pStyle w:val="BodyText"/>
        <w:spacing w:line="316" w:lineRule="auto" w:before="19"/>
        <w:ind w:right="1153" w:firstLine="420"/>
        <w:jc w:val="left"/>
      </w:pPr>
      <w:r>
        <w:rPr>
          <w:rFonts w:ascii="宋体" w:hAnsi="宋体" w:cs="宋体" w:eastAsia="宋体" w:hint="default"/>
        </w:rPr>
        <w:t>(6)</w:t>
      </w:r>
      <w:r>
        <w:rPr/>
        <w:t>根据深圳市南山区地方税务局的《税务事项通知书》</w:t>
      </w:r>
      <w:r>
        <w:rPr>
          <w:rFonts w:ascii="宋体" w:hAnsi="宋体" w:cs="宋体" w:eastAsia="宋体" w:hint="default"/>
        </w:rPr>
        <w:t>(</w:t>
      </w:r>
      <w:r>
        <w:rPr/>
        <w:t>深地税南备</w:t>
      </w:r>
      <w:r>
        <w:rPr>
          <w:rFonts w:ascii="宋体" w:hAnsi="宋体" w:cs="宋体" w:eastAsia="宋体" w:hint="default"/>
        </w:rPr>
        <w:t>[2014]736</w:t>
      </w:r>
      <w:r>
        <w:rPr/>
        <w:t>号</w:t>
      </w:r>
      <w:r>
        <w:rPr>
          <w:rFonts w:ascii="宋体" w:hAnsi="宋体" w:cs="宋体" w:eastAsia="宋体" w:hint="default"/>
        </w:rPr>
        <w:t>)</w:t>
      </w:r>
      <w:r>
        <w:rPr/>
        <w:t>，本公司之全资孙公司深圳时代首 游依法享受软件和集成电路企业所得税二免三减半的税收优惠政策，核定深圳时代首游从</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 </w:t>
      </w:r>
      <w:r>
        <w:rPr/>
        <w:t>日，按照二年免征三减半征收企业所得税，</w:t>
      </w:r>
      <w:r>
        <w:rPr>
          <w:rFonts w:ascii="宋体" w:hAnsi="宋体" w:cs="宋体" w:eastAsia="宋体" w:hint="default"/>
        </w:rPr>
        <w:t>2015</w:t>
      </w:r>
      <w:r>
        <w:rPr/>
        <w:t>年度按减半</w:t>
      </w:r>
      <w:r>
        <w:rPr>
          <w:rFonts w:ascii="宋体" w:hAnsi="宋体" w:cs="宋体" w:eastAsia="宋体" w:hint="default"/>
        </w:rPr>
        <w:t>12.5%</w:t>
      </w:r>
      <w:r>
        <w:rPr/>
        <w:t>的税率征收企业所得税。</w:t>
      </w:r>
    </w:p>
    <w:p>
      <w:pPr>
        <w:pStyle w:val="BodyText"/>
        <w:spacing w:line="316" w:lineRule="auto" w:before="19"/>
        <w:ind w:right="1130" w:firstLine="420"/>
        <w:jc w:val="both"/>
      </w:pPr>
      <w:r>
        <w:rPr>
          <w:rFonts w:ascii="宋体" w:hAnsi="宋体" w:cs="宋体" w:eastAsia="宋体" w:hint="default"/>
          <w:spacing w:val="-1"/>
        </w:rPr>
        <w:t>(7)2014</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30</w:t>
      </w:r>
      <w:r>
        <w:rPr>
          <w:spacing w:val="-1"/>
        </w:rPr>
        <w:t>日，控股孙公司上海集美获得上海市经济和信息化委员会颁发的编号为沪</w:t>
      </w:r>
      <w:r>
        <w:rPr>
          <w:rFonts w:ascii="宋体" w:hAnsi="宋体" w:cs="宋体" w:eastAsia="宋体" w:hint="default"/>
          <w:spacing w:val="-1"/>
        </w:rPr>
        <w:t>R20140098</w:t>
      </w:r>
      <w:r>
        <w:rPr>
          <w:spacing w:val="-1"/>
        </w:rPr>
        <w:t>的《软件企业认定</w:t>
      </w:r>
      <w:r>
        <w:rPr/>
        <w:t> </w:t>
      </w:r>
      <w:r>
        <w:rPr>
          <w:spacing w:val="-2"/>
        </w:rPr>
        <w:t>证书》，上海集美被认定为新办的符合条件的软件企业，自</w:t>
      </w:r>
      <w:r>
        <w:rPr>
          <w:rFonts w:ascii="宋体" w:hAnsi="宋体" w:cs="宋体" w:eastAsia="宋体" w:hint="default"/>
          <w:spacing w:val="-2"/>
        </w:rPr>
        <w:t>2014</w:t>
      </w:r>
      <w:r>
        <w:rPr>
          <w:spacing w:val="-2"/>
        </w:rPr>
        <w:t>年开始享受两免三减半的所得税优惠政策，</w:t>
      </w:r>
      <w:r>
        <w:rPr>
          <w:rFonts w:ascii="宋体" w:hAnsi="宋体" w:cs="宋体" w:eastAsia="宋体" w:hint="default"/>
          <w:spacing w:val="-2"/>
        </w:rPr>
        <w:t>2015</w:t>
      </w:r>
      <w:r>
        <w:rPr>
          <w:spacing w:val="-2"/>
        </w:rPr>
        <w:t>年度免征企</w:t>
      </w:r>
      <w:r>
        <w:rPr>
          <w:spacing w:val="-57"/>
        </w:rPr>
        <w:t> </w:t>
      </w:r>
      <w:r>
        <w:rPr/>
        <w:t>业所得税。</w:t>
      </w:r>
    </w:p>
    <w:p>
      <w:pPr>
        <w:pStyle w:val="BodyText"/>
        <w:spacing w:line="316" w:lineRule="auto" w:before="19"/>
        <w:ind w:right="1169" w:firstLine="420"/>
        <w:jc w:val="both"/>
      </w:pPr>
      <w:r>
        <w:rPr>
          <w:rFonts w:ascii="宋体" w:hAnsi="宋体" w:cs="宋体" w:eastAsia="宋体" w:hint="default"/>
        </w:rPr>
        <w:t>(8)</w:t>
      </w:r>
      <w:r>
        <w:rPr/>
        <w:t>控股子公司深圳五秒</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14</w:t>
      </w:r>
      <w:r>
        <w:rPr/>
        <w:t>日成立，属于全年应纳税所得税额不超过</w:t>
      </w:r>
      <w:r>
        <w:rPr>
          <w:rFonts w:ascii="宋体" w:hAnsi="宋体" w:cs="宋体" w:eastAsia="宋体" w:hint="default"/>
        </w:rPr>
        <w:t>20</w:t>
      </w:r>
      <w:r>
        <w:rPr/>
        <w:t>万元的小型微利企业，减半征收企业 所得税，</w:t>
      </w:r>
      <w:r>
        <w:rPr>
          <w:rFonts w:ascii="宋体" w:hAnsi="宋体" w:cs="宋体" w:eastAsia="宋体" w:hint="default"/>
        </w:rPr>
        <w:t>2015</w:t>
      </w:r>
      <w:r>
        <w:rPr/>
        <w:t>年度按</w:t>
      </w:r>
      <w:r>
        <w:rPr>
          <w:rFonts w:ascii="宋体" w:hAnsi="宋体" w:cs="宋体" w:eastAsia="宋体" w:hint="default"/>
        </w:rPr>
        <w:t>10%</w:t>
      </w:r>
      <w:r>
        <w:rPr/>
        <w:t>的税率征收企业所得税。</w:t>
      </w:r>
    </w:p>
    <w:p>
      <w:pPr>
        <w:spacing w:after="0" w:line="316"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7"/>
        <w:spacing w:line="240" w:lineRule="auto" w:before="186"/>
        <w:ind w:left="1133" w:right="0"/>
        <w:jc w:val="left"/>
        <w:rPr>
          <w:b w:val="0"/>
          <w:bCs w:val="0"/>
        </w:rPr>
      </w:pPr>
      <w:bookmarkStart w:name="3、其他" w:id="216"/>
      <w:bookmarkEnd w:id="216"/>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5" w:firstLine="420"/>
        <w:jc w:val="left"/>
      </w:pPr>
      <w:r>
        <w:rPr>
          <w:rFonts w:ascii="宋体" w:hAnsi="宋体" w:cs="宋体" w:eastAsia="宋体" w:hint="default"/>
          <w:spacing w:val="-1"/>
        </w:rPr>
        <w:t>1</w:t>
      </w:r>
      <w:r>
        <w:rPr>
          <w:spacing w:val="-1"/>
        </w:rPr>
        <w:t>、本公司全资子公司</w:t>
      </w:r>
      <w:r>
        <w:rPr>
          <w:rFonts w:ascii="宋体" w:hAnsi="宋体" w:cs="宋体" w:eastAsia="宋体" w:hint="default"/>
          <w:spacing w:val="-1"/>
        </w:rPr>
        <w:t>CUPLAY</w:t>
      </w:r>
      <w:r>
        <w:rPr>
          <w:spacing w:val="-1"/>
        </w:rPr>
        <w:t>、全资孙公司</w:t>
      </w:r>
      <w:r>
        <w:rPr>
          <w:rFonts w:ascii="宋体" w:hAnsi="宋体" w:cs="宋体" w:eastAsia="宋体" w:hint="default"/>
          <w:spacing w:val="-1"/>
        </w:rPr>
        <w:t>LEEPLAY</w:t>
      </w:r>
      <w:r>
        <w:rPr>
          <w:spacing w:val="-1"/>
        </w:rPr>
        <w:t>和</w:t>
      </w:r>
      <w:r>
        <w:rPr>
          <w:rFonts w:ascii="宋体" w:hAnsi="宋体" w:cs="宋体" w:eastAsia="宋体" w:hint="default"/>
          <w:spacing w:val="-1"/>
        </w:rPr>
        <w:t>LEEGAME</w:t>
      </w:r>
      <w:r>
        <w:rPr>
          <w:spacing w:val="-1"/>
        </w:rPr>
        <w:t>系在英属维尔京群岛、开曼群岛注册登记的公司，该公司</w:t>
      </w:r>
      <w:r>
        <w:rPr/>
        <w:t> 无需缴纳企业所得税。</w:t>
      </w:r>
    </w:p>
    <w:p>
      <w:pPr>
        <w:pStyle w:val="BodyText"/>
        <w:spacing w:line="240" w:lineRule="auto" w:before="19"/>
        <w:ind w:left="1553" w:right="0"/>
        <w:jc w:val="left"/>
      </w:pPr>
      <w:r>
        <w:rPr>
          <w:rFonts w:ascii="宋体" w:hAnsi="宋体" w:cs="宋体" w:eastAsia="宋体" w:hint="default"/>
        </w:rPr>
        <w:t>2</w:t>
      </w:r>
      <w:r>
        <w:rPr/>
        <w:t>、本公司全资孙公司美国中青宝按照美国政府税法规定，依法缴纳州税</w:t>
      </w:r>
      <w:r>
        <w:rPr>
          <w:rFonts w:ascii="宋体" w:hAnsi="宋体" w:cs="宋体" w:eastAsia="宋体" w:hint="default"/>
        </w:rPr>
        <w:t>(</w:t>
      </w:r>
      <w:r>
        <w:rPr/>
        <w:t>加利福尼亚</w:t>
      </w:r>
      <w:r>
        <w:rPr>
          <w:rFonts w:ascii="宋体" w:hAnsi="宋体" w:cs="宋体" w:eastAsia="宋体" w:hint="default"/>
        </w:rPr>
        <w:t>)</w:t>
      </w:r>
      <w:r>
        <w:rPr/>
        <w:t>和联邦企业所得税。</w:t>
      </w:r>
    </w:p>
    <w:p>
      <w:pPr>
        <w:pStyle w:val="BodyText"/>
        <w:spacing w:line="316" w:lineRule="auto" w:before="76"/>
        <w:ind w:right="1153" w:firstLine="420"/>
        <w:jc w:val="left"/>
      </w:pPr>
      <w:r>
        <w:rPr>
          <w:rFonts w:ascii="宋体" w:hAnsi="宋体" w:cs="宋体" w:eastAsia="宋体" w:hint="default"/>
        </w:rPr>
        <w:t>3</w:t>
      </w:r>
      <w:r>
        <w:rPr/>
        <w:t>、本公司全资孙公司韩国中青宝的法人税采用三档累计税率：应纳税所得额</w:t>
      </w:r>
      <w:r>
        <w:rPr>
          <w:rFonts w:ascii="宋体" w:hAnsi="宋体" w:cs="宋体" w:eastAsia="宋体" w:hint="default"/>
        </w:rPr>
        <w:t>2</w:t>
      </w:r>
      <w:r>
        <w:rPr/>
        <w:t>亿韩元以下</w:t>
      </w:r>
      <w:r>
        <w:rPr>
          <w:rFonts w:ascii="宋体" w:hAnsi="宋体" w:cs="宋体" w:eastAsia="宋体" w:hint="default"/>
        </w:rPr>
        <w:t>(</w:t>
      </w:r>
      <w:r>
        <w:rPr/>
        <w:t>含</w:t>
      </w:r>
      <w:r>
        <w:rPr>
          <w:rFonts w:ascii="宋体" w:hAnsi="宋体" w:cs="宋体" w:eastAsia="宋体" w:hint="default"/>
        </w:rPr>
        <w:t>2</w:t>
      </w:r>
      <w:r>
        <w:rPr/>
        <w:t>亿</w:t>
      </w:r>
      <w:r>
        <w:rPr>
          <w:rFonts w:ascii="宋体" w:hAnsi="宋体" w:cs="宋体" w:eastAsia="宋体" w:hint="default"/>
        </w:rPr>
        <w:t>)</w:t>
      </w:r>
      <w:r>
        <w:rPr/>
        <w:t>的部分按照</w:t>
      </w:r>
      <w:r>
        <w:rPr>
          <w:rFonts w:ascii="宋体" w:hAnsi="宋体" w:cs="宋体" w:eastAsia="宋体" w:hint="default"/>
        </w:rPr>
        <w:t>10%</w:t>
      </w:r>
      <w:r>
        <w:rPr/>
        <w:t>的税 率缴纳法人税，</w:t>
      </w:r>
      <w:r>
        <w:rPr>
          <w:rFonts w:ascii="宋体" w:hAnsi="宋体" w:cs="宋体" w:eastAsia="宋体" w:hint="default"/>
        </w:rPr>
        <w:t>2</w:t>
      </w:r>
      <w:r>
        <w:rPr/>
        <w:t>－</w:t>
      </w:r>
      <w:r>
        <w:rPr>
          <w:rFonts w:ascii="宋体" w:hAnsi="宋体" w:cs="宋体" w:eastAsia="宋体" w:hint="default"/>
        </w:rPr>
        <w:t>200</w:t>
      </w:r>
      <w:r>
        <w:rPr/>
        <w:t>亿</w:t>
      </w:r>
      <w:r>
        <w:rPr>
          <w:rFonts w:ascii="宋体" w:hAnsi="宋体" w:cs="宋体" w:eastAsia="宋体" w:hint="default"/>
        </w:rPr>
        <w:t>(</w:t>
      </w:r>
      <w:r>
        <w:rPr/>
        <w:t>含</w:t>
      </w:r>
      <w:r>
        <w:rPr>
          <w:rFonts w:ascii="宋体" w:hAnsi="宋体" w:cs="宋体" w:eastAsia="宋体" w:hint="default"/>
        </w:rPr>
        <w:t>200</w:t>
      </w:r>
      <w:r>
        <w:rPr/>
        <w:t>亿</w:t>
      </w:r>
      <w:r>
        <w:rPr>
          <w:rFonts w:ascii="宋体" w:hAnsi="宋体" w:cs="宋体" w:eastAsia="宋体" w:hint="default"/>
        </w:rPr>
        <w:t>)</w:t>
      </w:r>
      <w:r>
        <w:rPr/>
        <w:t>韩元的部分按照</w:t>
      </w:r>
      <w:r>
        <w:rPr>
          <w:rFonts w:ascii="宋体" w:hAnsi="宋体" w:cs="宋体" w:eastAsia="宋体" w:hint="default"/>
        </w:rPr>
        <w:t>20%</w:t>
      </w:r>
      <w:r>
        <w:rPr/>
        <w:t>的税率缴纳法人税，</w:t>
      </w:r>
      <w:r>
        <w:rPr>
          <w:rFonts w:ascii="宋体" w:hAnsi="宋体" w:cs="宋体" w:eastAsia="宋体" w:hint="default"/>
        </w:rPr>
        <w:t>200</w:t>
      </w:r>
      <w:r>
        <w:rPr/>
        <w:t>亿以上部分按</w:t>
      </w:r>
      <w:r>
        <w:rPr>
          <w:rFonts w:ascii="宋体" w:hAnsi="宋体" w:cs="宋体" w:eastAsia="宋体" w:hint="default"/>
        </w:rPr>
        <w:t>22%</w:t>
      </w:r>
      <w:r>
        <w:rPr/>
        <w:t>的税率缴纳法人税。</w:t>
      </w:r>
    </w:p>
    <w:p>
      <w:pPr>
        <w:pStyle w:val="BodyText"/>
        <w:spacing w:line="316" w:lineRule="auto" w:before="19"/>
        <w:ind w:right="1153" w:firstLine="420"/>
        <w:jc w:val="left"/>
      </w:pPr>
      <w:r>
        <w:rPr>
          <w:rFonts w:ascii="宋体" w:hAnsi="宋体" w:cs="宋体" w:eastAsia="宋体" w:hint="default"/>
        </w:rPr>
        <w:t>4</w:t>
      </w:r>
      <w:r>
        <w:rPr/>
        <w:t>、本公司全资子公司香港中青宝按照利润来源地征税的原则缴纳利得税，对于来源于香港地区的企业利得按照</w:t>
      </w:r>
      <w:r>
        <w:rPr>
          <w:rFonts w:ascii="宋体" w:hAnsi="宋体" w:cs="宋体" w:eastAsia="宋体" w:hint="default"/>
        </w:rPr>
        <w:t>16.5% </w:t>
      </w:r>
      <w:r>
        <w:rPr/>
        <w:t>的税率缴纳利得税，对于来源于香港地区以外的利得则免交利得税。</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七、合并财务报表项目注释" w:id="217"/>
      <w:bookmarkEnd w:id="217"/>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left="1133" w:right="0"/>
        <w:jc w:val="left"/>
        <w:rPr>
          <w:b w:val="0"/>
          <w:bCs w:val="0"/>
        </w:rPr>
      </w:pPr>
      <w:bookmarkStart w:name="1、货币资金" w:id="218"/>
      <w:bookmarkEnd w:id="218"/>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326,644.69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38,329.08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290,687,158.89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214,261,832.94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125,525.51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46,058.76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291,139,329.09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214,346,220.78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27,500,458.55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17,401,203.66</w:t>
            </w:r>
          </w:p>
        </w:tc>
      </w:tr>
    </w:tbl>
    <w:p>
      <w:pPr>
        <w:pStyle w:val="BodyText"/>
        <w:spacing w:line="240" w:lineRule="auto" w:before="10"/>
        <w:ind w:left="1134" w:right="0"/>
        <w:jc w:val="left"/>
      </w:pPr>
      <w:r>
        <w:rPr/>
        <w:t>其他说明</w:t>
      </w:r>
    </w:p>
    <w:p>
      <w:pPr>
        <w:pStyle w:val="BodyText"/>
        <w:spacing w:line="240" w:lineRule="auto" w:before="76"/>
        <w:ind w:left="1134" w:right="0" w:firstLine="420"/>
        <w:jc w:val="left"/>
      </w:pPr>
      <w:r>
        <w:rPr/>
        <w:t>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日，本公司无使用权受限的货币资金。</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2、以公允价值计量且其变动计入当期损益的金融资产" w:id="219"/>
      <w:bookmarkEnd w:id="219"/>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7"/>
        <w:spacing w:line="240" w:lineRule="auto"/>
        <w:ind w:left="1133" w:right="0"/>
        <w:jc w:val="left"/>
        <w:rPr>
          <w:b w:val="0"/>
          <w:bCs w:val="0"/>
        </w:rPr>
      </w:pPr>
      <w:bookmarkStart w:name="3、衍生金融资产" w:id="220"/>
      <w:bookmarkEnd w:id="220"/>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518" w:lineRule="auto"/>
        <w:ind w:left="1133" w:right="8821"/>
        <w:jc w:val="left"/>
        <w:rPr>
          <w:rFonts w:ascii="宋体" w:hAnsi="宋体" w:cs="宋体" w:eastAsia="宋体" w:hint="default"/>
          <w:b w:val="0"/>
          <w:bCs w:val="0"/>
          <w:sz w:val="18"/>
          <w:szCs w:val="18"/>
        </w:rPr>
      </w:pPr>
      <w:bookmarkStart w:name="4、应收票据" w:id="221"/>
      <w:bookmarkEnd w:id="221"/>
      <w:r>
        <w:rPr>
          <w:b w:val="0"/>
          <w:bCs w:val="0"/>
        </w:rPr>
      </w:r>
      <w:r>
        <w:rPr>
          <w:rFonts w:ascii="Times New Roman" w:hAnsi="Times New Roman" w:cs="Times New Roman" w:eastAsia="Times New Roman" w:hint="default"/>
        </w:rPr>
        <w:t>4</w:t>
      </w:r>
      <w:r>
        <w:rPr/>
        <w:t>、应收票据</w:t>
      </w:r>
      <w:r>
        <w:rPr>
          <w:w w:val="99"/>
        </w:rPr>
        <w:t> </w:t>
      </w:r>
      <w:bookmarkStart w:name="(1)应收票据分类列示" w:id="222"/>
      <w:bookmarkEnd w:id="222"/>
      <w:r>
        <w:rPr>
          <w:w w:val="99"/>
        </w:rPr>
      </w:r>
      <w:r>
        <w:rPr>
          <w:rFonts w:ascii="Times New Roman" w:hAnsi="Times New Roman" w:cs="Times New Roman" w:eastAsia="Times New Roman" w:hint="default"/>
        </w:rPr>
        <w:t>(1)</w:t>
      </w:r>
      <w:r>
        <w:rPr/>
        <w:t>应收票据分类列示</w:t>
      </w:r>
      <w:r>
        <w:rPr>
          <w:w w:val="99"/>
        </w:rPr>
        <w:t> </w:t>
      </w:r>
      <w:r>
        <w:rPr>
          <w:rFonts w:ascii="宋体" w:hAnsi="宋体" w:cs="宋体" w:eastAsia="宋体" w:hint="default"/>
          <w:b w:val="0"/>
          <w:bCs w:val="0"/>
          <w:sz w:val="18"/>
          <w:szCs w:val="18"/>
        </w:rPr>
        <w:t>无</w:t>
      </w:r>
    </w:p>
    <w:p>
      <w:pPr>
        <w:spacing w:after="0" w:line="51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40" w:lineRule="auto" w:before="35"/>
        <w:ind w:left="1133" w:right="0"/>
        <w:jc w:val="left"/>
        <w:rPr>
          <w:b w:val="0"/>
          <w:bCs w:val="0"/>
        </w:rPr>
      </w:pPr>
      <w:bookmarkStart w:name="(2)期末公司已质押的应收票据" w:id="223"/>
      <w:bookmarkEnd w:id="223"/>
      <w:r>
        <w:rPr>
          <w:b w:val="0"/>
          <w:bCs w:val="0"/>
        </w:rPr>
      </w:r>
      <w:r>
        <w:rPr>
          <w:rFonts w:ascii="Times New Roman" w:hAnsi="Times New Roman" w:cs="Times New Roman" w:eastAsia="Times New Roman" w:hint="default"/>
        </w:rPr>
        <w:t>(2)</w:t>
      </w:r>
      <w:r>
        <w:rPr/>
        <w:t>期末公司已质押的应收票据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3)期末公司已背书或贴现且在资产负债表日尚未到期的应收票据" w:id="224"/>
      <w:bookmarkEnd w:id="224"/>
      <w:r>
        <w:rPr>
          <w:b w:val="0"/>
          <w:bCs w:val="0"/>
        </w:rPr>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4)期末公司因出票人未履约而将其转应收账款的票据" w:id="225"/>
      <w:bookmarkEnd w:id="225"/>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7"/>
        <w:spacing w:line="506" w:lineRule="auto"/>
        <w:ind w:right="8820"/>
        <w:jc w:val="left"/>
        <w:rPr>
          <w:b w:val="0"/>
          <w:bCs w:val="0"/>
        </w:rPr>
      </w:pPr>
      <w:bookmarkStart w:name="5、应收账款" w:id="226"/>
      <w:bookmarkEnd w:id="226"/>
      <w:r>
        <w:rPr>
          <w:b w:val="0"/>
          <w:bCs w:val="0"/>
        </w:rPr>
      </w:r>
      <w:r>
        <w:rPr>
          <w:rFonts w:ascii="Times New Roman" w:hAnsi="Times New Roman" w:cs="Times New Roman" w:eastAsia="Times New Roman" w:hint="default"/>
        </w:rPr>
        <w:t>5</w:t>
      </w:r>
      <w:r>
        <w:rPr/>
        <w:t>、应收账款</w:t>
      </w:r>
      <w:r>
        <w:rPr>
          <w:w w:val="99"/>
        </w:rPr>
        <w:t> </w:t>
      </w:r>
      <w:bookmarkStart w:name="(1)应收账款分类披露" w:id="227"/>
      <w:bookmarkEnd w:id="227"/>
      <w:r>
        <w:rPr>
          <w:w w:val="99"/>
        </w:rPr>
      </w:r>
      <w:r>
        <w:rPr>
          <w:rFonts w:ascii="Times New Roman" w:hAnsi="Times New Roman" w:cs="Times New Roman" w:eastAsia="Times New Roman" w:hint="default"/>
        </w:rPr>
        <w:t>(1)</w:t>
      </w:r>
      <w:r>
        <w:rPr/>
        <w:t>应收账款分类披露</w:t>
      </w:r>
      <w:r>
        <w:rPr>
          <w:b w:val="0"/>
          <w:bCs w:val="0"/>
        </w:rPr>
      </w:r>
    </w:p>
    <w:p>
      <w:pPr>
        <w:pStyle w:val="BodyText"/>
        <w:spacing w:line="240" w:lineRule="auto" w:before="9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138,207,</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726.03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13,758,7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03.62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9.96%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124,449,0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22.41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180,343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,850.52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10,350,78</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2.00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5.74%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169,993,06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8.52</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138,207,</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726.03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13,758,7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03.62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9.96%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124,449,0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22.41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180,343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,850.52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10,350,78</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2.00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5.74%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169,993,06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8.52</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206"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8"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69" w:type="dxa"/>
            <w:vMerge/>
            <w:tcBorders>
              <w:left w:val="single" w:sz="4" w:space="0" w:color="000000"/>
              <w:bottom w:val="nil" w:sz="6" w:space="0" w:color="auto"/>
              <w:right w:val="single" w:sz="4" w:space="0" w:color="000000"/>
            </w:tcBorders>
            <w:shd w:val="clear" w:color="auto" w:fill="D2D2D2"/>
          </w:tcPr>
          <w:p>
            <w:pPr/>
          </w:p>
        </w:tc>
        <w:tc>
          <w:tcPr>
            <w:tcW w:w="24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5"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5"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109,192,033.55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5,459,601.70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22,324,745.82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2,232,474.58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780,399.15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156,079.83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5,910,547.51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5,910,547.51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138,207,726.03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13,758,703.62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134" w:right="6432"/>
        <w:jc w:val="left"/>
      </w:pPr>
      <w:r>
        <w:rPr/>
        <w:t>确定该组合依据的说明： 组合中，采用余额百分比法计提坏账准备的应收账款：</w:t>
      </w:r>
    </w:p>
    <w:p>
      <w:pPr>
        <w:spacing w:after="0" w:line="360"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before="44"/>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2"/>
        <w:rPr>
          <w:rFonts w:ascii="宋体" w:hAnsi="宋体" w:cs="宋体" w:eastAsia="宋体" w:hint="default"/>
          <w:sz w:val="21"/>
          <w:szCs w:val="21"/>
        </w:rPr>
      </w:pPr>
    </w:p>
    <w:p>
      <w:pPr>
        <w:pStyle w:val="Heading7"/>
        <w:spacing w:line="240" w:lineRule="auto"/>
        <w:ind w:left="1133" w:right="0"/>
        <w:jc w:val="left"/>
        <w:rPr>
          <w:b w:val="0"/>
          <w:bCs w:val="0"/>
        </w:rPr>
      </w:pPr>
      <w:bookmarkStart w:name="(2)本期计提、收回或转回的坏账准备情况" w:id="228"/>
      <w:bookmarkEnd w:id="228"/>
      <w:r>
        <w:rPr>
          <w:b w:val="0"/>
          <w:bCs w:val="0"/>
        </w:rPr>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4461"/>
        <w:jc w:val="left"/>
      </w:pPr>
      <w:r>
        <w:rPr/>
        <w:t>本期计提坏账准备金额</w:t>
      </w:r>
      <w:r>
        <w:rPr>
          <w:spacing w:val="-47"/>
        </w:rPr>
        <w:t> </w:t>
      </w:r>
      <w:r>
        <w:rPr>
          <w:rFonts w:ascii="Times New Roman" w:hAnsi="Times New Roman" w:cs="Times New Roman" w:eastAsia="Times New Roman" w:hint="default"/>
        </w:rPr>
        <w:t>3,365,327.05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其中本期坏账准备收回或转回金额重要的：无</w:t>
      </w:r>
    </w:p>
    <w:p>
      <w:pPr>
        <w:spacing w:line="240" w:lineRule="auto" w:before="12"/>
        <w:rPr>
          <w:rFonts w:ascii="宋体" w:hAnsi="宋体" w:cs="宋体" w:eastAsia="宋体" w:hint="default"/>
          <w:sz w:val="20"/>
          <w:szCs w:val="20"/>
        </w:rPr>
      </w:pPr>
    </w:p>
    <w:p>
      <w:pPr>
        <w:pStyle w:val="Heading7"/>
        <w:spacing w:line="240" w:lineRule="auto"/>
        <w:ind w:left="1133" w:right="0"/>
        <w:jc w:val="left"/>
        <w:rPr>
          <w:b w:val="0"/>
          <w:bCs w:val="0"/>
        </w:rPr>
      </w:pPr>
      <w:bookmarkStart w:name="(3)本期实际核销的应收账款情况" w:id="229"/>
      <w:bookmarkEnd w:id="229"/>
      <w:r>
        <w:rPr>
          <w:b w:val="0"/>
          <w:bCs w:val="0"/>
        </w:rPr>
      </w:r>
      <w:r>
        <w:rPr>
          <w:rFonts w:ascii="Times New Roman" w:hAnsi="Times New Roman" w:cs="Times New Roman" w:eastAsia="Times New Roman" w:hint="default"/>
        </w:rPr>
        <w:t>(3)</w:t>
      </w:r>
      <w:r>
        <w:rPr/>
        <w:t>本期实际核销的应收账款情况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053"/>
        <w:jc w:val="left"/>
      </w:pPr>
      <w:r>
        <w:rPr/>
        <w:t>其中重要的应收账款核销情况：无 应收账款核销说明：无</w:t>
      </w:r>
    </w:p>
    <w:p>
      <w:pPr>
        <w:spacing w:line="240" w:lineRule="auto" w:before="13"/>
        <w:rPr>
          <w:rFonts w:ascii="宋体" w:hAnsi="宋体" w:cs="宋体" w:eastAsia="宋体" w:hint="default"/>
          <w:sz w:val="19"/>
          <w:szCs w:val="19"/>
        </w:rPr>
      </w:pPr>
    </w:p>
    <w:p>
      <w:pPr>
        <w:pStyle w:val="Heading7"/>
        <w:spacing w:line="240" w:lineRule="auto"/>
        <w:ind w:right="0"/>
        <w:jc w:val="left"/>
        <w:rPr>
          <w:b w:val="0"/>
          <w:bCs w:val="0"/>
        </w:rPr>
      </w:pPr>
      <w:bookmarkStart w:name="(4)按欠款方归集的期末余额前五名的应收账款情况" w:id="230"/>
      <w:bookmarkEnd w:id="230"/>
      <w:r>
        <w:rPr>
          <w:b w:val="0"/>
          <w:bCs w:val="0"/>
        </w:rPr>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2351"/>
        <w:gridCol w:w="1695"/>
        <w:gridCol w:w="1022"/>
        <w:gridCol w:w="2001"/>
        <w:gridCol w:w="1465"/>
      </w:tblGrid>
      <w:tr>
        <w:trPr>
          <w:trHeight w:val="742" w:hRule="exact"/>
        </w:trPr>
        <w:tc>
          <w:tcPr>
            <w:tcW w:w="235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69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02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001" w:type="dxa"/>
            <w:tcBorders>
              <w:top w:val="single" w:sz="6" w:space="0" w:color="000000"/>
              <w:left w:val="single" w:sz="6" w:space="0" w:color="000000"/>
              <w:bottom w:val="single" w:sz="8" w:space="0" w:color="000000"/>
              <w:right w:val="single" w:sz="4" w:space="0" w:color="000000"/>
            </w:tcBorders>
          </w:tcPr>
          <w:p>
            <w:pPr>
              <w:pStyle w:val="TableParagraph"/>
              <w:spacing w:line="316" w:lineRule="auto" w:before="62"/>
              <w:ind w:left="2" w:right="5"/>
              <w:jc w:val="left"/>
              <w:rPr>
                <w:rFonts w:ascii="Times New Roman" w:hAnsi="Times New Roman" w:cs="Times New Roman" w:eastAsia="Times New Roman" w:hint="default"/>
                <w:sz w:val="18"/>
                <w:szCs w:val="18"/>
              </w:rPr>
            </w:pPr>
            <w:r>
              <w:rPr>
                <w:rFonts w:ascii="宋体" w:hAnsi="宋体" w:cs="宋体" w:eastAsia="宋体" w:hint="default"/>
                <w:b/>
                <w:bCs/>
                <w:spacing w:val="17"/>
                <w:sz w:val="18"/>
                <w:szCs w:val="18"/>
              </w:rPr>
              <w:t>占应收账款年末余额合</w:t>
            </w:r>
            <w:r>
              <w:rPr>
                <w:rFonts w:ascii="宋体" w:hAnsi="宋体" w:cs="宋体" w:eastAsia="宋体" w:hint="default"/>
                <w:b/>
                <w:bCs/>
                <w:w w:val="99"/>
                <w:sz w:val="18"/>
                <w:szCs w:val="18"/>
              </w:rPr>
              <w:t> </w:t>
            </w:r>
            <w:r>
              <w:rPr>
                <w:rFonts w:ascii="宋体" w:hAnsi="宋体" w:cs="宋体" w:eastAsia="宋体" w:hint="default"/>
                <w:b/>
                <w:bCs/>
                <w:sz w:val="18"/>
                <w:szCs w:val="18"/>
              </w:rPr>
              <w:t>计数的比例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4"/>
              <w:ind w:left="4" w:right="5"/>
              <w:jc w:val="left"/>
              <w:rPr>
                <w:rFonts w:ascii="宋体" w:hAnsi="宋体" w:cs="宋体" w:eastAsia="宋体" w:hint="default"/>
                <w:sz w:val="18"/>
                <w:szCs w:val="18"/>
              </w:rPr>
            </w:pPr>
            <w:r>
              <w:rPr>
                <w:rFonts w:ascii="宋体" w:hAnsi="宋体" w:cs="宋体" w:eastAsia="宋体" w:hint="default"/>
                <w:b/>
                <w:bCs/>
                <w:sz w:val="18"/>
                <w:szCs w:val="18"/>
              </w:rPr>
              <w:t>坏</w:t>
            </w:r>
            <w:r>
              <w:rPr>
                <w:rFonts w:ascii="宋体" w:hAnsi="宋体" w:cs="宋体" w:eastAsia="宋体" w:hint="default"/>
                <w:b/>
                <w:bCs/>
                <w:spacing w:val="-61"/>
                <w:sz w:val="18"/>
                <w:szCs w:val="18"/>
              </w:rPr>
              <w:t> </w:t>
            </w:r>
            <w:r>
              <w:rPr>
                <w:rFonts w:ascii="宋体" w:hAnsi="宋体" w:cs="宋体" w:eastAsia="宋体" w:hint="default"/>
                <w:b/>
                <w:bCs/>
                <w:sz w:val="18"/>
                <w:szCs w:val="18"/>
              </w:rPr>
              <w:t>账</w:t>
            </w:r>
            <w:r>
              <w:rPr>
                <w:rFonts w:ascii="宋体" w:hAnsi="宋体" w:cs="宋体" w:eastAsia="宋体" w:hint="default"/>
                <w:b/>
                <w:bCs/>
                <w:spacing w:val="-61"/>
                <w:sz w:val="18"/>
                <w:szCs w:val="18"/>
              </w:rPr>
              <w:t> </w:t>
            </w:r>
            <w:r>
              <w:rPr>
                <w:rFonts w:ascii="宋体" w:hAnsi="宋体" w:cs="宋体" w:eastAsia="宋体" w:hint="default"/>
                <w:b/>
                <w:bCs/>
                <w:sz w:val="18"/>
                <w:szCs w:val="18"/>
              </w:rPr>
              <w:t>准</w:t>
            </w:r>
            <w:r>
              <w:rPr>
                <w:rFonts w:ascii="宋体" w:hAnsi="宋体" w:cs="宋体" w:eastAsia="宋体" w:hint="default"/>
                <w:b/>
                <w:bCs/>
                <w:spacing w:val="-62"/>
                <w:sz w:val="18"/>
                <w:szCs w:val="18"/>
              </w:rPr>
              <w:t> </w:t>
            </w:r>
            <w:r>
              <w:rPr>
                <w:rFonts w:ascii="宋体" w:hAnsi="宋体" w:cs="宋体" w:eastAsia="宋体" w:hint="default"/>
                <w:b/>
                <w:bCs/>
                <w:sz w:val="18"/>
                <w:szCs w:val="18"/>
              </w:rPr>
              <w:t>备</w:t>
            </w:r>
            <w:r>
              <w:rPr>
                <w:rFonts w:ascii="宋体" w:hAnsi="宋体" w:cs="宋体" w:eastAsia="宋体" w:hint="default"/>
                <w:b/>
                <w:bCs/>
                <w:spacing w:val="-61"/>
                <w:sz w:val="18"/>
                <w:szCs w:val="18"/>
              </w:rPr>
              <w:t> </w:t>
            </w:r>
            <w:r>
              <w:rPr>
                <w:rFonts w:ascii="宋体" w:hAnsi="宋体" w:cs="宋体" w:eastAsia="宋体" w:hint="default"/>
                <w:b/>
                <w:bCs/>
                <w:sz w:val="18"/>
                <w:szCs w:val="18"/>
              </w:rPr>
              <w:t>年</w:t>
            </w:r>
            <w:r>
              <w:rPr>
                <w:rFonts w:ascii="宋体" w:hAnsi="宋体" w:cs="宋体" w:eastAsia="宋体" w:hint="default"/>
                <w:b/>
                <w:bCs/>
                <w:spacing w:val="-62"/>
                <w:sz w:val="18"/>
                <w:szCs w:val="18"/>
              </w:rPr>
              <w:t> </w:t>
            </w:r>
            <w:r>
              <w:rPr>
                <w:rFonts w:ascii="宋体" w:hAnsi="宋体" w:cs="宋体" w:eastAsia="宋体" w:hint="default"/>
                <w:b/>
                <w:bCs/>
                <w:sz w:val="18"/>
                <w:szCs w:val="18"/>
              </w:rPr>
              <w:t>末</w:t>
            </w:r>
            <w:r>
              <w:rPr>
                <w:rFonts w:ascii="宋体" w:hAnsi="宋体" w:cs="宋体" w:eastAsia="宋体" w:hint="default"/>
                <w:b/>
                <w:bCs/>
                <w:spacing w:val="-61"/>
                <w:sz w:val="18"/>
                <w:szCs w:val="18"/>
              </w:rPr>
              <w:t> </w:t>
            </w:r>
            <w:r>
              <w:rPr>
                <w:rFonts w:ascii="宋体" w:hAnsi="宋体" w:cs="宋体" w:eastAsia="宋体" w:hint="default"/>
                <w:b/>
                <w:bCs/>
                <w:sz w:val="18"/>
                <w:szCs w:val="18"/>
              </w:rPr>
              <w:t>余</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r>
      <w:tr>
        <w:trPr>
          <w:trHeight w:val="427" w:hRule="exact"/>
        </w:trPr>
        <w:tc>
          <w:tcPr>
            <w:tcW w:w="23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环球互动数码科技有限公司</w:t>
            </w:r>
          </w:p>
        </w:tc>
        <w:tc>
          <w:tcPr>
            <w:tcW w:w="169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spacing w:val="-1"/>
                <w:sz w:val="18"/>
              </w:rPr>
              <w:t>41,234,360.00</w:t>
            </w:r>
          </w:p>
        </w:tc>
        <w:tc>
          <w:tcPr>
            <w:tcW w:w="10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001"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97"/>
              <w:ind w:right="2"/>
              <w:jc w:val="right"/>
              <w:rPr>
                <w:rFonts w:ascii="Times New Roman" w:hAnsi="Times New Roman" w:cs="Times New Roman" w:eastAsia="Times New Roman" w:hint="default"/>
                <w:sz w:val="18"/>
                <w:szCs w:val="18"/>
              </w:rPr>
            </w:pPr>
            <w:r>
              <w:rPr>
                <w:rFonts w:ascii="Times New Roman"/>
                <w:sz w:val="18"/>
              </w:rPr>
              <w:t>29.84</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2,061,718.00</w:t>
            </w:r>
          </w:p>
        </w:tc>
      </w:tr>
      <w:tr>
        <w:trPr>
          <w:trHeight w:val="427" w:hRule="exact"/>
        </w:trPr>
        <w:tc>
          <w:tcPr>
            <w:tcW w:w="23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杭州烈焰网络技术有限公司</w:t>
            </w:r>
          </w:p>
        </w:tc>
        <w:tc>
          <w:tcPr>
            <w:tcW w:w="169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spacing w:val="-1"/>
                <w:sz w:val="18"/>
              </w:rPr>
              <w:t>19,195,423.78</w:t>
            </w:r>
          </w:p>
        </w:tc>
        <w:tc>
          <w:tcPr>
            <w:tcW w:w="10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001"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97"/>
              <w:ind w:right="2"/>
              <w:jc w:val="right"/>
              <w:rPr>
                <w:rFonts w:ascii="Times New Roman" w:hAnsi="Times New Roman" w:cs="Times New Roman" w:eastAsia="Times New Roman" w:hint="default"/>
                <w:sz w:val="18"/>
                <w:szCs w:val="18"/>
              </w:rPr>
            </w:pPr>
            <w:r>
              <w:rPr>
                <w:rFonts w:ascii="Times New Roman"/>
                <w:sz w:val="18"/>
              </w:rPr>
              <w:t>13.89</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959,771.19</w:t>
            </w:r>
          </w:p>
        </w:tc>
      </w:tr>
      <w:tr>
        <w:trPr>
          <w:trHeight w:val="427" w:hRule="exact"/>
        </w:trPr>
        <w:tc>
          <w:tcPr>
            <w:tcW w:w="23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上海跳跃</w:t>
            </w:r>
          </w:p>
        </w:tc>
        <w:tc>
          <w:tcPr>
            <w:tcW w:w="169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spacing w:val="-1"/>
                <w:sz w:val="18"/>
              </w:rPr>
              <w:t>17,900,000.00</w:t>
            </w:r>
          </w:p>
        </w:tc>
        <w:tc>
          <w:tcPr>
            <w:tcW w:w="10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1"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97"/>
              <w:ind w:right="2"/>
              <w:jc w:val="right"/>
              <w:rPr>
                <w:rFonts w:ascii="Times New Roman" w:hAnsi="Times New Roman" w:cs="Times New Roman" w:eastAsia="Times New Roman" w:hint="default"/>
                <w:sz w:val="18"/>
                <w:szCs w:val="18"/>
              </w:rPr>
            </w:pPr>
            <w:r>
              <w:rPr>
                <w:rFonts w:ascii="Times New Roman"/>
                <w:sz w:val="18"/>
              </w:rPr>
              <w:t>12.95</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1,790,000.00</w:t>
            </w:r>
          </w:p>
        </w:tc>
      </w:tr>
      <w:tr>
        <w:trPr>
          <w:trHeight w:val="426" w:hRule="exact"/>
        </w:trPr>
        <w:tc>
          <w:tcPr>
            <w:tcW w:w="2351" w:type="dxa"/>
            <w:vMerge w:val="restart"/>
            <w:tcBorders>
              <w:top w:val="single" w:sz="8"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天津百度紫桐科技有限公司</w:t>
            </w:r>
          </w:p>
        </w:tc>
        <w:tc>
          <w:tcPr>
            <w:tcW w:w="169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5,230,669.96</w:t>
            </w:r>
          </w:p>
        </w:tc>
        <w:tc>
          <w:tcPr>
            <w:tcW w:w="10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001" w:type="dxa"/>
            <w:vMerge w:val="restart"/>
            <w:tcBorders>
              <w:top w:val="single" w:sz="8" w:space="0" w:color="000000"/>
              <w:left w:val="single" w:sz="6"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z w:val="18"/>
              </w:rPr>
              <w:t>4.27</w:t>
            </w:r>
          </w:p>
        </w:tc>
        <w:tc>
          <w:tcPr>
            <w:tcW w:w="1465" w:type="dxa"/>
            <w:vMerge w:val="restart"/>
            <w:tcBorders>
              <w:top w:val="single" w:sz="4" w:space="0" w:color="000000"/>
              <w:left w:val="single" w:sz="4" w:space="0" w:color="000000"/>
              <w:right w:val="single" w:sz="4" w:space="0" w:color="000000"/>
            </w:tcBorders>
          </w:tcPr>
          <w:p>
            <w:pPr>
              <w:pStyle w:val="TableParagraph"/>
              <w:spacing w:line="240" w:lineRule="auto" w:before="101"/>
              <w:ind w:left="639" w:right="0"/>
              <w:jc w:val="left"/>
              <w:rPr>
                <w:rFonts w:ascii="Times New Roman" w:hAnsi="Times New Roman" w:cs="Times New Roman" w:eastAsia="Times New Roman" w:hint="default"/>
                <w:sz w:val="18"/>
                <w:szCs w:val="18"/>
              </w:rPr>
            </w:pPr>
            <w:r>
              <w:rPr>
                <w:rFonts w:ascii="Times New Roman"/>
                <w:sz w:val="18"/>
              </w:rPr>
              <w:t>328,874.33</w:t>
            </w:r>
          </w:p>
        </w:tc>
      </w:tr>
      <w:tr>
        <w:trPr>
          <w:trHeight w:val="427" w:hRule="exact"/>
        </w:trPr>
        <w:tc>
          <w:tcPr>
            <w:tcW w:w="2351" w:type="dxa"/>
            <w:vMerge/>
            <w:tcBorders>
              <w:left w:val="single" w:sz="6" w:space="0" w:color="000000"/>
              <w:bottom w:val="single" w:sz="8" w:space="0" w:color="000000"/>
              <w:right w:val="single" w:sz="6" w:space="0" w:color="000000"/>
            </w:tcBorders>
          </w:tcPr>
          <w:p>
            <w:pPr/>
          </w:p>
        </w:tc>
        <w:tc>
          <w:tcPr>
            <w:tcW w:w="169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sz w:val="18"/>
              </w:rPr>
              <w:t>673,408.28</w:t>
            </w:r>
          </w:p>
        </w:tc>
        <w:tc>
          <w:tcPr>
            <w:tcW w:w="10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1" w:type="dxa"/>
            <w:vMerge/>
            <w:tcBorders>
              <w:left w:val="single" w:sz="6" w:space="0" w:color="000000"/>
              <w:bottom w:val="single" w:sz="8" w:space="0" w:color="000000"/>
              <w:right w:val="single" w:sz="4" w:space="0" w:color="000000"/>
            </w:tcBorders>
          </w:tcPr>
          <w:p>
            <w:pPr/>
          </w:p>
        </w:tc>
        <w:tc>
          <w:tcPr>
            <w:tcW w:w="1465" w:type="dxa"/>
            <w:vMerge/>
            <w:tcBorders>
              <w:left w:val="single" w:sz="4" w:space="0" w:color="000000"/>
              <w:bottom w:val="single" w:sz="4" w:space="0" w:color="000000"/>
              <w:right w:val="single" w:sz="4" w:space="0" w:color="000000"/>
            </w:tcBorders>
          </w:tcPr>
          <w:p>
            <w:pPr/>
          </w:p>
        </w:tc>
      </w:tr>
      <w:tr>
        <w:trPr>
          <w:trHeight w:val="739" w:hRule="exact"/>
        </w:trPr>
        <w:tc>
          <w:tcPr>
            <w:tcW w:w="2351" w:type="dxa"/>
            <w:tcBorders>
              <w:top w:val="single" w:sz="8" w:space="0" w:color="000000"/>
              <w:left w:val="single" w:sz="6" w:space="0" w:color="000000"/>
              <w:bottom w:val="single" w:sz="8" w:space="0" w:color="000000"/>
              <w:right w:val="single" w:sz="6" w:space="0" w:color="000000"/>
            </w:tcBorders>
          </w:tcPr>
          <w:p>
            <w:pPr>
              <w:pStyle w:val="TableParagraph"/>
              <w:tabs>
                <w:tab w:pos="1547" w:val="left" w:leader="none"/>
              </w:tabs>
              <w:spacing w:line="362" w:lineRule="auto" w:before="97"/>
              <w:ind w:left="2" w:right="0"/>
              <w:jc w:val="left"/>
              <w:rPr>
                <w:rFonts w:ascii="Times New Roman" w:hAnsi="Times New Roman" w:cs="Times New Roman" w:eastAsia="Times New Roman" w:hint="default"/>
                <w:sz w:val="18"/>
                <w:szCs w:val="18"/>
              </w:rPr>
            </w:pPr>
            <w:r>
              <w:rPr>
                <w:rFonts w:ascii="Times New Roman"/>
                <w:spacing w:val="-1"/>
                <w:sz w:val="18"/>
              </w:rPr>
              <w:t>HONGKONG</w:t>
              <w:tab/>
              <w:t>INCHENT</w:t>
            </w:r>
            <w:r>
              <w:rPr>
                <w:rFonts w:ascii="Times New Roman"/>
                <w:spacing w:val="-40"/>
                <w:sz w:val="18"/>
              </w:rPr>
              <w:t> </w:t>
            </w:r>
            <w:r>
              <w:rPr>
                <w:rFonts w:ascii="Times New Roman"/>
                <w:spacing w:val="-40"/>
                <w:sz w:val="18"/>
              </w:rPr>
            </w:r>
            <w:r>
              <w:rPr>
                <w:rFonts w:ascii="Times New Roman"/>
                <w:sz w:val="18"/>
              </w:rPr>
              <w:t>TRADING</w:t>
            </w:r>
            <w:r>
              <w:rPr>
                <w:rFonts w:ascii="Times New Roman"/>
                <w:spacing w:val="-2"/>
                <w:sz w:val="18"/>
              </w:rPr>
              <w:t> </w:t>
            </w:r>
            <w:r>
              <w:rPr>
                <w:rFonts w:ascii="Times New Roman"/>
                <w:sz w:val="18"/>
              </w:rPr>
              <w:t>LIMITED</w:t>
            </w:r>
          </w:p>
        </w:tc>
        <w:tc>
          <w:tcPr>
            <w:tcW w:w="169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spacing w:val="-1"/>
                <w:sz w:val="18"/>
              </w:rPr>
              <w:t>4,491,449.94</w:t>
            </w:r>
          </w:p>
        </w:tc>
        <w:tc>
          <w:tcPr>
            <w:tcW w:w="10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001"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97"/>
              <w:ind w:right="2"/>
              <w:jc w:val="right"/>
              <w:rPr>
                <w:rFonts w:ascii="Times New Roman" w:hAnsi="Times New Roman" w:cs="Times New Roman" w:eastAsia="Times New Roman" w:hint="default"/>
                <w:sz w:val="18"/>
                <w:szCs w:val="18"/>
              </w:rPr>
            </w:pPr>
            <w:r>
              <w:rPr>
                <w:rFonts w:ascii="Times New Roman"/>
                <w:sz w:val="18"/>
              </w:rPr>
              <w:t>3.25</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224,572.50</w:t>
            </w:r>
          </w:p>
        </w:tc>
      </w:tr>
      <w:tr>
        <w:trPr>
          <w:trHeight w:val="428" w:hRule="exact"/>
        </w:trPr>
        <w:tc>
          <w:tcPr>
            <w:tcW w:w="23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9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b/>
                <w:spacing w:val="-1"/>
                <w:sz w:val="18"/>
              </w:rPr>
              <w:t>88,725,311.96</w:t>
            </w:r>
            <w:r>
              <w:rPr>
                <w:rFonts w:ascii="Times New Roman"/>
                <w:spacing w:val="-1"/>
                <w:sz w:val="18"/>
              </w:rPr>
            </w:r>
          </w:p>
        </w:tc>
        <w:tc>
          <w:tcPr>
            <w:tcW w:w="1022" w:type="dxa"/>
            <w:tcBorders>
              <w:top w:val="single" w:sz="8" w:space="0" w:color="000000"/>
              <w:left w:val="single" w:sz="6" w:space="0" w:color="000000"/>
              <w:bottom w:val="single" w:sz="8" w:space="0" w:color="000000"/>
              <w:right w:val="single" w:sz="6" w:space="0" w:color="000000"/>
            </w:tcBorders>
          </w:tcPr>
          <w:p>
            <w:pPr/>
          </w:p>
        </w:tc>
        <w:tc>
          <w:tcPr>
            <w:tcW w:w="2001"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b/>
                <w:sz w:val="18"/>
              </w:rPr>
              <w:t>64.20</w:t>
            </w:r>
            <w:r>
              <w:rPr>
                <w:rFonts w:ascii="Times New Roman"/>
                <w:sz w:val="18"/>
              </w:rPr>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b/>
                <w:spacing w:val="-1"/>
                <w:sz w:val="18"/>
              </w:rPr>
              <w:t>5,364,936.02</w:t>
            </w:r>
            <w:r>
              <w:rPr>
                <w:rFonts w:ascii="Times New Roman"/>
                <w:spacing w:val="-1"/>
                <w:sz w:val="18"/>
              </w:rPr>
            </w:r>
          </w:p>
        </w:tc>
      </w:tr>
    </w:tbl>
    <w:p>
      <w:pPr>
        <w:spacing w:line="240" w:lineRule="auto" w:before="2"/>
        <w:rPr>
          <w:rFonts w:ascii="宋体" w:hAnsi="宋体" w:cs="宋体" w:eastAsia="宋体" w:hint="default"/>
          <w:b/>
          <w:bCs/>
          <w:sz w:val="19"/>
          <w:szCs w:val="19"/>
        </w:rPr>
      </w:pPr>
    </w:p>
    <w:p>
      <w:pPr>
        <w:pStyle w:val="Heading7"/>
        <w:spacing w:line="240" w:lineRule="auto" w:before="35"/>
        <w:ind w:right="0"/>
        <w:jc w:val="left"/>
        <w:rPr>
          <w:b w:val="0"/>
          <w:bCs w:val="0"/>
        </w:rPr>
      </w:pPr>
      <w:bookmarkStart w:name="(5)因金融资产转移而终止确认的应收账款" w:id="231"/>
      <w:bookmarkEnd w:id="231"/>
      <w:r>
        <w:rPr>
          <w:b w:val="0"/>
          <w:bCs w:val="0"/>
        </w:rPr>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6)转移应收账款且继续涉入形成的资产、负债金额" w:id="232"/>
      <w:bookmarkEnd w:id="232"/>
      <w:r>
        <w:rPr>
          <w:b w:val="0"/>
          <w:bCs w:val="0"/>
        </w:rPr>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506" w:lineRule="auto"/>
        <w:ind w:right="8610"/>
        <w:jc w:val="left"/>
        <w:rPr>
          <w:b w:val="0"/>
          <w:bCs w:val="0"/>
        </w:rPr>
      </w:pPr>
      <w:bookmarkStart w:name="6、预付款项" w:id="233"/>
      <w:bookmarkEnd w:id="233"/>
      <w:r>
        <w:rPr>
          <w:b w:val="0"/>
          <w:bCs w:val="0"/>
        </w:rPr>
      </w:r>
      <w:r>
        <w:rPr>
          <w:rFonts w:ascii="Times New Roman" w:hAnsi="Times New Roman" w:cs="Times New Roman" w:eastAsia="Times New Roman" w:hint="default"/>
        </w:rPr>
        <w:t>6</w:t>
      </w:r>
      <w:r>
        <w:rPr/>
        <w:t>、预付款项</w:t>
      </w:r>
      <w:r>
        <w:rPr>
          <w:w w:val="99"/>
        </w:rPr>
        <w:t> </w:t>
      </w:r>
      <w:bookmarkStart w:name="(1)预付款项按账龄列示" w:id="234"/>
      <w:bookmarkEnd w:id="234"/>
      <w:r>
        <w:rPr>
          <w:w w:val="99"/>
        </w:rPr>
      </w:r>
      <w:r>
        <w:rPr>
          <w:rFonts w:ascii="Times New Roman" w:hAnsi="Times New Roman" w:cs="Times New Roman" w:eastAsia="Times New Roman" w:hint="default"/>
        </w:rPr>
        <w:t>(1)</w:t>
      </w:r>
      <w:r>
        <w:rPr/>
        <w:t>预付款项按账龄列示</w:t>
      </w:r>
      <w:r>
        <w:rPr>
          <w:b w:val="0"/>
          <w:bCs w:val="0"/>
        </w:rPr>
      </w:r>
    </w:p>
    <w:p>
      <w:pPr>
        <w:pStyle w:val="BodyText"/>
        <w:spacing w:line="240" w:lineRule="auto" w:before="9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6"/>
        <w:gridCol w:w="1914"/>
        <w:gridCol w:w="1914"/>
        <w:gridCol w:w="190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比例</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20,675,478.71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45,168,785.08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82.29%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13,811,633.32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6,235,305.13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105,614.75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3,485,796.96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34,592,726.78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54,889,887.17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pStyle w:val="BodyText"/>
        <w:spacing w:line="302" w:lineRule="auto" w:before="102"/>
        <w:ind w:left="1134" w:right="1154" w:firstLine="42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年且金额重要的预付款项主要系预付给上海巨贤网络科技有限公司的保证金、预付给深圳市风影在线有限 公司的分成款和北京指点互动广告有限公司的广告框架押金。</w:t>
      </w:r>
    </w:p>
    <w:p>
      <w:pPr>
        <w:spacing w:line="240" w:lineRule="auto" w:before="2"/>
        <w:rPr>
          <w:rFonts w:ascii="宋体" w:hAnsi="宋体" w:cs="宋体" w:eastAsia="宋体" w:hint="default"/>
          <w:sz w:val="23"/>
          <w:szCs w:val="23"/>
        </w:rPr>
      </w:pPr>
    </w:p>
    <w:p>
      <w:pPr>
        <w:pStyle w:val="Heading7"/>
        <w:spacing w:line="240" w:lineRule="auto"/>
        <w:ind w:right="0"/>
        <w:jc w:val="left"/>
        <w:rPr>
          <w:b w:val="0"/>
          <w:bCs w:val="0"/>
        </w:rPr>
      </w:pPr>
      <w:bookmarkStart w:name="(2)按预付对象归集的期末余额前五名的预付款情况" w:id="235"/>
      <w:bookmarkEnd w:id="235"/>
      <w:r>
        <w:rPr>
          <w:b w:val="0"/>
          <w:bCs w:val="0"/>
        </w:rPr>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3023"/>
        <w:gridCol w:w="1834"/>
        <w:gridCol w:w="1414"/>
        <w:gridCol w:w="2264"/>
      </w:tblGrid>
      <w:tr>
        <w:trPr>
          <w:trHeight w:val="654" w:hRule="exact"/>
        </w:trPr>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3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1"/>
              <w:ind w:left="550"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41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704" w:right="43" w:hanging="663"/>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占预付款项年末余额合计数</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22" w:hRule="exact"/>
        </w:trPr>
        <w:tc>
          <w:tcPr>
            <w:tcW w:w="3023" w:type="dxa"/>
            <w:vMerge w:val="restart"/>
            <w:tcBorders>
              <w:top w:val="single" w:sz="4" w:space="0" w:color="000000"/>
              <w:left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上海巨贤网络科技有限公司</w:t>
            </w:r>
          </w:p>
        </w:tc>
        <w:tc>
          <w:tcPr>
            <w:tcW w:w="183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4,800,000.00</w:t>
            </w:r>
          </w:p>
        </w:tc>
        <w:tc>
          <w:tcPr>
            <w:tcW w:w="141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64" w:type="dxa"/>
            <w:vMerge w:val="restart"/>
            <w:tcBorders>
              <w:top w:val="single" w:sz="4" w:space="0" w:color="000000"/>
              <w:left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18.24</w:t>
            </w:r>
          </w:p>
        </w:tc>
      </w:tr>
      <w:tr>
        <w:trPr>
          <w:trHeight w:val="432" w:hRule="exact"/>
        </w:trPr>
        <w:tc>
          <w:tcPr>
            <w:tcW w:w="3023" w:type="dxa"/>
            <w:vMerge/>
            <w:tcBorders>
              <w:left w:val="single" w:sz="6" w:space="0" w:color="000000"/>
              <w:bottom w:val="single" w:sz="8"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spacing w:val="-1"/>
                <w:sz w:val="18"/>
              </w:rPr>
              <w:t>1,509,555.88</w:t>
            </w:r>
          </w:p>
        </w:tc>
        <w:tc>
          <w:tcPr>
            <w:tcW w:w="141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7"/>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4" w:type="dxa"/>
            <w:vMerge/>
            <w:tcBorders>
              <w:left w:val="single" w:sz="4" w:space="0" w:color="000000"/>
              <w:bottom w:val="single" w:sz="4" w:space="0" w:color="000000"/>
              <w:right w:val="single" w:sz="4" w:space="0" w:color="000000"/>
            </w:tcBorders>
          </w:tcPr>
          <w:p>
            <w:pPr/>
          </w:p>
        </w:tc>
      </w:tr>
      <w:tr>
        <w:trPr>
          <w:trHeight w:val="426" w:hRule="exact"/>
        </w:trPr>
        <w:tc>
          <w:tcPr>
            <w:tcW w:w="3023"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尊岸广告</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83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5,912,300.00</w:t>
            </w:r>
          </w:p>
        </w:tc>
        <w:tc>
          <w:tcPr>
            <w:tcW w:w="141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17.09</w:t>
            </w:r>
          </w:p>
        </w:tc>
      </w:tr>
      <w:tr>
        <w:trPr>
          <w:trHeight w:val="427" w:hRule="exact"/>
        </w:trPr>
        <w:tc>
          <w:tcPr>
            <w:tcW w:w="3023"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深圳市风影在线有限公司</w:t>
            </w:r>
          </w:p>
        </w:tc>
        <w:tc>
          <w:tcPr>
            <w:tcW w:w="183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4,524,523.59</w:t>
            </w:r>
          </w:p>
        </w:tc>
        <w:tc>
          <w:tcPr>
            <w:tcW w:w="141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13.08</w:t>
            </w:r>
          </w:p>
        </w:tc>
      </w:tr>
      <w:tr>
        <w:trPr>
          <w:trHeight w:val="427" w:hRule="exact"/>
        </w:trPr>
        <w:tc>
          <w:tcPr>
            <w:tcW w:w="3023"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深圳维爱特科技有限公司</w:t>
            </w:r>
          </w:p>
        </w:tc>
        <w:tc>
          <w:tcPr>
            <w:tcW w:w="183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4,000,000.00</w:t>
            </w:r>
          </w:p>
        </w:tc>
        <w:tc>
          <w:tcPr>
            <w:tcW w:w="141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
              <w:jc w:val="right"/>
              <w:rPr>
                <w:rFonts w:ascii="Times New Roman" w:hAnsi="Times New Roman" w:cs="Times New Roman" w:eastAsia="Times New Roman" w:hint="default"/>
                <w:sz w:val="18"/>
                <w:szCs w:val="18"/>
              </w:rPr>
            </w:pPr>
            <w:r>
              <w:rPr>
                <w:rFonts w:ascii="Times New Roman"/>
                <w:spacing w:val="-2"/>
                <w:sz w:val="18"/>
              </w:rPr>
              <w:t>11.56</w:t>
            </w:r>
          </w:p>
        </w:tc>
      </w:tr>
      <w:tr>
        <w:trPr>
          <w:trHeight w:val="427" w:hRule="exact"/>
        </w:trPr>
        <w:tc>
          <w:tcPr>
            <w:tcW w:w="3023"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北京指点互动广告有限公司</w:t>
            </w:r>
          </w:p>
        </w:tc>
        <w:tc>
          <w:tcPr>
            <w:tcW w:w="183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2,000,000.00</w:t>
            </w:r>
          </w:p>
        </w:tc>
        <w:tc>
          <w:tcPr>
            <w:tcW w:w="141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5.78</w:t>
            </w:r>
          </w:p>
        </w:tc>
      </w:tr>
      <w:tr>
        <w:trPr>
          <w:trHeight w:val="428" w:hRule="exact"/>
        </w:trPr>
        <w:tc>
          <w:tcPr>
            <w:tcW w:w="302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34" w:type="dxa"/>
            <w:tcBorders>
              <w:top w:val="single" w:sz="4" w:space="0" w:color="000000"/>
              <w:left w:val="single" w:sz="6" w:space="0" w:color="000000"/>
              <w:bottom w:val="single" w:sz="8" w:space="0" w:color="000000"/>
              <w:right w:val="single" w:sz="6" w:space="0" w:color="000000"/>
            </w:tcBorders>
          </w:tcPr>
          <w:p>
            <w:pPr>
              <w:pStyle w:val="TableParagraph"/>
              <w:spacing w:line="240" w:lineRule="auto" w:before="106"/>
              <w:ind w:left="2" w:right="0"/>
              <w:jc w:val="left"/>
              <w:rPr>
                <w:rFonts w:ascii="Times New Roman" w:hAnsi="Times New Roman" w:cs="Times New Roman" w:eastAsia="Times New Roman" w:hint="default"/>
                <w:sz w:val="18"/>
                <w:szCs w:val="18"/>
              </w:rPr>
            </w:pPr>
            <w:r>
              <w:rPr>
                <w:rFonts w:ascii="Times New Roman"/>
                <w:b/>
                <w:sz w:val="18"/>
              </w:rPr>
              <w:t>22,746,379.47</w:t>
            </w:r>
            <w:r>
              <w:rPr>
                <w:rFonts w:ascii="Times New Roman"/>
                <w:sz w:val="18"/>
              </w:rPr>
            </w:r>
          </w:p>
        </w:tc>
        <w:tc>
          <w:tcPr>
            <w:tcW w:w="1414" w:type="dxa"/>
            <w:tcBorders>
              <w:top w:val="single" w:sz="4" w:space="0" w:color="000000"/>
              <w:left w:val="single" w:sz="6" w:space="0" w:color="000000"/>
              <w:bottom w:val="single" w:sz="8"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 w:right="0"/>
              <w:jc w:val="left"/>
              <w:rPr>
                <w:rFonts w:ascii="Times New Roman" w:hAnsi="Times New Roman" w:cs="Times New Roman" w:eastAsia="Times New Roman" w:hint="default"/>
                <w:sz w:val="18"/>
                <w:szCs w:val="18"/>
              </w:rPr>
            </w:pPr>
            <w:r>
              <w:rPr>
                <w:rFonts w:ascii="Times New Roman"/>
                <w:b/>
                <w:sz w:val="18"/>
              </w:rPr>
              <w:t>65.75</w:t>
            </w:r>
            <w:r>
              <w:rPr>
                <w:rFonts w:ascii="Times New Roman"/>
                <w:sz w:val="18"/>
              </w:rPr>
            </w:r>
          </w:p>
        </w:tc>
      </w:tr>
    </w:tbl>
    <w:p>
      <w:pPr>
        <w:spacing w:line="240" w:lineRule="auto" w:before="2"/>
        <w:rPr>
          <w:rFonts w:ascii="宋体" w:hAnsi="宋体" w:cs="宋体" w:eastAsia="宋体" w:hint="default"/>
          <w:b/>
          <w:bCs/>
          <w:sz w:val="19"/>
          <w:szCs w:val="19"/>
        </w:rPr>
      </w:pPr>
    </w:p>
    <w:p>
      <w:pPr>
        <w:pStyle w:val="Heading7"/>
        <w:spacing w:line="506" w:lineRule="auto" w:before="35"/>
        <w:ind w:right="9242"/>
        <w:jc w:val="left"/>
        <w:rPr>
          <w:b w:val="0"/>
          <w:bCs w:val="0"/>
        </w:rPr>
      </w:pPr>
      <w:bookmarkStart w:name="7、应收利息" w:id="236"/>
      <w:bookmarkEnd w:id="236"/>
      <w:r>
        <w:rPr>
          <w:b w:val="0"/>
          <w:bCs w:val="0"/>
        </w:rPr>
      </w:r>
      <w:r>
        <w:rPr>
          <w:rFonts w:ascii="Times New Roman" w:hAnsi="Times New Roman" w:cs="Times New Roman" w:eastAsia="Times New Roman" w:hint="default"/>
        </w:rPr>
        <w:t>7</w:t>
      </w:r>
      <w:r>
        <w:rPr/>
        <w:t>、应收利息</w:t>
      </w:r>
      <w:r>
        <w:rPr>
          <w:w w:val="99"/>
        </w:rPr>
        <w:t> </w:t>
      </w:r>
      <w:bookmarkStart w:name="(1)应收利息分类" w:id="237"/>
      <w:bookmarkEnd w:id="237"/>
      <w:r>
        <w:rPr>
          <w:w w:val="99"/>
        </w:rPr>
      </w:r>
      <w:r>
        <w:rPr>
          <w:rFonts w:ascii="Times New Roman" w:hAnsi="Times New Roman" w:cs="Times New Roman" w:eastAsia="Times New Roman" w:hint="default"/>
        </w:rPr>
        <w:t>(1)</w:t>
      </w:r>
      <w:r>
        <w:rPr/>
        <w:t>应收利息分类</w:t>
      </w:r>
      <w:r>
        <w:rPr>
          <w:b w:val="0"/>
          <w:bCs w:val="0"/>
        </w:rPr>
      </w:r>
    </w:p>
    <w:p>
      <w:pPr>
        <w:pStyle w:val="BodyText"/>
        <w:spacing w:line="240" w:lineRule="auto" w:before="91"/>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363,425.79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363,425.79</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重要逾期利息" w:id="238"/>
      <w:bookmarkEnd w:id="238"/>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7"/>
        <w:spacing w:line="506" w:lineRule="auto"/>
        <w:ind w:right="9593"/>
        <w:jc w:val="left"/>
        <w:rPr>
          <w:b w:val="0"/>
          <w:bCs w:val="0"/>
        </w:rPr>
      </w:pPr>
      <w:bookmarkStart w:name="8、应收股利" w:id="239"/>
      <w:bookmarkEnd w:id="239"/>
      <w:r>
        <w:rPr>
          <w:b w:val="0"/>
          <w:bCs w:val="0"/>
        </w:rPr>
      </w:r>
      <w:r>
        <w:rPr>
          <w:rFonts w:ascii="Times New Roman" w:hAnsi="Times New Roman" w:cs="Times New Roman" w:eastAsia="Times New Roman" w:hint="default"/>
        </w:rPr>
        <w:t>8</w:t>
      </w:r>
      <w:r>
        <w:rPr/>
        <w:t>、应收股利</w:t>
      </w:r>
      <w:r>
        <w:rPr>
          <w:w w:val="99"/>
        </w:rPr>
        <w:t> </w:t>
      </w:r>
      <w:bookmarkStart w:name="(1)应收股利" w:id="240"/>
      <w:bookmarkEnd w:id="240"/>
      <w:r>
        <w:rPr>
          <w:w w:val="99"/>
        </w:rPr>
      </w:r>
      <w:r>
        <w:rPr>
          <w:rFonts w:ascii="Times New Roman" w:hAnsi="Times New Roman" w:cs="Times New Roman" w:eastAsia="Times New Roman" w:hint="default"/>
        </w:rPr>
        <w:t>(1)</w:t>
      </w:r>
      <w:r>
        <w:rPr/>
        <w:t>应收股利</w:t>
      </w:r>
      <w:r>
        <w:rPr>
          <w:b w:val="0"/>
          <w:bCs w:val="0"/>
        </w:rPr>
      </w:r>
    </w:p>
    <w:p>
      <w:pPr>
        <w:pStyle w:val="BodyText"/>
        <w:spacing w:line="240" w:lineRule="auto" w:before="9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重要的账龄超过1年的应收股利" w:id="241"/>
      <w:bookmarkEnd w:id="241"/>
      <w:r>
        <w:rPr>
          <w:b w:val="0"/>
          <w:bCs w:val="0"/>
        </w:rPr>
      </w:r>
      <w:r>
        <w:rPr>
          <w:rFonts w:ascii="Times New Roman" w:hAnsi="Times New Roman" w:cs="Times New Roman" w:eastAsia="Times New Roman" w:hint="default"/>
        </w:rPr>
        <w:t>(2)</w:t>
      </w:r>
      <w:r>
        <w:rPr/>
        <w:t>重要的账龄超过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7"/>
        <w:spacing w:line="506" w:lineRule="auto"/>
        <w:ind w:right="8610"/>
        <w:jc w:val="left"/>
        <w:rPr>
          <w:b w:val="0"/>
          <w:bCs w:val="0"/>
        </w:rPr>
      </w:pPr>
      <w:bookmarkStart w:name="9、其他应收款" w:id="242"/>
      <w:bookmarkEnd w:id="242"/>
      <w:r>
        <w:rPr>
          <w:b w:val="0"/>
          <w:bCs w:val="0"/>
        </w:rPr>
      </w:r>
      <w:r>
        <w:rPr>
          <w:rFonts w:ascii="Times New Roman" w:hAnsi="Times New Roman" w:cs="Times New Roman" w:eastAsia="Times New Roman" w:hint="default"/>
        </w:rPr>
        <w:t>9</w:t>
      </w:r>
      <w:r>
        <w:rPr/>
        <w:t>、其他应收款</w:t>
      </w:r>
      <w:r>
        <w:rPr>
          <w:w w:val="99"/>
        </w:rPr>
        <w:t> </w:t>
      </w:r>
      <w:bookmarkStart w:name="(1)其他应收款分类披露" w:id="243"/>
      <w:bookmarkEnd w:id="243"/>
      <w:r>
        <w:rPr>
          <w:w w:val="99"/>
        </w:rPr>
      </w:r>
      <w:r>
        <w:rPr>
          <w:rFonts w:ascii="Times New Roman" w:hAnsi="Times New Roman" w:cs="Times New Roman" w:eastAsia="Times New Roman" w:hint="default"/>
        </w:rPr>
        <w:t>(1)</w:t>
      </w:r>
      <w:r>
        <w:rPr/>
        <w:t>其他应收款分类披露</w:t>
      </w:r>
      <w:r>
        <w:rPr>
          <w:b w:val="0"/>
          <w:bCs w:val="0"/>
        </w:rPr>
      </w:r>
    </w:p>
    <w:p>
      <w:pPr>
        <w:pStyle w:val="BodyText"/>
        <w:spacing w:line="240" w:lineRule="auto" w:before="91"/>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5,930,77</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7.56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5,930,77</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7.56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5,930,7</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77.56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5,930,777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115,473,</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895.82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95.11%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6,846,10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8.72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108,627,7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87.10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37,064,</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647.08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86.21%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2,261,150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34,803,496.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35</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121,404,</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673.38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12,776,8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86.28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10.52%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108,627,7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87.10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42,995,</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424.64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8,191,928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19.05%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34,803,496.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35</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240" w:lineRule="auto" w:before="117"/>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按单位</w:t>
            </w:r>
            <w:r>
              <w:rPr>
                <w:rFonts w:ascii="Times New Roman" w:hAnsi="Times New Roman" w:cs="Times New Roman" w:eastAsia="Times New Roman" w:hint="default"/>
                <w:sz w:val="18"/>
                <w:szCs w:val="18"/>
              </w:rPr>
              <w:t>)</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both"/>
              <w:rPr>
                <w:rFonts w:ascii="Times New Roman" w:hAnsi="Times New Roman" w:cs="Times New Roman" w:eastAsia="Times New Roman" w:hint="default"/>
                <w:sz w:val="18"/>
                <w:szCs w:val="18"/>
              </w:rPr>
            </w:pPr>
            <w:r>
              <w:rPr>
                <w:rFonts w:ascii="宋体" w:hAnsi="宋体" w:cs="宋体" w:eastAsia="宋体" w:hint="default"/>
                <w:sz w:val="18"/>
                <w:szCs w:val="18"/>
              </w:rPr>
              <w:t>广州卓游网络科技有限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广州卓 游</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2,697,427.56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2,697,427.56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35"/>
              <w:jc w:val="left"/>
              <w:rPr>
                <w:rFonts w:ascii="宋体" w:hAnsi="宋体" w:cs="宋体" w:eastAsia="宋体" w:hint="default"/>
                <w:sz w:val="18"/>
                <w:szCs w:val="18"/>
              </w:rPr>
            </w:pPr>
            <w:r>
              <w:rPr>
                <w:rFonts w:ascii="宋体" w:hAnsi="宋体" w:cs="宋体" w:eastAsia="宋体" w:hint="default"/>
                <w:sz w:val="18"/>
                <w:szCs w:val="18"/>
              </w:rPr>
              <w:t>该公司业务缩减</w:t>
            </w:r>
            <w:r>
              <w:rPr>
                <w:rFonts w:ascii="Times New Roman" w:hAnsi="Times New Roman" w:cs="Times New Roman" w:eastAsia="Times New Roman" w:hint="default"/>
                <w:sz w:val="18"/>
                <w:szCs w:val="18"/>
              </w:rPr>
              <w:t>,</w:t>
            </w:r>
            <w:r>
              <w:rPr>
                <w:rFonts w:ascii="宋体" w:hAnsi="宋体" w:cs="宋体" w:eastAsia="宋体" w:hint="default"/>
                <w:sz w:val="18"/>
                <w:szCs w:val="18"/>
              </w:rPr>
              <w:t>预计款 项无法收回</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北京创世奇迹广告有限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3,233,350.00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3,233,350.00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该公司业务缩减，预计 款项无法收回</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5,930,777.56</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5,930,777.56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0" w:right="0"/>
        </w:sectPr>
      </w:pPr>
    </w:p>
    <w:p>
      <w:pPr>
        <w:pStyle w:val="BodyText"/>
        <w:spacing w:line="240" w:lineRule="auto" w:before="51"/>
        <w:ind w:left="1134" w:right="-20"/>
        <w:jc w:val="left"/>
      </w:pPr>
      <w:r>
        <w:rPr/>
        <w:t>组合中，按账龄分析法计提坏账准备的其他应收款：</w:t>
      </w:r>
    </w:p>
    <w:p>
      <w:pPr>
        <w:pStyle w:val="BodyText"/>
        <w:spacing w:line="240" w:lineRule="auto" w:before="117"/>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4"/>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98,539,154.03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4,926,957.74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16,505,570.47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1,650,557.05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200,721.73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40,144.34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228,449.59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228,449.59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115,473,895.82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6,846,108.72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13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240" w:lineRule="auto"/>
        <w:ind w:left="1133" w:right="0"/>
        <w:jc w:val="left"/>
        <w:rPr>
          <w:b w:val="0"/>
          <w:bCs w:val="0"/>
        </w:rPr>
      </w:pPr>
      <w:bookmarkStart w:name="(2)本期计提、收回或转回的坏账准备情况" w:id="244"/>
      <w:bookmarkEnd w:id="244"/>
      <w:r>
        <w:rPr>
          <w:b w:val="0"/>
          <w:bCs w:val="0"/>
        </w:rPr>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461"/>
        <w:jc w:val="left"/>
      </w:pPr>
      <w:r>
        <w:rPr/>
        <w:t>本期计提坏账准备金额</w:t>
      </w:r>
      <w:r>
        <w:rPr>
          <w:spacing w:val="-47"/>
        </w:rPr>
        <w:t> </w:t>
      </w:r>
      <w:r>
        <w:rPr>
          <w:rFonts w:ascii="Times New Roman" w:hAnsi="Times New Roman" w:cs="Times New Roman" w:eastAsia="Times New Roman" w:hint="default"/>
        </w:rPr>
        <w:t>4,585,070.55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其中本期坏账准备转回或收回金额重要的：无</w:t>
      </w:r>
    </w:p>
    <w:p>
      <w:pPr>
        <w:spacing w:line="240" w:lineRule="auto" w:before="2"/>
        <w:rPr>
          <w:rFonts w:ascii="宋体" w:hAnsi="宋体" w:cs="宋体" w:eastAsia="宋体" w:hint="default"/>
          <w:sz w:val="21"/>
          <w:szCs w:val="21"/>
        </w:rPr>
      </w:pPr>
    </w:p>
    <w:p>
      <w:pPr>
        <w:pStyle w:val="Heading7"/>
        <w:spacing w:line="240" w:lineRule="auto"/>
        <w:ind w:left="1133" w:right="0"/>
        <w:jc w:val="left"/>
        <w:rPr>
          <w:b w:val="0"/>
          <w:bCs w:val="0"/>
        </w:rPr>
      </w:pPr>
      <w:bookmarkStart w:name="(3)本期实际核销的其他应收款情况" w:id="245"/>
      <w:bookmarkEnd w:id="245"/>
      <w:r>
        <w:rPr>
          <w:b w:val="0"/>
          <w:bCs w:val="0"/>
        </w:rPr>
      </w:r>
      <w:r>
        <w:rPr>
          <w:rFonts w:ascii="Times New Roman" w:hAnsi="Times New Roman" w:cs="Times New Roman" w:eastAsia="Times New Roman" w:hint="default"/>
        </w:rPr>
        <w:t>(3)</w:t>
      </w:r>
      <w:r>
        <w:rPr/>
        <w:t>本期实际核销的其他应收款情况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793"/>
        <w:jc w:val="left"/>
      </w:pPr>
      <w:r>
        <w:rPr/>
        <w:t>其中重要的其他应收款核销情况：无 其他应收款核销说明：无</w:t>
      </w:r>
    </w:p>
    <w:p>
      <w:pPr>
        <w:spacing w:line="240" w:lineRule="auto" w:before="12"/>
        <w:rPr>
          <w:rFonts w:ascii="宋体" w:hAnsi="宋体" w:cs="宋体" w:eastAsia="宋体" w:hint="default"/>
          <w:sz w:val="19"/>
          <w:szCs w:val="19"/>
        </w:rPr>
      </w:pPr>
    </w:p>
    <w:p>
      <w:pPr>
        <w:pStyle w:val="Heading7"/>
        <w:spacing w:line="240" w:lineRule="auto"/>
        <w:ind w:right="0"/>
        <w:jc w:val="left"/>
        <w:rPr>
          <w:b w:val="0"/>
          <w:bCs w:val="0"/>
        </w:rPr>
      </w:pPr>
      <w:bookmarkStart w:name="(4)其他应收款按款项性质分类情况" w:id="246"/>
      <w:bookmarkEnd w:id="246"/>
      <w:r>
        <w:rPr>
          <w:b w:val="0"/>
          <w:bCs w:val="0"/>
        </w:rPr>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93,920,000.00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广告框架押金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14,133,350.00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3,254,640.00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土地补偿款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4,575,000.00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预付分成款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2,697,427.56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2,697,427.56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2,211,330.88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2,412,851.35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1,270,801.15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2,227,938.19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1,235,214.97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394,548.92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362,730.75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324,021.31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1,191,026.41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待退回游戏版权金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642,978.59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773,810.38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b/>
                <w:spacing w:val="-1"/>
                <w:sz w:val="18"/>
              </w:rPr>
              <w:t>121,404,673.38</w:t>
            </w:r>
            <w:r>
              <w:rPr>
                <w:rFonts w:ascii="Times New Roman"/>
                <w:spacing w:val="-1"/>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b/>
                <w:spacing w:val="-1"/>
                <w:sz w:val="18"/>
              </w:rPr>
              <w:t>42,995,424.64</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7"/>
        <w:spacing w:line="240" w:lineRule="auto" w:before="35"/>
        <w:ind w:left="1133" w:right="0"/>
        <w:jc w:val="left"/>
        <w:rPr>
          <w:b w:val="0"/>
          <w:bCs w:val="0"/>
        </w:rPr>
      </w:pPr>
      <w:bookmarkStart w:name="(5)按欠款方归集的期末余额前五名的其他应收款情况" w:id="247"/>
      <w:bookmarkEnd w:id="247"/>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班菁华</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2,295,000.00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秦谦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2,205,000.00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北京思恩客广告有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广告框架押金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345,000.00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苏州土地局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土地补偿款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228,750.00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79"/>
              <w:jc w:val="left"/>
              <w:rPr>
                <w:rFonts w:ascii="宋体" w:hAnsi="宋体" w:cs="宋体" w:eastAsia="宋体" w:hint="default"/>
                <w:sz w:val="18"/>
                <w:szCs w:val="18"/>
              </w:rPr>
            </w:pPr>
            <w:r>
              <w:rPr>
                <w:rFonts w:ascii="宋体" w:hAnsi="宋体" w:cs="宋体" w:eastAsia="宋体" w:hint="default"/>
                <w:sz w:val="18"/>
                <w:szCs w:val="18"/>
              </w:rPr>
              <w:t>华宇宏通</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咨 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广告框架押金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105,475,000.00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5,473,750.00</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6)涉及政府补助的应收款项" w:id="248"/>
      <w:bookmarkEnd w:id="248"/>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7)因金融资产转移而终止确认的其他应收款" w:id="249"/>
      <w:bookmarkEnd w:id="249"/>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8)转移其他应收款且继续涉入形成的资产、负债金额" w:id="250"/>
      <w:bookmarkEnd w:id="250"/>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518" w:lineRule="auto"/>
        <w:ind w:right="9664"/>
        <w:jc w:val="left"/>
        <w:rPr>
          <w:rFonts w:ascii="宋体" w:hAnsi="宋体" w:cs="宋体" w:eastAsia="宋体" w:hint="default"/>
          <w:b w:val="0"/>
          <w:bCs w:val="0"/>
          <w:sz w:val="18"/>
          <w:szCs w:val="18"/>
        </w:rPr>
      </w:pPr>
      <w:bookmarkStart w:name="10、存货" w:id="251"/>
      <w:bookmarkEnd w:id="251"/>
      <w:r>
        <w:rPr>
          <w:b w:val="0"/>
          <w:bCs w:val="0"/>
        </w:rPr>
      </w:r>
      <w:r>
        <w:rPr>
          <w:rFonts w:ascii="Times New Roman" w:hAnsi="Times New Roman" w:cs="Times New Roman" w:eastAsia="Times New Roman" w:hint="default"/>
        </w:rPr>
        <w:t>10</w:t>
      </w:r>
      <w:r>
        <w:rPr/>
        <w:t>、存货</w:t>
      </w:r>
      <w:r>
        <w:rPr>
          <w:w w:val="99"/>
        </w:rPr>
        <w:t> </w:t>
      </w:r>
      <w:bookmarkStart w:name="(1)存货分类" w:id="252"/>
      <w:bookmarkEnd w:id="252"/>
      <w:r>
        <w:rPr>
          <w:w w:val="99"/>
        </w:rPr>
      </w:r>
      <w:r>
        <w:rPr>
          <w:rFonts w:ascii="Times New Roman" w:hAnsi="Times New Roman" w:cs="Times New Roman" w:eastAsia="Times New Roman" w:hint="default"/>
        </w:rPr>
        <w:t>(1)</w:t>
      </w:r>
      <w:r>
        <w:rPr/>
        <w:t>存货分类</w:t>
      </w:r>
      <w:r>
        <w:rPr>
          <w:spacing w:val="1"/>
          <w:w w:val="99"/>
        </w:rPr>
        <w:t> </w:t>
      </w:r>
      <w:r>
        <w:rPr>
          <w:rFonts w:ascii="宋体" w:hAnsi="宋体" w:cs="宋体" w:eastAsia="宋体" w:hint="default"/>
          <w:b w:val="0"/>
          <w:bCs w:val="0"/>
          <w:sz w:val="18"/>
          <w:szCs w:val="18"/>
        </w:rPr>
        <w:t>无</w:t>
      </w:r>
    </w:p>
    <w:p>
      <w:pPr>
        <w:pStyle w:val="Heading7"/>
        <w:spacing w:line="240" w:lineRule="auto" w:before="141"/>
        <w:ind w:right="0"/>
        <w:jc w:val="left"/>
        <w:rPr>
          <w:b w:val="0"/>
          <w:bCs w:val="0"/>
        </w:rPr>
      </w:pPr>
      <w:bookmarkStart w:name="(2)存货跌价准备" w:id="253"/>
      <w:bookmarkEnd w:id="253"/>
      <w:r>
        <w:rPr>
          <w:b w:val="0"/>
          <w:bCs w:val="0"/>
        </w:rPr>
      </w:r>
      <w:r>
        <w:rPr>
          <w:rFonts w:ascii="Times New Roman" w:hAnsi="Times New Roman" w:cs="Times New Roman" w:eastAsia="Times New Roman" w:hint="default"/>
        </w:rPr>
        <w:t>(2)</w:t>
      </w:r>
      <w:r>
        <w:rPr/>
        <w:t>存货跌价准备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3)存货期末余额含有借款费用资本化金额的说明" w:id="254"/>
      <w:bookmarkEnd w:id="254"/>
      <w:r>
        <w:rPr>
          <w:b w:val="0"/>
          <w:bCs w:val="0"/>
        </w:rPr>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4)期末建造合同形成的已完工未结算资产情况" w:id="255"/>
      <w:bookmarkEnd w:id="255"/>
      <w:r>
        <w:rPr>
          <w:b w:val="0"/>
          <w:bCs w:val="0"/>
        </w:rPr>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40" w:lineRule="auto" w:before="35"/>
        <w:ind w:left="1133" w:right="0"/>
        <w:jc w:val="left"/>
        <w:rPr>
          <w:b w:val="0"/>
          <w:bCs w:val="0"/>
        </w:rPr>
      </w:pPr>
      <w:bookmarkStart w:name="11、划分为持有待售的资产" w:id="256"/>
      <w:bookmarkEnd w:id="256"/>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12、一年内到期的非流动资产" w:id="257"/>
      <w:bookmarkEnd w:id="257"/>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将于一年内摊销的长期待摊费用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6,688,636.77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1,037,579.49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6,688,636.77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1,037,579.49</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13、其他流动资产" w:id="258"/>
      <w:bookmarkEnd w:id="258"/>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增值税留抵扣额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1,335,281.06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973,009.98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168,944.11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18,333.56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286,452.47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1,504,225.17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1,277,796.01</w:t>
            </w:r>
          </w:p>
        </w:tc>
      </w:tr>
    </w:tbl>
    <w:p>
      <w:pPr>
        <w:spacing w:line="240" w:lineRule="auto" w:before="3"/>
        <w:rPr>
          <w:rFonts w:ascii="宋体" w:hAnsi="宋体" w:cs="宋体" w:eastAsia="宋体" w:hint="default"/>
          <w:sz w:val="19"/>
          <w:szCs w:val="19"/>
        </w:rPr>
      </w:pPr>
    </w:p>
    <w:p>
      <w:pPr>
        <w:pStyle w:val="Heading7"/>
        <w:spacing w:line="506" w:lineRule="auto" w:before="35"/>
        <w:ind w:left="1133" w:right="8400"/>
        <w:jc w:val="left"/>
        <w:rPr>
          <w:b w:val="0"/>
          <w:bCs w:val="0"/>
        </w:rPr>
      </w:pPr>
      <w:bookmarkStart w:name="14、可供出售金融资产" w:id="259"/>
      <w:bookmarkEnd w:id="259"/>
      <w:r>
        <w:rPr>
          <w:b w:val="0"/>
          <w:bCs w:val="0"/>
        </w:rPr>
      </w:r>
      <w:r>
        <w:rPr>
          <w:rFonts w:ascii="Times New Roman" w:hAnsi="Times New Roman" w:cs="Times New Roman" w:eastAsia="Times New Roman" w:hint="default"/>
        </w:rPr>
        <w:t>14</w:t>
      </w:r>
      <w:r>
        <w:rPr/>
        <w:t>、可供出售金融资产</w:t>
      </w:r>
      <w:r>
        <w:rPr>
          <w:w w:val="99"/>
        </w:rPr>
        <w:t> </w:t>
      </w:r>
      <w:bookmarkStart w:name="(1)可供出售金融资产情况" w:id="260"/>
      <w:bookmarkEnd w:id="260"/>
      <w:r>
        <w:rPr>
          <w:w w:val="99"/>
        </w:rPr>
      </w:r>
      <w:r>
        <w:rPr>
          <w:rFonts w:ascii="Times New Roman" w:hAnsi="Times New Roman" w:cs="Times New Roman" w:eastAsia="Times New Roman" w:hint="default"/>
        </w:rPr>
        <w:t>(1)</w:t>
      </w:r>
      <w:r>
        <w:rPr/>
        <w:t>可供出售金融资产情况</w:t>
      </w:r>
      <w:r>
        <w:rPr>
          <w:b w:val="0"/>
          <w:bCs w:val="0"/>
        </w:rPr>
      </w:r>
    </w:p>
    <w:p>
      <w:pPr>
        <w:pStyle w:val="BodyText"/>
        <w:spacing w:line="240" w:lineRule="auto" w:before="9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193,202,486.70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193,202,486.70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13,200,000.00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181,972,226.70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181,972,226.70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11,230,260.00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11,230,260.00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13,200,000.00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193,202,486.70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193,202,486.70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13,200,000.00</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期末按公允价值计量的可供出售金融资产" w:id="261"/>
      <w:bookmarkEnd w:id="261"/>
      <w:r>
        <w:rPr>
          <w:b w:val="0"/>
          <w:bCs w:val="0"/>
        </w:rPr>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7"/>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5" w:right="0"/>
              <w:jc w:val="left"/>
              <w:rPr>
                <w:rFonts w:ascii="Times New Roman" w:hAnsi="Times New Roman" w:cs="Times New Roman" w:eastAsia="Times New Roman" w:hint="default"/>
                <w:sz w:val="18"/>
                <w:szCs w:val="18"/>
              </w:rPr>
            </w:pPr>
            <w:r>
              <w:rPr>
                <w:rFonts w:ascii="Times New Roman"/>
                <w:sz w:val="18"/>
              </w:rPr>
              <w:t>181,972,226.70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6" w:right="0"/>
              <w:jc w:val="left"/>
              <w:rPr>
                <w:rFonts w:ascii="Times New Roman" w:hAnsi="Times New Roman" w:cs="Times New Roman" w:eastAsia="Times New Roman" w:hint="default"/>
                <w:sz w:val="18"/>
                <w:szCs w:val="18"/>
              </w:rPr>
            </w:pPr>
            <w:r>
              <w:rPr>
                <w:rFonts w:ascii="Times New Roman"/>
                <w:sz w:val="18"/>
              </w:rPr>
              <w:t>181,972,226.70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0" w:right="1132"/>
        <w:jc w:val="right"/>
      </w:pPr>
      <w:r>
        <w:rPr>
          <w:spacing w:val="-3"/>
        </w:rPr>
        <w:t>注：权益工具成本</w:t>
      </w:r>
      <w:r>
        <w:rPr>
          <w:spacing w:val="-61"/>
        </w:rPr>
        <w:t> </w:t>
      </w:r>
      <w:r>
        <w:rPr>
          <w:rFonts w:ascii="宋体" w:hAnsi="宋体" w:cs="宋体" w:eastAsia="宋体" w:hint="default"/>
        </w:rPr>
        <w:t>181,972,226.70</w:t>
      </w:r>
      <w:r>
        <w:rPr>
          <w:rFonts w:ascii="宋体" w:hAnsi="宋体" w:cs="宋体" w:eastAsia="宋体" w:hint="default"/>
          <w:spacing w:val="-61"/>
        </w:rPr>
        <w:t> </w:t>
      </w:r>
      <w:r>
        <w:rPr/>
        <w:t>元系根据《企业会计准则第</w:t>
      </w:r>
      <w:r>
        <w:rPr>
          <w:spacing w:val="-61"/>
        </w:rPr>
        <w:t> </w:t>
      </w:r>
      <w:r>
        <w:rPr>
          <w:rFonts w:ascii="宋体" w:hAnsi="宋体" w:cs="宋体" w:eastAsia="宋体" w:hint="default"/>
        </w:rPr>
        <w:t>2</w:t>
      </w:r>
      <w:r>
        <w:rPr>
          <w:rFonts w:ascii="宋体" w:hAnsi="宋体" w:cs="宋体" w:eastAsia="宋体" w:hint="default"/>
          <w:spacing w:val="-61"/>
        </w:rPr>
        <w:t> </w:t>
      </w:r>
      <w:r>
        <w:rPr/>
        <w:t>号</w:t>
      </w:r>
      <w:r>
        <w:rPr>
          <w:rFonts w:ascii="宋体" w:hAnsi="宋体" w:cs="宋体" w:eastAsia="宋体" w:hint="default"/>
        </w:rPr>
        <w:t>-</w:t>
      </w:r>
      <w:r>
        <w:rPr/>
        <w:t>长期股权投资》第十五条，本公司因处置上海跳跃</w:t>
      </w:r>
    </w:p>
    <w:p>
      <w:pPr>
        <w:pStyle w:val="BodyText"/>
        <w:spacing w:line="367" w:lineRule="auto" w:before="124"/>
        <w:ind w:right="1114"/>
        <w:jc w:val="left"/>
      </w:pPr>
      <w:r>
        <w:rPr>
          <w:rFonts w:ascii="宋体" w:hAnsi="宋体" w:cs="宋体" w:eastAsia="宋体" w:hint="default"/>
        </w:rPr>
        <w:t>10.1%</w:t>
      </w:r>
      <w:r>
        <w:rPr/>
        <w:t>股权投资丧失了对上海跳跃重大影响，处置后的剩余股权应当改按《企业会计准则第</w:t>
      </w:r>
      <w:r>
        <w:rPr>
          <w:spacing w:val="-40"/>
        </w:rPr>
        <w:t> </w:t>
      </w:r>
      <w:r>
        <w:rPr>
          <w:rFonts w:ascii="宋体" w:hAnsi="宋体" w:cs="宋体" w:eastAsia="宋体" w:hint="default"/>
        </w:rPr>
        <w:t>22</w:t>
      </w:r>
      <w:r>
        <w:rPr>
          <w:rFonts w:ascii="宋体" w:hAnsi="宋体" w:cs="宋体" w:eastAsia="宋体" w:hint="default"/>
          <w:spacing w:val="-41"/>
        </w:rPr>
        <w:t> </w:t>
      </w:r>
      <w:r>
        <w:rPr/>
        <w:t>号</w:t>
      </w:r>
      <w:r>
        <w:rPr>
          <w:rFonts w:ascii="宋体" w:hAnsi="宋体" w:cs="宋体" w:eastAsia="宋体" w:hint="default"/>
        </w:rPr>
        <w:t>---</w:t>
      </w:r>
      <w:r>
        <w:rPr/>
        <w:t>金融工具确认和计量》 核算，其在丧失重大影响之日的公允价值与账面价值之间的差额计入当期损益而确认。</w:t>
      </w:r>
    </w:p>
    <w:p>
      <w:pPr>
        <w:spacing w:line="240" w:lineRule="auto" w:before="1"/>
        <w:rPr>
          <w:rFonts w:ascii="宋体" w:hAnsi="宋体" w:cs="宋体" w:eastAsia="宋体" w:hint="default"/>
          <w:sz w:val="18"/>
          <w:szCs w:val="18"/>
        </w:rPr>
      </w:pPr>
    </w:p>
    <w:p>
      <w:pPr>
        <w:pStyle w:val="Heading7"/>
        <w:spacing w:line="240" w:lineRule="auto"/>
        <w:ind w:left="1133" w:right="0"/>
        <w:jc w:val="left"/>
        <w:rPr>
          <w:b w:val="0"/>
          <w:bCs w:val="0"/>
        </w:rPr>
      </w:pPr>
      <w:bookmarkStart w:name="(3)期末按成本计量的可供出售金融资产" w:id="262"/>
      <w:bookmarkEnd w:id="262"/>
      <w:r>
        <w:rPr>
          <w:b w:val="0"/>
          <w:bCs w:val="0"/>
        </w:rPr>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9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48"/>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深圳市前 海鹏德移 动互联网 创业投资 基金</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48"/>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深圳游嘻 宝创业投 资企业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26,005,641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35,205,641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上海侠娱 网络科技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APPCROS</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S</w:t>
            </w:r>
            <w:r>
              <w:rPr>
                <w:rFonts w:ascii="Times New Roman"/>
                <w:spacing w:val="-1"/>
                <w:sz w:val="18"/>
              </w:rPr>
              <w:t> </w:t>
            </w:r>
            <w:r>
              <w:rPr>
                <w:rFonts w:ascii="Times New Roman"/>
                <w:sz w:val="18"/>
              </w:rPr>
              <w:t>CO.,ltd</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1,230,260.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1,230,260.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13,200,000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33,235,901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35,205,641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11,230,260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4)报告期内可供出售金融资产减值的变动情况" w:id="263"/>
      <w:bookmarkEnd w:id="263"/>
      <w:r>
        <w:rPr>
          <w:b w:val="0"/>
          <w:bCs w:val="0"/>
        </w:rPr>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5)可供出售权益工具期末公允价值严重下跌或非暂时性下跌但未计提减值准备的相关说" w:id="264"/>
      <w:bookmarkEnd w:id="264"/>
      <w:r>
        <w:rPr>
          <w:b w:val="0"/>
          <w:bCs w:val="0"/>
        </w:rPr>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518" w:lineRule="auto"/>
        <w:ind w:left="1133" w:right="8611"/>
        <w:jc w:val="left"/>
        <w:rPr>
          <w:rFonts w:ascii="宋体" w:hAnsi="宋体" w:cs="宋体" w:eastAsia="宋体" w:hint="default"/>
          <w:b w:val="0"/>
          <w:bCs w:val="0"/>
          <w:sz w:val="18"/>
          <w:szCs w:val="18"/>
        </w:rPr>
      </w:pPr>
      <w:bookmarkStart w:name="15、持有至到期投资" w:id="265"/>
      <w:bookmarkEnd w:id="265"/>
      <w:r>
        <w:rPr>
          <w:b w:val="0"/>
          <w:bCs w:val="0"/>
        </w:rPr>
      </w:r>
      <w:r>
        <w:rPr>
          <w:rFonts w:ascii="Times New Roman" w:hAnsi="Times New Roman" w:cs="Times New Roman" w:eastAsia="Times New Roman" w:hint="default"/>
        </w:rPr>
        <w:t>15</w:t>
      </w:r>
      <w:r>
        <w:rPr/>
        <w:t>、持有至到期投资</w:t>
      </w:r>
      <w:r>
        <w:rPr>
          <w:w w:val="99"/>
        </w:rPr>
        <w:t> </w:t>
      </w:r>
      <w:bookmarkStart w:name="(1)持有至到期投资情况" w:id="266"/>
      <w:bookmarkEnd w:id="266"/>
      <w:r>
        <w:rPr>
          <w:w w:val="99"/>
        </w:rPr>
      </w:r>
      <w:r>
        <w:rPr>
          <w:rFonts w:ascii="Times New Roman" w:hAnsi="Times New Roman" w:cs="Times New Roman" w:eastAsia="Times New Roman" w:hint="default"/>
        </w:rPr>
        <w:t>(1)</w:t>
      </w:r>
      <w:r>
        <w:rPr/>
        <w:t>持有至到期投资情况</w:t>
      </w:r>
      <w:r>
        <w:rPr>
          <w:w w:val="99"/>
        </w:rPr>
        <w:t> </w:t>
      </w:r>
      <w:r>
        <w:rPr>
          <w:rFonts w:ascii="宋体" w:hAnsi="宋体" w:cs="宋体" w:eastAsia="宋体" w:hint="default"/>
          <w:b w:val="0"/>
          <w:bCs w:val="0"/>
          <w:sz w:val="18"/>
          <w:szCs w:val="18"/>
        </w:rPr>
        <w:t>无</w:t>
      </w:r>
    </w:p>
    <w:p>
      <w:pPr>
        <w:spacing w:after="0" w:line="51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40" w:lineRule="auto" w:before="35"/>
        <w:ind w:left="1133" w:right="0"/>
        <w:jc w:val="left"/>
        <w:rPr>
          <w:b w:val="0"/>
          <w:bCs w:val="0"/>
        </w:rPr>
      </w:pPr>
      <w:bookmarkStart w:name="(2)期末重要的持有至到期投资" w:id="267"/>
      <w:bookmarkEnd w:id="267"/>
      <w:r>
        <w:rPr>
          <w:b w:val="0"/>
          <w:bCs w:val="0"/>
        </w:rPr>
      </w:r>
      <w:r>
        <w:rPr>
          <w:rFonts w:ascii="Times New Roman" w:hAnsi="Times New Roman" w:cs="Times New Roman" w:eastAsia="Times New Roman" w:hint="default"/>
        </w:rPr>
        <w:t>(2)</w:t>
      </w:r>
      <w:r>
        <w:rPr/>
        <w:t>期末重要的持有至到期投资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3)本期重分类的持有至到期投资" w:id="268"/>
      <w:bookmarkEnd w:id="268"/>
      <w:r>
        <w:rPr>
          <w:b w:val="0"/>
          <w:bCs w:val="0"/>
        </w:rPr>
      </w:r>
      <w:r>
        <w:rPr>
          <w:rFonts w:ascii="Times New Roman" w:hAnsi="Times New Roman" w:cs="Times New Roman" w:eastAsia="Times New Roman" w:hint="default"/>
        </w:rPr>
        <w:t>(3)</w:t>
      </w:r>
      <w:r>
        <w:rPr/>
        <w:t>本期重分类的持有至到期投资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518" w:lineRule="auto"/>
        <w:ind w:left="1133" w:right="9032"/>
        <w:jc w:val="left"/>
        <w:rPr>
          <w:rFonts w:ascii="宋体" w:hAnsi="宋体" w:cs="宋体" w:eastAsia="宋体" w:hint="default"/>
          <w:b w:val="0"/>
          <w:bCs w:val="0"/>
          <w:sz w:val="18"/>
          <w:szCs w:val="18"/>
        </w:rPr>
      </w:pPr>
      <w:bookmarkStart w:name="16、长期应收款" w:id="269"/>
      <w:bookmarkEnd w:id="269"/>
      <w:r>
        <w:rPr>
          <w:b w:val="0"/>
          <w:bCs w:val="0"/>
        </w:rPr>
      </w:r>
      <w:r>
        <w:rPr>
          <w:rFonts w:ascii="Times New Roman" w:hAnsi="Times New Roman" w:cs="Times New Roman" w:eastAsia="Times New Roman" w:hint="default"/>
        </w:rPr>
        <w:t>16</w:t>
      </w:r>
      <w:r>
        <w:rPr/>
        <w:t>、长期应收款</w:t>
      </w:r>
      <w:r>
        <w:rPr>
          <w:w w:val="99"/>
        </w:rPr>
        <w:t> </w:t>
      </w:r>
      <w:bookmarkStart w:name="(1)长期应收款情况" w:id="270"/>
      <w:bookmarkEnd w:id="270"/>
      <w:r>
        <w:rPr>
          <w:w w:val="99"/>
        </w:rPr>
      </w:r>
      <w:r>
        <w:rPr>
          <w:rFonts w:ascii="Times New Roman" w:hAnsi="Times New Roman" w:cs="Times New Roman" w:eastAsia="Times New Roman" w:hint="default"/>
        </w:rPr>
        <w:t>(1)</w:t>
      </w:r>
      <w:r>
        <w:rPr/>
        <w:t>长期应收款情况</w:t>
      </w:r>
      <w:r>
        <w:rPr>
          <w:w w:val="99"/>
        </w:rPr>
        <w:t> </w:t>
      </w:r>
      <w:r>
        <w:rPr>
          <w:rFonts w:ascii="宋体" w:hAnsi="宋体" w:cs="宋体" w:eastAsia="宋体" w:hint="default"/>
          <w:b w:val="0"/>
          <w:bCs w:val="0"/>
          <w:sz w:val="18"/>
          <w:szCs w:val="18"/>
        </w:rPr>
        <w:t>无</w:t>
      </w:r>
    </w:p>
    <w:p>
      <w:pPr>
        <w:pStyle w:val="Heading7"/>
        <w:spacing w:line="240" w:lineRule="auto" w:before="142"/>
        <w:ind w:right="0"/>
        <w:jc w:val="left"/>
        <w:rPr>
          <w:b w:val="0"/>
          <w:bCs w:val="0"/>
        </w:rPr>
      </w:pPr>
      <w:bookmarkStart w:name="(2)因金融资产转移而终止确认的长期应收款" w:id="271"/>
      <w:bookmarkEnd w:id="271"/>
      <w:r>
        <w:rPr>
          <w:b w:val="0"/>
          <w:bCs w:val="0"/>
        </w:rPr>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3)转移长期应收款且继续涉入形成的资产、负债金额" w:id="272"/>
      <w:bookmarkEnd w:id="272"/>
      <w:r>
        <w:rPr>
          <w:b w:val="0"/>
          <w:bCs w:val="0"/>
        </w:rPr>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17、长期股权投资" w:id="273"/>
      <w:bookmarkEnd w:id="273"/>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深圳游嘻 宝</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29,587,00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-3,581,35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35,205,64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1.15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29,587,00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-3,581,35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8.85</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35,205,64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1.15</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上海顶势</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269,691.6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-269,691.</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广州卓游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上海跳跃</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25,686,86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5.72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-3,060,00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17,795,85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-2,704,69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-40,418,0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32.67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上海声聚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507,347.5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-1,171,71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775,632.4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贵州国信 通</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-165,051.</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7,834,948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26,463,90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4.86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12,140,00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-3,060,00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16,189,40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-2,704,69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-40,418,0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32.67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8,610,581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26,463,90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4.86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41,727,00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-3,060,00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12,608,04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2.35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-2,704,69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-31,218,0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32.67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43,816,22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2.33</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2533"/>
        <w:jc w:val="left"/>
      </w:pPr>
      <w:r>
        <w:rPr/>
        <w:t>其他说明 本公司转让上海跳跃股权及确认投资收益事项，具体详见十六、</w:t>
      </w:r>
      <w:r>
        <w:rPr>
          <w:rFonts w:ascii="Times New Roman" w:hAnsi="Times New Roman" w:cs="Times New Roman" w:eastAsia="Times New Roman" w:hint="default"/>
        </w:rPr>
        <w:t>8</w:t>
      </w:r>
      <w:r>
        <w:rPr/>
        <w:t>、其他</w:t>
      </w:r>
      <w:r>
        <w:rPr>
          <w:rFonts w:ascii="Times New Roman" w:hAnsi="Times New Roman" w:cs="Times New Roman" w:eastAsia="Times New Roman" w:hint="default"/>
        </w:rPr>
        <w:t>(2)</w:t>
      </w:r>
      <w:r>
        <w:rPr/>
        <w:t>处置上海跳跃部分股权事项。</w:t>
      </w:r>
    </w:p>
    <w:p>
      <w:pPr>
        <w:spacing w:line="240" w:lineRule="auto" w:before="1"/>
        <w:rPr>
          <w:rFonts w:ascii="宋体" w:hAnsi="宋体" w:cs="宋体" w:eastAsia="宋体" w:hint="default"/>
          <w:sz w:val="18"/>
          <w:szCs w:val="18"/>
        </w:rPr>
      </w:pPr>
    </w:p>
    <w:p>
      <w:pPr>
        <w:pStyle w:val="Heading7"/>
        <w:spacing w:line="506" w:lineRule="auto"/>
        <w:ind w:right="7345"/>
        <w:jc w:val="left"/>
        <w:rPr>
          <w:b w:val="0"/>
          <w:bCs w:val="0"/>
        </w:rPr>
      </w:pPr>
      <w:bookmarkStart w:name="18、投资性房地产" w:id="274"/>
      <w:bookmarkEnd w:id="274"/>
      <w:r>
        <w:rPr>
          <w:b w:val="0"/>
          <w:bCs w:val="0"/>
        </w:rPr>
      </w:r>
      <w:r>
        <w:rPr>
          <w:rFonts w:ascii="Times New Roman" w:hAnsi="Times New Roman" w:cs="Times New Roman" w:eastAsia="Times New Roman" w:hint="default"/>
        </w:rPr>
        <w:t>18</w:t>
      </w:r>
      <w:r>
        <w:rPr/>
        <w:t>、投资性房地产</w:t>
      </w:r>
      <w:r>
        <w:rPr>
          <w:w w:val="99"/>
        </w:rPr>
        <w:t> </w:t>
      </w:r>
      <w:bookmarkStart w:name="(1)采用成本计量模式的投资性房地产" w:id="275"/>
      <w:bookmarkEnd w:id="275"/>
      <w:r>
        <w:rPr>
          <w:w w:val="99"/>
        </w:rPr>
      </w:r>
      <w:r>
        <w:rPr>
          <w:rFonts w:ascii="Times New Roman" w:hAnsi="Times New Roman" w:cs="Times New Roman" w:eastAsia="Times New Roman" w:hint="default"/>
        </w:rPr>
        <w:t>(1)</w:t>
      </w:r>
      <w:r>
        <w:rPr/>
        <w:t>采用成本计量模式的投资性房地产</w:t>
      </w:r>
      <w:r>
        <w:rPr>
          <w:b w:val="0"/>
          <w:bCs w:val="0"/>
        </w:rPr>
      </w:r>
    </w:p>
    <w:p>
      <w:pPr>
        <w:pStyle w:val="BodyText"/>
        <w:spacing w:line="240" w:lineRule="auto" w:before="9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240" w:lineRule="auto"/>
        <w:ind w:left="1133" w:right="0"/>
        <w:jc w:val="left"/>
        <w:rPr>
          <w:b w:val="0"/>
          <w:bCs w:val="0"/>
        </w:rPr>
      </w:pPr>
      <w:bookmarkStart w:name="(2)采用公允价值计量模式的投资性房地产" w:id="276"/>
      <w:bookmarkEnd w:id="276"/>
      <w:r>
        <w:rPr>
          <w:b w:val="0"/>
          <w:bCs w:val="0"/>
        </w:rPr>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7"/>
        <w:spacing w:line="240" w:lineRule="auto"/>
        <w:ind w:left="1133" w:right="0"/>
        <w:jc w:val="left"/>
        <w:rPr>
          <w:b w:val="0"/>
          <w:bCs w:val="0"/>
        </w:rPr>
      </w:pPr>
      <w:bookmarkStart w:name="(3)未办妥产权证书的投资性房地产情况" w:id="277"/>
      <w:bookmarkEnd w:id="277"/>
      <w:r>
        <w:rPr>
          <w:b w:val="0"/>
          <w:bCs w:val="0"/>
        </w:rPr>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7"/>
        <w:spacing w:line="506" w:lineRule="auto"/>
        <w:ind w:right="9242"/>
        <w:jc w:val="left"/>
        <w:rPr>
          <w:b w:val="0"/>
          <w:bCs w:val="0"/>
        </w:rPr>
      </w:pPr>
      <w:bookmarkStart w:name="19、固定资产" w:id="278"/>
      <w:bookmarkEnd w:id="278"/>
      <w:r>
        <w:rPr>
          <w:b w:val="0"/>
          <w:bCs w:val="0"/>
        </w:rPr>
      </w:r>
      <w:r>
        <w:rPr>
          <w:rFonts w:ascii="Times New Roman" w:hAnsi="Times New Roman" w:cs="Times New Roman" w:eastAsia="Times New Roman" w:hint="default"/>
        </w:rPr>
        <w:t>19</w:t>
      </w:r>
      <w:r>
        <w:rPr/>
        <w:t>、固定资产</w:t>
      </w:r>
      <w:r>
        <w:rPr>
          <w:w w:val="99"/>
        </w:rPr>
        <w:t> </w:t>
      </w:r>
      <w:bookmarkStart w:name="(1)固定资产情况" w:id="279"/>
      <w:bookmarkEnd w:id="279"/>
      <w:r>
        <w:rPr>
          <w:w w:val="99"/>
        </w:rPr>
      </w:r>
      <w:r>
        <w:rPr>
          <w:rFonts w:ascii="Times New Roman" w:hAnsi="Times New Roman" w:cs="Times New Roman" w:eastAsia="Times New Roman" w:hint="default"/>
        </w:rPr>
        <w:t>(1)</w:t>
      </w:r>
      <w:r>
        <w:rPr/>
        <w:t>固定资产情况</w:t>
      </w:r>
      <w:r>
        <w:rPr>
          <w:b w:val="0"/>
          <w:bCs w:val="0"/>
        </w:rPr>
      </w:r>
    </w:p>
    <w:p>
      <w:pPr>
        <w:pStyle w:val="BodyText"/>
        <w:spacing w:line="240" w:lineRule="auto" w:before="9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电子办公设备</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1"/>
              <w:jc w:val="righ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17,781,884.31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62,291,767.31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4,244,716.43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18,521,063.49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1,721,225.57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104,560,657.11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794,005.89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3"/>
                <w:sz w:val="18"/>
              </w:rPr>
              <w:t>-113,111.50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578,058.73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101,761.52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1,360,714.64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794,005.89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535,084.83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31,623.92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1,360,714.64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r>
              <w:rPr>
                <w:rFonts w:ascii="宋体" w:hAnsi="宋体" w:cs="宋体" w:eastAsia="宋体" w:hint="default"/>
                <w:w w:val="99"/>
                <w:sz w:val="18"/>
                <w:szCs w:val="18"/>
              </w:rPr>
              <w:t> </w:t>
            </w:r>
            <w:r>
              <w:rPr>
                <w:rFonts w:ascii="宋体" w:hAnsi="宋体" w:cs="宋体" w:eastAsia="宋体" w:hint="default"/>
                <w:sz w:val="18"/>
                <w:szCs w:val="18"/>
              </w:rPr>
              <w:t>转入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r>
              <w:rPr>
                <w:rFonts w:ascii="宋体" w:hAnsi="宋体" w:cs="宋体" w:eastAsia="宋体" w:hint="default"/>
                <w:w w:val="99"/>
                <w:sz w:val="18"/>
                <w:szCs w:val="18"/>
              </w:rPr>
              <w:t> </w:t>
            </w:r>
            <w:r>
              <w:rPr>
                <w:rFonts w:ascii="宋体" w:hAnsi="宋体" w:cs="宋体" w:eastAsia="宋体" w:hint="default"/>
                <w:sz w:val="18"/>
                <w:szCs w:val="18"/>
              </w:rPr>
              <w:t>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89"/>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(4)</w:t>
            </w:r>
            <w:r>
              <w:rPr>
                <w:rFonts w:ascii="宋体" w:hAnsi="宋体" w:cs="宋体" w:eastAsia="宋体" w:hint="default"/>
                <w:w w:val="95"/>
                <w:sz w:val="18"/>
                <w:szCs w:val="18"/>
              </w:rPr>
              <w:t>其他</w:t>
            </w:r>
            <w:r>
              <w:rPr>
                <w:rFonts w:ascii="宋体" w:hAnsi="宋体" w:cs="宋体" w:eastAsia="宋体" w:hint="default"/>
                <w:sz w:val="18"/>
                <w:szCs w:val="18"/>
              </w:rPr>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-113,111.50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42,973.90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70,137.60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13,867,440.64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21,755,603.33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2,785,181.84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135,835.00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38,544,060.81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13,867,440.64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21,755,603.33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2,785,181.84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135,835.00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38,544,060.81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3,914,443.67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41,330,169.87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4,131,604.93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16,313,940.38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1,687,152.09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67,377,310.94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868,215.12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35,915,376.53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2,996,716.13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9,662,363.33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1,372,158.82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50,814,829.93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404,225.40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6,703,624.77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331,805.26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3,064,845.91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83,972.72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10,588,474.06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404,225.40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6,703,624.77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331,805.26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3,064,845.91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83,972.72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10,588,474.06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216,332.04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19,209,102.19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2,527,814.82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83,437.44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22,036,686.49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216,332.04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19,209,102.19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2,527,814.82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83,437.44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22,036,686.49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1,056,108.48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23,409,899.11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3,328,521.39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10,199,394.42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1,372,694.10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39,366,617.50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3,139,318.67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3,139,318.67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160,902.83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160,902.83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160,902.83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160,902.83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2,350,846.65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2,350,846.65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2,350,846.65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2,350,846.65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949,374.85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949,374.85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2,858,335.19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16,970,895.91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803,083.54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6,114,545.96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314,457.99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27,061,318.59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16,913,669.19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23,237,072.11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1,248,000.30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8,858,700.16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349,066.75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50,606,508.51</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暂时闲置的固定资产情况" w:id="280"/>
      <w:bookmarkEnd w:id="280"/>
      <w:r>
        <w:rPr>
          <w:b w:val="0"/>
          <w:bCs w:val="0"/>
        </w:rPr>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9" w:right="0"/>
              <w:jc w:val="left"/>
              <w:rPr>
                <w:rFonts w:ascii="Times New Roman" w:hAnsi="Times New Roman" w:cs="Times New Roman" w:eastAsia="Times New Roman" w:hint="default"/>
                <w:sz w:val="18"/>
                <w:szCs w:val="18"/>
              </w:rPr>
            </w:pPr>
            <w:r>
              <w:rPr>
                <w:rFonts w:ascii="Times New Roman"/>
                <w:sz w:val="18"/>
              </w:rPr>
              <w:t>15,149,891.92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10,553,450.04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949,374.85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3,647,067.03</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7"/>
        <w:spacing w:line="240" w:lineRule="auto" w:before="35"/>
        <w:ind w:right="0"/>
        <w:jc w:val="left"/>
        <w:rPr>
          <w:b w:val="0"/>
          <w:bCs w:val="0"/>
        </w:rPr>
      </w:pPr>
      <w:bookmarkStart w:name="(3)通过融资租赁租入的固定资产情况" w:id="281"/>
      <w:bookmarkEnd w:id="281"/>
      <w:r>
        <w:rPr>
          <w:b w:val="0"/>
          <w:bCs w:val="0"/>
        </w:rPr>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40" w:lineRule="auto" w:before="35"/>
        <w:ind w:left="1133" w:right="0"/>
        <w:jc w:val="left"/>
        <w:rPr>
          <w:b w:val="0"/>
          <w:bCs w:val="0"/>
        </w:rPr>
      </w:pPr>
      <w:bookmarkStart w:name="(4)通过经营租赁租出的固定资产" w:id="282"/>
      <w:bookmarkEnd w:id="282"/>
      <w:r>
        <w:rPr>
          <w:b w:val="0"/>
          <w:bCs w:val="0"/>
        </w:rPr>
      </w:r>
      <w:r>
        <w:rPr>
          <w:rFonts w:ascii="Times New Roman" w:hAnsi="Times New Roman" w:cs="Times New Roman" w:eastAsia="Times New Roman" w:hint="default"/>
        </w:rPr>
        <w:t>(4)</w:t>
      </w:r>
      <w:r>
        <w:rPr/>
        <w:t>通过经营租赁租出的固定资产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5)未办妥产权证书的固定资产情况" w:id="283"/>
      <w:bookmarkEnd w:id="283"/>
      <w:r>
        <w:rPr>
          <w:b w:val="0"/>
          <w:bCs w:val="0"/>
        </w:rPr>
      </w:r>
      <w:r>
        <w:rPr>
          <w:rFonts w:ascii="Times New Roman" w:hAnsi="Times New Roman" w:cs="Times New Roman" w:eastAsia="Times New Roman" w:hint="default"/>
        </w:rPr>
        <w:t>(5)</w:t>
      </w:r>
      <w:r>
        <w:rPr/>
        <w:t>未办妥产权证书的固定资产情况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1,487,606.84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处房产，全部系深圳人才安居房， 无房屋产权证</w:t>
            </w:r>
          </w:p>
        </w:tc>
      </w:tr>
    </w:tbl>
    <w:p>
      <w:pPr>
        <w:spacing w:line="240" w:lineRule="auto" w:before="2"/>
        <w:rPr>
          <w:rFonts w:ascii="宋体" w:hAnsi="宋体" w:cs="宋体" w:eastAsia="宋体" w:hint="default"/>
          <w:sz w:val="19"/>
          <w:szCs w:val="19"/>
        </w:rPr>
      </w:pPr>
    </w:p>
    <w:p>
      <w:pPr>
        <w:pStyle w:val="Heading7"/>
        <w:spacing w:line="516" w:lineRule="auto" w:before="35"/>
        <w:ind w:right="9242"/>
        <w:jc w:val="left"/>
        <w:rPr>
          <w:rFonts w:ascii="宋体" w:hAnsi="宋体" w:cs="宋体" w:eastAsia="宋体" w:hint="default"/>
          <w:b w:val="0"/>
          <w:bCs w:val="0"/>
          <w:sz w:val="18"/>
          <w:szCs w:val="18"/>
        </w:rPr>
      </w:pPr>
      <w:bookmarkStart w:name="20、在建工程" w:id="284"/>
      <w:bookmarkEnd w:id="284"/>
      <w:r>
        <w:rPr>
          <w:b w:val="0"/>
          <w:bCs w:val="0"/>
        </w:rPr>
      </w:r>
      <w:r>
        <w:rPr>
          <w:rFonts w:ascii="Times New Roman" w:hAnsi="Times New Roman" w:cs="Times New Roman" w:eastAsia="Times New Roman" w:hint="default"/>
        </w:rPr>
        <w:t>20</w:t>
      </w:r>
      <w:r>
        <w:rPr/>
        <w:t>、在建工程</w:t>
      </w:r>
      <w:r>
        <w:rPr>
          <w:w w:val="99"/>
        </w:rPr>
        <w:t> </w:t>
      </w:r>
      <w:bookmarkStart w:name="(1)在建工程情况" w:id="285"/>
      <w:bookmarkEnd w:id="285"/>
      <w:r>
        <w:rPr>
          <w:w w:val="99"/>
        </w:rPr>
      </w:r>
      <w:r>
        <w:rPr>
          <w:rFonts w:ascii="Times New Roman" w:hAnsi="Times New Roman" w:cs="Times New Roman" w:eastAsia="Times New Roman" w:hint="default"/>
        </w:rPr>
        <w:t>(1)</w:t>
      </w:r>
      <w:r>
        <w:rPr/>
        <w:t>在建工程情况</w:t>
      </w:r>
      <w:r>
        <w:rPr>
          <w:w w:val="99"/>
        </w:rPr>
        <w:t> </w:t>
      </w:r>
      <w:r>
        <w:rPr>
          <w:rFonts w:ascii="宋体" w:hAnsi="宋体" w:cs="宋体" w:eastAsia="宋体" w:hint="default"/>
          <w:b w:val="0"/>
          <w:bCs w:val="0"/>
          <w:sz w:val="18"/>
          <w:szCs w:val="18"/>
        </w:rPr>
        <w:t>无</w:t>
      </w:r>
    </w:p>
    <w:p>
      <w:pPr>
        <w:pStyle w:val="Heading7"/>
        <w:spacing w:line="240" w:lineRule="auto" w:before="143"/>
        <w:ind w:right="0"/>
        <w:jc w:val="left"/>
        <w:rPr>
          <w:b w:val="0"/>
          <w:bCs w:val="0"/>
        </w:rPr>
      </w:pPr>
      <w:bookmarkStart w:name="(2)重要在建工程项目本期变动情况" w:id="286"/>
      <w:bookmarkEnd w:id="286"/>
      <w:r>
        <w:rPr>
          <w:b w:val="0"/>
          <w:bCs w:val="0"/>
        </w:rPr>
      </w:r>
      <w:r>
        <w:rPr>
          <w:rFonts w:ascii="Times New Roman" w:hAnsi="Times New Roman" w:cs="Times New Roman" w:eastAsia="Times New Roman" w:hint="default"/>
        </w:rPr>
        <w:t>(2)</w:t>
      </w:r>
      <w:r>
        <w:rPr/>
        <w:t>重要在建工程项目本期变动情况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3)本期计提在建工程减值准备情况" w:id="287"/>
      <w:bookmarkEnd w:id="287"/>
      <w:r>
        <w:rPr>
          <w:b w:val="0"/>
          <w:bCs w:val="0"/>
        </w:rPr>
      </w:r>
      <w:r>
        <w:rPr>
          <w:rFonts w:ascii="Times New Roman" w:hAnsi="Times New Roman" w:cs="Times New Roman" w:eastAsia="Times New Roman" w:hint="default"/>
        </w:rPr>
        <w:t>(3)</w:t>
      </w:r>
      <w:r>
        <w:rPr/>
        <w:t>本期计提在建工程减值准备情况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21、工程物资" w:id="288"/>
      <w:bookmarkEnd w:id="288"/>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22、固定资产清理" w:id="289"/>
      <w:bookmarkEnd w:id="289"/>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1"/>
        <w:rPr>
          <w:rFonts w:ascii="宋体" w:hAnsi="宋体" w:cs="宋体" w:eastAsia="宋体" w:hint="default"/>
          <w:sz w:val="26"/>
          <w:szCs w:val="26"/>
        </w:rPr>
      </w:pPr>
    </w:p>
    <w:p>
      <w:pPr>
        <w:pStyle w:val="Heading7"/>
        <w:spacing w:line="506" w:lineRule="auto"/>
        <w:ind w:left="1133" w:right="7135"/>
        <w:jc w:val="left"/>
        <w:rPr>
          <w:b w:val="0"/>
          <w:bCs w:val="0"/>
        </w:rPr>
      </w:pPr>
      <w:bookmarkStart w:name="23、生产性生物资产" w:id="290"/>
      <w:bookmarkEnd w:id="290"/>
      <w:r>
        <w:rPr>
          <w:b w:val="0"/>
          <w:bCs w:val="0"/>
        </w:rPr>
      </w:r>
      <w:r>
        <w:rPr>
          <w:rFonts w:ascii="Times New Roman" w:hAnsi="Times New Roman" w:cs="Times New Roman" w:eastAsia="Times New Roman" w:hint="default"/>
        </w:rPr>
        <w:t>23</w:t>
      </w:r>
      <w:r>
        <w:rPr/>
        <w:t>、生产性生物资产</w:t>
      </w:r>
      <w:r>
        <w:rPr>
          <w:w w:val="99"/>
        </w:rPr>
        <w:t> </w:t>
      </w:r>
      <w:bookmarkStart w:name="(1)采用成本计量模式的生产性生物资产" w:id="291"/>
      <w:bookmarkEnd w:id="291"/>
      <w:r>
        <w:rPr>
          <w:w w:val="99"/>
        </w:rPr>
      </w:r>
      <w:r>
        <w:rPr>
          <w:rFonts w:ascii="Times New Roman" w:hAnsi="Times New Roman" w:cs="Times New Roman" w:eastAsia="Times New Roman" w:hint="default"/>
        </w:rPr>
        <w:t>(1)</w:t>
      </w:r>
      <w:r>
        <w:rPr/>
        <w:t>采用成本计量模式的生产性生物资产</w:t>
      </w:r>
      <w:r>
        <w:rPr>
          <w:b w:val="0"/>
          <w:bCs w:val="0"/>
        </w:rPr>
      </w:r>
    </w:p>
    <w:p>
      <w:pPr>
        <w:pStyle w:val="BodyText"/>
        <w:spacing w:line="240" w:lineRule="auto" w:before="9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7"/>
        <w:spacing w:line="240" w:lineRule="auto"/>
        <w:ind w:left="1133" w:right="0"/>
        <w:jc w:val="left"/>
        <w:rPr>
          <w:b w:val="0"/>
          <w:bCs w:val="0"/>
        </w:rPr>
      </w:pPr>
      <w:bookmarkStart w:name="(2)采用公允价值计量模式的生产性生物资产" w:id="292"/>
      <w:bookmarkEnd w:id="292"/>
      <w:r>
        <w:rPr>
          <w:b w:val="0"/>
          <w:bCs w:val="0"/>
        </w:rPr>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40" w:lineRule="auto" w:before="35"/>
        <w:ind w:left="1133" w:right="0"/>
        <w:jc w:val="left"/>
        <w:rPr>
          <w:b w:val="0"/>
          <w:bCs w:val="0"/>
        </w:rPr>
      </w:pPr>
      <w:bookmarkStart w:name="24、油气资产" w:id="293"/>
      <w:bookmarkEnd w:id="293"/>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506" w:lineRule="auto"/>
        <w:ind w:right="9242"/>
        <w:jc w:val="left"/>
        <w:rPr>
          <w:b w:val="0"/>
          <w:bCs w:val="0"/>
        </w:rPr>
      </w:pPr>
      <w:bookmarkStart w:name="25、无形资产" w:id="294"/>
      <w:bookmarkEnd w:id="294"/>
      <w:r>
        <w:rPr>
          <w:b w:val="0"/>
          <w:bCs w:val="0"/>
        </w:rPr>
      </w:r>
      <w:r>
        <w:rPr>
          <w:rFonts w:ascii="Times New Roman" w:hAnsi="Times New Roman" w:cs="Times New Roman" w:eastAsia="Times New Roman" w:hint="default"/>
        </w:rPr>
        <w:t>25</w:t>
      </w:r>
      <w:r>
        <w:rPr/>
        <w:t>、无形资产</w:t>
      </w:r>
      <w:r>
        <w:rPr>
          <w:w w:val="99"/>
        </w:rPr>
        <w:t> </w:t>
      </w:r>
      <w:bookmarkStart w:name="(1)无形资产情况" w:id="295"/>
      <w:bookmarkEnd w:id="295"/>
      <w:r>
        <w:rPr>
          <w:w w:val="99"/>
        </w:rPr>
      </w:r>
      <w:r>
        <w:rPr>
          <w:rFonts w:ascii="Times New Roman" w:hAnsi="Times New Roman" w:cs="Times New Roman" w:eastAsia="Times New Roman" w:hint="default"/>
        </w:rPr>
        <w:t>(1)</w:t>
      </w:r>
      <w:r>
        <w:rPr/>
        <w:t>无形资产情况</w:t>
      </w:r>
      <w:r>
        <w:rPr>
          <w:b w:val="0"/>
          <w:bCs w:val="0"/>
        </w:rPr>
      </w:r>
    </w:p>
    <w:p>
      <w:pPr>
        <w:pStyle w:val="BodyText"/>
        <w:spacing w:line="240" w:lineRule="auto" w:before="9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935"/>
        <w:gridCol w:w="968"/>
        <w:gridCol w:w="958"/>
        <w:gridCol w:w="957"/>
        <w:gridCol w:w="958"/>
        <w:gridCol w:w="956"/>
        <w:gridCol w:w="958"/>
        <w:gridCol w:w="957"/>
        <w:gridCol w:w="958"/>
        <w:gridCol w:w="956"/>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957"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958"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系统软件</w:t>
            </w:r>
          </w:p>
        </w:tc>
        <w:tc>
          <w:tcPr>
            <w:tcW w:w="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开发工具</w:t>
            </w:r>
          </w:p>
        </w:tc>
        <w:tc>
          <w:tcPr>
            <w:tcW w:w="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游戏产品</w:t>
            </w:r>
          </w:p>
        </w:tc>
        <w:tc>
          <w:tcPr>
            <w:tcW w:w="9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运营工具</w:t>
            </w:r>
          </w:p>
        </w:tc>
        <w:tc>
          <w:tcPr>
            <w:tcW w:w="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一、账面原 值</w:t>
            </w:r>
          </w:p>
        </w:tc>
        <w:tc>
          <w:tcPr>
            <w:tcW w:w="968" w:type="dxa"/>
            <w:tcBorders>
              <w:top w:val="single" w:sz="4" w:space="0" w:color="000000"/>
              <w:left w:val="single" w:sz="13" w:space="0" w:color="D2D2D2"/>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968" w:type="dxa"/>
            <w:tcBorders>
              <w:top w:val="single" w:sz="4" w:space="0" w:color="000000"/>
              <w:left w:val="single" w:sz="13" w:space="0" w:color="D2D2D2"/>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3,149,418.8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32,329,605.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304,724,008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26,420,585.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2,413,738.5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369,037,357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968" w:type="dxa"/>
            <w:tcBorders>
              <w:top w:val="single" w:sz="4" w:space="0" w:color="000000"/>
              <w:left w:val="single" w:sz="13" w:space="0" w:color="D2D2D2"/>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79,799,211.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235,428.86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96,153.85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80,130,794.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5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65"/>
              <w:ind w:left="11"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968" w:type="dxa"/>
            <w:tcBorders>
              <w:top w:val="single" w:sz="4" w:space="0" w:color="000000"/>
              <w:left w:val="single" w:sz="13" w:space="0" w:color="D2D2D2"/>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96,153.85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center"/>
              <w:rPr>
                <w:rFonts w:ascii="Times New Roman" w:hAnsi="Times New Roman" w:cs="Times New Roman" w:eastAsia="Times New Roman" w:hint="default"/>
                <w:sz w:val="18"/>
                <w:szCs w:val="18"/>
              </w:rPr>
            </w:pPr>
            <w:r>
              <w:rPr>
                <w:rFonts w:ascii="Times New Roman"/>
                <w:sz w:val="18"/>
              </w:rPr>
              <w:t>96,153.85</w:t>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51"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65"/>
              <w:ind w:left="11" w:right="0"/>
              <w:jc w:val="left"/>
              <w:rPr>
                <w:rFonts w:ascii="宋体" w:hAnsi="宋体" w:cs="宋体" w:eastAsia="宋体" w:hint="default"/>
                <w:sz w:val="18"/>
                <w:szCs w:val="18"/>
              </w:rPr>
            </w:pPr>
            <w:r>
              <w:rPr>
                <w:rFonts w:ascii="宋体" w:hAnsi="宋体" w:cs="宋体" w:eastAsia="宋体" w:hint="default"/>
                <w:sz w:val="18"/>
                <w:szCs w:val="18"/>
              </w:rPr>
              <w:t>内部研发</w:t>
            </w:r>
          </w:p>
        </w:tc>
        <w:tc>
          <w:tcPr>
            <w:tcW w:w="968" w:type="dxa"/>
            <w:tcBorders>
              <w:top w:val="single" w:sz="4" w:space="0" w:color="000000"/>
              <w:left w:val="single" w:sz="13" w:space="0" w:color="D2D2D2"/>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79,799,211.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235,428.86</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80,034,640.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r>
      <w:tr>
        <w:trPr>
          <w:trHeight w:val="1026"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51"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319" w:lineRule="auto" w:before="64"/>
              <w:ind w:left="11" w:right="11"/>
              <w:jc w:val="left"/>
              <w:rPr>
                <w:rFonts w:ascii="宋体" w:hAnsi="宋体" w:cs="宋体" w:eastAsia="宋体" w:hint="default"/>
                <w:sz w:val="18"/>
                <w:szCs w:val="18"/>
              </w:rPr>
            </w:pPr>
            <w:r>
              <w:rPr>
                <w:rFonts w:ascii="宋体" w:hAnsi="宋体" w:cs="宋体" w:eastAsia="宋体" w:hint="default"/>
                <w:sz w:val="18"/>
                <w:szCs w:val="18"/>
              </w:rPr>
              <w:t>企业合并增 加</w:t>
            </w:r>
          </w:p>
        </w:tc>
        <w:tc>
          <w:tcPr>
            <w:tcW w:w="968" w:type="dxa"/>
            <w:tcBorders>
              <w:top w:val="single" w:sz="4" w:space="0" w:color="000000"/>
              <w:left w:val="single" w:sz="13" w:space="0" w:color="D2D2D2"/>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968" w:type="dxa"/>
            <w:tcBorders>
              <w:top w:val="single" w:sz="4" w:space="0" w:color="000000"/>
              <w:left w:val="single" w:sz="13" w:space="0" w:color="D2D2D2"/>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47,311,932.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94</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47,311,932.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w:t>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5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65"/>
              <w:ind w:left="11"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968" w:type="dxa"/>
            <w:tcBorders>
              <w:top w:val="single" w:sz="4" w:space="0" w:color="000000"/>
              <w:left w:val="single" w:sz="13" w:space="0" w:color="D2D2D2"/>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47,311,932.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94</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47,311,932.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w:t>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968" w:type="dxa"/>
            <w:tcBorders>
              <w:top w:val="single" w:sz="4" w:space="0" w:color="000000"/>
              <w:left w:val="single" w:sz="13" w:space="0" w:color="D2D2D2"/>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3,149,418.8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32,329,605.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337,211,287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26,656,014.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2,509,892.4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401,856,218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二、累计摊 销</w:t>
            </w:r>
          </w:p>
        </w:tc>
        <w:tc>
          <w:tcPr>
            <w:tcW w:w="968" w:type="dxa"/>
            <w:tcBorders>
              <w:top w:val="single" w:sz="4" w:space="0" w:color="000000"/>
              <w:left w:val="single" w:sz="13" w:space="0" w:color="D2D2D2"/>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968" w:type="dxa"/>
            <w:tcBorders>
              <w:top w:val="single" w:sz="4" w:space="0" w:color="000000"/>
              <w:left w:val="single" w:sz="13" w:space="0" w:color="D2D2D2"/>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2,821,004.7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17,220,317.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151,129,516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5,808,124.1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1,243,037.4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178,222,000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w:t>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968" w:type="dxa"/>
            <w:tcBorders>
              <w:top w:val="single" w:sz="4" w:space="0" w:color="000000"/>
              <w:left w:val="single" w:sz="13" w:space="0" w:color="D2D2D2"/>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256,702.81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6,371,179.0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47,791,037.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5,216,431.9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431,418.69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60,066,770.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r>
      <w:tr>
        <w:trPr>
          <w:trHeight w:val="713"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51"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65"/>
              <w:ind w:left="11"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968" w:type="dxa"/>
            <w:tcBorders>
              <w:top w:val="single" w:sz="4" w:space="0" w:color="000000"/>
              <w:left w:val="single" w:sz="13" w:space="0" w:color="D2D2D2"/>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256,702.81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6,371,179.0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47,791,037.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5,216,431.9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431,418.69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60,066,770.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968" w:type="dxa"/>
            <w:tcBorders>
              <w:top w:val="single" w:sz="4" w:space="0" w:color="000000"/>
              <w:left w:val="single" w:sz="13" w:space="0" w:color="D2D2D2"/>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17,137,550.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06</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17,137,550.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w:t>
            </w:r>
          </w:p>
        </w:tc>
      </w:tr>
      <w:tr>
        <w:trPr>
          <w:trHeight w:val="403"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1"/>
              <w:ind w:left="551" w:right="0"/>
              <w:jc w:val="left"/>
              <w:rPr>
                <w:rFonts w:ascii="Times New Roman" w:hAnsi="Times New Roman" w:cs="Times New Roman" w:eastAsia="Times New Roman" w:hint="default"/>
                <w:sz w:val="18"/>
                <w:szCs w:val="18"/>
              </w:rPr>
            </w:pPr>
            <w:r>
              <w:rPr>
                <w:rFonts w:ascii="Times New Roman"/>
                <w:sz w:val="18"/>
              </w:rPr>
              <w:t>(1)</w:t>
            </w:r>
          </w:p>
        </w:tc>
        <w:tc>
          <w:tcPr>
            <w:tcW w:w="968" w:type="dxa"/>
            <w:tcBorders>
              <w:top w:val="single" w:sz="4" w:space="0" w:color="000000"/>
              <w:left w:val="single" w:sz="13" w:space="0" w:color="D2D2D2"/>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9" w:right="0"/>
              <w:jc w:val="left"/>
              <w:rPr>
                <w:rFonts w:ascii="Times New Roman" w:hAnsi="Times New Roman" w:cs="Times New Roman" w:eastAsia="Times New Roman" w:hint="default"/>
                <w:sz w:val="18"/>
                <w:szCs w:val="18"/>
              </w:rPr>
            </w:pPr>
            <w:r>
              <w:rPr>
                <w:rFonts w:ascii="Times New Roman"/>
                <w:sz w:val="18"/>
              </w:rPr>
              <w:t>17,137,550.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center"/>
              <w:rPr>
                <w:rFonts w:ascii="Times New Roman" w:hAnsi="Times New Roman" w:cs="Times New Roman" w:eastAsia="Times New Roman" w:hint="default"/>
                <w:sz w:val="18"/>
                <w:szCs w:val="18"/>
              </w:rPr>
            </w:pPr>
            <w:r>
              <w:rPr>
                <w:rFonts w:ascii="Times New Roman"/>
                <w:sz w:val="18"/>
              </w:rPr>
              <w:t>17,137,550.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957"/>
        <w:gridCol w:w="957"/>
        <w:gridCol w:w="958"/>
        <w:gridCol w:w="957"/>
        <w:gridCol w:w="958"/>
        <w:gridCol w:w="956"/>
        <w:gridCol w:w="958"/>
        <w:gridCol w:w="957"/>
        <w:gridCol w:w="958"/>
        <w:gridCol w:w="956"/>
      </w:tblGrid>
      <w:tr>
        <w:trPr>
          <w:trHeight w:val="362"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06</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06</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3,077,707.5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23,591,496.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181,783,004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11,024,556.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1,674,456.1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221,151,220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三、减值准 备</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57,659,480.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57,659,480.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62</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19,573,488.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58</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19,573,488.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63"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19,573,488.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58</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19,573,488.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77,232,969.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77,232,969.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四、账面价 值</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71,711.29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8,738,109.1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78,195,314.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15,631,458.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835,436.28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103,472,029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328,414.10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15,109,288.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95,935,011.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20,612,461.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1,170,701.1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133,155,876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r>
    </w:tbl>
    <w:p>
      <w:pPr>
        <w:pStyle w:val="BodyText"/>
        <w:spacing w:line="240" w:lineRule="auto" w:before="51"/>
        <w:ind w:left="113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19.92%</w:t>
      </w:r>
      <w:r>
        <w:rPr/>
        <w:t>。</w:t>
      </w:r>
    </w:p>
    <w:p>
      <w:pPr>
        <w:spacing w:line="240" w:lineRule="auto" w:before="10"/>
        <w:rPr>
          <w:rFonts w:ascii="宋体" w:hAnsi="宋体" w:cs="宋体" w:eastAsia="宋体" w:hint="default"/>
          <w:sz w:val="25"/>
          <w:szCs w:val="25"/>
        </w:rPr>
      </w:pPr>
    </w:p>
    <w:p>
      <w:pPr>
        <w:pStyle w:val="Heading7"/>
        <w:spacing w:line="240" w:lineRule="auto"/>
        <w:ind w:left="1133" w:right="0"/>
        <w:jc w:val="left"/>
        <w:rPr>
          <w:b w:val="0"/>
          <w:bCs w:val="0"/>
        </w:rPr>
      </w:pPr>
      <w:bookmarkStart w:name="(2)未办妥产权证书的土地使用权情况" w:id="296"/>
      <w:bookmarkEnd w:id="296"/>
      <w:r>
        <w:rPr>
          <w:b w:val="0"/>
          <w:bCs w:val="0"/>
        </w:rPr>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9852"/>
        <w:jc w:val="left"/>
      </w:pPr>
      <w:r>
        <w:rPr/>
        <w:t>无 其他说明：</w:t>
      </w:r>
    </w:p>
    <w:p>
      <w:pPr>
        <w:spacing w:line="240" w:lineRule="auto" w:before="3"/>
        <w:rPr>
          <w:rFonts w:ascii="宋体" w:hAnsi="宋体" w:cs="宋体" w:eastAsia="宋体" w:hint="default"/>
          <w:sz w:val="17"/>
          <w:szCs w:val="17"/>
        </w:rPr>
      </w:pPr>
    </w:p>
    <w:p>
      <w:pPr>
        <w:pStyle w:val="BodyText"/>
        <w:spacing w:line="240" w:lineRule="auto"/>
        <w:ind w:right="0"/>
        <w:jc w:val="left"/>
      </w:pPr>
      <w:r>
        <w:rPr/>
        <w:t>年末无形资产前五名游戏情况：</w:t>
      </w:r>
    </w:p>
    <w:p>
      <w:pPr>
        <w:spacing w:line="240" w:lineRule="auto" w:before="0"/>
        <w:rPr>
          <w:rFonts w:ascii="宋体" w:hAnsi="宋体" w:cs="宋体" w:eastAsia="宋体" w:hint="default"/>
          <w:sz w:val="5"/>
          <w:szCs w:val="5"/>
        </w:rPr>
      </w:pPr>
    </w:p>
    <w:tbl>
      <w:tblPr>
        <w:tblW w:w="0" w:type="auto"/>
        <w:jc w:val="left"/>
        <w:tblInd w:w="1021" w:type="dxa"/>
        <w:tblLayout w:type="fixed"/>
        <w:tblCellMar>
          <w:top w:w="0" w:type="dxa"/>
          <w:left w:w="0" w:type="dxa"/>
          <w:bottom w:w="0" w:type="dxa"/>
          <w:right w:w="0" w:type="dxa"/>
        </w:tblCellMar>
        <w:tblLook w:val="01E0"/>
      </w:tblPr>
      <w:tblGrid>
        <w:gridCol w:w="2056"/>
        <w:gridCol w:w="1636"/>
        <w:gridCol w:w="1481"/>
        <w:gridCol w:w="1590"/>
        <w:gridCol w:w="1546"/>
        <w:gridCol w:w="1547"/>
      </w:tblGrid>
      <w:tr>
        <w:trPr>
          <w:trHeight w:val="402" w:hRule="exact"/>
        </w:trPr>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61" w:right="0"/>
              <w:jc w:val="left"/>
              <w:rPr>
                <w:rFonts w:ascii="宋体" w:hAnsi="宋体" w:cs="宋体" w:eastAsia="宋体" w:hint="default"/>
                <w:sz w:val="18"/>
                <w:szCs w:val="18"/>
              </w:rPr>
            </w:pPr>
            <w:r>
              <w:rPr>
                <w:rFonts w:ascii="宋体" w:hAnsi="宋体" w:cs="宋体" w:eastAsia="宋体" w:hint="default"/>
                <w:b/>
                <w:bCs/>
                <w:sz w:val="18"/>
                <w:szCs w:val="18"/>
              </w:rPr>
              <w:t>游戏名称</w:t>
            </w:r>
            <w:r>
              <w:rPr>
                <w:rFonts w:ascii="宋体" w:hAnsi="宋体" w:cs="宋体" w:eastAsia="宋体" w:hint="default"/>
                <w:sz w:val="18"/>
                <w:szCs w:val="18"/>
              </w:rPr>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5" w:right="0"/>
              <w:jc w:val="left"/>
              <w:rPr>
                <w:rFonts w:ascii="宋体" w:hAnsi="宋体" w:cs="宋体" w:eastAsia="宋体" w:hint="default"/>
                <w:sz w:val="18"/>
                <w:szCs w:val="18"/>
              </w:rPr>
            </w:pPr>
            <w:r>
              <w:rPr>
                <w:rFonts w:ascii="宋体" w:hAnsi="宋体" w:cs="宋体" w:eastAsia="宋体" w:hint="default"/>
                <w:b/>
                <w:bCs/>
                <w:sz w:val="18"/>
                <w:szCs w:val="18"/>
              </w:rPr>
              <w:t>2015</w:t>
            </w:r>
            <w:r>
              <w:rPr>
                <w:rFonts w:ascii="宋体" w:hAnsi="宋体" w:cs="宋体" w:eastAsia="宋体" w:hint="default"/>
                <w:b/>
                <w:bCs/>
                <w:spacing w:val="-48"/>
                <w:sz w:val="18"/>
                <w:szCs w:val="18"/>
              </w:rPr>
              <w:t> </w:t>
            </w:r>
            <w:r>
              <w:rPr>
                <w:rFonts w:ascii="宋体" w:hAnsi="宋体" w:cs="宋体" w:eastAsia="宋体" w:hint="default"/>
                <w:b/>
                <w:bCs/>
                <w:sz w:val="18"/>
                <w:szCs w:val="18"/>
              </w:rPr>
              <w:t>年账面余额</w:t>
            </w:r>
            <w:r>
              <w:rPr>
                <w:rFonts w:ascii="宋体" w:hAnsi="宋体" w:cs="宋体" w:eastAsia="宋体" w:hint="default"/>
                <w:sz w:val="18"/>
                <w:szCs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hAnsi="宋体" w:cs="宋体" w:eastAsia="宋体" w:hint="default"/>
                <w:b/>
                <w:bCs/>
                <w:w w:val="95"/>
                <w:sz w:val="18"/>
                <w:szCs w:val="18"/>
              </w:rPr>
              <w:t>占游戏产品比重</w:t>
            </w:r>
            <w:r>
              <w:rPr>
                <w:rFonts w:ascii="宋体" w:hAnsi="宋体" w:cs="宋体" w:eastAsia="宋体" w:hint="default"/>
                <w:sz w:val="18"/>
                <w:szCs w:val="18"/>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b/>
                <w:bCs/>
                <w:sz w:val="18"/>
                <w:szCs w:val="18"/>
              </w:rPr>
              <w:t>累计摊销</w:t>
            </w:r>
            <w:r>
              <w:rPr>
                <w:rFonts w:ascii="宋体" w:hAnsi="宋体" w:cs="宋体" w:eastAsia="宋体" w:hint="default"/>
                <w:sz w:val="18"/>
                <w:szCs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02" w:hRule="exact"/>
        </w:trPr>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战争世界</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39,615,912.46</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11.75%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11,884,773.78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4,780,514.49</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22,950,624.19</w:t>
            </w:r>
          </w:p>
        </w:tc>
      </w:tr>
      <w:tr>
        <w:trPr>
          <w:trHeight w:val="402" w:hRule="exact"/>
        </w:trPr>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兵王</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22,001,410.25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6.52%</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3,300,211.53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18,701,198.72</w:t>
            </w:r>
          </w:p>
        </w:tc>
      </w:tr>
      <w:tr>
        <w:trPr>
          <w:trHeight w:val="402" w:hRule="exact"/>
        </w:trPr>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裂天之刃</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19,507,941.26</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5.79%</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5,824,267.63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13,683,673.63</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二战</w:t>
            </w:r>
            <w:r>
              <w:rPr>
                <w:rFonts w:ascii="宋体" w:hAnsi="宋体" w:cs="宋体" w:eastAsia="宋体" w:hint="default"/>
                <w:spacing w:val="-46"/>
                <w:sz w:val="18"/>
                <w:szCs w:val="18"/>
              </w:rPr>
              <w:t> </w:t>
            </w:r>
            <w:r>
              <w:rPr>
                <w:rFonts w:ascii="宋体" w:hAnsi="宋体" w:cs="宋体" w:eastAsia="宋体" w:hint="default"/>
                <w:sz w:val="18"/>
                <w:szCs w:val="18"/>
              </w:rPr>
              <w:t>OL</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15,237,047.69</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4.52%</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6,602,720.55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7,107,030.07</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1,527,297.07</w:t>
            </w:r>
          </w:p>
        </w:tc>
      </w:tr>
      <w:tr>
        <w:trPr>
          <w:trHeight w:val="402" w:hRule="exact"/>
        </w:trPr>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热血世界</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15,000,000.00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11,261,326.72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3,738,673.28</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b/>
                <w:spacing w:val="-3"/>
                <w:sz w:val="18"/>
              </w:rPr>
              <w:t>111,362,311.66</w:t>
            </w:r>
            <w:r>
              <w:rPr>
                <w:rFonts w:ascii="Times New Roman"/>
                <w:spacing w:val="-3"/>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b/>
                <w:sz w:val="18"/>
              </w:rPr>
              <w:t>33.03%</w:t>
            </w:r>
            <w:r>
              <w:rPr>
                <w:rFonts w:ascii="Times New Roman"/>
                <w:sz w:val="18"/>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b/>
                <w:spacing w:val="-1"/>
                <w:sz w:val="18"/>
              </w:rPr>
              <w:t>38,873,300.21</w:t>
            </w:r>
            <w:r>
              <w:rPr>
                <w:rFonts w:ascii="Times New Roman"/>
                <w:spacing w:val="-1"/>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b/>
                <w:spacing w:val="-1"/>
                <w:sz w:val="18"/>
              </w:rPr>
              <w:t>29,309,891.47</w:t>
            </w:r>
            <w:r>
              <w:rPr>
                <w:rFonts w:ascii="Times New Roman"/>
                <w:spacing w:val="-1"/>
                <w:sz w:val="18"/>
              </w:rPr>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b/>
                <w:spacing w:val="-1"/>
                <w:w w:val="95"/>
                <w:sz w:val="18"/>
              </w:rPr>
              <w:t>43,179,119.98</w:t>
            </w:r>
            <w:r>
              <w:rPr>
                <w:rFonts w:ascii="Times New Roman"/>
                <w:spacing w:val="-1"/>
                <w:w w:val="95"/>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7"/>
        <w:spacing w:line="240" w:lineRule="auto" w:before="35"/>
        <w:ind w:left="1133" w:right="0"/>
        <w:jc w:val="left"/>
        <w:rPr>
          <w:b w:val="0"/>
          <w:bCs w:val="0"/>
        </w:rPr>
      </w:pPr>
      <w:bookmarkStart w:name="26、开发支出" w:id="297"/>
      <w:bookmarkEnd w:id="297"/>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987" w:type="dxa"/>
        <w:tblLayout w:type="fixed"/>
        <w:tblCellMar>
          <w:top w:w="0" w:type="dxa"/>
          <w:left w:w="0" w:type="dxa"/>
          <w:bottom w:w="0" w:type="dxa"/>
          <w:right w:w="0" w:type="dxa"/>
        </w:tblCellMar>
        <w:tblLook w:val="01E0"/>
      </w:tblPr>
      <w:tblGrid>
        <w:gridCol w:w="1276"/>
        <w:gridCol w:w="1134"/>
        <w:gridCol w:w="1276"/>
        <w:gridCol w:w="1277"/>
        <w:gridCol w:w="1417"/>
        <w:gridCol w:w="1204"/>
        <w:gridCol w:w="1063"/>
        <w:gridCol w:w="1135"/>
      </w:tblGrid>
      <w:tr>
        <w:trPr>
          <w:trHeight w:val="206"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25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3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6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53" w:type="dxa"/>
            <w:gridSpan w:val="2"/>
            <w:vMerge/>
            <w:tcBorders>
              <w:left w:val="single" w:sz="4" w:space="0" w:color="000000"/>
              <w:bottom w:val="single" w:sz="4" w:space="0" w:color="000000"/>
              <w:right w:val="single" w:sz="4" w:space="0" w:color="000000"/>
            </w:tcBorders>
            <w:shd w:val="clear" w:color="auto" w:fill="D2D2D2"/>
          </w:tcPr>
          <w:p>
            <w:pPr/>
          </w:p>
        </w:tc>
        <w:tc>
          <w:tcPr>
            <w:tcW w:w="3684" w:type="dxa"/>
            <w:gridSpan w:val="3"/>
            <w:vMerge/>
            <w:tcBorders>
              <w:left w:val="single" w:sz="4" w:space="0" w:color="000000"/>
              <w:bottom w:val="single" w:sz="4" w:space="0" w:color="000000"/>
              <w:right w:val="single" w:sz="4" w:space="0" w:color="000000"/>
            </w:tcBorders>
            <w:shd w:val="clear" w:color="auto" w:fill="D2D2D2"/>
          </w:tcPr>
          <w:p>
            <w:pPr/>
          </w:p>
        </w:tc>
        <w:tc>
          <w:tcPr>
            <w:tcW w:w="1135" w:type="dxa"/>
            <w:vMerge w:val="restart"/>
            <w:tcBorders>
              <w:top w:val="nil" w:sz="6" w:space="0" w:color="auto"/>
              <w:left w:val="single" w:sz="9" w:space="0" w:color="D9D9D9"/>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276"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74" w:right="0"/>
              <w:jc w:val="left"/>
              <w:rPr>
                <w:rFonts w:ascii="宋体" w:hAnsi="宋体" w:cs="宋体" w:eastAsia="宋体" w:hint="default"/>
                <w:sz w:val="18"/>
                <w:szCs w:val="18"/>
              </w:rPr>
            </w:pPr>
            <w:r>
              <w:rPr>
                <w:rFonts w:ascii="宋体" w:hAnsi="宋体" w:cs="宋体" w:eastAsia="宋体" w:hint="default"/>
                <w:sz w:val="18"/>
                <w:szCs w:val="18"/>
              </w:rPr>
              <w:t>其他转入</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3"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2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063" w:type="dxa"/>
            <w:vMerge w:val="restart"/>
            <w:tcBorders>
              <w:top w:val="single" w:sz="4" w:space="0" w:color="000000"/>
              <w:left w:val="single" w:sz="10" w:space="0" w:color="D2D2D2"/>
              <w:right w:val="single" w:sz="9" w:space="0" w:color="D2D2D2"/>
            </w:tcBorders>
            <w:shd w:val="clear" w:color="auto" w:fill="D9D9D9"/>
          </w:tcPr>
          <w:p>
            <w:pPr>
              <w:pStyle w:val="TableParagraph"/>
              <w:spacing w:line="240" w:lineRule="auto" w:before="52"/>
              <w:ind w:left="158" w:right="0"/>
              <w:jc w:val="left"/>
              <w:rPr>
                <w:rFonts w:ascii="宋体" w:hAnsi="宋体" w:cs="宋体" w:eastAsia="宋体" w:hint="default"/>
                <w:sz w:val="18"/>
                <w:szCs w:val="18"/>
              </w:rPr>
            </w:pPr>
            <w:r>
              <w:rPr>
                <w:rFonts w:ascii="宋体" w:hAnsi="宋体" w:cs="宋体" w:eastAsia="宋体" w:hint="default"/>
                <w:sz w:val="18"/>
                <w:szCs w:val="18"/>
              </w:rPr>
              <w:t>其他转出</w:t>
            </w:r>
          </w:p>
        </w:tc>
        <w:tc>
          <w:tcPr>
            <w:tcW w:w="1135" w:type="dxa"/>
            <w:vMerge/>
            <w:tcBorders>
              <w:left w:val="single" w:sz="9" w:space="0" w:color="D9D9D9"/>
              <w:bottom w:val="nil" w:sz="6" w:space="0" w:color="auto"/>
              <w:right w:val="single" w:sz="4" w:space="0" w:color="000000"/>
            </w:tcBorders>
            <w:shd w:val="clear" w:color="auto" w:fill="D2D2D2"/>
          </w:tcPr>
          <w:p>
            <w:pPr/>
          </w:p>
        </w:tc>
      </w:tr>
      <w:tr>
        <w:trPr>
          <w:trHeight w:val="205"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10" w:space="0" w:color="D2D2D2"/>
              <w:bottom w:val="single" w:sz="4" w:space="0" w:color="000000"/>
              <w:right w:val="single" w:sz="9" w:space="0" w:color="D2D2D2"/>
            </w:tcBorders>
            <w:shd w:val="clear" w:color="auto" w:fill="D9D9D9"/>
          </w:tcPr>
          <w:p>
            <w:pPr/>
          </w:p>
        </w:tc>
        <w:tc>
          <w:tcPr>
            <w:tcW w:w="1135" w:type="dxa"/>
            <w:tcBorders>
              <w:top w:val="nil" w:sz="6" w:space="0" w:color="auto"/>
              <w:left w:val="single" w:sz="13" w:space="0" w:color="D9D9D9"/>
              <w:bottom w:val="single" w:sz="4" w:space="0" w:color="000000"/>
              <w:right w:val="single" w:sz="4" w:space="0" w:color="000000"/>
            </w:tcBorders>
            <w:shd w:val="clear" w:color="auto" w:fill="D2D2D2"/>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(1)MMO</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游戏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59,169,723.69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25,179,050.60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11,854.06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48,375,290.31</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8,057,661.85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7,058,878.10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center"/>
              <w:rPr>
                <w:rFonts w:ascii="Times New Roman" w:hAnsi="Times New Roman" w:cs="Times New Roman" w:eastAsia="Times New Roman" w:hint="default"/>
                <w:sz w:val="18"/>
                <w:szCs w:val="18"/>
              </w:rPr>
            </w:pPr>
            <w:r>
              <w:rPr>
                <w:rFonts w:ascii="Times New Roman"/>
                <w:sz w:val="18"/>
              </w:rPr>
              <w:t>20,868,798.09</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网页游戏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19,441,046.56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5,589,471.75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-3,791,329.31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2,881,477.05</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5,558,188.72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7,924,808.12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8" w:right="0"/>
              <w:jc w:val="center"/>
              <w:rPr>
                <w:rFonts w:ascii="Times New Roman" w:hAnsi="Times New Roman" w:cs="Times New Roman" w:eastAsia="Times New Roman" w:hint="default"/>
                <w:sz w:val="18"/>
                <w:szCs w:val="18"/>
              </w:rPr>
            </w:pPr>
            <w:r>
              <w:rPr>
                <w:rFonts w:ascii="Times New Roman"/>
                <w:sz w:val="18"/>
              </w:rPr>
              <w:t>4,874,715.11</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社交游戏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32,798,308.28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8,227,679.35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-17,181,766.87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7,767,779.79</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4,676,202.13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519,324.20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center"/>
              <w:rPr>
                <w:rFonts w:ascii="Times New Roman" w:hAnsi="Times New Roman" w:cs="Times New Roman" w:eastAsia="Times New Roman" w:hint="default"/>
                <w:sz w:val="18"/>
                <w:szCs w:val="18"/>
              </w:rPr>
            </w:pPr>
            <w:r>
              <w:rPr>
                <w:rFonts w:ascii="Times New Roman"/>
                <w:sz w:val="18"/>
              </w:rPr>
              <w:t>10,880,914.64</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手机游戏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22,617,958.80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92,013,707.16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20,961,242.12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20,774,664.66</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53,252,905.90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1,839,231.78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center"/>
              <w:rPr>
                <w:rFonts w:ascii="Times New Roman" w:hAnsi="Times New Roman" w:cs="Times New Roman" w:eastAsia="Times New Roman" w:hint="default"/>
                <w:sz w:val="18"/>
                <w:szCs w:val="18"/>
              </w:rPr>
            </w:pPr>
            <w:r>
              <w:rPr>
                <w:rFonts w:ascii="Times New Roman"/>
                <w:sz w:val="18"/>
              </w:rPr>
              <w:t>59,726,105.74</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平台</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235,428.86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235,428.86</w:t>
            </w:r>
          </w:p>
        </w:tc>
        <w:tc>
          <w:tcPr>
            <w:tcW w:w="120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开发支出原值 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134,027,037.3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131,245,337.72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20,706,058.18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4,206,020.12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82,301,986.42</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(1)MMO</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游戏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10,226,053.05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9,953,873.74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1,570,849.98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center"/>
              <w:rPr>
                <w:rFonts w:ascii="Times New Roman" w:hAnsi="Times New Roman" w:cs="Times New Roman" w:eastAsia="Times New Roman" w:hint="default"/>
                <w:sz w:val="18"/>
                <w:szCs w:val="18"/>
              </w:rPr>
            </w:pPr>
            <w:r>
              <w:rPr>
                <w:rFonts w:ascii="Times New Roman"/>
                <w:sz w:val="18"/>
              </w:rPr>
              <w:t>18,609,076.81</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网页游戏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 w:right="0"/>
              <w:jc w:val="center"/>
              <w:rPr>
                <w:rFonts w:ascii="Times New Roman" w:hAnsi="Times New Roman" w:cs="Times New Roman" w:eastAsia="Times New Roman" w:hint="default"/>
                <w:sz w:val="18"/>
                <w:szCs w:val="18"/>
              </w:rPr>
            </w:pPr>
            <w:r>
              <w:rPr>
                <w:rFonts w:ascii="Times New Roman"/>
                <w:sz w:val="18"/>
              </w:rPr>
              <w:t>4,480,474.79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3,029,410.46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2,635,170.14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8" w:right="0"/>
              <w:jc w:val="center"/>
              <w:rPr>
                <w:rFonts w:ascii="Times New Roman" w:hAnsi="Times New Roman" w:cs="Times New Roman" w:eastAsia="Times New Roman" w:hint="default"/>
                <w:sz w:val="18"/>
                <w:szCs w:val="18"/>
              </w:rPr>
            </w:pPr>
            <w:r>
              <w:rPr>
                <w:rFonts w:ascii="Times New Roman"/>
                <w:sz w:val="18"/>
              </w:rPr>
              <w:t>4,874,715.11</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社交游戏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 w:right="0"/>
              <w:jc w:val="center"/>
              <w:rPr>
                <w:rFonts w:ascii="Times New Roman" w:hAnsi="Times New Roman" w:cs="Times New Roman" w:eastAsia="Times New Roman" w:hint="default"/>
                <w:sz w:val="18"/>
                <w:szCs w:val="18"/>
              </w:rPr>
            </w:pPr>
            <w:r>
              <w:rPr>
                <w:rFonts w:ascii="Times New Roman"/>
                <w:sz w:val="18"/>
              </w:rPr>
              <w:t>1,457,685.23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11,269,244.90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-1,846,015.49</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center"/>
              <w:rPr>
                <w:rFonts w:ascii="Times New Roman" w:hAnsi="Times New Roman" w:cs="Times New Roman" w:eastAsia="Times New Roman" w:hint="default"/>
                <w:sz w:val="18"/>
                <w:szCs w:val="18"/>
              </w:rPr>
            </w:pPr>
            <w:r>
              <w:rPr>
                <w:rFonts w:ascii="Times New Roman"/>
                <w:sz w:val="18"/>
              </w:rPr>
              <w:t>10,880,914.64</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手机游戏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 w:right="0"/>
              <w:jc w:val="center"/>
              <w:rPr>
                <w:rFonts w:ascii="Times New Roman" w:hAnsi="Times New Roman" w:cs="Times New Roman" w:eastAsia="Times New Roman" w:hint="default"/>
                <w:sz w:val="18"/>
                <w:szCs w:val="18"/>
              </w:rPr>
            </w:pPr>
            <w:r>
              <w:rPr>
                <w:rFonts w:ascii="Times New Roman"/>
                <w:sz w:val="18"/>
              </w:rPr>
              <w:t>1,748,374.38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44,342,889.99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1,846,015.49</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center"/>
              <w:rPr>
                <w:rFonts w:ascii="Times New Roman" w:hAnsi="Times New Roman" w:cs="Times New Roman" w:eastAsia="Times New Roman" w:hint="default"/>
                <w:sz w:val="18"/>
                <w:szCs w:val="18"/>
              </w:rPr>
            </w:pPr>
            <w:r>
              <w:rPr>
                <w:rFonts w:ascii="Times New Roman"/>
                <w:sz w:val="18"/>
              </w:rPr>
              <w:t>47,937,279.86</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平台</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开发支出减值 准备合计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17,912,587.45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68,595,419.09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14,048,547.16</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(1)MMO</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游戏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48,943,670.64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3" w:right="0"/>
              <w:jc w:val="center"/>
              <w:rPr>
                <w:rFonts w:ascii="Times New Roman" w:hAnsi="Times New Roman" w:cs="Times New Roman" w:eastAsia="Times New Roman" w:hint="default"/>
                <w:sz w:val="18"/>
                <w:szCs w:val="18"/>
              </w:rPr>
            </w:pPr>
            <w:r>
              <w:rPr>
                <w:rFonts w:ascii="Times New Roman"/>
                <w:sz w:val="18"/>
              </w:rPr>
              <w:t>2,259,721.28</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网页游戏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14,960,571.77</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社交游戏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31,340,623.05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手机游戏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20,869,584.42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11,788,825.88</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平台</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116,114,449.8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14,048,547.16</w:t>
            </w:r>
          </w:p>
        </w:tc>
      </w:tr>
    </w:tbl>
    <w:p>
      <w:pPr>
        <w:pStyle w:val="BodyText"/>
        <w:spacing w:line="357" w:lineRule="auto" w:before="51"/>
        <w:ind w:left="1134" w:right="6072"/>
        <w:jc w:val="left"/>
      </w:pPr>
      <w:r>
        <w:rPr/>
        <w:t>其他说明：本年其他转入负数系年初类别重分类差异所致。 年末开发支出前五名游戏情况：</w:t>
      </w:r>
    </w:p>
    <w:tbl>
      <w:tblPr>
        <w:tblW w:w="0" w:type="auto"/>
        <w:jc w:val="left"/>
        <w:tblInd w:w="1129" w:type="dxa"/>
        <w:tblLayout w:type="fixed"/>
        <w:tblCellMar>
          <w:top w:w="0" w:type="dxa"/>
          <w:left w:w="0" w:type="dxa"/>
          <w:bottom w:w="0" w:type="dxa"/>
          <w:right w:w="0" w:type="dxa"/>
        </w:tblCellMar>
        <w:tblLook w:val="01E0"/>
      </w:tblPr>
      <w:tblGrid>
        <w:gridCol w:w="1619"/>
        <w:gridCol w:w="1919"/>
        <w:gridCol w:w="1247"/>
        <w:gridCol w:w="2081"/>
        <w:gridCol w:w="1600"/>
        <w:gridCol w:w="1231"/>
      </w:tblGrid>
      <w:tr>
        <w:trPr>
          <w:trHeight w:val="421" w:hRule="exact"/>
        </w:trPr>
        <w:tc>
          <w:tcPr>
            <w:tcW w:w="16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42" w:right="0"/>
              <w:jc w:val="left"/>
              <w:rPr>
                <w:rFonts w:ascii="宋体" w:hAnsi="宋体" w:cs="宋体" w:eastAsia="宋体" w:hint="default"/>
                <w:sz w:val="18"/>
                <w:szCs w:val="18"/>
              </w:rPr>
            </w:pPr>
            <w:r>
              <w:rPr>
                <w:rFonts w:ascii="宋体" w:hAnsi="宋体" w:cs="宋体" w:eastAsia="宋体" w:hint="default"/>
                <w:b/>
                <w:bCs/>
                <w:sz w:val="18"/>
                <w:szCs w:val="18"/>
              </w:rPr>
              <w:t>游戏名称</w:t>
            </w:r>
            <w:r>
              <w:rPr>
                <w:rFonts w:ascii="宋体" w:hAnsi="宋体" w:cs="宋体" w:eastAsia="宋体" w:hint="default"/>
                <w:sz w:val="18"/>
                <w:szCs w:val="18"/>
              </w:rPr>
            </w:r>
          </w:p>
        </w:tc>
        <w:tc>
          <w:tcPr>
            <w:tcW w:w="19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297" w:right="0"/>
              <w:jc w:val="left"/>
              <w:rPr>
                <w:rFonts w:ascii="宋体" w:hAnsi="宋体" w:cs="宋体" w:eastAsia="宋体" w:hint="default"/>
                <w:sz w:val="18"/>
                <w:szCs w:val="18"/>
              </w:rPr>
            </w:pPr>
            <w:r>
              <w:rPr>
                <w:rFonts w:ascii="宋体" w:hAnsi="宋体" w:cs="宋体" w:eastAsia="宋体" w:hint="default"/>
                <w:b/>
                <w:bCs/>
                <w:sz w:val="18"/>
                <w:szCs w:val="18"/>
              </w:rPr>
              <w:t>2015</w:t>
            </w:r>
            <w:r>
              <w:rPr>
                <w:rFonts w:ascii="宋体" w:hAnsi="宋体" w:cs="宋体" w:eastAsia="宋体" w:hint="default"/>
                <w:b/>
                <w:bCs/>
                <w:spacing w:val="-48"/>
                <w:sz w:val="18"/>
                <w:szCs w:val="18"/>
              </w:rPr>
              <w:t> </w:t>
            </w:r>
            <w:r>
              <w:rPr>
                <w:rFonts w:ascii="宋体" w:hAnsi="宋体" w:cs="宋体" w:eastAsia="宋体" w:hint="default"/>
                <w:b/>
                <w:bCs/>
                <w:sz w:val="18"/>
                <w:szCs w:val="18"/>
              </w:rPr>
              <w:t>年账面余额</w:t>
            </w:r>
            <w:r>
              <w:rPr>
                <w:rFonts w:ascii="宋体" w:hAnsi="宋体" w:cs="宋体" w:eastAsia="宋体" w:hint="default"/>
                <w:sz w:val="18"/>
                <w:szCs w:val="18"/>
              </w:rPr>
            </w:r>
          </w:p>
        </w:tc>
        <w:tc>
          <w:tcPr>
            <w:tcW w:w="1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sz w:val="18"/>
                <w:szCs w:val="18"/>
              </w:rPr>
            </w:r>
          </w:p>
        </w:tc>
        <w:tc>
          <w:tcPr>
            <w:tcW w:w="20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674"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6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33"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2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248" w:right="0"/>
              <w:jc w:val="left"/>
              <w:rPr>
                <w:rFonts w:ascii="宋体" w:hAnsi="宋体" w:cs="宋体" w:eastAsia="宋体" w:hint="default"/>
                <w:sz w:val="18"/>
                <w:szCs w:val="18"/>
              </w:rPr>
            </w:pPr>
            <w:r>
              <w:rPr>
                <w:rFonts w:ascii="宋体" w:hAnsi="宋体" w:cs="宋体" w:eastAsia="宋体" w:hint="default"/>
                <w:b/>
                <w:bCs/>
                <w:sz w:val="18"/>
                <w:szCs w:val="18"/>
              </w:rPr>
              <w:t>研发进度</w:t>
            </w:r>
            <w:r>
              <w:rPr>
                <w:rFonts w:ascii="宋体" w:hAnsi="宋体" w:cs="宋体" w:eastAsia="宋体" w:hint="default"/>
                <w:sz w:val="18"/>
                <w:szCs w:val="18"/>
              </w:rPr>
            </w:r>
          </w:p>
        </w:tc>
      </w:tr>
      <w:tr>
        <w:trPr>
          <w:trHeight w:val="422"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11,701,168.50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12.14%</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9,174,409.22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2,526,759.28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
              <w:jc w:val="right"/>
              <w:rPr>
                <w:rFonts w:ascii="Times New Roman" w:hAnsi="Times New Roman" w:cs="Times New Roman" w:eastAsia="Times New Roman" w:hint="default"/>
                <w:sz w:val="18"/>
                <w:szCs w:val="18"/>
              </w:rPr>
            </w:pPr>
            <w:r>
              <w:rPr>
                <w:rFonts w:ascii="Times New Roman"/>
                <w:sz w:val="18"/>
              </w:rPr>
              <w:t>98.00%</w:t>
            </w:r>
          </w:p>
        </w:tc>
      </w:tr>
      <w:tr>
        <w:trPr>
          <w:trHeight w:val="422"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德州扑克</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10,880,914.64</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2"/>
                <w:sz w:val="18"/>
              </w:rPr>
              <w:t>11.29%</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10,880,914.64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
              <w:jc w:val="right"/>
              <w:rPr>
                <w:rFonts w:ascii="Times New Roman" w:hAnsi="Times New Roman" w:cs="Times New Roman" w:eastAsia="Times New Roman" w:hint="default"/>
                <w:sz w:val="18"/>
                <w:szCs w:val="18"/>
              </w:rPr>
            </w:pPr>
            <w:r>
              <w:rPr>
                <w:rFonts w:ascii="Times New Roman"/>
                <w:sz w:val="18"/>
              </w:rPr>
              <w:t>100.00%</w:t>
            </w:r>
          </w:p>
        </w:tc>
      </w:tr>
      <w:tr>
        <w:trPr>
          <w:trHeight w:val="421"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仙战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8,082,505.94</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8.39%</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5,806,565.05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2,275,940.89</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z w:val="18"/>
              </w:rPr>
              <w:t>99.00%</w:t>
            </w:r>
          </w:p>
        </w:tc>
      </w:tr>
      <w:tr>
        <w:trPr>
          <w:trHeight w:val="423"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灭国</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8,655,203.07</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8.98%</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8,655,203.07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
              <w:jc w:val="right"/>
              <w:rPr>
                <w:rFonts w:ascii="Times New Roman" w:hAnsi="Times New Roman" w:cs="Times New Roman" w:eastAsia="Times New Roman" w:hint="default"/>
                <w:sz w:val="18"/>
                <w:szCs w:val="18"/>
              </w:rPr>
            </w:pPr>
            <w:r>
              <w:rPr>
                <w:rFonts w:ascii="Times New Roman"/>
                <w:sz w:val="18"/>
              </w:rPr>
              <w:t>100.00%</w:t>
            </w:r>
          </w:p>
        </w:tc>
      </w:tr>
      <w:tr>
        <w:trPr>
          <w:trHeight w:val="422"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The Project</w:t>
            </w:r>
            <w:r>
              <w:rPr>
                <w:rFonts w:ascii="Times New Roman"/>
                <w:spacing w:val="-3"/>
                <w:sz w:val="18"/>
              </w:rPr>
              <w:t> </w:t>
            </w:r>
            <w:r>
              <w:rPr>
                <w:rFonts w:ascii="Times New Roman"/>
                <w:sz w:val="18"/>
              </w:rPr>
              <w:t>M</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10,046,491.42</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10.43%</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9,739,165.38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307,326.04</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
              <w:jc w:val="right"/>
              <w:rPr>
                <w:rFonts w:ascii="Times New Roman" w:hAnsi="Times New Roman" w:cs="Times New Roman" w:eastAsia="Times New Roman" w:hint="default"/>
                <w:sz w:val="18"/>
                <w:szCs w:val="18"/>
              </w:rPr>
            </w:pPr>
            <w:r>
              <w:rPr>
                <w:rFonts w:ascii="Times New Roman"/>
                <w:sz w:val="18"/>
              </w:rPr>
              <w:t>100.00%</w:t>
            </w:r>
          </w:p>
        </w:tc>
      </w:tr>
      <w:tr>
        <w:trPr>
          <w:trHeight w:val="422"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9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49,366,283.57</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51.23%</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44,256,257.37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5,110,026.20</w:t>
            </w:r>
          </w:p>
        </w:tc>
        <w:tc>
          <w:tcPr>
            <w:tcW w:w="12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7"/>
        <w:spacing w:line="506" w:lineRule="auto" w:before="35"/>
        <w:ind w:right="9242"/>
        <w:jc w:val="left"/>
        <w:rPr>
          <w:b w:val="0"/>
          <w:bCs w:val="0"/>
        </w:rPr>
      </w:pPr>
      <w:bookmarkStart w:name="27、商誉" w:id="298"/>
      <w:bookmarkEnd w:id="298"/>
      <w:r>
        <w:rPr>
          <w:b w:val="0"/>
          <w:bCs w:val="0"/>
        </w:rPr>
      </w:r>
      <w:r>
        <w:rPr>
          <w:rFonts w:ascii="Times New Roman" w:hAnsi="Times New Roman" w:cs="Times New Roman" w:eastAsia="Times New Roman" w:hint="default"/>
        </w:rPr>
        <w:t>27</w:t>
      </w:r>
      <w:r>
        <w:rPr/>
        <w:t>、商誉</w:t>
      </w:r>
      <w:r>
        <w:rPr>
          <w:w w:val="99"/>
        </w:rPr>
        <w:t> </w:t>
      </w:r>
      <w:bookmarkStart w:name="(1)商誉账面原值" w:id="299"/>
      <w:bookmarkEnd w:id="299"/>
      <w:r>
        <w:rPr>
          <w:w w:val="99"/>
        </w:rPr>
      </w:r>
      <w:r>
        <w:rPr>
          <w:rFonts w:ascii="Times New Roman" w:hAnsi="Times New Roman" w:cs="Times New Roman" w:eastAsia="Times New Roman" w:hint="default"/>
        </w:rPr>
        <w:t>(1)</w:t>
      </w:r>
      <w:r>
        <w:rPr/>
        <w:t>商誉账面原值</w:t>
      </w:r>
      <w:r>
        <w:rPr>
          <w:b w:val="0"/>
          <w:bCs w:val="0"/>
        </w:rPr>
      </w:r>
    </w:p>
    <w:p>
      <w:pPr>
        <w:pStyle w:val="BodyText"/>
        <w:spacing w:line="240" w:lineRule="auto" w:before="9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西安掌控力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1,491,581.17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1,491,581.17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上海美峰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339,623,757.28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339,623,757.28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77,605,352.01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77,605,352.01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418,720,690.46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418,720,690.46</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商誉减值准备" w:id="300"/>
      <w:bookmarkEnd w:id="300"/>
      <w:r>
        <w:rPr>
          <w:b w:val="0"/>
          <w:bCs w:val="0"/>
        </w:rPr>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西安掌控力</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1,491,581.17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1,491,581.17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上海美峰</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159,107,532.00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159,107,532.00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26,095,400.00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26,095,400.00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186,694,513.17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186,694,513.17</w:t>
            </w:r>
          </w:p>
        </w:tc>
      </w:tr>
    </w:tbl>
    <w:p>
      <w:pPr>
        <w:pStyle w:val="BodyText"/>
        <w:spacing w:line="240" w:lineRule="auto" w:before="51"/>
        <w:ind w:left="1134" w:right="0"/>
        <w:jc w:val="left"/>
      </w:pPr>
      <w:r>
        <w:rPr/>
        <w:t>说明商誉减值测试过程、参数及商誉减值损失的确认方法：</w:t>
      </w:r>
    </w:p>
    <w:p>
      <w:pPr>
        <w:pStyle w:val="BodyText"/>
        <w:spacing w:line="240" w:lineRule="auto" w:before="116"/>
        <w:ind w:left="1554" w:right="0"/>
        <w:jc w:val="left"/>
      </w:pPr>
      <w:r>
        <w:rPr>
          <w:rFonts w:ascii="Times New Roman" w:hAnsi="Times New Roman" w:cs="Times New Roman" w:eastAsia="Times New Roman" w:hint="default"/>
        </w:rPr>
        <w:t>1)</w:t>
      </w:r>
      <w:r>
        <w:rPr/>
        <w:t>西安掌控力商誉</w:t>
      </w:r>
    </w:p>
    <w:p>
      <w:pPr>
        <w:pStyle w:val="BodyText"/>
        <w:spacing w:line="302" w:lineRule="auto" w:before="102"/>
        <w:ind w:left="1134" w:right="1114" w:firstLine="420"/>
        <w:jc w:val="left"/>
      </w:pPr>
      <w:r>
        <w:rPr/>
        <w:t>西安掌控力计划在</w:t>
      </w:r>
      <w:r>
        <w:rPr>
          <w:spacing w:val="-5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3"/>
        </w:rPr>
        <w:t> </w:t>
      </w:r>
      <w:r>
        <w:rPr/>
        <w:t>年注销，通过预测其未来</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年的净现金流量，以该净现金流量的现值作为未来可收回金额，对 于可收回金额低于商誉账面价值的部分，计提减值准备。按照该方法，西安掌控力的商誉全额计提减值准备。</w:t>
      </w:r>
    </w:p>
    <w:p>
      <w:pPr>
        <w:pStyle w:val="BodyText"/>
        <w:spacing w:line="338" w:lineRule="auto" w:before="69"/>
        <w:ind w:left="1553" w:right="1153"/>
        <w:jc w:val="left"/>
      </w:pPr>
      <w:r>
        <w:rPr>
          <w:rFonts w:ascii="Times New Roman" w:hAnsi="Times New Roman" w:cs="Times New Roman" w:eastAsia="Times New Roman" w:hint="default"/>
        </w:rPr>
        <w:t>2)</w:t>
      </w:r>
      <w:r>
        <w:rPr/>
        <w:t>上海美峰商誉 北京中林资产评估有限公司根据企业的资产构成和主营业务特点，首先按受益途径采用现金流折现方法，估算企业的</w:t>
      </w:r>
    </w:p>
    <w:p>
      <w:pPr>
        <w:pStyle w:val="BodyText"/>
        <w:spacing w:line="319" w:lineRule="auto" w:before="2"/>
        <w:ind w:right="0"/>
        <w:jc w:val="left"/>
      </w:pPr>
      <w:r>
        <w:rPr>
          <w:spacing w:val="-2"/>
        </w:rPr>
        <w:t>经营性资产的价值，再加上基准日的其他非经营性、溢余资产的价值得到企业的整体价值，最后由企业整体价值扣减付息债</w:t>
      </w:r>
      <w:r>
        <w:rPr>
          <w:spacing w:val="-66"/>
        </w:rPr>
        <w:t> </w:t>
      </w:r>
      <w:r>
        <w:rPr>
          <w:spacing w:val="-66"/>
        </w:rPr>
      </w:r>
      <w:r>
        <w:rPr/>
        <w:t>务价值后，得出企业的股东全部权益价值。</w:t>
      </w:r>
    </w:p>
    <w:p>
      <w:pPr>
        <w:pStyle w:val="BodyText"/>
        <w:spacing w:line="240" w:lineRule="auto" w:before="56"/>
        <w:ind w:left="1553" w:right="0"/>
        <w:jc w:val="left"/>
      </w:pPr>
      <w:r>
        <w:rPr/>
        <w:t>经收益法评估，上海美峰股东全部权益价值的评估结果为</w:t>
      </w:r>
      <w:r>
        <w:rPr>
          <w:spacing w:val="-45"/>
        </w:rPr>
        <w:t> </w:t>
      </w:r>
      <w:r>
        <w:rPr>
          <w:rFonts w:ascii="Times New Roman" w:hAnsi="Times New Roman" w:cs="Times New Roman" w:eastAsia="Times New Roman" w:hint="default"/>
        </w:rPr>
        <w:t>32,072.57</w:t>
      </w:r>
      <w:r>
        <w:rPr>
          <w:rFonts w:ascii="Times New Roman" w:hAnsi="Times New Roman" w:cs="Times New Roman" w:eastAsia="Times New Roman" w:hint="default"/>
          <w:spacing w:val="-1"/>
        </w:rPr>
        <w:t> </w:t>
      </w:r>
      <w:r>
        <w:rPr/>
        <w:t>万元，北京中林资产评估有限公司于</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p>
    <w:p>
      <w:pPr>
        <w:pStyle w:val="BodyText"/>
        <w:spacing w:line="240" w:lineRule="auto" w:before="63"/>
        <w:ind w:left="1134" w:right="0"/>
        <w:jc w:val="left"/>
      </w:pP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日出具了编号为</w:t>
      </w:r>
      <w:r>
        <w:rPr>
          <w:rFonts w:ascii="Times New Roman" w:hAnsi="Times New Roman" w:cs="Times New Roman" w:eastAsia="Times New Roman" w:hint="default"/>
        </w:rPr>
        <w:t>“</w:t>
      </w:r>
      <w:r>
        <w:rPr/>
        <w:t>中林评字</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的评估报告。本公司董事会认为，基于上述评估，截至</w:t>
      </w:r>
      <w:r>
        <w:rPr>
          <w:spacing w:val="-45"/>
        </w:rPr>
        <w:t> </w:t>
      </w:r>
      <w:r>
        <w:rPr>
          <w:rFonts w:ascii="Times New Roman" w:hAnsi="Times New Roman" w:cs="Times New Roman" w:eastAsia="Times New Roman" w:hint="default"/>
        </w:rPr>
        <w:t>2015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日对上海</w:t>
      </w:r>
    </w:p>
    <w:p>
      <w:pPr>
        <w:pStyle w:val="BodyText"/>
        <w:spacing w:line="240" w:lineRule="auto" w:before="64"/>
        <w:ind w:left="1134" w:right="0"/>
        <w:jc w:val="left"/>
      </w:pPr>
      <w:r>
        <w:rPr/>
        <w:t>美峰商誉计提</w:t>
      </w:r>
      <w:r>
        <w:rPr>
          <w:spacing w:val="-47"/>
        </w:rPr>
        <w:t> </w:t>
      </w:r>
      <w:r>
        <w:rPr>
          <w:rFonts w:ascii="Times New Roman" w:hAnsi="Times New Roman" w:cs="Times New Roman" w:eastAsia="Times New Roman" w:hint="default"/>
        </w:rPr>
        <w:t>159,107,532.00</w:t>
      </w:r>
      <w:r>
        <w:rPr>
          <w:rFonts w:ascii="Times New Roman" w:hAnsi="Times New Roman" w:cs="Times New Roman" w:eastAsia="Times New Roman" w:hint="default"/>
          <w:spacing w:val="-2"/>
        </w:rPr>
        <w:t> </w:t>
      </w:r>
      <w:r>
        <w:rPr/>
        <w:t>元减值准备。</w:t>
      </w:r>
    </w:p>
    <w:p>
      <w:pPr>
        <w:pStyle w:val="BodyText"/>
        <w:spacing w:line="338" w:lineRule="auto" w:before="102"/>
        <w:ind w:left="1553" w:right="1153"/>
        <w:jc w:val="left"/>
      </w:pPr>
      <w:r>
        <w:rPr>
          <w:rFonts w:ascii="Times New Roman" w:hAnsi="Times New Roman" w:cs="Times New Roman" w:eastAsia="Times New Roman" w:hint="default"/>
        </w:rPr>
        <w:t>3)</w:t>
      </w:r>
      <w:r>
        <w:rPr/>
        <w:t>深圳苏摩商誉 北京中林资产评估有限公司根据企业的资产构成和主营业务特点，首先按受益途径采用现金流折现方法，估算企业的</w:t>
      </w:r>
    </w:p>
    <w:p>
      <w:pPr>
        <w:pStyle w:val="BodyText"/>
        <w:spacing w:line="319" w:lineRule="auto" w:before="3"/>
        <w:ind w:right="0"/>
        <w:jc w:val="left"/>
      </w:pPr>
      <w:r>
        <w:rPr>
          <w:spacing w:val="-2"/>
        </w:rPr>
        <w:t>经营性资产的价值，再加上基准日的其他非经营性、溢余资产的价值得到企业的整体价值，最后由企业整体价值扣减付息债</w:t>
      </w:r>
      <w:r>
        <w:rPr>
          <w:spacing w:val="-66"/>
        </w:rPr>
        <w:t> </w:t>
      </w:r>
      <w:r>
        <w:rPr>
          <w:spacing w:val="-66"/>
        </w:rPr>
      </w:r>
      <w:r>
        <w:rPr/>
        <w:t>务价值后，得出企业的股东全部权益价值。</w:t>
      </w:r>
    </w:p>
    <w:p>
      <w:pPr>
        <w:pStyle w:val="BodyText"/>
        <w:spacing w:line="240" w:lineRule="auto" w:before="55"/>
        <w:ind w:left="1553" w:right="0"/>
        <w:jc w:val="left"/>
      </w:pPr>
      <w:r>
        <w:rPr/>
        <w:t>经收益法评估，深圳苏摩股东全部权益价值的评估结果为</w:t>
      </w:r>
      <w:r>
        <w:rPr>
          <w:spacing w:val="-45"/>
        </w:rPr>
        <w:t> </w:t>
      </w:r>
      <w:r>
        <w:rPr>
          <w:rFonts w:ascii="Times New Roman" w:hAnsi="Times New Roman" w:cs="Times New Roman" w:eastAsia="Times New Roman" w:hint="default"/>
        </w:rPr>
        <w:t>12,155.24</w:t>
      </w:r>
      <w:r>
        <w:rPr>
          <w:rFonts w:ascii="Times New Roman" w:hAnsi="Times New Roman" w:cs="Times New Roman" w:eastAsia="Times New Roman" w:hint="default"/>
          <w:spacing w:val="-1"/>
        </w:rPr>
        <w:t> </w:t>
      </w:r>
      <w:r>
        <w:rPr/>
        <w:t>万元，北京中林资产评估有限公司于</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p>
    <w:p>
      <w:pPr>
        <w:pStyle w:val="BodyText"/>
        <w:spacing w:line="240" w:lineRule="auto" w:before="63"/>
        <w:ind w:left="1134" w:right="0"/>
        <w:jc w:val="left"/>
      </w:pPr>
      <w:r>
        <w:rPr>
          <w:rFonts w:ascii="Times New Roman" w:hAnsi="Times New Roman" w:cs="Times New Roman" w:eastAsia="Times New Roman" w:hint="default"/>
        </w:rPr>
        <w:t>25</w:t>
      </w:r>
      <w:r>
        <w:rPr>
          <w:rFonts w:ascii="Times New Roman" w:hAnsi="Times New Roman" w:cs="Times New Roman" w:eastAsia="Times New Roman" w:hint="default"/>
          <w:spacing w:val="-6"/>
        </w:rPr>
        <w:t> </w:t>
      </w:r>
      <w:r>
        <w:rPr/>
        <w:t>日出具了编号为</w:t>
      </w:r>
      <w:r>
        <w:rPr>
          <w:rFonts w:ascii="Times New Roman" w:hAnsi="Times New Roman" w:cs="Times New Roman" w:eastAsia="Times New Roman" w:hint="default"/>
        </w:rPr>
        <w:t>“</w:t>
      </w:r>
      <w:r>
        <w:rPr/>
        <w:t>中林评字</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号</w:t>
      </w:r>
      <w:r>
        <w:rPr>
          <w:rFonts w:ascii="Times New Roman" w:hAnsi="Times New Roman" w:cs="Times New Roman" w:eastAsia="Times New Roman" w:hint="default"/>
        </w:rPr>
        <w:t>”</w:t>
      </w:r>
      <w:r>
        <w:rPr/>
        <w:t>的评估报告。本公司董事会认为，基于上述评估，截至</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日对深圳</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苏摩商誉计提</w:t>
      </w:r>
      <w:r>
        <w:rPr>
          <w:spacing w:val="-47"/>
        </w:rPr>
        <w:t> </w:t>
      </w:r>
      <w:r>
        <w:rPr>
          <w:rFonts w:ascii="Times New Roman" w:hAnsi="Times New Roman" w:cs="Times New Roman" w:eastAsia="Times New Roman" w:hint="default"/>
        </w:rPr>
        <w:t>26,095,400.00</w:t>
      </w:r>
      <w:r>
        <w:rPr>
          <w:rFonts w:ascii="Times New Roman" w:hAnsi="Times New Roman" w:cs="Times New Roman" w:eastAsia="Times New Roman" w:hint="default"/>
          <w:spacing w:val="-1"/>
        </w:rPr>
        <w:t> </w:t>
      </w:r>
      <w:r>
        <w:rPr/>
        <w:t>元减值准备。</w:t>
      </w:r>
    </w:p>
    <w:p>
      <w:pPr>
        <w:spacing w:line="240" w:lineRule="auto" w:before="9"/>
        <w:rPr>
          <w:rFonts w:ascii="宋体" w:hAnsi="宋体" w:cs="宋体" w:eastAsia="宋体" w:hint="default"/>
          <w:sz w:val="25"/>
          <w:szCs w:val="25"/>
        </w:rPr>
      </w:pPr>
    </w:p>
    <w:p>
      <w:pPr>
        <w:pStyle w:val="Heading7"/>
        <w:spacing w:line="240" w:lineRule="auto"/>
        <w:ind w:left="1133" w:right="0"/>
        <w:jc w:val="left"/>
        <w:rPr>
          <w:b w:val="0"/>
          <w:bCs w:val="0"/>
        </w:rPr>
      </w:pPr>
      <w:bookmarkStart w:name="28、长期待摊费用" w:id="301"/>
      <w:bookmarkEnd w:id="301"/>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版权金代理费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62,159,107.67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9,739,138.20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42,564,190.88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25,684,792.16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3,649,262.83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527,272.33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315,553.80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171,843.49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39,875.04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93,041.67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103,633.36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270,300.00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719,108.31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62,779,421.67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10,739,138.20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42,983,378.04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26,126,935.65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4,408,246.18</w:t>
            </w:r>
          </w:p>
        </w:tc>
      </w:tr>
    </w:tbl>
    <w:p>
      <w:pPr>
        <w:spacing w:line="240" w:lineRule="auto" w:before="2"/>
        <w:rPr>
          <w:rFonts w:ascii="宋体" w:hAnsi="宋体" w:cs="宋体" w:eastAsia="宋体" w:hint="default"/>
          <w:sz w:val="19"/>
          <w:szCs w:val="19"/>
        </w:rPr>
      </w:pPr>
    </w:p>
    <w:p>
      <w:pPr>
        <w:pStyle w:val="Heading7"/>
        <w:spacing w:line="506" w:lineRule="auto" w:before="35"/>
        <w:ind w:left="1133" w:right="7322"/>
        <w:jc w:val="left"/>
        <w:rPr>
          <w:b w:val="0"/>
          <w:bCs w:val="0"/>
        </w:rPr>
      </w:pPr>
      <w:bookmarkStart w:name="29、递延所得税资产/递延所得税负债" w:id="302"/>
      <w:bookmarkEnd w:id="302"/>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w w:val="99"/>
        </w:rPr>
        <w:t> </w:t>
      </w:r>
      <w:bookmarkStart w:name="(1)未经抵销的递延所得税资产" w:id="303"/>
      <w:bookmarkEnd w:id="303"/>
      <w:r>
        <w:rPr>
          <w:w w:val="99"/>
        </w:rPr>
      </w:r>
      <w:r>
        <w:rPr>
          <w:rFonts w:ascii="Times New Roman" w:hAnsi="Times New Roman" w:cs="Times New Roman" w:eastAsia="Times New Roman" w:hint="default"/>
        </w:rPr>
        <w:t>(1)</w:t>
      </w:r>
      <w:r>
        <w:rPr/>
        <w:t>未经抵销的递延所得税资产</w:t>
      </w:r>
      <w:r>
        <w:rPr>
          <w:b w:val="0"/>
          <w:bCs w:val="0"/>
        </w:rPr>
      </w:r>
    </w:p>
    <w:p>
      <w:pPr>
        <w:pStyle w:val="BodyText"/>
        <w:spacing w:line="240" w:lineRule="auto" w:before="9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152,398,246.19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22,559,444.71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76,279,151.29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11,209,089.16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5,031,545.47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754,731.82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9,207,758.03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1,621,245.70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51,502,683.80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8,345,328.05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24,636,558.55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5,274,617.28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无形资产摊销额大于税 法摊销未转回</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76,778,926.89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11,070,233.05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55,744,813.95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8,361,722.10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广告费用超支部分未转 回</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2,138,310.19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320,746.53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73,132,673.53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10,153,937.68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34,421,796.32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5,218,051.27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41,803,549.11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6,270,532.37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期权成本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189,557.10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28,433.57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678,445.60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101,766.84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长期待摊费用摊销额大 于税法摊销未转回</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1,834,381.55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458,595.39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324,295,447.51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48,755,564.39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281,482,950.06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42,992,911.13</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未经抵销的递延所得税负债" w:id="304"/>
      <w:bookmarkEnd w:id="304"/>
      <w:r>
        <w:rPr>
          <w:b w:val="0"/>
          <w:bCs w:val="0"/>
        </w:rPr>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98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因长期股权投资转为可 供出售金融资产按公允 价值重新计量确认的递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759" w:right="0"/>
              <w:jc w:val="left"/>
              <w:rPr>
                <w:rFonts w:ascii="Times New Roman" w:hAnsi="Times New Roman" w:cs="Times New Roman" w:eastAsia="Times New Roman" w:hint="default"/>
                <w:sz w:val="18"/>
                <w:szCs w:val="18"/>
              </w:rPr>
            </w:pPr>
            <w:r>
              <w:rPr>
                <w:rFonts w:ascii="Times New Roman"/>
                <w:sz w:val="18"/>
              </w:rPr>
              <w:t>179,982,226.70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846" w:right="0"/>
              <w:jc w:val="left"/>
              <w:rPr>
                <w:rFonts w:ascii="Times New Roman" w:hAnsi="Times New Roman" w:cs="Times New Roman" w:eastAsia="Times New Roman" w:hint="default"/>
                <w:sz w:val="18"/>
                <w:szCs w:val="18"/>
              </w:rPr>
            </w:pPr>
            <w:r>
              <w:rPr>
                <w:rFonts w:ascii="Times New Roman"/>
                <w:sz w:val="18"/>
              </w:rPr>
              <w:t>26,997,334.01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延所得税负债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179,982,226.70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26,997,334.01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3)以抵销后净额列示的递延所得税资产或负债" w:id="305"/>
      <w:bookmarkEnd w:id="305"/>
      <w:r>
        <w:rPr>
          <w:b w:val="0"/>
          <w:bCs w:val="0"/>
        </w:rPr>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48,755,564.39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42,992,911.13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26,997,334.01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4)未确认递延所得税资产明细" w:id="306"/>
      <w:bookmarkEnd w:id="306"/>
      <w:r>
        <w:rPr>
          <w:b w:val="0"/>
          <w:bCs w:val="0"/>
        </w:rPr>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36,564,798.65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5,407,796.00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31,207,495.48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3,062,358.29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4,234,090.57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67,772,294.13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12,704,244.86</w:t>
            </w:r>
          </w:p>
        </w:tc>
      </w:tr>
    </w:tbl>
    <w:p>
      <w:pPr>
        <w:spacing w:line="240" w:lineRule="auto" w:before="3"/>
        <w:rPr>
          <w:rFonts w:ascii="宋体" w:hAnsi="宋体" w:cs="宋体" w:eastAsia="宋体" w:hint="default"/>
          <w:sz w:val="19"/>
          <w:szCs w:val="19"/>
        </w:rPr>
      </w:pPr>
    </w:p>
    <w:p>
      <w:pPr>
        <w:pStyle w:val="Heading7"/>
        <w:spacing w:line="240" w:lineRule="auto" w:before="35"/>
        <w:ind w:right="0"/>
        <w:jc w:val="left"/>
        <w:rPr>
          <w:b w:val="0"/>
          <w:bCs w:val="0"/>
        </w:rPr>
      </w:pPr>
      <w:bookmarkStart w:name="(5)未确认递延所得税资产的可抵扣亏损将于以下年度到期" w:id="307"/>
      <w:bookmarkEnd w:id="307"/>
      <w:r>
        <w:rPr>
          <w:b w:val="0"/>
          <w:bCs w:val="0"/>
        </w:rPr>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425,244.59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1,946,656.17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890,860.14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6,168,160.83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9,090,884.82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4,516,935.86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18,933,852.24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36,564,798.65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5,407,796.00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30、其他非流动资产" w:id="308"/>
      <w:bookmarkEnd w:id="308"/>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购置房屋建筑物预付款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5,852,720.00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2,556,860.00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预付股权转让款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176,023,800.00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预付版权金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16,213,252.71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14,618,155.00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1,229,443.70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22,065,972.71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194,428,258.70</w:t>
            </w:r>
          </w:p>
        </w:tc>
      </w:tr>
    </w:tbl>
    <w:p>
      <w:pPr>
        <w:spacing w:line="240" w:lineRule="auto" w:before="2"/>
        <w:rPr>
          <w:rFonts w:ascii="宋体" w:hAnsi="宋体" w:cs="宋体" w:eastAsia="宋体" w:hint="default"/>
          <w:sz w:val="19"/>
          <w:szCs w:val="19"/>
        </w:rPr>
      </w:pPr>
    </w:p>
    <w:p>
      <w:pPr>
        <w:pStyle w:val="Heading7"/>
        <w:spacing w:line="506" w:lineRule="auto" w:before="35"/>
        <w:ind w:right="9242"/>
        <w:jc w:val="left"/>
        <w:rPr>
          <w:b w:val="0"/>
          <w:bCs w:val="0"/>
        </w:rPr>
      </w:pPr>
      <w:bookmarkStart w:name="31、短期借款" w:id="309"/>
      <w:bookmarkEnd w:id="309"/>
      <w:r>
        <w:rPr>
          <w:b w:val="0"/>
          <w:bCs w:val="0"/>
        </w:rPr>
      </w:r>
      <w:r>
        <w:rPr>
          <w:rFonts w:ascii="Times New Roman" w:hAnsi="Times New Roman" w:cs="Times New Roman" w:eastAsia="Times New Roman" w:hint="default"/>
        </w:rPr>
        <w:t>31</w:t>
      </w:r>
      <w:r>
        <w:rPr/>
        <w:t>、短期借款</w:t>
      </w:r>
      <w:r>
        <w:rPr>
          <w:w w:val="99"/>
        </w:rPr>
        <w:t> </w:t>
      </w:r>
      <w:bookmarkStart w:name="(1)短期借款分类" w:id="310"/>
      <w:bookmarkEnd w:id="310"/>
      <w:r>
        <w:rPr>
          <w:w w:val="99"/>
        </w:rPr>
      </w:r>
      <w:r>
        <w:rPr>
          <w:rFonts w:ascii="Times New Roman" w:hAnsi="Times New Roman" w:cs="Times New Roman" w:eastAsia="Times New Roman" w:hint="default"/>
        </w:rPr>
        <w:t>(1)</w:t>
      </w:r>
      <w:r>
        <w:rPr/>
        <w:t>短期借款分类</w:t>
      </w:r>
      <w:r>
        <w:rPr>
          <w:b w:val="0"/>
          <w:bCs w:val="0"/>
        </w:rPr>
      </w:r>
    </w:p>
    <w:p>
      <w:pPr>
        <w:pStyle w:val="BodyText"/>
        <w:spacing w:line="240" w:lineRule="auto" w:before="9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280,000,000.00</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已逾期未偿还的短期借款情况" w:id="311"/>
      <w:bookmarkEnd w:id="311"/>
      <w:r>
        <w:rPr>
          <w:b w:val="0"/>
          <w:bCs w:val="0"/>
        </w:rPr>
      </w:r>
      <w:r>
        <w:rPr>
          <w:rFonts w:ascii="Times New Roman" w:hAnsi="Times New Roman" w:cs="Times New Roman" w:eastAsia="Times New Roman" w:hint="default"/>
        </w:rPr>
        <w:t>(2)</w:t>
      </w:r>
      <w:r>
        <w:rPr/>
        <w:t>已逾期未偿还的短期借款情况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元，其中重要的已逾期未偿还的短期借款情况如下：无</w:t>
      </w:r>
    </w:p>
    <w:p>
      <w:pPr>
        <w:spacing w:line="240" w:lineRule="auto" w:before="10"/>
        <w:rPr>
          <w:rFonts w:ascii="宋体" w:hAnsi="宋体" w:cs="宋体" w:eastAsia="宋体" w:hint="default"/>
          <w:sz w:val="25"/>
          <w:szCs w:val="25"/>
        </w:rPr>
      </w:pPr>
    </w:p>
    <w:p>
      <w:pPr>
        <w:pStyle w:val="Heading7"/>
        <w:spacing w:line="240" w:lineRule="auto"/>
        <w:ind w:right="0"/>
        <w:jc w:val="left"/>
        <w:rPr>
          <w:b w:val="0"/>
          <w:bCs w:val="0"/>
        </w:rPr>
      </w:pPr>
      <w:bookmarkStart w:name="32、以公允价值计量且其变动计入当期损益的金融负债" w:id="312"/>
      <w:bookmarkEnd w:id="312"/>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33、衍生金融负债" w:id="313"/>
      <w:bookmarkEnd w:id="313"/>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26"/>
          <w:szCs w:val="26"/>
        </w:rPr>
      </w:pPr>
    </w:p>
    <w:p>
      <w:pPr>
        <w:spacing w:line="547" w:lineRule="auto" w:before="0"/>
        <w:ind w:left="1133" w:right="93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34、应付票据" w:id="314"/>
      <w:bookmarkEnd w:id="314"/>
      <w:r>
        <w:rPr>
          <w:rFonts w:ascii="宋体" w:hAnsi="宋体" w:cs="宋体" w:eastAsia="宋体" w:hint="default"/>
          <w:sz w:val="18"/>
          <w:szCs w:val="18"/>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、应付票据</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7"/>
        <w:spacing w:line="506" w:lineRule="auto" w:before="120"/>
        <w:ind w:right="9242"/>
        <w:jc w:val="left"/>
        <w:rPr>
          <w:b w:val="0"/>
          <w:bCs w:val="0"/>
        </w:rPr>
      </w:pPr>
      <w:bookmarkStart w:name="35、应付账款" w:id="315"/>
      <w:bookmarkEnd w:id="315"/>
      <w:r>
        <w:rPr>
          <w:b w:val="0"/>
          <w:bCs w:val="0"/>
        </w:rPr>
      </w:r>
      <w:r>
        <w:rPr>
          <w:rFonts w:ascii="Times New Roman" w:hAnsi="Times New Roman" w:cs="Times New Roman" w:eastAsia="Times New Roman" w:hint="default"/>
        </w:rPr>
        <w:t>35</w:t>
      </w:r>
      <w:r>
        <w:rPr/>
        <w:t>、应付账款</w:t>
      </w:r>
      <w:r>
        <w:rPr>
          <w:w w:val="99"/>
        </w:rPr>
        <w:t> </w:t>
      </w:r>
      <w:bookmarkStart w:name="(1)应付账款列示" w:id="316"/>
      <w:bookmarkEnd w:id="316"/>
      <w:r>
        <w:rPr>
          <w:w w:val="99"/>
        </w:rPr>
      </w:r>
      <w:r>
        <w:rPr>
          <w:rFonts w:ascii="Times New Roman" w:hAnsi="Times New Roman" w:cs="Times New Roman" w:eastAsia="Times New Roman" w:hint="default"/>
        </w:rPr>
        <w:t>(1)</w:t>
      </w:r>
      <w:r>
        <w:rPr/>
        <w:t>应付账款列示</w:t>
      </w:r>
      <w:r>
        <w:rPr>
          <w:b w:val="0"/>
          <w:bCs w:val="0"/>
        </w:rPr>
      </w:r>
    </w:p>
    <w:p>
      <w:pPr>
        <w:pStyle w:val="BodyText"/>
        <w:spacing w:line="240" w:lineRule="auto" w:before="9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应付分成款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9,390,522.91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14,855,332.07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应付广告费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9,360,128.60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7,439,123.47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应付委托开发款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应付服务器托管费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2,195,065.75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1,528,177.68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应付信息费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1,955,847.88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1,335,072.59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应付版权金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1,083,344.16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应付游戏使用权转让费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应付代码费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2,272,760.00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2,141,650.00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1,426,772.28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1,202,056.35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26,601,097.42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42,384,756.32</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账龄超过1年的重要应付账款" w:id="317"/>
      <w:bookmarkEnd w:id="317"/>
      <w:r>
        <w:rPr>
          <w:b w:val="0"/>
          <w:bCs w:val="0"/>
        </w:rPr>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盛趣信息技术</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2,335,711.24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PowerBang International</w:t>
            </w:r>
            <w:r>
              <w:rPr>
                <w:rFonts w:ascii="Times New Roman"/>
                <w:spacing w:val="-5"/>
                <w:sz w:val="18"/>
              </w:rPr>
              <w:t> </w:t>
            </w:r>
            <w:r>
              <w:rPr>
                <w:rFonts w:ascii="Times New Roman"/>
                <w:sz w:val="18"/>
              </w:rPr>
              <w:t>Ltd</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2,272,760.00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深圳莲蓬网络科技有限公司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6,408,471.24</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7"/>
        <w:spacing w:line="506" w:lineRule="auto"/>
        <w:ind w:right="9242"/>
        <w:jc w:val="left"/>
        <w:rPr>
          <w:b w:val="0"/>
          <w:bCs w:val="0"/>
        </w:rPr>
      </w:pPr>
      <w:bookmarkStart w:name="36、预收款项" w:id="318"/>
      <w:bookmarkEnd w:id="318"/>
      <w:r>
        <w:rPr>
          <w:b w:val="0"/>
          <w:bCs w:val="0"/>
        </w:rPr>
      </w:r>
      <w:r>
        <w:rPr>
          <w:rFonts w:ascii="Times New Roman" w:hAnsi="Times New Roman" w:cs="Times New Roman" w:eastAsia="Times New Roman" w:hint="default"/>
        </w:rPr>
        <w:t>36</w:t>
      </w:r>
      <w:r>
        <w:rPr/>
        <w:t>、预收款项</w:t>
      </w:r>
      <w:r>
        <w:rPr>
          <w:w w:val="99"/>
        </w:rPr>
        <w:t> </w:t>
      </w:r>
      <w:bookmarkStart w:name="(1)预收款项列示" w:id="319"/>
      <w:bookmarkEnd w:id="319"/>
      <w:r>
        <w:rPr>
          <w:w w:val="99"/>
        </w:rPr>
      </w:r>
      <w:r>
        <w:rPr>
          <w:rFonts w:ascii="Times New Roman" w:hAnsi="Times New Roman" w:cs="Times New Roman" w:eastAsia="Times New Roman" w:hint="default"/>
        </w:rPr>
        <w:t>(1)</w:t>
      </w:r>
      <w:r>
        <w:rPr/>
        <w:t>预收款项列示</w:t>
      </w:r>
      <w:r>
        <w:rPr>
          <w:b w:val="0"/>
          <w:bCs w:val="0"/>
        </w:rPr>
      </w:r>
    </w:p>
    <w:p>
      <w:pPr>
        <w:pStyle w:val="BodyText"/>
        <w:spacing w:line="240" w:lineRule="auto" w:before="91"/>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946,942.14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595,748.91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380,131.44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42,121.15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42,121.15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114,096.90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149,462.46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35,365.56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1,518,657.19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787,332.52</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账龄超过1年的重要预收款项" w:id="320"/>
      <w:bookmarkEnd w:id="320"/>
      <w:r>
        <w:rPr>
          <w:b w:val="0"/>
          <w:bCs w:val="0"/>
        </w:rPr>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3)期末建造合同形成的已结算未完工项目情况" w:id="321"/>
      <w:bookmarkEnd w:id="321"/>
      <w:r>
        <w:rPr>
          <w:b w:val="0"/>
          <w:bCs w:val="0"/>
        </w:rPr>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7"/>
        <w:spacing w:line="506" w:lineRule="auto"/>
        <w:ind w:right="8820"/>
        <w:jc w:val="left"/>
        <w:rPr>
          <w:b w:val="0"/>
          <w:bCs w:val="0"/>
        </w:rPr>
      </w:pPr>
      <w:bookmarkStart w:name="37、应付职工薪酬" w:id="322"/>
      <w:bookmarkEnd w:id="322"/>
      <w:r>
        <w:rPr>
          <w:b w:val="0"/>
          <w:bCs w:val="0"/>
        </w:rPr>
      </w:r>
      <w:r>
        <w:rPr>
          <w:rFonts w:ascii="Times New Roman" w:hAnsi="Times New Roman" w:cs="Times New Roman" w:eastAsia="Times New Roman" w:hint="default"/>
        </w:rPr>
        <w:t>37</w:t>
      </w:r>
      <w:r>
        <w:rPr/>
        <w:t>、应付职工薪酬</w:t>
      </w:r>
      <w:r>
        <w:rPr>
          <w:w w:val="99"/>
        </w:rPr>
        <w:t> </w:t>
      </w:r>
      <w:bookmarkStart w:name="(1)应付职工薪酬列示" w:id="323"/>
      <w:bookmarkEnd w:id="323"/>
      <w:r>
        <w:rPr>
          <w:w w:val="99"/>
        </w:rPr>
      </w:r>
      <w:r>
        <w:rPr>
          <w:rFonts w:ascii="Times New Roman" w:hAnsi="Times New Roman" w:cs="Times New Roman" w:eastAsia="Times New Roman" w:hint="default"/>
        </w:rPr>
        <w:t>(1)</w:t>
      </w:r>
      <w:r>
        <w:rPr/>
        <w:t>应付职工薪酬列示</w:t>
      </w:r>
      <w:r>
        <w:rPr>
          <w:b w:val="0"/>
          <w:bCs w:val="0"/>
        </w:rPr>
      </w:r>
    </w:p>
    <w:p>
      <w:pPr>
        <w:pStyle w:val="BodyText"/>
        <w:spacing w:line="240" w:lineRule="auto" w:before="91"/>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15,739,554.54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145,466,153.75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148,587,463.86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12,618,244.43</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144,285.19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9,051,752.22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9,136,300.45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59,736.96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267,287.77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267,287.77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15,883,839.73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154,785,193.74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157,991,052.08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12,677,981.39</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短期薪酬列示" w:id="324"/>
      <w:bookmarkEnd w:id="324"/>
      <w:r>
        <w:rPr>
          <w:b w:val="0"/>
          <w:bCs w:val="0"/>
        </w:rPr>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15,385,040.09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126,798,610.49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129,922,281.47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12,261,369.11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6,353,582.37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6,251,165.88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102,416.49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91,585.77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7,444,341.29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7,456,320.23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79,606.83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81,540.95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6,842,830.11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6,847,672.86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76,698.20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1,121.02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138,939.81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139,585.34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475.49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7,282.80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362,301.31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368,691.97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892.14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100,270.06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100,370.06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1,541.00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190,755.07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4,836,787.93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4,852,691.00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174,852.00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32,831.67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32,831.67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72,173.61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72,173.61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15,739,554.54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145,466,153.75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148,587,463.86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12,618,244.43</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3)设定提存计划列示" w:id="325"/>
      <w:bookmarkEnd w:id="325"/>
      <w:r>
        <w:rPr>
          <w:b w:val="0"/>
          <w:bCs w:val="0"/>
        </w:rPr>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125,403.98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8,560,046.78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8,632,177.15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53,273.61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18,881.21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491,705.44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504,123.30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6,463.35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144,285.19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9,051,752.22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9,136,300.45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59,736.96</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38、应交税费" w:id="326"/>
      <w:bookmarkEnd w:id="326"/>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5,155,875.22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578,816.25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26,492.35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6,651,115.63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3,064,017.25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1,008,058.97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1,255,683.04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272,363.01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117,601.34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199,393.55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84,000.98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5,036.46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3,181.25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3,274.71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3,274.72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675.48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2,401.98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18,135.36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13,298,155.86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5,152,309.57</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39、应付利息" w:id="327"/>
      <w:bookmarkEnd w:id="327"/>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627,122.22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627,122.22</w:t>
            </w:r>
          </w:p>
        </w:tc>
      </w:tr>
    </w:tbl>
    <w:p>
      <w:pPr>
        <w:pStyle w:val="BodyText"/>
        <w:spacing w:line="240" w:lineRule="auto" w:before="51"/>
        <w:ind w:left="1134" w:right="0"/>
        <w:jc w:val="left"/>
      </w:pPr>
      <w:r>
        <w:rPr/>
        <w:t>重要的已逾期未支付的利息情况：无</w:t>
      </w:r>
    </w:p>
    <w:p>
      <w:pPr>
        <w:spacing w:line="240" w:lineRule="auto" w:before="11"/>
        <w:rPr>
          <w:rFonts w:ascii="宋体" w:hAnsi="宋体" w:cs="宋体" w:eastAsia="宋体" w:hint="default"/>
          <w:sz w:val="26"/>
          <w:szCs w:val="26"/>
        </w:rPr>
      </w:pPr>
    </w:p>
    <w:p>
      <w:pPr>
        <w:pStyle w:val="Heading7"/>
        <w:spacing w:line="240" w:lineRule="auto"/>
        <w:ind w:left="1133" w:right="0"/>
        <w:jc w:val="left"/>
        <w:rPr>
          <w:b w:val="0"/>
          <w:bCs w:val="0"/>
        </w:rPr>
      </w:pPr>
      <w:bookmarkStart w:name="40、应付股利" w:id="328"/>
      <w:bookmarkEnd w:id="328"/>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1"/>
        <w:rPr>
          <w:rFonts w:ascii="宋体" w:hAnsi="宋体" w:cs="宋体" w:eastAsia="宋体" w:hint="default"/>
          <w:sz w:val="26"/>
          <w:szCs w:val="26"/>
        </w:rPr>
      </w:pPr>
    </w:p>
    <w:p>
      <w:pPr>
        <w:pStyle w:val="Heading7"/>
        <w:spacing w:line="506" w:lineRule="auto"/>
        <w:ind w:right="7977"/>
        <w:jc w:val="left"/>
        <w:rPr>
          <w:b w:val="0"/>
          <w:bCs w:val="0"/>
        </w:rPr>
      </w:pPr>
      <w:bookmarkStart w:name="41、其他应付款" w:id="329"/>
      <w:bookmarkEnd w:id="329"/>
      <w:r>
        <w:rPr>
          <w:b w:val="0"/>
          <w:bCs w:val="0"/>
        </w:rPr>
      </w:r>
      <w:r>
        <w:rPr>
          <w:rFonts w:ascii="Times New Roman" w:hAnsi="Times New Roman" w:cs="Times New Roman" w:eastAsia="Times New Roman" w:hint="default"/>
        </w:rPr>
        <w:t>41</w:t>
      </w:r>
      <w:r>
        <w:rPr/>
        <w:t>、其他应付款</w:t>
      </w:r>
      <w:r>
        <w:rPr>
          <w:w w:val="99"/>
        </w:rPr>
        <w:t> </w:t>
      </w:r>
      <w:bookmarkStart w:name="(1)按款项性质列示其他应付款" w:id="330"/>
      <w:bookmarkEnd w:id="330"/>
      <w:r>
        <w:rPr>
          <w:w w:val="99"/>
        </w:rPr>
      </w:r>
      <w:r>
        <w:rPr>
          <w:rFonts w:ascii="Times New Roman" w:hAnsi="Times New Roman" w:cs="Times New Roman" w:eastAsia="Times New Roman" w:hint="default"/>
        </w:rPr>
        <w:t>(1)</w:t>
      </w:r>
      <w:r>
        <w:rPr/>
        <w:t>按款项性质列示其他应付款</w:t>
      </w:r>
      <w:r>
        <w:rPr>
          <w:b w:val="0"/>
          <w:bCs w:val="0"/>
        </w:rPr>
      </w:r>
    </w:p>
    <w:p>
      <w:pPr>
        <w:pStyle w:val="BodyText"/>
        <w:spacing w:line="240" w:lineRule="auto" w:before="9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1,882,682.72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1,001,928.93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信用卡欠款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175,242.33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208,644.32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房屋租赁押金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1,181,491.30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诉讼赔偿支出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26,503.29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233,443.61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627,783.95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697,978.64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2,945,655.90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3,690,043.19</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账龄超过1年的重要其他应付款" w:id="331"/>
      <w:bookmarkEnd w:id="331"/>
      <w:r>
        <w:rPr>
          <w:b w:val="0"/>
          <w:bCs w:val="0"/>
        </w:rPr>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42、划分为持有待售的负债" w:id="332"/>
      <w:bookmarkEnd w:id="332"/>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43、一年内到期的非流动负债" w:id="333"/>
      <w:bookmarkEnd w:id="333"/>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44、其他流动负债" w:id="334"/>
      <w:bookmarkEnd w:id="334"/>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预收的游戏卡未实现收入产生的递延收 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7,557,808.03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7,486,914.59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4,755,600.07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特许费收入</w:t>
            </w:r>
            <w:r>
              <w:rPr>
                <w:rFonts w:ascii="Times New Roman" w:hAnsi="Times New Roman" w:cs="Times New Roman" w:eastAsia="Times New Roman" w:hint="default"/>
                <w:sz w:val="18"/>
                <w:szCs w:val="18"/>
              </w:rPr>
              <w:t>(</w:t>
            </w:r>
            <w:r>
              <w:rPr>
                <w:rFonts w:ascii="宋体" w:hAnsi="宋体" w:cs="宋体" w:eastAsia="宋体" w:hint="default"/>
                <w:sz w:val="18"/>
                <w:szCs w:val="18"/>
              </w:rPr>
              <w:t>授权金</w:t>
            </w:r>
            <w:r>
              <w:rPr>
                <w:rFonts w:ascii="Times New Roman" w:hAnsi="Times New Roman" w:cs="Times New Roman" w:eastAsia="Times New Roman"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5,633,184.67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17,946,592.77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7,486,914.59</w:t>
            </w:r>
          </w:p>
        </w:tc>
      </w:tr>
    </w:tbl>
    <w:p>
      <w:pPr>
        <w:pStyle w:val="BodyText"/>
        <w:spacing w:line="240" w:lineRule="auto" w:before="51"/>
        <w:ind w:left="1134" w:right="0"/>
        <w:jc w:val="left"/>
      </w:pPr>
      <w:r>
        <w:rPr/>
        <w:t>短期应付债券的增减变动：无</w:t>
      </w:r>
    </w:p>
    <w:p>
      <w:pPr>
        <w:spacing w:line="240" w:lineRule="auto" w:before="11"/>
        <w:rPr>
          <w:rFonts w:ascii="宋体" w:hAnsi="宋体" w:cs="宋体" w:eastAsia="宋体" w:hint="default"/>
          <w:sz w:val="26"/>
          <w:szCs w:val="26"/>
        </w:rPr>
      </w:pPr>
    </w:p>
    <w:p>
      <w:pPr>
        <w:pStyle w:val="Heading7"/>
        <w:spacing w:line="506" w:lineRule="auto"/>
        <w:ind w:right="9242"/>
        <w:jc w:val="left"/>
        <w:rPr>
          <w:b w:val="0"/>
          <w:bCs w:val="0"/>
        </w:rPr>
      </w:pPr>
      <w:bookmarkStart w:name="45、长期借款" w:id="335"/>
      <w:bookmarkEnd w:id="335"/>
      <w:r>
        <w:rPr>
          <w:b w:val="0"/>
          <w:bCs w:val="0"/>
        </w:rPr>
      </w:r>
      <w:r>
        <w:rPr>
          <w:rFonts w:ascii="Times New Roman" w:hAnsi="Times New Roman" w:cs="Times New Roman" w:eastAsia="Times New Roman" w:hint="default"/>
        </w:rPr>
        <w:t>45</w:t>
      </w:r>
      <w:r>
        <w:rPr/>
        <w:t>、长期借款</w:t>
      </w:r>
      <w:r>
        <w:rPr>
          <w:w w:val="99"/>
        </w:rPr>
        <w:t> </w:t>
      </w:r>
      <w:bookmarkStart w:name="(1)长期借款分类" w:id="336"/>
      <w:bookmarkEnd w:id="336"/>
      <w:r>
        <w:rPr>
          <w:w w:val="99"/>
        </w:rPr>
      </w:r>
      <w:r>
        <w:rPr>
          <w:rFonts w:ascii="Times New Roman" w:hAnsi="Times New Roman" w:cs="Times New Roman" w:eastAsia="Times New Roman" w:hint="default"/>
        </w:rPr>
        <w:t>(1)</w:t>
      </w:r>
      <w:r>
        <w:rPr/>
        <w:t>长期借款分类</w:t>
      </w:r>
      <w:r>
        <w:rPr>
          <w:b w:val="0"/>
          <w:bCs w:val="0"/>
        </w:rPr>
      </w:r>
    </w:p>
    <w:p>
      <w:pPr>
        <w:pStyle w:val="BodyText"/>
        <w:spacing w:line="240" w:lineRule="auto" w:before="9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7,956,000.00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7,956,000.00</w:t>
            </w:r>
          </w:p>
        </w:tc>
      </w:tr>
    </w:tbl>
    <w:p>
      <w:pPr>
        <w:spacing w:line="240" w:lineRule="auto" w:before="2"/>
        <w:rPr>
          <w:rFonts w:ascii="宋体" w:hAnsi="宋体" w:cs="宋体" w:eastAsia="宋体" w:hint="default"/>
          <w:sz w:val="19"/>
          <w:szCs w:val="19"/>
        </w:rPr>
      </w:pPr>
    </w:p>
    <w:p>
      <w:pPr>
        <w:pStyle w:val="Heading7"/>
        <w:spacing w:line="518" w:lineRule="auto" w:before="35"/>
        <w:ind w:right="9504"/>
        <w:jc w:val="left"/>
        <w:rPr>
          <w:rFonts w:ascii="宋体" w:hAnsi="宋体" w:cs="宋体" w:eastAsia="宋体" w:hint="default"/>
          <w:b w:val="0"/>
          <w:bCs w:val="0"/>
          <w:sz w:val="18"/>
          <w:szCs w:val="18"/>
        </w:rPr>
      </w:pPr>
      <w:bookmarkStart w:name="46、应付债券" w:id="337"/>
      <w:bookmarkEnd w:id="337"/>
      <w:r>
        <w:rPr>
          <w:b w:val="0"/>
          <w:bCs w:val="0"/>
        </w:rPr>
      </w:r>
      <w:r>
        <w:rPr>
          <w:rFonts w:ascii="Times New Roman" w:hAnsi="Times New Roman" w:cs="Times New Roman" w:eastAsia="Times New Roman" w:hint="default"/>
        </w:rPr>
        <w:t>46</w:t>
      </w:r>
      <w:r>
        <w:rPr/>
        <w:t>、应付债券</w:t>
      </w:r>
      <w:r>
        <w:rPr>
          <w:w w:val="99"/>
        </w:rPr>
        <w:t> </w:t>
      </w:r>
      <w:bookmarkStart w:name="(1)应付债券" w:id="338"/>
      <w:bookmarkEnd w:id="338"/>
      <w:r>
        <w:rPr>
          <w:w w:val="99"/>
        </w:rPr>
      </w:r>
      <w:r>
        <w:rPr>
          <w:rFonts w:ascii="Times New Roman" w:hAnsi="Times New Roman" w:cs="Times New Roman" w:eastAsia="Times New Roman" w:hint="default"/>
        </w:rPr>
        <w:t>(1)</w:t>
      </w:r>
      <w:r>
        <w:rPr/>
        <w:t>应付债券</w:t>
      </w:r>
      <w:r>
        <w:rPr>
          <w:spacing w:val="1"/>
          <w:w w:val="99"/>
        </w:rPr>
        <w:t> </w:t>
      </w:r>
      <w:r>
        <w:rPr>
          <w:rFonts w:ascii="宋体" w:hAnsi="宋体" w:cs="宋体" w:eastAsia="宋体" w:hint="default"/>
          <w:b w:val="0"/>
          <w:bCs w:val="0"/>
          <w:sz w:val="18"/>
          <w:szCs w:val="18"/>
        </w:rPr>
        <w:t>无</w:t>
      </w:r>
    </w:p>
    <w:p>
      <w:pPr>
        <w:spacing w:after="0" w:line="51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40" w:lineRule="auto" w:before="35"/>
        <w:ind w:left="1133" w:right="0"/>
        <w:jc w:val="left"/>
        <w:rPr>
          <w:rFonts w:ascii="Times New Roman" w:hAnsi="Times New Roman" w:cs="Times New Roman" w:eastAsia="Times New Roman" w:hint="default"/>
          <w:b w:val="0"/>
          <w:bCs w:val="0"/>
        </w:rPr>
      </w:pPr>
      <w:bookmarkStart w:name="(2)应付债券的增减变动(不包括划分为金融负债的优先股、永续债等其他金融工具)" w:id="339"/>
      <w:bookmarkEnd w:id="339"/>
      <w:r>
        <w:rPr>
          <w:b w:val="0"/>
          <w:bCs w:val="0"/>
        </w:rPr>
      </w:r>
      <w:r>
        <w:rPr>
          <w:rFonts w:ascii="Times New Roman" w:hAnsi="Times New Roman" w:cs="Times New Roman" w:eastAsia="Times New Roman" w:hint="default"/>
        </w:rPr>
        <w:t>(2)</w:t>
      </w:r>
      <w:r>
        <w:rPr/>
        <w:t>应付债券的增减变动</w:t>
      </w:r>
      <w:r>
        <w:rPr>
          <w:rFonts w:ascii="Times New Roman" w:hAnsi="Times New Roman" w:cs="Times New Roman" w:eastAsia="Times New Roman" w:hint="default"/>
        </w:rPr>
        <w:t>(</w:t>
      </w:r>
      <w:r>
        <w:rPr/>
        <w:t>不包括划分为金融负债的优先股、永续债等其他金融工具</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line="240" w:lineRule="auto" w:before="4"/>
        <w:rPr>
          <w:rFonts w:ascii="Times New Roman" w:hAnsi="Times New Roman" w:cs="Times New Roman" w:eastAsia="Times New Roman" w:hint="default"/>
          <w:b/>
          <w:bCs/>
          <w:sz w:val="30"/>
          <w:szCs w:val="30"/>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3)可转换公司债券的转股条件、转股时间说明" w:id="340"/>
      <w:bookmarkEnd w:id="340"/>
      <w:r>
        <w:rPr>
          <w:b w:val="0"/>
          <w:bCs w:val="0"/>
        </w:rPr>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4)划分为金融负债的其他金融工具说明" w:id="341"/>
      <w:bookmarkEnd w:id="341"/>
      <w:r>
        <w:rPr>
          <w:b w:val="0"/>
          <w:bCs w:val="0"/>
        </w:rPr>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7"/>
        <w:spacing w:line="516" w:lineRule="auto"/>
        <w:ind w:left="1133" w:right="7978"/>
        <w:jc w:val="left"/>
        <w:rPr>
          <w:rFonts w:ascii="宋体" w:hAnsi="宋体" w:cs="宋体" w:eastAsia="宋体" w:hint="default"/>
          <w:b w:val="0"/>
          <w:bCs w:val="0"/>
          <w:sz w:val="18"/>
          <w:szCs w:val="18"/>
        </w:rPr>
      </w:pPr>
      <w:bookmarkStart w:name="47、长期应付款" w:id="342"/>
      <w:bookmarkEnd w:id="342"/>
      <w:r>
        <w:rPr>
          <w:b w:val="0"/>
          <w:bCs w:val="0"/>
        </w:rPr>
      </w:r>
      <w:r>
        <w:rPr>
          <w:rFonts w:ascii="Times New Roman" w:hAnsi="Times New Roman" w:cs="Times New Roman" w:eastAsia="Times New Roman" w:hint="default"/>
        </w:rPr>
        <w:t>47</w:t>
      </w:r>
      <w:r>
        <w:rPr/>
        <w:t>、长期应付款</w:t>
      </w:r>
      <w:r>
        <w:rPr>
          <w:w w:val="99"/>
        </w:rPr>
        <w:t> </w:t>
      </w:r>
      <w:bookmarkStart w:name="(1)按款项性质列示长期应付款" w:id="343"/>
      <w:bookmarkEnd w:id="343"/>
      <w:r>
        <w:rPr>
          <w:w w:val="99"/>
        </w:rPr>
      </w:r>
      <w:r>
        <w:rPr>
          <w:rFonts w:ascii="Times New Roman" w:hAnsi="Times New Roman" w:cs="Times New Roman" w:eastAsia="Times New Roman" w:hint="default"/>
        </w:rPr>
        <w:t>(1)</w:t>
      </w:r>
      <w:r>
        <w:rPr/>
        <w:t>按款项性质列示长期应付款</w:t>
      </w:r>
      <w:r>
        <w:rPr>
          <w:w w:val="99"/>
        </w:rPr>
        <w:t> </w:t>
      </w:r>
      <w:r>
        <w:rPr>
          <w:rFonts w:ascii="宋体" w:hAnsi="宋体" w:cs="宋体" w:eastAsia="宋体" w:hint="default"/>
          <w:b w:val="0"/>
          <w:bCs w:val="0"/>
          <w:sz w:val="18"/>
          <w:szCs w:val="18"/>
        </w:rPr>
        <w:t>无</w:t>
      </w:r>
    </w:p>
    <w:p>
      <w:pPr>
        <w:pStyle w:val="Heading7"/>
        <w:spacing w:line="518" w:lineRule="auto" w:before="144"/>
        <w:ind w:left="1133" w:right="8629"/>
        <w:jc w:val="both"/>
        <w:rPr>
          <w:rFonts w:ascii="宋体" w:hAnsi="宋体" w:cs="宋体" w:eastAsia="宋体" w:hint="default"/>
          <w:b w:val="0"/>
          <w:bCs w:val="0"/>
          <w:sz w:val="18"/>
          <w:szCs w:val="18"/>
        </w:rPr>
      </w:pPr>
      <w:bookmarkStart w:name="48、长期应付职工薪酬" w:id="344"/>
      <w:bookmarkEnd w:id="344"/>
      <w:r>
        <w:rPr>
          <w:b w:val="0"/>
          <w:bCs w:val="0"/>
        </w:rPr>
      </w:r>
      <w:r>
        <w:rPr>
          <w:rFonts w:ascii="Times New Roman" w:hAnsi="Times New Roman" w:cs="Times New Roman" w:eastAsia="Times New Roman" w:hint="default"/>
        </w:rPr>
        <w:t>48</w:t>
      </w:r>
      <w:r>
        <w:rPr/>
        <w:t>、长期应付职工薪酬</w:t>
      </w:r>
      <w:r>
        <w:rPr>
          <w:w w:val="99"/>
        </w:rPr>
        <w:t> </w:t>
      </w:r>
      <w:bookmarkStart w:name="(1)长期应付职工薪酬表" w:id="345"/>
      <w:bookmarkEnd w:id="345"/>
      <w:r>
        <w:rPr>
          <w:w w:val="99"/>
        </w:rPr>
      </w:r>
      <w:r>
        <w:rPr>
          <w:rFonts w:ascii="Times New Roman" w:hAnsi="Times New Roman" w:cs="Times New Roman" w:eastAsia="Times New Roman" w:hint="default"/>
        </w:rPr>
        <w:t>(1)</w:t>
      </w:r>
      <w:r>
        <w:rPr/>
        <w:t>长期应付职工薪酬表</w:t>
      </w:r>
      <w:r>
        <w:rPr>
          <w:w w:val="99"/>
        </w:rPr>
        <w:t> </w:t>
      </w:r>
      <w:r>
        <w:rPr>
          <w:rFonts w:ascii="宋体" w:hAnsi="宋体" w:cs="宋体" w:eastAsia="宋体" w:hint="default"/>
          <w:b w:val="0"/>
          <w:bCs w:val="0"/>
          <w:sz w:val="18"/>
          <w:szCs w:val="18"/>
        </w:rPr>
        <w:t>无</w:t>
      </w:r>
    </w:p>
    <w:p>
      <w:pPr>
        <w:pStyle w:val="Heading7"/>
        <w:spacing w:line="240" w:lineRule="auto" w:before="141"/>
        <w:ind w:right="0"/>
        <w:jc w:val="left"/>
        <w:rPr>
          <w:b w:val="0"/>
          <w:bCs w:val="0"/>
        </w:rPr>
      </w:pPr>
      <w:bookmarkStart w:name="(2)设定受益计划变动情况" w:id="346"/>
      <w:bookmarkEnd w:id="346"/>
      <w:r>
        <w:rPr>
          <w:b w:val="0"/>
          <w:bCs w:val="0"/>
        </w:rPr>
      </w:r>
      <w:r>
        <w:rPr>
          <w:rFonts w:ascii="Times New Roman" w:hAnsi="Times New Roman" w:cs="Times New Roman" w:eastAsia="Times New Roman" w:hint="default"/>
        </w:rPr>
        <w:t>(2)</w:t>
      </w:r>
      <w:r>
        <w:rPr/>
        <w:t>设定受益计划变动情况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49、专项应付款" w:id="347"/>
      <w:bookmarkEnd w:id="347"/>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50、预计负债" w:id="348"/>
      <w:bookmarkEnd w:id="348"/>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51、递延收益" w:id="349"/>
      <w:bookmarkEnd w:id="349"/>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24,903,883.10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11,129,533.34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14,544,349.76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9"/>
              <w:jc w:val="left"/>
              <w:rPr>
                <w:rFonts w:ascii="宋体" w:hAnsi="宋体" w:cs="宋体" w:eastAsia="宋体" w:hint="default"/>
                <w:sz w:val="18"/>
                <w:szCs w:val="18"/>
              </w:rPr>
            </w:pPr>
            <w:r>
              <w:rPr>
                <w:rFonts w:ascii="宋体" w:hAnsi="宋体" w:cs="宋体" w:eastAsia="宋体" w:hint="default"/>
                <w:sz w:val="18"/>
                <w:szCs w:val="18"/>
              </w:rPr>
              <w:t>尚未满足确认损益 的政府补助</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特许费收入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13,646,841.99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9,156,496.43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18,106,602.85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4,696,735.57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19"/>
              <w:jc w:val="left"/>
              <w:rPr>
                <w:rFonts w:ascii="宋体" w:hAnsi="宋体" w:cs="宋体" w:eastAsia="宋体" w:hint="default"/>
                <w:sz w:val="18"/>
                <w:szCs w:val="18"/>
              </w:rPr>
            </w:pPr>
            <w:r>
              <w:rPr>
                <w:rFonts w:ascii="宋体" w:hAnsi="宋体" w:cs="宋体" w:eastAsia="宋体" w:hint="default"/>
                <w:sz w:val="18"/>
                <w:szCs w:val="18"/>
              </w:rPr>
              <w:t>未摊销完的游戏版 权金</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34" w:right="0"/>
              <w:jc w:val="left"/>
              <w:rPr>
                <w:rFonts w:ascii="Times New Roman" w:hAnsi="Times New Roman" w:cs="Times New Roman" w:eastAsia="Times New Roman" w:hint="default"/>
                <w:sz w:val="18"/>
                <w:szCs w:val="18"/>
              </w:rPr>
            </w:pPr>
            <w:r>
              <w:rPr>
                <w:rFonts w:ascii="Times New Roman"/>
                <w:sz w:val="18"/>
              </w:rPr>
              <w:t>38,550,725.09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9,926,496.43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29,236,136.19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19,241,085.33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涉及政府补助的项目：</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新宋演义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3,916,666.70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999,999.96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999,999.96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1,916,666.78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梦回山海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1,416,666.75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999,999.96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416,666.79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公共技术平台项 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1,521,333.25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521,600.04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521,600.04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478,133.17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嘻哈堂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397,216.38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397,216.38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中青宝游戏云服 务开放平台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1,186,666.66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266,666.67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679,999.99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online</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移动互联跨平台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游戏引擎技 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4,833,333.34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999,999.96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999,999.96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2,833,333.42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幻世英雄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裂天之刃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276,666.64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236,666.56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邪域战灵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705,333.38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183,999.96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183,999.96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337,333.46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剑舞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online</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合金大作战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但丁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266,666.68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533,333.32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虚拟化技术工程 实验室补助资金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黑夜传说</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24,903,883.10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6,373,933.27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4,755,600.07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14,544,349.76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6361"/>
        <w:jc w:val="left"/>
        <w:rPr>
          <w:rFonts w:ascii="Times New Roman" w:hAnsi="Times New Roman" w:cs="Times New Roman" w:eastAsia="Times New Roman" w:hint="default"/>
        </w:rPr>
      </w:pPr>
      <w:r>
        <w:rPr/>
        <w:t>其他说明： 其他变动系转入其他流动负债</w:t>
      </w:r>
      <w:r>
        <w:rPr>
          <w:rFonts w:ascii="Times New Roman" w:hAnsi="Times New Roman" w:cs="Times New Roman" w:eastAsia="Times New Roman" w:hint="default"/>
        </w:rPr>
        <w:t>4,755,600.07</w:t>
      </w:r>
      <w:r>
        <w:rPr/>
        <w:t>元</w:t>
      </w:r>
      <w:r>
        <w:rPr>
          <w:rFonts w:ascii="Times New Roman" w:hAnsi="Times New Roman" w:cs="Times New Roman" w:eastAsia="Times New Roman" w:hint="default"/>
        </w:rPr>
        <w:t>(</w:t>
      </w:r>
      <w:r>
        <w:rPr/>
        <w:t>见附注</w:t>
      </w:r>
      <w:r>
        <w:rPr>
          <w:spacing w:val="-3"/>
        </w:rPr>
        <w:t> </w:t>
      </w:r>
      <w:r>
        <w:rPr>
          <w:rFonts w:ascii="Times New Roman" w:hAnsi="Times New Roman" w:cs="Times New Roman" w:eastAsia="Times New Roman" w:hint="default"/>
        </w:rPr>
        <w:t>44)</w:t>
      </w:r>
    </w:p>
    <w:p>
      <w:pPr>
        <w:spacing w:line="240" w:lineRule="auto" w:before="11"/>
        <w:rPr>
          <w:rFonts w:ascii="Times New Roman" w:hAnsi="Times New Roman" w:cs="Times New Roman" w:eastAsia="Times New Roman" w:hint="default"/>
          <w:sz w:val="20"/>
          <w:szCs w:val="20"/>
        </w:rPr>
      </w:pPr>
    </w:p>
    <w:p>
      <w:pPr>
        <w:pStyle w:val="Heading7"/>
        <w:spacing w:line="240" w:lineRule="auto"/>
        <w:ind w:left="1133" w:right="0"/>
        <w:jc w:val="left"/>
        <w:rPr>
          <w:b w:val="0"/>
          <w:bCs w:val="0"/>
        </w:rPr>
      </w:pPr>
      <w:bookmarkStart w:name="52、其他非流动负债" w:id="350"/>
      <w:bookmarkEnd w:id="350"/>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应付股权转让款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133,339,500.00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133,339,500.00</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40" w:lineRule="auto" w:before="35"/>
        <w:ind w:left="1133" w:right="0"/>
        <w:jc w:val="left"/>
        <w:rPr>
          <w:b w:val="0"/>
          <w:bCs w:val="0"/>
        </w:rPr>
      </w:pPr>
      <w:bookmarkStart w:name="53、股本" w:id="351"/>
      <w:bookmarkEnd w:id="351"/>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260,000,000.00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7" w:right="0"/>
              <w:jc w:val="left"/>
              <w:rPr>
                <w:rFonts w:ascii="Times New Roman" w:hAnsi="Times New Roman" w:cs="Times New Roman" w:eastAsia="Times New Roman" w:hint="default"/>
                <w:sz w:val="18"/>
                <w:szCs w:val="18"/>
              </w:rPr>
            </w:pPr>
            <w:r>
              <w:rPr>
                <w:rFonts w:ascii="Times New Roman"/>
                <w:sz w:val="18"/>
              </w:rPr>
              <w:t>1,038,600.00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8" w:right="0"/>
              <w:jc w:val="left"/>
              <w:rPr>
                <w:rFonts w:ascii="Times New Roman" w:hAnsi="Times New Roman" w:cs="Times New Roman" w:eastAsia="Times New Roman" w:hint="default"/>
                <w:sz w:val="18"/>
                <w:szCs w:val="18"/>
              </w:rPr>
            </w:pPr>
            <w:r>
              <w:rPr>
                <w:rFonts w:ascii="Times New Roman"/>
                <w:sz w:val="18"/>
              </w:rPr>
              <w:t>1,038,600.00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261,038,600.00</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7"/>
        <w:spacing w:line="518" w:lineRule="auto"/>
        <w:ind w:left="1133" w:right="5473"/>
        <w:jc w:val="left"/>
        <w:rPr>
          <w:rFonts w:ascii="宋体" w:hAnsi="宋体" w:cs="宋体" w:eastAsia="宋体" w:hint="default"/>
          <w:b w:val="0"/>
          <w:bCs w:val="0"/>
          <w:sz w:val="18"/>
          <w:szCs w:val="18"/>
        </w:rPr>
      </w:pPr>
      <w:bookmarkStart w:name="54、其他权益工具" w:id="352"/>
      <w:bookmarkEnd w:id="352"/>
      <w:r>
        <w:rPr>
          <w:b w:val="0"/>
          <w:bCs w:val="0"/>
        </w:rPr>
      </w:r>
      <w:r>
        <w:rPr>
          <w:rFonts w:ascii="Times New Roman" w:hAnsi="Times New Roman" w:cs="Times New Roman" w:eastAsia="Times New Roman" w:hint="default"/>
        </w:rPr>
        <w:t>54</w:t>
      </w:r>
      <w:r>
        <w:rPr/>
        <w:t>、其他权益工具</w:t>
      </w:r>
      <w:r>
        <w:rPr>
          <w:w w:val="99"/>
        </w:rPr>
        <w:t> </w:t>
      </w:r>
      <w:bookmarkStart w:name="(1)期末发行在外的优先股、永续债等其他金融工具基本情况" w:id="353"/>
      <w:bookmarkEnd w:id="353"/>
      <w:r>
        <w:rPr>
          <w:w w:val="99"/>
        </w:rPr>
      </w:r>
      <w:r>
        <w:rPr>
          <w:rFonts w:ascii="Times New Roman" w:hAnsi="Times New Roman" w:cs="Times New Roman" w:eastAsia="Times New Roman" w:hint="default"/>
          <w:w w:val="95"/>
        </w:rPr>
        <w:t>(1)</w:t>
      </w:r>
      <w:r>
        <w:rPr>
          <w:w w:val="95"/>
        </w:rPr>
        <w:t>期末发行在外的优先股、永续债等其他金融工具基本情况 </w:t>
      </w:r>
      <w:r>
        <w:rPr>
          <w:spacing w:val="67"/>
          <w:w w:val="95"/>
        </w:rPr>
        <w:t> </w:t>
      </w:r>
      <w:r>
        <w:rPr>
          <w:spacing w:val="67"/>
          <w:w w:val="95"/>
        </w:rPr>
      </w:r>
      <w:r>
        <w:rPr>
          <w:rFonts w:ascii="宋体" w:hAnsi="宋体" w:cs="宋体" w:eastAsia="宋体" w:hint="default"/>
          <w:b w:val="0"/>
          <w:bCs w:val="0"/>
          <w:sz w:val="18"/>
          <w:szCs w:val="18"/>
        </w:rPr>
        <w:t>无</w:t>
      </w:r>
    </w:p>
    <w:p>
      <w:pPr>
        <w:pStyle w:val="Heading7"/>
        <w:spacing w:line="240" w:lineRule="auto" w:before="142"/>
        <w:ind w:right="0"/>
        <w:jc w:val="left"/>
        <w:rPr>
          <w:b w:val="0"/>
          <w:bCs w:val="0"/>
        </w:rPr>
      </w:pPr>
      <w:bookmarkStart w:name="(2)期末发行在外的优先股、永续债等金融工具变动情况表" w:id="354"/>
      <w:bookmarkEnd w:id="354"/>
      <w:r>
        <w:rPr>
          <w:b w:val="0"/>
          <w:bCs w:val="0"/>
        </w:rPr>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55、资本公积" w:id="355"/>
      <w:bookmarkEnd w:id="355"/>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资本溢价</w:t>
            </w:r>
            <w:r>
              <w:rPr>
                <w:rFonts w:ascii="Times New Roman" w:hAnsi="Times New Roman" w:cs="Times New Roman" w:eastAsia="Times New Roman" w:hint="default"/>
                <w:sz w:val="18"/>
                <w:szCs w:val="18"/>
              </w:rPr>
              <w:t>(</w:t>
            </w:r>
            <w:r>
              <w:rPr>
                <w:rFonts w:ascii="宋体" w:hAnsi="宋体" w:cs="宋体" w:eastAsia="宋体" w:hint="default"/>
                <w:sz w:val="18"/>
                <w:szCs w:val="18"/>
              </w:rPr>
              <w:t>股本溢价</w:t>
            </w:r>
            <w:r>
              <w:rPr>
                <w:rFonts w:ascii="Times New Roman" w:hAnsi="Times New Roman" w:cs="Times New Roman" w:eastAsia="Times New Roman" w:hint="default"/>
                <w:sz w:val="18"/>
                <w:szCs w:val="18"/>
              </w:rPr>
              <w:t>)</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566,687,946.86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10,293,315.00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576,981,261.86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10,242,811.32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14,325,006.60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10,053,254.22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14,514,563.70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576,930,758.18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24,618,321.60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10,053,254.22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591,495,825.56</w:t>
            </w:r>
          </w:p>
        </w:tc>
      </w:tr>
    </w:tbl>
    <w:p>
      <w:pPr>
        <w:pStyle w:val="BodyText"/>
        <w:spacing w:line="240" w:lineRule="auto" w:before="51"/>
        <w:ind w:left="1134" w:right="0"/>
        <w:jc w:val="left"/>
      </w:pPr>
      <w:r>
        <w:rPr/>
        <w:t>其他说明，包括本期增减变动情况、变动原因说明：</w:t>
      </w:r>
    </w:p>
    <w:p>
      <w:pPr>
        <w:pStyle w:val="BodyText"/>
        <w:spacing w:line="300" w:lineRule="auto" w:before="116"/>
        <w:ind w:left="1574" w:right="0"/>
        <w:jc w:val="left"/>
      </w:pPr>
      <w:r>
        <w:rPr/>
        <w:t>本年股本溢价增加</w:t>
      </w:r>
      <w:r>
        <w:rPr>
          <w:rFonts w:ascii="Times New Roman" w:hAnsi="Times New Roman" w:cs="Times New Roman" w:eastAsia="Times New Roman" w:hint="default"/>
        </w:rPr>
        <w:t>10,293,315.00</w:t>
      </w:r>
      <w:r>
        <w:rPr/>
        <w:t>元，系股票期权行权增加</w:t>
      </w:r>
      <w:r>
        <w:rPr>
          <w:rFonts w:ascii="Times New Roman" w:hAnsi="Times New Roman" w:cs="Times New Roman" w:eastAsia="Times New Roman" w:hint="default"/>
        </w:rPr>
        <w:t>7,503,885.00</w:t>
      </w:r>
      <w:r>
        <w:rPr/>
        <w:t>元和深圳五秒少数股东增加溢价</w:t>
      </w:r>
      <w:r>
        <w:rPr>
          <w:rFonts w:ascii="Times New Roman" w:hAnsi="Times New Roman" w:cs="Times New Roman" w:eastAsia="Times New Roman" w:hint="default"/>
        </w:rPr>
        <w:t>2,789,430.00</w:t>
      </w:r>
      <w:r>
        <w:rPr/>
        <w:t>元；</w:t>
      </w:r>
      <w:r>
        <w:rPr>
          <w:spacing w:val="-38"/>
        </w:rPr>
        <w:t> </w:t>
      </w:r>
      <w:r>
        <w:rPr>
          <w:spacing w:val="-2"/>
        </w:rPr>
        <w:t>其他增加</w:t>
      </w:r>
      <w:r>
        <w:rPr>
          <w:rFonts w:ascii="Times New Roman" w:hAnsi="Times New Roman" w:cs="Times New Roman" w:eastAsia="Times New Roman" w:hint="default"/>
          <w:spacing w:val="-2"/>
        </w:rPr>
        <w:t>14,325,006.60</w:t>
      </w:r>
      <w:r>
        <w:rPr>
          <w:spacing w:val="-2"/>
        </w:rPr>
        <w:t>元，系上海美峰无偿转让</w:t>
      </w:r>
      <w:r>
        <w:rPr>
          <w:rFonts w:ascii="Times New Roman" w:hAnsi="Times New Roman" w:cs="Times New Roman" w:eastAsia="Times New Roman" w:hint="default"/>
          <w:spacing w:val="-2"/>
        </w:rPr>
        <w:t>20.6334%</w:t>
      </w:r>
      <w:r>
        <w:rPr>
          <w:spacing w:val="-2"/>
        </w:rPr>
        <w:t>股权形成资本公积</w:t>
      </w:r>
      <w:r>
        <w:rPr>
          <w:rFonts w:ascii="Times New Roman" w:hAnsi="Times New Roman" w:cs="Times New Roman" w:eastAsia="Times New Roman" w:hint="default"/>
          <w:spacing w:val="-2"/>
        </w:rPr>
        <w:t>14,155,597.00</w:t>
      </w:r>
      <w:r>
        <w:rPr>
          <w:spacing w:val="-2"/>
        </w:rPr>
        <w:t>元、深圳卓页收购深圳创想时</w:t>
      </w:r>
    </w:p>
    <w:p>
      <w:pPr>
        <w:pStyle w:val="BodyText"/>
        <w:spacing w:line="240" w:lineRule="auto" w:before="13"/>
        <w:ind w:left="1134" w:right="0"/>
        <w:jc w:val="left"/>
      </w:pPr>
      <w:r>
        <w:rPr/>
        <w:t>空少数股权形成资本公积</w:t>
      </w:r>
      <w:r>
        <w:rPr>
          <w:rFonts w:ascii="Times New Roman" w:hAnsi="Times New Roman" w:cs="Times New Roman" w:eastAsia="Times New Roman" w:hint="default"/>
        </w:rPr>
        <w:t>153,780.83</w:t>
      </w:r>
      <w:r>
        <w:rPr/>
        <w:t>元和深圳中青聚宝收购深圳幻游少数股权形成资本公积</w:t>
      </w:r>
      <w:r>
        <w:rPr>
          <w:rFonts w:ascii="Times New Roman" w:hAnsi="Times New Roman" w:cs="Times New Roman" w:eastAsia="Times New Roman" w:hint="default"/>
        </w:rPr>
        <w:t>15,628.77</w:t>
      </w:r>
      <w:r>
        <w:rPr/>
        <w:t>元。</w:t>
      </w:r>
    </w:p>
    <w:p>
      <w:pPr>
        <w:spacing w:line="240" w:lineRule="auto" w:before="11"/>
        <w:rPr>
          <w:rFonts w:ascii="宋体" w:hAnsi="宋体" w:cs="宋体" w:eastAsia="宋体" w:hint="default"/>
          <w:sz w:val="25"/>
          <w:szCs w:val="25"/>
        </w:rPr>
      </w:pPr>
    </w:p>
    <w:p>
      <w:pPr>
        <w:pStyle w:val="Heading7"/>
        <w:spacing w:line="240" w:lineRule="auto"/>
        <w:ind w:left="1133" w:right="0"/>
        <w:jc w:val="left"/>
        <w:rPr>
          <w:b w:val="0"/>
          <w:bCs w:val="0"/>
        </w:rPr>
      </w:pPr>
      <w:bookmarkStart w:name="56、库存股" w:id="356"/>
      <w:bookmarkEnd w:id="356"/>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57、其他综合收益" w:id="357"/>
      <w:bookmarkEnd w:id="357"/>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10"/>
        <w:gridCol w:w="1070"/>
        <w:gridCol w:w="935"/>
        <w:gridCol w:w="1152"/>
        <w:gridCol w:w="935"/>
        <w:gridCol w:w="936"/>
        <w:gridCol w:w="935"/>
        <w:gridCol w:w="796"/>
      </w:tblGrid>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 综合收益</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其中：重新计算设定受益计划净负 债和净资产的变动</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5" w:firstLine="540"/>
              <w:jc w:val="both"/>
              <w:rPr>
                <w:rFonts w:ascii="宋体" w:hAnsi="宋体" w:cs="宋体" w:eastAsia="宋体" w:hint="default"/>
                <w:sz w:val="18"/>
                <w:szCs w:val="18"/>
              </w:rPr>
            </w:pPr>
            <w:r>
              <w:rPr>
                <w:rFonts w:ascii="宋体" w:hAnsi="宋体" w:cs="宋体" w:eastAsia="宋体" w:hint="default"/>
                <w:sz w:val="18"/>
                <w:szCs w:val="18"/>
              </w:rPr>
              <w:t>权益法下在被投资单位不能 重分类进损益的其他综合收益中享 有的份额</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155,368.58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-1,136,647.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-1,136,647.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-981,279.</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19</w:t>
            </w:r>
          </w:p>
        </w:tc>
      </w:tr>
      <w:tr>
        <w:trPr>
          <w:trHeight w:val="1026"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5"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5" w:firstLine="540"/>
              <w:jc w:val="left"/>
              <w:rPr>
                <w:rFonts w:ascii="宋体" w:hAnsi="宋体" w:cs="宋体" w:eastAsia="宋体" w:hint="default"/>
                <w:sz w:val="18"/>
                <w:szCs w:val="18"/>
              </w:rPr>
            </w:pPr>
            <w:r>
              <w:rPr>
                <w:rFonts w:ascii="宋体" w:hAnsi="宋体" w:cs="宋体" w:eastAsia="宋体" w:hint="default"/>
                <w:sz w:val="18"/>
                <w:szCs w:val="18"/>
              </w:rPr>
              <w:t>持有至到期投资重分类为可 供出售金融资产损益</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现金流量套期损益的有效部</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分</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155,368.58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-1,136,647.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-1,136,647.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-981,279.</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19</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155,368.58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-1,136,647.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-1,136,647.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6" w:right="0"/>
              <w:jc w:val="left"/>
              <w:rPr>
                <w:rFonts w:ascii="Times New Roman" w:hAnsi="Times New Roman" w:cs="Times New Roman" w:eastAsia="Times New Roman" w:hint="default"/>
                <w:sz w:val="18"/>
                <w:szCs w:val="18"/>
              </w:rPr>
            </w:pPr>
            <w:r>
              <w:rPr>
                <w:rFonts w:ascii="Times New Roman"/>
                <w:sz w:val="18"/>
              </w:rPr>
              <w:t>0.00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-981,279.</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19</w:t>
            </w:r>
          </w:p>
        </w:tc>
      </w:tr>
    </w:tbl>
    <w:p>
      <w:pPr>
        <w:pStyle w:val="BodyText"/>
        <w:spacing w:line="240" w:lineRule="auto" w:before="51"/>
        <w:ind w:left="1134" w:right="0"/>
        <w:jc w:val="left"/>
      </w:pPr>
      <w:r>
        <w:rPr/>
        <w:t>其他说明，包括对现金流量套期损益的有效部分转为被套期项目初始确认金额调整：无</w:t>
      </w:r>
    </w:p>
    <w:p>
      <w:pPr>
        <w:spacing w:line="240" w:lineRule="auto" w:before="11"/>
        <w:rPr>
          <w:rFonts w:ascii="宋体" w:hAnsi="宋体" w:cs="宋体" w:eastAsia="宋体" w:hint="default"/>
          <w:sz w:val="26"/>
          <w:szCs w:val="26"/>
        </w:rPr>
      </w:pPr>
    </w:p>
    <w:p>
      <w:pPr>
        <w:pStyle w:val="Heading7"/>
        <w:spacing w:line="240" w:lineRule="auto"/>
        <w:ind w:left="1133" w:right="0"/>
        <w:jc w:val="left"/>
        <w:rPr>
          <w:b w:val="0"/>
          <w:bCs w:val="0"/>
        </w:rPr>
      </w:pPr>
      <w:bookmarkStart w:name="58、专项储备" w:id="358"/>
      <w:bookmarkEnd w:id="358"/>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59、盈余公积" w:id="359"/>
      <w:bookmarkEnd w:id="359"/>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18,138,466.66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34,928,072.42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53,066,539.08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18,138,466.66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34,928,072.42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53,066,539.08</w:t>
            </w:r>
          </w:p>
        </w:tc>
      </w:tr>
    </w:tbl>
    <w:p>
      <w:pPr>
        <w:pStyle w:val="BodyText"/>
        <w:spacing w:line="240" w:lineRule="auto" w:before="51"/>
        <w:ind w:left="1134" w:right="0"/>
        <w:jc w:val="left"/>
      </w:pPr>
      <w:r>
        <w:rPr/>
        <w:t>盈余公积说明，包括本期增减变动情况、变动原因说明：根据公司净利润的</w:t>
      </w:r>
      <w:r>
        <w:rPr>
          <w:spacing w:val="-46"/>
        </w:rPr>
        <w:t> </w:t>
      </w:r>
      <w:r>
        <w:rPr>
          <w:rFonts w:ascii="Times New Roman" w:hAnsi="Times New Roman" w:cs="Times New Roman" w:eastAsia="Times New Roman" w:hint="default"/>
        </w:rPr>
        <w:t>10%</w:t>
      </w:r>
      <w:r>
        <w:rPr/>
        <w:t>提取法定盈余公积</w:t>
      </w:r>
    </w:p>
    <w:p>
      <w:pPr>
        <w:spacing w:line="240" w:lineRule="auto" w:before="11"/>
        <w:rPr>
          <w:rFonts w:ascii="宋体" w:hAnsi="宋体" w:cs="宋体" w:eastAsia="宋体" w:hint="default"/>
          <w:sz w:val="25"/>
          <w:szCs w:val="25"/>
        </w:rPr>
      </w:pPr>
    </w:p>
    <w:p>
      <w:pPr>
        <w:pStyle w:val="Heading7"/>
        <w:spacing w:line="240" w:lineRule="auto"/>
        <w:ind w:left="1133" w:right="0"/>
        <w:jc w:val="left"/>
        <w:rPr>
          <w:b w:val="0"/>
          <w:bCs w:val="0"/>
        </w:rPr>
      </w:pPr>
      <w:bookmarkStart w:name="60、未分配利润" w:id="360"/>
      <w:bookmarkEnd w:id="360"/>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725"/>
        <w:gridCol w:w="2925"/>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67,104,048.90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94,339,942.38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67,104,048.90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94,339,942.38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65,202,765.48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-22,035,893.48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34,928,072.42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97,378,741.96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67,104,048.90</w:t>
            </w:r>
          </w:p>
        </w:tc>
      </w:tr>
    </w:tbl>
    <w:p>
      <w:pPr>
        <w:pStyle w:val="BodyText"/>
        <w:spacing w:line="240" w:lineRule="auto" w:before="51"/>
        <w:ind w:left="1134" w:right="0"/>
        <w:jc w:val="left"/>
      </w:pPr>
      <w:r>
        <w:rPr/>
        <w:t>调整期初未分配利润明细：</w:t>
      </w:r>
    </w:p>
    <w:p>
      <w:pPr>
        <w:pStyle w:val="BodyText"/>
        <w:spacing w:line="240" w:lineRule="auto" w:before="117"/>
        <w:ind w:left="113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7"/>
        <w:spacing w:line="240" w:lineRule="auto"/>
        <w:ind w:right="0"/>
        <w:jc w:val="left"/>
        <w:rPr>
          <w:b w:val="0"/>
          <w:bCs w:val="0"/>
        </w:rPr>
      </w:pPr>
      <w:bookmarkStart w:name="61、营业收入和营业成本" w:id="361"/>
      <w:bookmarkEnd w:id="361"/>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337,654,277.83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190,354,546.27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488,669,025.32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198,589,183.48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5,436,659.48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4,944,459.31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858,527.42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749,890.94</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343,090,937.31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195,299,005.58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489,527,552.74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199,339,074.42</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62、营业税金及附加" w:id="362"/>
      <w:bookmarkEnd w:id="362"/>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348,948.24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1,889,490.85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835,251.22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567,778.43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596,455.81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412,860.26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18,134.62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22,597.07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1,798,789.89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2,892,726.61</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63、销售费用" w:id="363"/>
      <w:bookmarkEnd w:id="363"/>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广告推广、业务宣传、展览费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48,443,277.02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95,589,277.19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32,235,590.25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43,460,744.87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折旧费及长期资产摊销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2,051,665.47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2,047,951.43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1,666,057.09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2,151,449.40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1,111,487.40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2,090,126.25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1,077,533.17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1,840,225.76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709,709.54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2,399,782.19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2,172,438.37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1,756,042.88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89,467,758.31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151,335,599.97</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64、管理费用" w:id="364"/>
      <w:bookmarkEnd w:id="364"/>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70,416,153.57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64,912,527.35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21,875,270.59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26,031,782.38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5,356,102.61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4,755,832.72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4,026,346.77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14,503,673.29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3,120,044.44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3,335,072.76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2,903,596.89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3,870,295.51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1,739,248.19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1,746,519.52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1,447,600.55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2,505,328.53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120,508.50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299,001.59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7,901.34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期权费用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-8,303,213.22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678,445.60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2,412,784.43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2,518,420.07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105,117,374.38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125,164,800.66</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65、财务费用" w:id="365"/>
      <w:bookmarkEnd w:id="365"/>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19,552,397.99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10,590,779.54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1,936,583.52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2,619,060.00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-7,561,213.07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-463,259.84</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1,185,174.57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617,919.89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1,023,055.71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9,487,346.72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8,531,515.41</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66、资产减值损失" w:id="366"/>
      <w:bookmarkEnd w:id="366"/>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7,950,397.60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13,632,942.85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二、固定资产减值损失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160,902.83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3,139,318.67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三、无形资产减值损失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19,573,488.58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49,742,115.01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186,694,513.17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五、开发支出减值损失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68,008,348.23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14,715,515.33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282,387,650.41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81,229,891.86</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67、公允价值变动收益" w:id="367"/>
      <w:bookmarkEnd w:id="367"/>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68、投资收益" w:id="368"/>
      <w:bookmarkEnd w:id="368"/>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12,608,042.35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2,183,948.29</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94,670,231.14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23,388,068.52</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量产生的利得</w:t>
            </w:r>
          </w:p>
        </w:tc>
        <w:tc>
          <w:tcPr>
            <w:tcW w:w="3191"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34,733,237.76</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银行理财产品投资收益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105,862.90</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长期股权投资转可供出售金融资产的投资 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141,592,095.55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248,870,369.04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60,411,117.47</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69、营业外收入" w:id="369"/>
      <w:bookmarkEnd w:id="369"/>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6"/>
        <w:gridCol w:w="2408"/>
        <w:gridCol w:w="2392"/>
        <w:gridCol w:w="2392"/>
      </w:tblGrid>
      <w:tr>
        <w:trPr>
          <w:trHeight w:val="161" w:hRule="exact"/>
        </w:trPr>
        <w:tc>
          <w:tcPr>
            <w:tcW w:w="2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56,944.95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2,988.07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56,944.95</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56,944.95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2,988.07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56,944.95</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14,180,179.85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13,842,639.83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11,982,333.27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无需支付的应付款项</w:t>
            </w:r>
            <w:r>
              <w:rPr>
                <w:rFonts w:ascii="Times New Roman" w:hAnsi="Times New Roman" w:cs="Times New Roman" w:eastAsia="Times New Roman" w:hint="default"/>
                <w:sz w:val="18"/>
                <w:szCs w:val="18"/>
              </w:rPr>
              <w:t>*1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133,339,500.00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133,339,500.00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定向分红</w:t>
            </w:r>
            <w:r>
              <w:rPr>
                <w:rFonts w:ascii="Times New Roman" w:hAnsi="Times New Roman" w:cs="Times New Roman" w:eastAsia="Times New Roman" w:hint="default"/>
                <w:sz w:val="18"/>
                <w:szCs w:val="18"/>
              </w:rPr>
              <w:t>*1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28,665,000.00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28,665,000.00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违约金利得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2,544,001.00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2,544,001.00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1,120,190.24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148,222.25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1,120,190.24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179,905,816.04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13,993,850.15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177,707,969.46</w:t>
            </w:r>
          </w:p>
        </w:tc>
      </w:tr>
    </w:tbl>
    <w:p>
      <w:pPr>
        <w:pStyle w:val="BodyText"/>
        <w:spacing w:line="240" w:lineRule="auto" w:before="51"/>
        <w:ind w:left="1134" w:right="0"/>
        <w:jc w:val="left"/>
      </w:pPr>
      <w:r>
        <w:rPr/>
        <w:t>其他说明：</w:t>
      </w:r>
    </w:p>
    <w:p>
      <w:pPr>
        <w:pStyle w:val="BodyText"/>
        <w:spacing w:line="240" w:lineRule="auto" w:before="117"/>
        <w:ind w:right="0"/>
        <w:jc w:val="left"/>
      </w:pPr>
      <w:r>
        <w:rPr>
          <w:rFonts w:ascii="Times New Roman" w:hAnsi="Times New Roman" w:cs="Times New Roman" w:eastAsia="Times New Roman" w:hint="default"/>
        </w:rPr>
        <w:t>*1</w:t>
      </w:r>
      <w:r>
        <w:rPr/>
        <w:t>：无需支付的应付款项</w:t>
      </w:r>
      <w:r>
        <w:rPr>
          <w:spacing w:val="-47"/>
        </w:rPr>
        <w:t> </w:t>
      </w:r>
      <w:r>
        <w:rPr>
          <w:rFonts w:ascii="Times New Roman" w:hAnsi="Times New Roman" w:cs="Times New Roman" w:eastAsia="Times New Roman" w:hint="default"/>
        </w:rPr>
        <w:t>133,339,500.00</w:t>
      </w:r>
      <w:r>
        <w:rPr>
          <w:rFonts w:ascii="Times New Roman" w:hAnsi="Times New Roman" w:cs="Times New Roman" w:eastAsia="Times New Roman" w:hint="default"/>
          <w:spacing w:val="-1"/>
        </w:rPr>
        <w:t> </w:t>
      </w:r>
      <w:r>
        <w:rPr/>
        <w:t>元、定向分红</w:t>
      </w:r>
      <w:r>
        <w:rPr>
          <w:spacing w:val="-47"/>
        </w:rPr>
        <w:t> </w:t>
      </w:r>
      <w:r>
        <w:rPr>
          <w:rFonts w:ascii="Times New Roman" w:hAnsi="Times New Roman" w:cs="Times New Roman" w:eastAsia="Times New Roman" w:hint="default"/>
        </w:rPr>
        <w:t>28,665,000.00</w:t>
      </w:r>
      <w:r>
        <w:rPr>
          <w:rFonts w:ascii="Times New Roman" w:hAnsi="Times New Roman" w:cs="Times New Roman" w:eastAsia="Times New Roman" w:hint="default"/>
          <w:spacing w:val="-1"/>
        </w:rPr>
        <w:t> </w:t>
      </w:r>
      <w:r>
        <w:rPr/>
        <w:t>元</w:t>
      </w:r>
    </w:p>
    <w:p>
      <w:pPr>
        <w:pStyle w:val="BodyText"/>
        <w:spacing w:line="302" w:lineRule="auto" w:before="101"/>
        <w:ind w:right="1169" w:firstLine="420"/>
        <w:jc w:val="left"/>
      </w:pPr>
      <w:r>
        <w:rPr/>
        <w:t>本公司</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年收购的上海美峰和深圳苏摩两家子公司未完成</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年度业绩承诺，本公司于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日，与两 </w:t>
      </w:r>
      <w:r>
        <w:rPr>
          <w:spacing w:val="-4"/>
        </w:rPr>
        <w:t>家子公司原股东签署《关于股权收购协议之补充协议》：</w:t>
      </w:r>
    </w:p>
    <w:p>
      <w:pPr>
        <w:pStyle w:val="BodyText"/>
        <w:spacing w:line="240" w:lineRule="auto" w:before="70"/>
        <w:ind w:left="1553" w:right="0"/>
        <w:jc w:val="left"/>
      </w:pPr>
      <w:r>
        <w:rPr>
          <w:rFonts w:ascii="Times New Roman" w:hAnsi="Times New Roman" w:cs="Times New Roman" w:eastAsia="Times New Roman" w:hint="default"/>
        </w:rPr>
        <w:t>1)</w:t>
      </w:r>
      <w:r>
        <w:rPr/>
        <w:t>上海美峰签订的补充协议主要内容：</w:t>
      </w:r>
    </w:p>
    <w:p>
      <w:pPr>
        <w:pStyle w:val="BodyText"/>
        <w:spacing w:line="240" w:lineRule="auto" w:before="102"/>
        <w:ind w:left="1553" w:right="0"/>
        <w:jc w:val="left"/>
      </w:pPr>
      <w:r>
        <w:rPr/>
        <w:t>①原转让协议项下本公司尚未支付的股权转让款</w:t>
      </w:r>
      <w:r>
        <w:rPr>
          <w:spacing w:val="-45"/>
        </w:rPr>
        <w:t> </w:t>
      </w:r>
      <w:r>
        <w:rPr>
          <w:rFonts w:ascii="Times New Roman" w:hAnsi="Times New Roman" w:cs="Times New Roman" w:eastAsia="Times New Roman" w:hint="default"/>
        </w:rPr>
        <w:t>10,710</w:t>
      </w:r>
      <w:r>
        <w:rPr>
          <w:rFonts w:ascii="Times New Roman" w:hAnsi="Times New Roman" w:cs="Times New Roman" w:eastAsia="Times New Roman" w:hint="default"/>
          <w:spacing w:val="-1"/>
        </w:rPr>
        <w:t> </w:t>
      </w:r>
      <w:r>
        <w:rPr/>
        <w:t>万元不再支付。</w:t>
      </w:r>
    </w:p>
    <w:p>
      <w:pPr>
        <w:pStyle w:val="BodyText"/>
        <w:spacing w:line="240" w:lineRule="auto" w:before="102"/>
        <w:ind w:left="1553" w:right="0"/>
        <w:jc w:val="left"/>
      </w:pPr>
      <w:r>
        <w:rPr/>
        <w:t>②上海美峰向公司定向分红</w:t>
      </w:r>
      <w:r>
        <w:rPr>
          <w:spacing w:val="-46"/>
        </w:rPr>
        <w:t> </w:t>
      </w:r>
      <w:r>
        <w:rPr>
          <w:rFonts w:ascii="Times New Roman" w:hAnsi="Times New Roman" w:cs="Times New Roman" w:eastAsia="Times New Roman" w:hint="default"/>
        </w:rPr>
        <w:t>3,500</w:t>
      </w:r>
      <w:r>
        <w:rPr>
          <w:rFonts w:ascii="Times New Roman" w:hAnsi="Times New Roman" w:cs="Times New Roman" w:eastAsia="Times New Roman" w:hint="default"/>
          <w:spacing w:val="-1"/>
        </w:rPr>
        <w:t> </w:t>
      </w:r>
      <w:r>
        <w:rPr/>
        <w:t>万元，原股东放弃分红权，将</w:t>
      </w:r>
      <w:r>
        <w:rPr>
          <w:spacing w:val="-46"/>
        </w:rPr>
        <w:t> </w:t>
      </w:r>
      <w:r>
        <w:rPr>
          <w:rFonts w:ascii="Times New Roman" w:hAnsi="Times New Roman" w:cs="Times New Roman" w:eastAsia="Times New Roman" w:hint="default"/>
        </w:rPr>
        <w:t>49%</w:t>
      </w:r>
      <w:r>
        <w:rPr/>
        <w:t>股份的分红权让渡给本公司。</w:t>
      </w:r>
    </w:p>
    <w:p>
      <w:pPr>
        <w:pStyle w:val="BodyText"/>
        <w:spacing w:line="240" w:lineRule="auto" w:before="103"/>
        <w:ind w:left="1554" w:right="0"/>
        <w:jc w:val="left"/>
      </w:pPr>
      <w:r>
        <w:rPr/>
        <w:t>③上海美峰的股东李杰、郭瑜、钟松将其合计持有的上海美峰</w:t>
      </w:r>
      <w:r>
        <w:rPr>
          <w:spacing w:val="-45"/>
        </w:rPr>
        <w:t> </w:t>
      </w:r>
      <w:r>
        <w:rPr>
          <w:rFonts w:ascii="Times New Roman" w:hAnsi="Times New Roman" w:cs="Times New Roman" w:eastAsia="Times New Roman" w:hint="default"/>
        </w:rPr>
        <w:t>20.6334%</w:t>
      </w:r>
      <w:r>
        <w:rPr/>
        <w:t>股权无偿转让给公司。</w:t>
      </w:r>
    </w:p>
    <w:p>
      <w:pPr>
        <w:pStyle w:val="BodyText"/>
        <w:spacing w:line="302" w:lineRule="auto" w:before="101"/>
        <w:ind w:left="1134" w:right="1121" w:firstLine="420"/>
        <w:jc w:val="left"/>
      </w:pPr>
      <w:r>
        <w:rPr/>
        <w:t>④原转让协议中所有关于</w:t>
      </w:r>
      <w:r>
        <w:rPr>
          <w:spacing w:val="-46"/>
        </w:rPr>
        <w:t> </w:t>
      </w:r>
      <w:r>
        <w:rPr>
          <w:rFonts w:ascii="Times New Roman" w:hAnsi="Times New Roman" w:cs="Times New Roman" w:eastAsia="Times New Roman" w:hint="default"/>
          <w:spacing w:val="-3"/>
        </w:rPr>
        <w:t>2014</w:t>
      </w:r>
      <w:r>
        <w:rPr>
          <w:spacing w:val="-3"/>
        </w:rPr>
        <w:t>、</w:t>
      </w:r>
      <w:r>
        <w:rPr>
          <w:rFonts w:ascii="Times New Roman" w:hAnsi="Times New Roman" w:cs="Times New Roman" w:eastAsia="Times New Roman" w:hint="default"/>
          <w:spacing w:val="-3"/>
        </w:rPr>
        <w:t>2015</w:t>
      </w:r>
      <w:r>
        <w:rPr>
          <w:spacing w:val="-3"/>
        </w:rPr>
        <w:t>、</w:t>
      </w:r>
      <w:r>
        <w:rPr>
          <w:rFonts w:ascii="Times New Roman" w:hAnsi="Times New Roman" w:cs="Times New Roman" w:eastAsia="Times New Roman" w:hint="default"/>
          <w:spacing w:val="-3"/>
        </w:rPr>
        <w:t>2016</w:t>
      </w:r>
      <w:r>
        <w:rPr>
          <w:spacing w:val="-3"/>
        </w:rPr>
        <w:t>、</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
        </w:rPr>
        <w:t> </w:t>
      </w:r>
      <w:r>
        <w:rPr/>
        <w:t>年度承诺净利润及业绩补偿的约定不再执行。约定了新的业绩补偿 期</w:t>
      </w:r>
      <w:r>
        <w:rPr>
          <w:spacing w:val="-46"/>
        </w:rPr>
        <w:t> </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年度承诺实际净利润分别为</w:t>
      </w:r>
      <w:r>
        <w:rPr>
          <w:spacing w:val="-4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2500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2500</w:t>
      </w:r>
      <w:r>
        <w:rPr>
          <w:rFonts w:ascii="Times New Roman" w:hAnsi="Times New Roman" w:cs="Times New Roman" w:eastAsia="Times New Roman" w:hint="default"/>
          <w:spacing w:val="-1"/>
        </w:rPr>
        <w:t> </w:t>
      </w:r>
      <w:r>
        <w:rPr/>
        <w:t>万元。</w:t>
      </w:r>
    </w:p>
    <w:p>
      <w:pPr>
        <w:pStyle w:val="BodyText"/>
        <w:spacing w:line="240" w:lineRule="auto" w:before="50"/>
        <w:ind w:left="1553" w:right="0"/>
        <w:jc w:val="left"/>
      </w:pPr>
      <w:r>
        <w:rPr>
          <w:rFonts w:ascii="Times New Roman" w:hAnsi="Times New Roman" w:cs="Times New Roman" w:eastAsia="Times New Roman" w:hint="default"/>
        </w:rPr>
        <w:t>2)</w:t>
      </w:r>
      <w:r>
        <w:rPr/>
        <w:t>深圳苏摩签订的补充协议主要内容</w:t>
      </w:r>
    </w:p>
    <w:p>
      <w:pPr>
        <w:pStyle w:val="BodyText"/>
        <w:spacing w:line="240" w:lineRule="auto" w:before="103"/>
        <w:ind w:left="1553" w:right="0"/>
        <w:jc w:val="left"/>
      </w:pPr>
      <w:r>
        <w:rPr/>
        <w:t>①原转让协议项下关于</w:t>
      </w:r>
      <w:r>
        <w:rPr>
          <w:spacing w:val="-46"/>
        </w:rPr>
        <w:t> </w:t>
      </w:r>
      <w:r>
        <w:rPr>
          <w:rFonts w:ascii="Times New Roman" w:hAnsi="Times New Roman" w:cs="Times New Roman" w:eastAsia="Times New Roman" w:hint="default"/>
        </w:rPr>
        <w:t>2014 </w:t>
      </w:r>
      <w:r>
        <w:rPr/>
        <w:t>年度承诺净利润及业绩补偿的约定不再执行。</w:t>
      </w:r>
    </w:p>
    <w:p>
      <w:pPr>
        <w:pStyle w:val="BodyText"/>
        <w:spacing w:line="240" w:lineRule="auto" w:before="102"/>
        <w:ind w:left="1553" w:right="0"/>
        <w:jc w:val="left"/>
      </w:pPr>
      <w:r>
        <w:rPr/>
        <w:t>②本公司尚未支付的股权转让款</w:t>
      </w:r>
      <w:r>
        <w:rPr>
          <w:spacing w:val="-46"/>
        </w:rPr>
        <w:t> </w:t>
      </w:r>
      <w:r>
        <w:rPr>
          <w:rFonts w:ascii="Times New Roman" w:hAnsi="Times New Roman" w:cs="Times New Roman" w:eastAsia="Times New Roman" w:hint="default"/>
        </w:rPr>
        <w:t>2,623.95</w:t>
      </w:r>
      <w:r>
        <w:rPr>
          <w:rFonts w:ascii="Times New Roman" w:hAnsi="Times New Roman" w:cs="Times New Roman" w:eastAsia="Times New Roman" w:hint="default"/>
          <w:spacing w:val="-1"/>
        </w:rPr>
        <w:t> </w:t>
      </w:r>
      <w:r>
        <w:rPr/>
        <w:t>万元不再支付。</w:t>
      </w:r>
    </w:p>
    <w:p>
      <w:pPr>
        <w:pStyle w:val="BodyText"/>
        <w:spacing w:line="302" w:lineRule="auto" w:before="101"/>
        <w:ind w:left="1134" w:right="1185" w:firstLine="420"/>
        <w:jc w:val="left"/>
      </w:pPr>
      <w:r>
        <w:rPr/>
        <w:t>③深圳苏摩以定向分红的方式向本公司进行一次性分红人民币</w:t>
      </w:r>
      <w:r>
        <w:rPr>
          <w:spacing w:val="-46"/>
        </w:rPr>
        <w:t> </w:t>
      </w:r>
      <w:r>
        <w:rPr>
          <w:rFonts w:ascii="Times New Roman" w:hAnsi="Times New Roman" w:cs="Times New Roman" w:eastAsia="Times New Roman" w:hint="default"/>
        </w:rPr>
        <w:t>2,350</w:t>
      </w:r>
      <w:r>
        <w:rPr>
          <w:rFonts w:ascii="Times New Roman" w:hAnsi="Times New Roman" w:cs="Times New Roman" w:eastAsia="Times New Roman" w:hint="default"/>
          <w:spacing w:val="-1"/>
        </w:rPr>
        <w:t> </w:t>
      </w:r>
      <w:r>
        <w:rPr/>
        <w:t>万元，原股东放弃分红权，将</w:t>
      </w:r>
      <w:r>
        <w:rPr>
          <w:spacing w:val="-46"/>
        </w:rPr>
        <w:t> </w:t>
      </w:r>
      <w:r>
        <w:rPr>
          <w:rFonts w:ascii="Times New Roman" w:hAnsi="Times New Roman" w:cs="Times New Roman" w:eastAsia="Times New Roman" w:hint="default"/>
        </w:rPr>
        <w:t>49%</w:t>
      </w:r>
      <w:r>
        <w:rPr/>
        <w:t>股份的分红权 让渡给本公司。</w:t>
      </w:r>
    </w:p>
    <w:p>
      <w:pPr>
        <w:spacing w:line="240" w:lineRule="auto" w:before="11"/>
        <w:rPr>
          <w:rFonts w:ascii="宋体" w:hAnsi="宋体" w:cs="宋体" w:eastAsia="宋体" w:hint="default"/>
          <w:sz w:val="28"/>
          <w:szCs w:val="28"/>
        </w:rPr>
      </w:pPr>
    </w:p>
    <w:p>
      <w:pPr>
        <w:pStyle w:val="BodyText"/>
        <w:spacing w:line="240" w:lineRule="auto" w:before="44"/>
        <w:ind w:left="1134" w:right="0"/>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2"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 文化产业发 展专项资金 出口奖励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2" w:lineRule="auto"/>
              <w:ind w:left="22" w:right="38"/>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文化贸易出 口奖励情况 的通知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补助</w:t>
            </w:r>
            <w:r>
              <w:rPr>
                <w:rFonts w:ascii="Times New Roman" w:hAnsi="Times New Roman" w:cs="Times New Roman" w:eastAsia="Times New Roman" w:hint="default"/>
                <w:sz w:val="18"/>
                <w:szCs w:val="18"/>
              </w:rPr>
              <w:t>(</w:t>
            </w:r>
            <w:r>
              <w:rPr>
                <w:rFonts w:ascii="宋体" w:hAnsi="宋体" w:cs="宋体" w:eastAsia="宋体" w:hint="default"/>
                <w:sz w:val="18"/>
                <w:szCs w:val="18"/>
              </w:rPr>
              <w:t>按国家 级政策规定 依法取得</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4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软件产品增 值税即征即 退</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127"/>
              <w:jc w:val="left"/>
              <w:rPr>
                <w:rFonts w:ascii="Times New Roman" w:hAnsi="Times New Roman" w:cs="Times New Roman" w:eastAsia="Times New Roman" w:hint="default"/>
                <w:sz w:val="18"/>
                <w:szCs w:val="18"/>
              </w:rPr>
            </w:pPr>
            <w:r>
              <w:rPr>
                <w:rFonts w:ascii="宋体" w:hAnsi="宋体" w:cs="宋体" w:eastAsia="宋体" w:hint="default"/>
                <w:sz w:val="18"/>
                <w:szCs w:val="18"/>
              </w:rPr>
              <w:t>深国税福退 抵税 </w:t>
            </w:r>
            <w:r>
              <w:rPr>
                <w:rFonts w:ascii="Times New Roman" w:hAnsi="Times New Roman" w:cs="Times New Roman" w:eastAsia="Times New Roman" w:hint="default"/>
                <w:sz w:val="18"/>
                <w:szCs w:val="18"/>
              </w:rPr>
              <w:t>[2015]5387</w:t>
            </w:r>
          </w:p>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[2015]5675</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[2015]6088</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4" w:lineRule="auto"/>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补助</w:t>
            </w:r>
            <w:r>
              <w:rPr>
                <w:rFonts w:ascii="Times New Roman" w:hAnsi="Times New Roman" w:cs="Times New Roman" w:eastAsia="Times New Roman" w:hint="default"/>
                <w:sz w:val="18"/>
                <w:szCs w:val="18"/>
              </w:rPr>
              <w:t>(</w:t>
            </w:r>
            <w:r>
              <w:rPr>
                <w:rFonts w:ascii="宋体" w:hAnsi="宋体" w:cs="宋体" w:eastAsia="宋体" w:hint="default"/>
                <w:sz w:val="18"/>
                <w:szCs w:val="18"/>
              </w:rPr>
              <w:t>按国家 级政策规定 依法取得</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2,197,846.58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[2015]6244</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00" w:lineRule="auto"/>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年品牌 培育资助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83"/>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 市战略性新 兴产业发展 专项资金品 牌培育资助 项目公示表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补助</w:t>
            </w:r>
            <w:r>
              <w:rPr>
                <w:rFonts w:ascii="Times New Roman" w:hAnsi="Times New Roman" w:cs="Times New Roman" w:eastAsia="Times New Roman" w:hint="default"/>
                <w:sz w:val="18"/>
                <w:szCs w:val="18"/>
              </w:rPr>
              <w:t>(</w:t>
            </w:r>
            <w:r>
              <w:rPr>
                <w:rFonts w:ascii="宋体" w:hAnsi="宋体" w:cs="宋体" w:eastAsia="宋体" w:hint="default"/>
                <w:sz w:val="18"/>
                <w:szCs w:val="18"/>
              </w:rPr>
              <w:t>按国家 级政策规定 依法取得</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梦回山海</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深发改</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[2010]1932</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999,999.96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999,999.96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新宋演义</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深发改</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[2010]1852</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999,999.96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990,173.23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23"/>
              <w:jc w:val="left"/>
              <w:rPr>
                <w:rFonts w:ascii="宋体" w:hAnsi="宋体" w:cs="宋体" w:eastAsia="宋体" w:hint="default"/>
                <w:sz w:val="18"/>
                <w:szCs w:val="18"/>
              </w:rPr>
            </w:pPr>
            <w:r>
              <w:rPr>
                <w:rFonts w:ascii="宋体" w:hAnsi="宋体" w:cs="宋体" w:eastAsia="宋体" w:hint="default"/>
                <w:sz w:val="18"/>
                <w:szCs w:val="18"/>
              </w:rPr>
              <w:t>移动互联跨 平台</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游戏 引擎技术</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深发改</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[2012]1283</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999,999.96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166,666.66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合金大作战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深发改</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[2014]939</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74"/>
                <w:sz w:val="18"/>
                <w:szCs w:val="18"/>
              </w:rPr>
              <w:t>、</w:t>
            </w:r>
            <w:r>
              <w:rPr>
                <w:rFonts w:ascii="宋体" w:hAnsi="宋体" w:cs="宋体" w:eastAsia="宋体" w:hint="default"/>
                <w:sz w:val="18"/>
                <w:szCs w:val="18"/>
              </w:rPr>
              <w:t>深南文产</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online</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深发改</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[2011]1799</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上海浦东新 区财政局开 发扶持资金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浦张江园管 扶认字 </w:t>
            </w:r>
            <w:r>
              <w:rPr>
                <w:rFonts w:ascii="Times New Roman" w:hAnsi="Times New Roman" w:cs="Times New Roman" w:eastAsia="Times New Roman" w:hint="default"/>
                <w:sz w:val="18"/>
                <w:szCs w:val="18"/>
              </w:rPr>
              <w:t>(2012)</w:t>
            </w:r>
            <w:r>
              <w:rPr>
                <w:rFonts w:ascii="宋体" w:hAnsi="宋体" w:cs="宋体" w:eastAsia="宋体" w:hint="default"/>
                <w:sz w:val="18"/>
                <w:szCs w:val="18"/>
              </w:rPr>
              <w:t>第 </w:t>
            </w:r>
            <w:r>
              <w:rPr>
                <w:rFonts w:ascii="Times New Roman" w:hAnsi="Times New Roman" w:cs="Times New Roman" w:eastAsia="Times New Roman" w:hint="default"/>
                <w:sz w:val="18"/>
                <w:szCs w:val="18"/>
              </w:rPr>
              <w:t>0117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530,000.00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工程技术研 究开发中心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深发改</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(2010)1324</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521,600.04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521,600.04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1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36"/>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年文化 创意产业百 强奖励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83"/>
              <w:jc w:val="both"/>
              <w:rPr>
                <w:rFonts w:ascii="宋体" w:hAnsi="宋体" w:cs="宋体" w:eastAsia="宋体" w:hint="default"/>
                <w:sz w:val="18"/>
                <w:szCs w:val="18"/>
              </w:rPr>
            </w:pPr>
            <w:r>
              <w:rPr>
                <w:rFonts w:ascii="宋体" w:hAnsi="宋体" w:cs="宋体" w:eastAsia="宋体" w:hint="default"/>
                <w:sz w:val="18"/>
                <w:szCs w:val="18"/>
              </w:rPr>
              <w:t>深圳市文化 创意产业发 展专项资金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补助</w:t>
            </w:r>
            <w:r>
              <w:rPr>
                <w:rFonts w:ascii="Times New Roman" w:hAnsi="Times New Roman" w:cs="Times New Roman" w:eastAsia="Times New Roman" w:hint="default"/>
                <w:sz w:val="18"/>
                <w:szCs w:val="18"/>
              </w:rPr>
              <w:t>(</w:t>
            </w:r>
            <w:r>
              <w:rPr>
                <w:rFonts w:ascii="宋体" w:hAnsi="宋体" w:cs="宋体" w:eastAsia="宋体" w:hint="default"/>
                <w:sz w:val="18"/>
                <w:szCs w:val="18"/>
              </w:rPr>
              <w:t>按国家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163.339996pt;margin-top:553.959961pt;width:52.7pt;height:46.8pt;mso-position-horizontal-relative:page;mso-position-vertical-relative:page;z-index:-1112200" coordorigin="3267,11079" coordsize="1054,936">
            <v:shape style="position:absolute;left:3267;top:11079;width:1054;height:936" coordorigin="3267,11079" coordsize="1054,936" path="m3267,12015l4320,12015,4320,11079,3267,11079,3267,1201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批扶持计划</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级政策规定 依法取得</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黑夜传说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深财科</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[2015]150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385,000.00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张江高科技 园区管理委 员会软件企 业增值税补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left"/>
              <w:rPr>
                <w:rFonts w:ascii="Times New Roman" w:hAnsi="Times New Roman" w:cs="Times New Roman" w:eastAsia="Times New Roman" w:hint="default"/>
                <w:sz w:val="18"/>
                <w:szCs w:val="18"/>
              </w:rPr>
            </w:pPr>
            <w:r>
              <w:rPr>
                <w:rFonts w:ascii="宋体" w:hAnsi="宋体" w:cs="宋体" w:eastAsia="宋体" w:hint="default"/>
                <w:sz w:val="18"/>
                <w:szCs w:val="18"/>
              </w:rPr>
              <w:t>张江园管扶 认字</w:t>
            </w:r>
            <w:r>
              <w:rPr>
                <w:rFonts w:ascii="Times New Roman" w:hAnsi="Times New Roman" w:cs="Times New Roman" w:eastAsia="Times New Roman" w:hint="default"/>
                <w:sz w:val="18"/>
                <w:szCs w:val="18"/>
              </w:rPr>
              <w:t>(2014)</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补助</w:t>
            </w:r>
            <w:r>
              <w:rPr>
                <w:rFonts w:ascii="Times New Roman" w:hAnsi="Times New Roman" w:cs="Times New Roman" w:eastAsia="Times New Roman" w:hint="default"/>
                <w:sz w:val="18"/>
                <w:szCs w:val="18"/>
              </w:rPr>
              <w:t>(</w:t>
            </w:r>
            <w:r>
              <w:rPr>
                <w:rFonts w:ascii="宋体" w:hAnsi="宋体" w:cs="宋体" w:eastAsia="宋体" w:hint="default"/>
                <w:sz w:val="18"/>
                <w:szCs w:val="18"/>
              </w:rPr>
              <w:t>按国家 级政策规定 依法取得</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御剑三国</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区财政局自 主创新转款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但丁</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深发改</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[2014]939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266,666.68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中青宝游戏 云服务开放 平台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深发改</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[2011]1673</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266,666.67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13,333.34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剑舞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online</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福田区产业 发展专项资 金支持文化 产业项目资 金使用合同 合同编号：</w:t>
            </w:r>
          </w:p>
          <w:p>
            <w:pPr>
              <w:pStyle w:val="TableParagraph"/>
              <w:spacing w:line="240" w:lineRule="auto" w:before="60"/>
              <w:ind w:left="22" w:right="0"/>
              <w:jc w:val="both"/>
              <w:rPr>
                <w:rFonts w:ascii="Times New Roman" w:hAnsi="Times New Roman" w:cs="Times New Roman" w:eastAsia="Times New Roman" w:hint="default"/>
                <w:sz w:val="18"/>
                <w:szCs w:val="18"/>
              </w:rPr>
            </w:pPr>
            <w:r>
              <w:rPr>
                <w:rFonts w:ascii="Times New Roman"/>
                <w:sz w:val="18"/>
              </w:rPr>
              <w:t>201201003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p>
            <w:pPr>
              <w:pStyle w:val="TableParagraph"/>
              <w:spacing w:line="240" w:lineRule="auto" w:before="75"/>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93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52.7pt;height:46.8pt;mso-position-horizontal-relative:char;mso-position-vertical-relative:line" coordorigin="0,0" coordsize="1054,936">
                  <v:group style="position:absolute;left:0;top:0;width:1054;height:936" coordorigin="0,0" coordsize="1054,936">
                    <v:shape style="position:absolute;left:0;top:0;width:1054;height:936" coordorigin="0,0" coordsize="1054,936" path="m0,936l1054,936,1054,0,0,0,0,936xe" filled="true" fillcolor="#ffffff" stroked="false">
                      <v:path arrowok="t"/>
                      <v:fill type="solid"/>
                    </v:shape>
                  </v:group>
                </v:group>
              </w:pict>
            </w:r>
            <w:r>
              <w:rPr>
                <w:rFonts w:ascii="Times New Roman" w:hAnsi="Times New Roman" w:cs="Times New Roman" w:eastAsia="Times New Roman" w:hint="default"/>
                <w:position w:val="-1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邪域战灵</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深圳市文化 创意发展专 项资金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年第一批扶 持计划</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183,999.96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183,999.96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幻世英雄</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深发改</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[2012]1065</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180,000.00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上海财政局 所得税财政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浦张江园管 扶认字 </w:t>
            </w:r>
            <w:r>
              <w:rPr>
                <w:rFonts w:ascii="Times New Roman" w:hAnsi="Times New Roman" w:cs="Times New Roman" w:eastAsia="Times New Roman" w:hint="default"/>
                <w:sz w:val="18"/>
                <w:szCs w:val="18"/>
              </w:rPr>
              <w:t>(2012)</w:t>
            </w:r>
            <w:r>
              <w:rPr>
                <w:rFonts w:ascii="宋体" w:hAnsi="宋体" w:cs="宋体" w:eastAsia="宋体" w:hint="default"/>
                <w:sz w:val="18"/>
                <w:szCs w:val="18"/>
              </w:rPr>
              <w:t>第 </w:t>
            </w:r>
            <w:r>
              <w:rPr>
                <w:rFonts w:ascii="Times New Roman" w:hAnsi="Times New Roman" w:cs="Times New Roman" w:eastAsia="Times New Roman" w:hint="default"/>
                <w:sz w:val="18"/>
                <w:szCs w:val="18"/>
              </w:rPr>
              <w:t>0117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补助</w:t>
            </w:r>
            <w:r>
              <w:rPr>
                <w:rFonts w:ascii="Times New Roman" w:hAnsi="Times New Roman" w:cs="Times New Roman" w:eastAsia="Times New Roman" w:hint="default"/>
                <w:sz w:val="18"/>
                <w:szCs w:val="18"/>
              </w:rPr>
              <w:t>(</w:t>
            </w:r>
            <w:r>
              <w:rPr>
                <w:rFonts w:ascii="宋体" w:hAnsi="宋体" w:cs="宋体" w:eastAsia="宋体" w:hint="default"/>
                <w:sz w:val="18"/>
                <w:szCs w:val="18"/>
              </w:rPr>
              <w:t>按国家 级政策规定 依法取得</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裂天之刃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3"/>
              <w:jc w:val="both"/>
              <w:rPr>
                <w:rFonts w:ascii="宋体" w:hAnsi="宋体" w:cs="宋体" w:eastAsia="宋体" w:hint="default"/>
                <w:sz w:val="18"/>
                <w:szCs w:val="18"/>
              </w:rPr>
            </w:pPr>
            <w:r>
              <w:rPr>
                <w:rFonts w:ascii="宋体" w:hAnsi="宋体" w:cs="宋体" w:eastAsia="宋体" w:hint="default"/>
                <w:sz w:val="18"/>
                <w:szCs w:val="18"/>
              </w:rPr>
              <w:t>深圳市文化 创意发展专 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年第二批扶 持计划</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知识产权专 项奖励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3"/>
              <w:jc w:val="both"/>
              <w:rPr>
                <w:rFonts w:ascii="宋体" w:hAnsi="宋体" w:cs="宋体" w:eastAsia="宋体" w:hint="default"/>
                <w:sz w:val="18"/>
                <w:szCs w:val="18"/>
              </w:rPr>
            </w:pPr>
            <w:r>
              <w:rPr>
                <w:rFonts w:ascii="宋体" w:hAnsi="宋体" w:cs="宋体" w:eastAsia="宋体" w:hint="default"/>
                <w:sz w:val="18"/>
                <w:szCs w:val="18"/>
              </w:rPr>
              <w:t>关于福田区 产业发展专 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年第一批支 持企业及项 目的公告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2.7pt;height:39pt;mso-position-horizontal-relative:char;mso-position-vertical-relative:line" coordorigin="0,0" coordsize="1054,780">
                  <v:group style="position:absolute;left:0;top:0;width:1054;height:780" coordorigin="0,0" coordsize="1054,780">
                    <v:shape style="position:absolute;left:0;top:0;width:1054;height:780" coordorigin="0,0" coordsize="1054,780" path="m0,780l1054,780,10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深圳市高新 技术产业专 项补助资金</w:t>
            </w:r>
          </w:p>
          <w:p>
            <w:pPr>
              <w:pStyle w:val="TableParagraph"/>
              <w:spacing w:line="240" w:lineRule="auto" w:before="57"/>
              <w:ind w:left="22" w:right="0"/>
              <w:jc w:val="both"/>
              <w:rPr>
                <w:rFonts w:ascii="Times New Roman" w:hAnsi="Times New Roman" w:cs="Times New Roman" w:eastAsia="Times New Roman" w:hint="default"/>
                <w:sz w:val="18"/>
                <w:szCs w:val="18"/>
              </w:rPr>
            </w:pPr>
            <w:r>
              <w:rPr>
                <w:rFonts w:ascii="Times New Roman"/>
                <w:sz w:val="18"/>
              </w:rPr>
              <w:t>(2009-2011</w:t>
            </w:r>
          </w:p>
          <w:p>
            <w:pPr>
              <w:pStyle w:val="TableParagraph"/>
              <w:spacing w:line="240" w:lineRule="auto" w:before="66"/>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深财科</w:t>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([2014)]47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补助</w:t>
            </w:r>
            <w:r>
              <w:rPr>
                <w:rFonts w:ascii="Times New Roman" w:hAnsi="Times New Roman" w:cs="Times New Roman" w:eastAsia="Times New Roman" w:hint="default"/>
                <w:sz w:val="18"/>
                <w:szCs w:val="18"/>
              </w:rPr>
              <w:t>(</w:t>
            </w:r>
            <w:r>
              <w:rPr>
                <w:rFonts w:ascii="宋体" w:hAnsi="宋体" w:cs="宋体" w:eastAsia="宋体" w:hint="default"/>
                <w:sz w:val="18"/>
                <w:szCs w:val="18"/>
              </w:rPr>
              <w:t>按国家 级政策规定 依法取得</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2,611,700.00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117"/>
              <w:jc w:val="both"/>
              <w:rPr>
                <w:rFonts w:ascii="宋体" w:hAnsi="宋体" w:cs="宋体" w:eastAsia="宋体" w:hint="default"/>
                <w:sz w:val="18"/>
                <w:szCs w:val="18"/>
              </w:rPr>
            </w:pPr>
            <w:r>
              <w:rPr>
                <w:rFonts w:ascii="宋体" w:hAnsi="宋体" w:cs="宋体" w:eastAsia="宋体" w:hint="default"/>
                <w:sz w:val="18"/>
                <w:szCs w:val="18"/>
              </w:rPr>
              <w:t>移动互联网 </w:t>
            </w:r>
            <w:r>
              <w:rPr>
                <w:rFonts w:ascii="Times New Roman" w:hAnsi="Times New Roman" w:cs="Times New Roman" w:eastAsia="Times New Roman" w:hint="default"/>
                <w:sz w:val="18"/>
                <w:szCs w:val="18"/>
              </w:rPr>
              <w:t>SNS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服务创 新游戏平台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深发改</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(2013)535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大抗战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深财科</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[2014]111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虚拟都市</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深发改</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(2012)]707</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1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2"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 文化产业发 展专项资金 出口奖励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22" w:right="127"/>
              <w:jc w:val="both"/>
              <w:rPr>
                <w:rFonts w:ascii="宋体" w:hAnsi="宋体" w:cs="宋体" w:eastAsia="宋体" w:hint="default"/>
                <w:sz w:val="18"/>
                <w:szCs w:val="18"/>
              </w:rPr>
            </w:pPr>
            <w:r>
              <w:rPr>
                <w:rFonts w:ascii="宋体" w:hAnsi="宋体" w:cs="宋体" w:eastAsia="宋体" w:hint="default"/>
                <w:sz w:val="18"/>
                <w:szCs w:val="18"/>
              </w:rPr>
              <w:t>文化服务贸 易出口奖励 情况的通知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补助</w:t>
            </w:r>
            <w:r>
              <w:rPr>
                <w:rFonts w:ascii="Times New Roman" w:hAnsi="Times New Roman" w:cs="Times New Roman" w:eastAsia="Times New Roman" w:hint="default"/>
                <w:sz w:val="18"/>
                <w:szCs w:val="18"/>
              </w:rPr>
              <w:t>(</w:t>
            </w:r>
            <w:r>
              <w:rPr>
                <w:rFonts w:ascii="宋体" w:hAnsi="宋体" w:cs="宋体" w:eastAsia="宋体" w:hint="default"/>
                <w:sz w:val="18"/>
                <w:szCs w:val="18"/>
              </w:rPr>
              <w:t>按国家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级政策规定 依法取得</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年张江 企业发展财 政补贴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上海浦东新 区提供的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年张江 企业发展财 政补贴款</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补助</w:t>
            </w:r>
            <w:r>
              <w:rPr>
                <w:rFonts w:ascii="Times New Roman" w:hAnsi="Times New Roman" w:cs="Times New Roman" w:eastAsia="Times New Roman" w:hint="default"/>
                <w:sz w:val="18"/>
                <w:szCs w:val="18"/>
              </w:rPr>
              <w:t>(</w:t>
            </w:r>
            <w:r>
              <w:rPr>
                <w:rFonts w:ascii="宋体" w:hAnsi="宋体" w:cs="宋体" w:eastAsia="宋体" w:hint="default"/>
                <w:sz w:val="18"/>
                <w:szCs w:val="18"/>
              </w:rPr>
              <w:t>按国家 级政策规定 依法取得</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年优秀 新兴业态文 化创意奖励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83"/>
              <w:jc w:val="left"/>
              <w:rPr>
                <w:rFonts w:ascii="宋体" w:hAnsi="宋体" w:cs="宋体" w:eastAsia="宋体" w:hint="default"/>
                <w:sz w:val="18"/>
                <w:szCs w:val="18"/>
              </w:rPr>
            </w:pPr>
            <w:r>
              <w:rPr>
                <w:rFonts w:ascii="宋体" w:hAnsi="宋体" w:cs="宋体" w:eastAsia="宋体" w:hint="default"/>
                <w:sz w:val="18"/>
                <w:szCs w:val="18"/>
              </w:rPr>
              <w:t>关于认定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 市优秀新兴 业态文化创 意企业的通 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补助</w:t>
            </w:r>
            <w:r>
              <w:rPr>
                <w:rFonts w:ascii="Times New Roman" w:hAnsi="Times New Roman" w:cs="Times New Roman" w:eastAsia="Times New Roman" w:hint="default"/>
                <w:sz w:val="18"/>
                <w:szCs w:val="18"/>
              </w:rPr>
              <w:t>(</w:t>
            </w:r>
            <w:r>
              <w:rPr>
                <w:rFonts w:ascii="宋体" w:hAnsi="宋体" w:cs="宋体" w:eastAsia="宋体" w:hint="default"/>
                <w:sz w:val="18"/>
                <w:szCs w:val="18"/>
              </w:rPr>
              <w:t>按国家 级政策规定 依法取得</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05"/>
              <w:ind w:left="22" w:right="86"/>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 市文化创意 企业出口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强奖励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关于认定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 市文化创意 企业出口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强的通知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补助</w:t>
            </w:r>
            <w:r>
              <w:rPr>
                <w:rFonts w:ascii="Times New Roman" w:hAnsi="Times New Roman" w:cs="Times New Roman" w:eastAsia="Times New Roman" w:hint="default"/>
                <w:sz w:val="18"/>
                <w:szCs w:val="18"/>
              </w:rPr>
              <w:t>(</w:t>
            </w:r>
            <w:r>
              <w:rPr>
                <w:rFonts w:ascii="宋体" w:hAnsi="宋体" w:cs="宋体" w:eastAsia="宋体" w:hint="default"/>
                <w:sz w:val="18"/>
                <w:szCs w:val="18"/>
              </w:rPr>
              <w:t>按国家 级政策规定 依法取得</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年文化 创意产业百 强奖励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83"/>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年文化 创意产业百 强企业名单</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补助</w:t>
            </w:r>
            <w:r>
              <w:rPr>
                <w:rFonts w:ascii="Times New Roman" w:hAnsi="Times New Roman" w:cs="Times New Roman" w:eastAsia="Times New Roman" w:hint="default"/>
                <w:sz w:val="18"/>
                <w:szCs w:val="18"/>
              </w:rPr>
              <w:t>(</w:t>
            </w:r>
            <w:r>
              <w:rPr>
                <w:rFonts w:ascii="宋体" w:hAnsi="宋体" w:cs="宋体" w:eastAsia="宋体" w:hint="default"/>
                <w:sz w:val="18"/>
                <w:szCs w:val="18"/>
              </w:rPr>
              <w:t>按国家 级政策规定 依法取得</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年文化 服务贸易专 项资助资金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38"/>
              <w:jc w:val="left"/>
              <w:rPr>
                <w:rFonts w:ascii="宋体" w:hAnsi="宋体" w:cs="宋体" w:eastAsia="宋体" w:hint="default"/>
                <w:sz w:val="18"/>
                <w:szCs w:val="18"/>
              </w:rPr>
            </w:pPr>
            <w:r>
              <w:rPr>
                <w:rFonts w:ascii="宋体" w:hAnsi="宋体" w:cs="宋体" w:eastAsia="宋体" w:hint="default"/>
                <w:sz w:val="18"/>
                <w:szCs w:val="18"/>
              </w:rPr>
              <w:t>深圳市财政 委员会提供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年文 化服务贸易 专项资助资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补助</w:t>
            </w:r>
            <w:r>
              <w:rPr>
                <w:rFonts w:ascii="Times New Roman" w:hAnsi="Times New Roman" w:cs="Times New Roman" w:eastAsia="Times New Roman" w:hint="default"/>
                <w:sz w:val="18"/>
                <w:szCs w:val="18"/>
              </w:rPr>
              <w:t>(</w:t>
            </w:r>
            <w:r>
              <w:rPr>
                <w:rFonts w:ascii="宋体" w:hAnsi="宋体" w:cs="宋体" w:eastAsia="宋体" w:hint="default"/>
                <w:sz w:val="18"/>
                <w:szCs w:val="18"/>
              </w:rPr>
              <w:t>按国家 级政策规定 依法取得</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御剑三国</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深财科</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[2014]111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福田区文化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福田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创意企业奖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54"/>
              <w:jc w:val="left"/>
              <w:rPr>
                <w:rFonts w:ascii="宋体" w:hAnsi="宋体" w:cs="宋体" w:eastAsia="宋体" w:hint="default"/>
                <w:sz w:val="18"/>
                <w:szCs w:val="18"/>
              </w:rPr>
            </w:pPr>
            <w:r>
              <w:rPr>
                <w:rFonts w:ascii="宋体" w:hAnsi="宋体" w:cs="宋体" w:eastAsia="宋体" w:hint="default"/>
                <w:sz w:val="18"/>
                <w:szCs w:val="18"/>
              </w:rPr>
              <w:t>区文化创意 企业政府奖</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获奖名单</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补助</w:t>
            </w:r>
            <w:r>
              <w:rPr>
                <w:rFonts w:ascii="Times New Roman" w:hAnsi="Times New Roman" w:cs="Times New Roman" w:eastAsia="Times New Roman" w:hint="default"/>
                <w:sz w:val="18"/>
                <w:szCs w:val="18"/>
              </w:rPr>
              <w:t>(</w:t>
            </w:r>
            <w:r>
              <w:rPr>
                <w:rFonts w:ascii="宋体" w:hAnsi="宋体" w:cs="宋体" w:eastAsia="宋体" w:hint="default"/>
                <w:sz w:val="18"/>
                <w:szCs w:val="18"/>
              </w:rPr>
              <w:t>按国家 级政策规定 依法取得</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嘻哈堂</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深文体旅</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[2011]108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250,080.62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26"/>
              <w:jc w:val="left"/>
              <w:rPr>
                <w:rFonts w:ascii="Times New Roman" w:hAnsi="Times New Roman" w:cs="Times New Roman" w:eastAsia="Times New Roman" w:hint="default"/>
                <w:sz w:val="18"/>
                <w:szCs w:val="18"/>
              </w:rPr>
            </w:pPr>
            <w:r>
              <w:rPr>
                <w:rFonts w:ascii="宋体" w:hAnsi="宋体" w:cs="宋体" w:eastAsia="宋体" w:hint="default"/>
                <w:sz w:val="18"/>
                <w:szCs w:val="18"/>
              </w:rPr>
              <w:t>福田区产业 发展专项资 金</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第一批</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38"/>
              <w:jc w:val="left"/>
              <w:rPr>
                <w:rFonts w:ascii="宋体" w:hAnsi="宋体" w:cs="宋体" w:eastAsia="宋体" w:hint="default"/>
                <w:sz w:val="18"/>
                <w:szCs w:val="18"/>
              </w:rPr>
            </w:pPr>
            <w:r>
              <w:rPr>
                <w:rFonts w:ascii="宋体" w:hAnsi="宋体" w:cs="宋体" w:eastAsia="宋体" w:hint="default"/>
                <w:sz w:val="18"/>
                <w:szCs w:val="18"/>
              </w:rPr>
              <w:t>福田区产业 发展专项资 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第一批支持 企业及项目 汇总表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补助</w:t>
            </w:r>
            <w:r>
              <w:rPr>
                <w:rFonts w:ascii="Times New Roman" w:hAnsi="Times New Roman" w:cs="Times New Roman" w:eastAsia="Times New Roman" w:hint="default"/>
                <w:sz w:val="18"/>
                <w:szCs w:val="18"/>
              </w:rPr>
              <w:t>(</w:t>
            </w:r>
            <w:r>
              <w:rPr>
                <w:rFonts w:ascii="宋体" w:hAnsi="宋体" w:cs="宋体" w:eastAsia="宋体" w:hint="default"/>
                <w:sz w:val="18"/>
                <w:szCs w:val="18"/>
              </w:rPr>
              <w:t>按国家 级政策规定 依法取得</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 文化产业发 展专项资金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38"/>
              <w:jc w:val="left"/>
              <w:rPr>
                <w:rFonts w:ascii="宋体" w:hAnsi="宋体" w:cs="宋体" w:eastAsia="宋体" w:hint="default"/>
                <w:sz w:val="18"/>
                <w:szCs w:val="18"/>
              </w:rPr>
            </w:pPr>
            <w:r>
              <w:rPr>
                <w:rFonts w:ascii="宋体" w:hAnsi="宋体" w:cs="宋体" w:eastAsia="宋体" w:hint="default"/>
                <w:sz w:val="18"/>
                <w:szCs w:val="18"/>
              </w:rPr>
              <w:t>深圳市财政 委员会提供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 家文化产业 发展专项资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补助</w:t>
            </w:r>
            <w:r>
              <w:rPr>
                <w:rFonts w:ascii="Times New Roman" w:hAnsi="Times New Roman" w:cs="Times New Roman" w:eastAsia="Times New Roman" w:hint="default"/>
                <w:sz w:val="18"/>
                <w:szCs w:val="18"/>
              </w:rPr>
              <w:t>(</w:t>
            </w:r>
            <w:r>
              <w:rPr>
                <w:rFonts w:ascii="宋体" w:hAnsi="宋体" w:cs="宋体" w:eastAsia="宋体" w:hint="default"/>
                <w:sz w:val="18"/>
                <w:szCs w:val="18"/>
              </w:rPr>
              <w:t>按国家 级政策规定 依法取得</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自主创新产 业发展资助 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深圳市文化 创意产业发 展专项资金 资金使用合 同</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补助</w:t>
            </w:r>
            <w:r>
              <w:rPr>
                <w:rFonts w:ascii="Times New Roman" w:hAnsi="Times New Roman" w:cs="Times New Roman" w:eastAsia="Times New Roman" w:hint="default"/>
                <w:sz w:val="18"/>
                <w:szCs w:val="18"/>
              </w:rPr>
              <w:t>(</w:t>
            </w:r>
            <w:r>
              <w:rPr>
                <w:rFonts w:ascii="宋体" w:hAnsi="宋体" w:cs="宋体" w:eastAsia="宋体" w:hint="default"/>
                <w:sz w:val="18"/>
                <w:szCs w:val="18"/>
              </w:rPr>
              <w:t>按国家 级政策规定 依法取得</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其他合计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产业发展补 贴资金等</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补助</w:t>
            </w:r>
            <w:r>
              <w:rPr>
                <w:rFonts w:ascii="Times New Roman" w:hAnsi="Times New Roman" w:cs="Times New Roman" w:eastAsia="Times New Roman" w:hint="default"/>
                <w:sz w:val="18"/>
                <w:szCs w:val="18"/>
              </w:rPr>
              <w:t>(</w:t>
            </w:r>
            <w:r>
              <w:rPr>
                <w:rFonts w:ascii="宋体" w:hAnsi="宋体" w:cs="宋体" w:eastAsia="宋体" w:hint="default"/>
                <w:sz w:val="18"/>
                <w:szCs w:val="18"/>
              </w:rPr>
              <w:t>按国家 级政策规定 依法取得</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148,586.00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14,180,179.8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13,842,639.8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2"/>
        <w:rPr>
          <w:rFonts w:ascii="Times New Roman" w:hAnsi="Times New Roman" w:cs="Times New Roman" w:eastAsia="Times New Roman" w:hint="default"/>
          <w:sz w:val="28"/>
          <w:szCs w:val="28"/>
        </w:rPr>
      </w:pPr>
    </w:p>
    <w:p>
      <w:pPr>
        <w:pStyle w:val="Heading7"/>
        <w:spacing w:line="240" w:lineRule="auto" w:before="35"/>
        <w:ind w:left="1133" w:right="0"/>
        <w:jc w:val="left"/>
        <w:rPr>
          <w:b w:val="0"/>
          <w:bCs w:val="0"/>
        </w:rPr>
      </w:pPr>
      <w:bookmarkStart w:name="70、营业外支出" w:id="370"/>
      <w:bookmarkEnd w:id="370"/>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533,808.27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1,602,376.58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533,808.27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533,808.27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562,936.36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533,808.27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1,039,440.22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罚款支出</w:t>
            </w:r>
            <w:r>
              <w:rPr>
                <w:rFonts w:ascii="Times New Roman" w:hAnsi="Times New Roman" w:cs="Times New Roman" w:eastAsia="Times New Roman" w:hint="default"/>
                <w:sz w:val="18"/>
                <w:szCs w:val="18"/>
              </w:rPr>
              <w:t>(</w:t>
            </w:r>
            <w:r>
              <w:rPr>
                <w:rFonts w:ascii="宋体" w:hAnsi="宋体" w:cs="宋体" w:eastAsia="宋体" w:hint="default"/>
                <w:sz w:val="18"/>
                <w:szCs w:val="18"/>
              </w:rPr>
              <w:t>及违约金</w:t>
            </w:r>
            <w:r>
              <w:rPr>
                <w:rFonts w:ascii="Times New Roman" w:hAnsi="Times New Roman" w:cs="Times New Roman" w:eastAsia="Times New Roman" w:hint="default"/>
                <w:sz w:val="18"/>
                <w:szCs w:val="18"/>
              </w:rPr>
              <w:t>)</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415.16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7,505.15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415.16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诉讼赔偿</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253,998.26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394,942.80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253,998.26</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788,221.69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7,624,824.53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788,221.69</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7"/>
        <w:spacing w:line="506" w:lineRule="auto"/>
        <w:ind w:right="9242"/>
        <w:jc w:val="left"/>
        <w:rPr>
          <w:b w:val="0"/>
          <w:bCs w:val="0"/>
        </w:rPr>
      </w:pPr>
      <w:bookmarkStart w:name="71、所得税费用" w:id="371"/>
      <w:bookmarkEnd w:id="371"/>
      <w:r>
        <w:rPr>
          <w:b w:val="0"/>
          <w:bCs w:val="0"/>
        </w:rPr>
      </w:r>
      <w:r>
        <w:rPr>
          <w:rFonts w:ascii="Times New Roman" w:hAnsi="Times New Roman" w:cs="Times New Roman" w:eastAsia="Times New Roman" w:hint="default"/>
        </w:rPr>
        <w:t>71</w:t>
      </w:r>
      <w:r>
        <w:rPr/>
        <w:t>、所得税费用</w:t>
      </w:r>
      <w:r>
        <w:rPr>
          <w:w w:val="99"/>
        </w:rPr>
        <w:t> </w:t>
      </w:r>
      <w:bookmarkStart w:name="(1)所得税费用表" w:id="372"/>
      <w:bookmarkEnd w:id="372"/>
      <w:r>
        <w:rPr>
          <w:w w:val="99"/>
        </w:rPr>
      </w:r>
      <w:r>
        <w:rPr>
          <w:rFonts w:ascii="Times New Roman" w:hAnsi="Times New Roman" w:cs="Times New Roman" w:eastAsia="Times New Roman" w:hint="default"/>
        </w:rPr>
        <w:t>(1)</w:t>
      </w:r>
      <w:r>
        <w:rPr/>
        <w:t>所得税费用表</w:t>
      </w:r>
      <w:r>
        <w:rPr>
          <w:b w:val="0"/>
          <w:bCs w:val="0"/>
        </w:rPr>
      </w:r>
    </w:p>
    <w:p>
      <w:pPr>
        <w:pStyle w:val="BodyText"/>
        <w:spacing w:line="240" w:lineRule="auto" w:before="9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3,679,354.56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239,682.63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21,234,687.36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-18,876,508.34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24,914,041.92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-18,636,825.71</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会计利润与所得税费用调整过程" w:id="373"/>
      <w:bookmarkEnd w:id="373"/>
      <w:r>
        <w:rPr>
          <w:b w:val="0"/>
          <w:bCs w:val="0"/>
        </w:rPr>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87,520,975.41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13,128,146.31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-1,089,767.64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-2,023,102.93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12,030,373.16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-844,143.16</w:t>
            </w:r>
            <w:r>
              <w:rPr>
                <w:rFonts w:ascii="Times New Roman"/>
                <w:sz w:val="18"/>
              </w:rPr>
            </w:r>
          </w:p>
        </w:tc>
      </w:tr>
      <w:tr>
        <w:trPr>
          <w:trHeight w:val="715"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8,771,753.27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-5,059,217.09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24,914,041.92</w:t>
            </w:r>
          </w:p>
        </w:tc>
      </w:tr>
    </w:tbl>
    <w:p>
      <w:pPr>
        <w:spacing w:line="240" w:lineRule="auto" w:before="2"/>
        <w:rPr>
          <w:rFonts w:ascii="宋体" w:hAnsi="宋体" w:cs="宋体" w:eastAsia="宋体" w:hint="default"/>
          <w:sz w:val="19"/>
          <w:szCs w:val="19"/>
        </w:rPr>
      </w:pPr>
    </w:p>
    <w:p>
      <w:pPr>
        <w:spacing w:line="547" w:lineRule="auto" w:before="35"/>
        <w:ind w:left="1133" w:right="8856" w:firstLine="0"/>
        <w:jc w:val="left"/>
        <w:rPr>
          <w:rFonts w:ascii="宋体" w:hAnsi="宋体" w:cs="宋体" w:eastAsia="宋体" w:hint="default"/>
          <w:sz w:val="21"/>
          <w:szCs w:val="21"/>
        </w:rPr>
      </w:pPr>
      <w:bookmarkStart w:name="72、其他综合收益" w:id="374"/>
      <w:bookmarkEnd w:id="374"/>
      <w:r>
        <w:rPr/>
      </w: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bookmarkStart w:name="73、现金流量表项目" w:id="375"/>
      <w:bookmarkEnd w:id="375"/>
      <w:r>
        <w:rPr>
          <w:rFonts w:ascii="宋体" w:hAnsi="宋体" w:cs="宋体" w:eastAsia="宋体" w:hint="default"/>
          <w:sz w:val="18"/>
          <w:szCs w:val="18"/>
        </w:rPr>
      </w:r>
      <w:r>
        <w:rPr>
          <w:rFonts w:ascii="Times New Roman" w:hAnsi="Times New Roman" w:cs="Times New Roman" w:eastAsia="Times New Roman" w:hint="default"/>
          <w:b/>
          <w:bCs/>
          <w:sz w:val="21"/>
          <w:szCs w:val="21"/>
        </w:rPr>
        <w:t>73</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7"/>
        <w:spacing w:line="240" w:lineRule="auto" w:before="25"/>
        <w:ind w:left="1133" w:right="0"/>
        <w:jc w:val="left"/>
        <w:rPr>
          <w:b w:val="0"/>
          <w:bCs w:val="0"/>
        </w:rPr>
      </w:pPr>
      <w:bookmarkStart w:name="(1)收到的其他与经营活动有关的现金" w:id="376"/>
      <w:bookmarkEnd w:id="376"/>
      <w:r>
        <w:rPr>
          <w:b w:val="0"/>
          <w:bCs w:val="0"/>
        </w:rPr>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28,134,174.91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25,486,128.28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6,378,400.00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6,864,286.00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2,090,269.99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2,883,221.52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员工借款等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2,107,952.41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2,857,448.09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3,048,494.96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39,481,172.99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40,390,083.17</w:t>
            </w:r>
          </w:p>
        </w:tc>
      </w:tr>
    </w:tbl>
    <w:p>
      <w:pPr>
        <w:spacing w:line="240" w:lineRule="auto" w:before="3"/>
        <w:rPr>
          <w:rFonts w:ascii="宋体" w:hAnsi="宋体" w:cs="宋体" w:eastAsia="宋体" w:hint="default"/>
          <w:sz w:val="19"/>
          <w:szCs w:val="19"/>
        </w:rPr>
      </w:pPr>
    </w:p>
    <w:p>
      <w:pPr>
        <w:pStyle w:val="Heading7"/>
        <w:spacing w:line="240" w:lineRule="auto" w:before="35"/>
        <w:ind w:right="0"/>
        <w:jc w:val="left"/>
        <w:rPr>
          <w:b w:val="0"/>
          <w:bCs w:val="0"/>
        </w:rPr>
      </w:pPr>
      <w:bookmarkStart w:name="(2)支付的其他与经营活动有关的现金" w:id="377"/>
      <w:bookmarkEnd w:id="377"/>
      <w:r>
        <w:rPr>
          <w:b w:val="0"/>
          <w:bCs w:val="0"/>
        </w:rPr>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10,532,771.91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75,679,951.07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广告推广费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48,949,514.61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93,161,181.24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10,580,593.61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6,447,466.67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8,364,584.14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6,871,317.94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4,378,993.51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5,750,479.06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2,850,735.59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4,050,275.45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2,595,987.93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4,346,371.74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137,930.64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7,901.34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617,919.89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1,023,055.71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2,525,133.71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3,957,585.32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23,601.12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340,143.00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476,372.17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587,718.74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安装维修费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314,082.31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270,287.77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3,244,311.22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6,221,206.85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95,592,532.36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213,734,941.90</w:t>
            </w:r>
          </w:p>
        </w:tc>
      </w:tr>
    </w:tbl>
    <w:p>
      <w:pPr>
        <w:spacing w:line="240" w:lineRule="auto" w:before="3"/>
        <w:rPr>
          <w:rFonts w:ascii="宋体" w:hAnsi="宋体" w:cs="宋体" w:eastAsia="宋体" w:hint="default"/>
          <w:sz w:val="19"/>
          <w:szCs w:val="19"/>
        </w:rPr>
      </w:pPr>
    </w:p>
    <w:p>
      <w:pPr>
        <w:pStyle w:val="Heading7"/>
        <w:spacing w:line="240" w:lineRule="auto" w:before="35"/>
        <w:ind w:right="0"/>
        <w:jc w:val="left"/>
        <w:rPr>
          <w:b w:val="0"/>
          <w:bCs w:val="0"/>
        </w:rPr>
      </w:pPr>
      <w:bookmarkStart w:name="(3)收到的其他与投资活动有关的现金" w:id="378"/>
      <w:bookmarkEnd w:id="378"/>
      <w:r>
        <w:rPr>
          <w:b w:val="0"/>
          <w:bCs w:val="0"/>
        </w:rPr>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收回股权投资款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87,344,001.00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银行理财产品投资</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87,344,001.00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19,030,000.00</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4)支付的其他与投资活动有关的现金" w:id="379"/>
      <w:bookmarkEnd w:id="379"/>
      <w:r>
        <w:rPr>
          <w:b w:val="0"/>
          <w:bCs w:val="0"/>
        </w:rPr>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9,448,000.00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9,448,000.00</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5)收到的其他与筹资活动有关的现金" w:id="380"/>
      <w:bookmarkEnd w:id="380"/>
      <w:r>
        <w:rPr>
          <w:b w:val="0"/>
          <w:bCs w:val="0"/>
        </w:rPr>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银行借款质押保证金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6)支付的其他与筹资活动有关的现金" w:id="381"/>
      <w:bookmarkEnd w:id="381"/>
      <w:r>
        <w:rPr>
          <w:b w:val="0"/>
          <w:bCs w:val="0"/>
        </w:rPr>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银行借款质押保证金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bl>
    <w:p>
      <w:pPr>
        <w:spacing w:line="240" w:lineRule="auto" w:before="2"/>
        <w:rPr>
          <w:rFonts w:ascii="宋体" w:hAnsi="宋体" w:cs="宋体" w:eastAsia="宋体" w:hint="default"/>
          <w:sz w:val="19"/>
          <w:szCs w:val="19"/>
        </w:rPr>
      </w:pPr>
    </w:p>
    <w:p>
      <w:pPr>
        <w:pStyle w:val="Heading7"/>
        <w:spacing w:line="506" w:lineRule="auto" w:before="35"/>
        <w:ind w:left="1133" w:right="8435"/>
        <w:jc w:val="left"/>
        <w:rPr>
          <w:b w:val="0"/>
          <w:bCs w:val="0"/>
        </w:rPr>
      </w:pPr>
      <w:bookmarkStart w:name="74、现金流量表补充资料" w:id="382"/>
      <w:bookmarkEnd w:id="382"/>
      <w:r>
        <w:rPr>
          <w:b w:val="0"/>
          <w:bCs w:val="0"/>
        </w:rPr>
      </w:r>
      <w:r>
        <w:rPr>
          <w:rFonts w:ascii="Times New Roman" w:hAnsi="Times New Roman" w:cs="Times New Roman" w:eastAsia="Times New Roman" w:hint="default"/>
        </w:rPr>
        <w:t>74</w:t>
      </w:r>
      <w:r>
        <w:rPr/>
        <w:t>、现金流量表补充资料</w:t>
      </w:r>
      <w:r>
        <w:rPr>
          <w:w w:val="99"/>
        </w:rPr>
        <w:t> </w:t>
      </w:r>
      <w:bookmarkStart w:name="(1)现金流量表补充资料" w:id="383"/>
      <w:bookmarkEnd w:id="383"/>
      <w:r>
        <w:rPr>
          <w:w w:val="99"/>
        </w:rPr>
      </w:r>
      <w:r>
        <w:rPr>
          <w:rFonts w:ascii="Times New Roman" w:hAnsi="Times New Roman" w:cs="Times New Roman" w:eastAsia="Times New Roman" w:hint="default"/>
        </w:rPr>
        <w:t>(1)</w:t>
      </w:r>
      <w:r>
        <w:rPr/>
        <w:t>现金流量表补充资料</w:t>
      </w:r>
      <w:r>
        <w:rPr>
          <w:b w:val="0"/>
          <w:bCs w:val="0"/>
        </w:rPr>
      </w:r>
    </w:p>
    <w:p>
      <w:pPr>
        <w:pStyle w:val="BodyText"/>
        <w:spacing w:line="240" w:lineRule="auto" w:before="90"/>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62,606,933.49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6,450,912.61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282,387,650.41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81,229,891.86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10,588,474.06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15,151,137.37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60,066,770.03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94,204,431.69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42,983,378.04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20,205,547.24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处置固定资产、无形资产和其他长期资产 的损失</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476,863.32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1,599,388.51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19,549,039.57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10,590,779.54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投资损失</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-248,870,369.04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-60,411,117.47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递延所得税资产减少</w:t>
            </w:r>
            <w:r>
              <w:rPr>
                <w:rFonts w:ascii="Times New Roman" w:hAnsi="Times New Roman" w:cs="Times New Roman" w:eastAsia="Times New Roman" w:hint="default"/>
                <w:sz w:val="18"/>
                <w:szCs w:val="18"/>
              </w:rPr>
              <w:t>(</w:t>
            </w:r>
            <w:r>
              <w:rPr>
                <w:rFonts w:ascii="宋体" w:hAnsi="宋体" w:cs="宋体" w:eastAsia="宋体" w:hint="default"/>
                <w:sz w:val="18"/>
                <w:szCs w:val="18"/>
              </w:rPr>
              <w:t>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-5,762,653.26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-18,876,508.34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递延所得税负债增加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26,997,334.01</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存货的减少</w:t>
            </w:r>
            <w:r>
              <w:rPr>
                <w:rFonts w:ascii="Times New Roman" w:hAnsi="Times New Roman" w:cs="Times New Roman" w:eastAsia="Times New Roman" w:hint="default"/>
                <w:sz w:val="18"/>
                <w:szCs w:val="18"/>
              </w:rPr>
              <w:t>(</w:t>
            </w:r>
            <w:r>
              <w:rPr>
                <w:rFonts w:ascii="宋体" w:hAnsi="宋体" w:cs="宋体" w:eastAsia="宋体" w:hint="default"/>
                <w:sz w:val="18"/>
                <w:szCs w:val="18"/>
              </w:rPr>
              <w:t>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837,078.97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81"/>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经营性应收项目的减少</w:t>
            </w:r>
            <w:r>
              <w:rPr>
                <w:rFonts w:ascii="Times New Roman" w:hAnsi="Times New Roman" w:cs="Times New Roman" w:eastAsia="Times New Roman" w:hint="default"/>
                <w:sz w:val="18"/>
                <w:szCs w:val="18"/>
              </w:rPr>
              <w:t>(</w:t>
            </w:r>
            <w:r>
              <w:rPr>
                <w:rFonts w:ascii="宋体" w:hAnsi="宋体" w:cs="宋体" w:eastAsia="宋体" w:hint="default"/>
                <w:sz w:val="18"/>
                <w:szCs w:val="18"/>
              </w:rPr>
              <w:t>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r>
              <w:rPr>
                <w:rFonts w:ascii="Times New Roman" w:hAnsi="Times New Roman" w:cs="Times New Roman" w:eastAsia="Times New Roman" w:hint="default"/>
                <w:sz w:val="18"/>
                <w:szCs w:val="18"/>
              </w:rPr>
              <w:t>)</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79,962,974.60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-85,537,285.31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81"/>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经营性应付项目的增加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r>
              <w:rPr>
                <w:rFonts w:ascii="Times New Roman" w:hAnsi="Times New Roman" w:cs="Times New Roman" w:eastAsia="Times New Roman" w:hint="default"/>
                <w:sz w:val="18"/>
                <w:szCs w:val="18"/>
              </w:rPr>
              <w:t>)</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-151,540,578.28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-92,171,541.96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-8,303,213.22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678,445.60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171,142,603.73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-26,048,839.69</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291,139,329.09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211,346,220.78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211,346,220.78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317,763,689.63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79,793,108.31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-106,417,468.85</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本期支付的取得子公司的现金净额" w:id="384"/>
      <w:bookmarkEnd w:id="384"/>
      <w:r>
        <w:rPr>
          <w:b w:val="0"/>
          <w:bCs w:val="0"/>
        </w:rPr>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3)本期收到的处置子公司的现金净额" w:id="385"/>
      <w:bookmarkEnd w:id="385"/>
      <w:r>
        <w:rPr>
          <w:b w:val="0"/>
          <w:bCs w:val="0"/>
        </w:rPr>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北京幻龙互动科技有限公司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北京天一讯灵科技有限公司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17,500,000.09</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4)现金和现金等价物的构成" w:id="386"/>
      <w:bookmarkEnd w:id="386"/>
      <w:r>
        <w:rPr>
          <w:b w:val="0"/>
          <w:bCs w:val="0"/>
        </w:rPr>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291,139,329.09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211,346,220.78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326,644.69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38,329.08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290,687,158.89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211,261,832.94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125,525.51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46,058.76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291,139,329.09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211,346,220.78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r>
    </w:tbl>
    <w:p>
      <w:pPr>
        <w:spacing w:line="240" w:lineRule="auto" w:before="2"/>
        <w:rPr>
          <w:rFonts w:ascii="宋体" w:hAnsi="宋体" w:cs="宋体" w:eastAsia="宋体" w:hint="default"/>
          <w:sz w:val="19"/>
          <w:szCs w:val="19"/>
        </w:rPr>
      </w:pPr>
    </w:p>
    <w:p>
      <w:pPr>
        <w:spacing w:line="544" w:lineRule="auto" w:before="35"/>
        <w:ind w:left="1133" w:right="5193" w:firstLine="0"/>
        <w:jc w:val="left"/>
        <w:rPr>
          <w:rFonts w:ascii="宋体" w:hAnsi="宋体" w:cs="宋体" w:eastAsia="宋体" w:hint="default"/>
          <w:sz w:val="21"/>
          <w:szCs w:val="21"/>
        </w:rPr>
      </w:pPr>
      <w:bookmarkStart w:name="75、所有者权益变动表项目注释" w:id="387"/>
      <w:bookmarkEnd w:id="387"/>
      <w:r>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项目名称及调整金额等事项：无 </w:t>
      </w:r>
      <w:bookmarkStart w:name="76、所有权或使用权受到限制的资产" w:id="388"/>
      <w:bookmarkEnd w:id="388"/>
      <w:r>
        <w:rPr>
          <w:rFonts w:ascii="宋体" w:hAnsi="宋体" w:cs="宋体" w:eastAsia="宋体" w:hint="default"/>
          <w:sz w:val="18"/>
          <w:szCs w:val="18"/>
        </w:rPr>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1,487,606.84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6"/>
              <w:jc w:val="center"/>
              <w:rPr>
                <w:rFonts w:ascii="宋体" w:hAnsi="宋体" w:cs="宋体" w:eastAsia="宋体" w:hint="default"/>
                <w:sz w:val="18"/>
                <w:szCs w:val="18"/>
              </w:rPr>
            </w:pPr>
            <w:r>
              <w:rPr>
                <w:rFonts w:ascii="宋体" w:hAnsi="宋体" w:cs="宋体" w:eastAsia="宋体" w:hint="default"/>
                <w:sz w:val="18"/>
                <w:szCs w:val="18"/>
              </w:rPr>
              <w:t>深圳人才住房，只有使用权没有处置权</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1,487,606.84</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7"/>
        <w:spacing w:line="506" w:lineRule="auto" w:before="35"/>
        <w:ind w:left="1133" w:right="8856"/>
        <w:jc w:val="left"/>
        <w:rPr>
          <w:b w:val="0"/>
          <w:bCs w:val="0"/>
        </w:rPr>
      </w:pPr>
      <w:bookmarkStart w:name="77、外币货币性项目" w:id="389"/>
      <w:bookmarkEnd w:id="389"/>
      <w:r>
        <w:rPr>
          <w:b w:val="0"/>
          <w:bCs w:val="0"/>
        </w:rPr>
      </w:r>
      <w:r>
        <w:rPr>
          <w:rFonts w:ascii="Times New Roman" w:hAnsi="Times New Roman" w:cs="Times New Roman" w:eastAsia="Times New Roman" w:hint="default"/>
        </w:rPr>
        <w:t>77</w:t>
      </w:r>
      <w:r>
        <w:rPr/>
        <w:t>、外币货币性项目</w:t>
      </w:r>
      <w:r>
        <w:rPr>
          <w:w w:val="99"/>
        </w:rPr>
        <w:t> </w:t>
      </w:r>
      <w:bookmarkStart w:name="(1)外币货币性项目" w:id="390"/>
      <w:bookmarkEnd w:id="390"/>
      <w:r>
        <w:rPr>
          <w:w w:val="99"/>
        </w:rPr>
      </w:r>
      <w:r>
        <w:rPr>
          <w:rFonts w:ascii="Times New Roman" w:hAnsi="Times New Roman" w:cs="Times New Roman" w:eastAsia="Times New Roman" w:hint="default"/>
        </w:rPr>
        <w:t>(1)</w:t>
      </w:r>
      <w:r>
        <w:rPr/>
        <w:t>外币货币性项目</w:t>
      </w:r>
      <w:r>
        <w:rPr>
          <w:b w:val="0"/>
          <w:bCs w:val="0"/>
        </w:rPr>
      </w:r>
    </w:p>
    <w:p>
      <w:pPr>
        <w:pStyle w:val="BodyText"/>
        <w:spacing w:line="240" w:lineRule="auto" w:before="9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1"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31"/>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27,820,128.28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4,088,983.13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26,552,220.85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1,468,150.42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1,230,016.42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韩元</w:t>
            </w:r>
          </w:p>
        </w:tc>
        <w:tc>
          <w:tcPr>
            <w:tcW w:w="2294"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6,889,275.00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37,891.01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1"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31"/>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11,948,491.68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1,827,932.09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11,869,859.82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93,855.17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78,631.86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23,579,379.09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3,611,203.75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23,449,712.67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韩元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23,575,712.00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129,666.42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9,028,726.38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1,390,403.84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9,028,726.38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459,318.95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60,123.74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390,419.52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1,885.05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韩元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12,184,433.00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67,014.38</w:t>
            </w:r>
          </w:p>
        </w:tc>
      </w:tr>
    </w:tbl>
    <w:p>
      <w:pPr>
        <w:spacing w:line="240" w:lineRule="auto" w:before="3"/>
        <w:rPr>
          <w:rFonts w:ascii="宋体" w:hAnsi="宋体" w:cs="宋体" w:eastAsia="宋体" w:hint="default"/>
          <w:sz w:val="19"/>
          <w:szCs w:val="19"/>
        </w:rPr>
      </w:pPr>
    </w:p>
    <w:p>
      <w:pPr>
        <w:pStyle w:val="Heading7"/>
        <w:spacing w:line="259" w:lineRule="auto" w:before="35"/>
        <w:ind w:left="1133" w:right="0"/>
        <w:jc w:val="left"/>
        <w:rPr>
          <w:b w:val="0"/>
          <w:bCs w:val="0"/>
        </w:rPr>
      </w:pPr>
      <w:bookmarkStart w:name="(2)境外经营实体说明，包括对于重要的境外经营实体，应披露其境外主要经营地、记账" w:id="391"/>
      <w:bookmarkEnd w:id="391"/>
      <w:r>
        <w:rPr>
          <w:b w:val="0"/>
          <w:bCs w:val="0"/>
        </w:rPr>
      </w:r>
      <w:r>
        <w:rPr>
          <w:rFonts w:ascii="Times New Roman" w:hAnsi="Times New Roman" w:cs="Times New Roman" w:eastAsia="Times New Roman" w:hint="default"/>
          <w:spacing w:val="-6"/>
          <w:w w:val="99"/>
        </w:rPr>
        <w:t>(2)</w:t>
      </w:r>
      <w:r>
        <w:rPr>
          <w:spacing w:val="-6"/>
          <w:w w:val="99"/>
        </w:rPr>
        <w:t>境外经营实体说明，包括对于重要的境外经营实体，应披露其境外主要经营地、记账本位币及选择依据，</w:t>
      </w:r>
      <w:r>
        <w:rPr>
          <w:spacing w:val="-90"/>
          <w:w w:val="99"/>
        </w:rPr>
        <w:t> </w:t>
      </w:r>
      <w:r>
        <w:rPr>
          <w:spacing w:val="-90"/>
          <w:w w:val="99"/>
        </w:rPr>
      </w:r>
      <w:r>
        <w:rPr/>
        <w:t>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23"/>
          <w:szCs w:val="23"/>
        </w:rPr>
      </w:pPr>
    </w:p>
    <w:p>
      <w:pPr>
        <w:pStyle w:val="BodyText"/>
        <w:spacing w:line="316" w:lineRule="auto"/>
        <w:ind w:left="1134" w:right="0" w:firstLine="499"/>
        <w:jc w:val="left"/>
      </w:pPr>
      <w:r>
        <w:rPr>
          <w:spacing w:val="-1"/>
        </w:rPr>
        <w:t>公司主要的境外经营实体有全资子公司</w:t>
      </w:r>
      <w:r>
        <w:rPr>
          <w:rFonts w:ascii="宋体" w:hAnsi="宋体" w:cs="宋体" w:eastAsia="宋体" w:hint="default"/>
          <w:spacing w:val="-1"/>
        </w:rPr>
        <w:t>CUPLAY</w:t>
      </w:r>
      <w:r>
        <w:rPr>
          <w:spacing w:val="-1"/>
        </w:rPr>
        <w:t>和全资子公司美国中青宝，</w:t>
      </w:r>
      <w:r>
        <w:rPr>
          <w:rFonts w:ascii="宋体" w:hAnsi="宋体" w:cs="宋体" w:eastAsia="宋体" w:hint="default"/>
          <w:spacing w:val="-1"/>
        </w:rPr>
        <w:t>CUPLAY</w:t>
      </w:r>
      <w:r>
        <w:rPr>
          <w:spacing w:val="-1"/>
        </w:rPr>
        <w:t>系在英属维尔京群岛注册的境外公司，</w:t>
      </w:r>
      <w:r>
        <w:rPr/>
        <w:t> 其主要经营地在中国大陆，选择人民币作为记账本位币。美国中青宝系在美国加利福尼亚州注册的境外公司，其主要经营地</w:t>
      </w:r>
      <w:r>
        <w:rPr/>
        <w:t> 在美国加利福尼亚州，选择美元作为记账本位币。</w:t>
      </w:r>
    </w:p>
    <w:p>
      <w:pPr>
        <w:spacing w:line="240" w:lineRule="auto" w:before="7"/>
        <w:rPr>
          <w:rFonts w:ascii="宋体" w:hAnsi="宋体" w:cs="宋体" w:eastAsia="宋体" w:hint="default"/>
          <w:sz w:val="22"/>
          <w:szCs w:val="22"/>
        </w:rPr>
      </w:pPr>
    </w:p>
    <w:p>
      <w:pPr>
        <w:pStyle w:val="Heading7"/>
        <w:spacing w:line="240" w:lineRule="auto"/>
        <w:ind w:right="0"/>
        <w:jc w:val="left"/>
        <w:rPr>
          <w:b w:val="0"/>
          <w:bCs w:val="0"/>
        </w:rPr>
      </w:pPr>
      <w:bookmarkStart w:name="78、套期" w:id="392"/>
      <w:bookmarkEnd w:id="392"/>
      <w:r>
        <w:rPr>
          <w:b w:val="0"/>
          <w:bCs w:val="0"/>
        </w:rPr>
      </w:r>
      <w:r>
        <w:rPr>
          <w:rFonts w:ascii="Times New Roman" w:hAnsi="Times New Roman" w:cs="Times New Roman" w:eastAsia="Times New Roman" w:hint="default"/>
        </w:rPr>
        <w:t>78</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按照套期类别披露套期项目及相关套期工具、被套期风险的定性和定量信息：无</w:t>
      </w:r>
    </w:p>
    <w:p>
      <w:pPr>
        <w:spacing w:line="240" w:lineRule="auto" w:before="10"/>
        <w:rPr>
          <w:rFonts w:ascii="宋体" w:hAnsi="宋体" w:cs="宋体" w:eastAsia="宋体" w:hint="default"/>
          <w:sz w:val="26"/>
          <w:szCs w:val="26"/>
        </w:rPr>
      </w:pPr>
    </w:p>
    <w:p>
      <w:pPr>
        <w:pStyle w:val="Heading7"/>
        <w:spacing w:line="240" w:lineRule="auto"/>
        <w:ind w:left="1133" w:right="0"/>
        <w:jc w:val="left"/>
        <w:rPr>
          <w:b w:val="0"/>
          <w:bCs w:val="0"/>
        </w:rPr>
      </w:pPr>
      <w:bookmarkStart w:name="79、其他" w:id="393"/>
      <w:bookmarkEnd w:id="393"/>
      <w:r>
        <w:rPr>
          <w:b w:val="0"/>
          <w:bCs w:val="0"/>
        </w:rPr>
      </w:r>
      <w:r>
        <w:rPr>
          <w:rFonts w:ascii="Times New Roman" w:hAnsi="Times New Roman" w:cs="Times New Roman" w:eastAsia="Times New Roman" w:hint="default"/>
        </w:rPr>
        <w:t>79</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无</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spacing w:line="506" w:lineRule="auto" w:before="26"/>
        <w:ind w:left="1133" w:right="7346" w:firstLine="0"/>
        <w:jc w:val="left"/>
        <w:rPr>
          <w:rFonts w:ascii="宋体" w:hAnsi="宋体" w:cs="宋体" w:eastAsia="宋体" w:hint="default"/>
          <w:sz w:val="18"/>
          <w:szCs w:val="18"/>
        </w:rPr>
      </w:pPr>
      <w:bookmarkStart w:name="八、合并范围的变更" w:id="394"/>
      <w:bookmarkEnd w:id="394"/>
      <w:r>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5"/>
      <w:bookmarkEnd w:id="39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b/>
          <w:bCs/>
          <w:w w:val="99"/>
          <w:sz w:val="21"/>
          <w:szCs w:val="21"/>
        </w:rPr>
        <w:t> </w:t>
      </w:r>
      <w:bookmarkStart w:name="(1)本期发生的非同一控制下企业合并" w:id="396"/>
      <w:bookmarkEnd w:id="396"/>
      <w:r>
        <w:rPr>
          <w:rFonts w:ascii="宋体" w:hAnsi="宋体" w:cs="宋体" w:eastAsia="宋体" w:hint="default"/>
          <w:b/>
          <w:bCs/>
          <w:w w:val="99"/>
          <w:sz w:val="21"/>
          <w:szCs w:val="21"/>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7"/>
        <w:spacing w:line="240" w:lineRule="auto" w:before="151"/>
        <w:ind w:right="0"/>
        <w:jc w:val="left"/>
        <w:rPr>
          <w:b w:val="0"/>
          <w:bCs w:val="0"/>
        </w:rPr>
      </w:pPr>
      <w:bookmarkStart w:name="(2)合并成本及商誉" w:id="397"/>
      <w:bookmarkEnd w:id="397"/>
      <w:r>
        <w:rPr>
          <w:b w:val="0"/>
          <w:bCs w:val="0"/>
        </w:rPr>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3)被购买方于购买日可辨认资产、负债" w:id="398"/>
      <w:bookmarkEnd w:id="398"/>
      <w:r>
        <w:rPr>
          <w:b w:val="0"/>
          <w:bCs w:val="0"/>
        </w:rPr>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4)购买日之前持有的股权按照公允价值重新计量产生的利得或损失" w:id="399"/>
      <w:bookmarkEnd w:id="399"/>
      <w:r>
        <w:rPr>
          <w:b w:val="0"/>
          <w:bCs w:val="0"/>
        </w:rPr>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Heading7"/>
        <w:spacing w:line="547" w:lineRule="auto" w:before="117"/>
        <w:ind w:left="1133" w:right="1949"/>
        <w:jc w:val="left"/>
        <w:rPr>
          <w:rFonts w:ascii="宋体" w:hAnsi="宋体" w:cs="宋体" w:eastAsia="宋体" w:hint="default"/>
          <w:b w:val="0"/>
          <w:bCs w:val="0"/>
          <w:sz w:val="18"/>
          <w:szCs w:val="18"/>
        </w:rPr>
      </w:pPr>
      <w:r>
        <w:rPr>
          <w:rFonts w:ascii="Times New Roman" w:hAnsi="Times New Roman" w:cs="Times New Roman" w:eastAsia="Times New Roman" w:hint="default"/>
          <w:b w:val="0"/>
          <w:bCs w:val="0"/>
          <w:sz w:val="18"/>
          <w:szCs w:val="18"/>
        </w:rPr>
        <w:t>□ </w:t>
      </w:r>
      <w:r>
        <w:rPr>
          <w:rFonts w:ascii="宋体" w:hAnsi="宋体" w:cs="宋体" w:eastAsia="宋体" w:hint="default"/>
          <w:b w:val="0"/>
          <w:bCs w:val="0"/>
          <w:sz w:val="18"/>
          <w:szCs w:val="18"/>
        </w:rPr>
        <w:t>是 </w:t>
      </w:r>
      <w:r>
        <w:rPr>
          <w:rFonts w:ascii="Times New Roman" w:hAnsi="Times New Roman" w:cs="Times New Roman" w:eastAsia="Times New Roman" w:hint="default"/>
          <w:b w:val="0"/>
          <w:bCs w:val="0"/>
          <w:sz w:val="18"/>
          <w:szCs w:val="18"/>
        </w:rPr>
        <w:t>√</w:t>
      </w:r>
      <w:r>
        <w:rPr>
          <w:rFonts w:ascii="Times New Roman" w:hAnsi="Times New Roman" w:cs="Times New Roman" w:eastAsia="Times New Roman" w:hint="default"/>
          <w:b w:val="0"/>
          <w:bCs w:val="0"/>
          <w:spacing w:val="44"/>
          <w:sz w:val="18"/>
          <w:szCs w:val="18"/>
        </w:rPr>
        <w:t> </w:t>
      </w:r>
      <w:r>
        <w:rPr>
          <w:rFonts w:ascii="宋体" w:hAnsi="宋体" w:cs="宋体" w:eastAsia="宋体" w:hint="default"/>
          <w:b w:val="0"/>
          <w:bCs w:val="0"/>
          <w:sz w:val="18"/>
          <w:szCs w:val="18"/>
        </w:rPr>
        <w:t>否 </w:t>
      </w:r>
      <w:bookmarkStart w:name="(5)购买日或合并当期期末无法合理确定合并对价或被购买方可辨认资产、负债公允价值" w:id="400"/>
      <w:bookmarkEnd w:id="400"/>
      <w:r>
        <w:rPr>
          <w:rFonts w:ascii="宋体" w:hAnsi="宋体" w:cs="宋体" w:eastAsia="宋体" w:hint="default"/>
          <w:b w:val="0"/>
          <w:bCs w:val="0"/>
          <w:sz w:val="18"/>
          <w:szCs w:val="18"/>
        </w:rPr>
      </w:r>
      <w:r>
        <w:rPr>
          <w:rFonts w:ascii="Times New Roman" w:hAnsi="Times New Roman" w:cs="Times New Roman" w:eastAsia="Times New Roman" w:hint="default"/>
          <w:w w:val="95"/>
        </w:rPr>
        <w:t>(5)</w:t>
      </w:r>
      <w:r>
        <w:rPr>
          <w:w w:val="95"/>
        </w:rPr>
        <w:t>购买日或合并当期期末无法合理确定合并对价或被购买方可辨认资产、负债公允价值的相关说明   </w:t>
      </w:r>
      <w:r>
        <w:rPr>
          <w:spacing w:val="42"/>
          <w:w w:val="95"/>
        </w:rPr>
        <w:t> </w:t>
      </w:r>
      <w:r>
        <w:rPr>
          <w:spacing w:val="42"/>
          <w:w w:val="95"/>
        </w:rPr>
      </w:r>
      <w:r>
        <w:rPr>
          <w:rFonts w:ascii="宋体" w:hAnsi="宋体" w:cs="宋体" w:eastAsia="宋体" w:hint="default"/>
          <w:b w:val="0"/>
          <w:bCs w:val="0"/>
          <w:sz w:val="18"/>
          <w:szCs w:val="18"/>
        </w:rPr>
        <w:t>无</w:t>
      </w:r>
    </w:p>
    <w:p>
      <w:pPr>
        <w:pStyle w:val="Heading7"/>
        <w:spacing w:line="240" w:lineRule="auto" w:before="119"/>
        <w:ind w:right="0"/>
        <w:jc w:val="left"/>
        <w:rPr>
          <w:b w:val="0"/>
          <w:bCs w:val="0"/>
        </w:rPr>
      </w:pPr>
      <w:bookmarkStart w:name="(6)其他说明" w:id="401"/>
      <w:bookmarkEnd w:id="401"/>
      <w:r>
        <w:rPr>
          <w:b w:val="0"/>
          <w:bCs w:val="0"/>
        </w:rPr>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0"/>
        <w:rPr>
          <w:rFonts w:ascii="宋体" w:hAnsi="宋体" w:cs="宋体" w:eastAsia="宋体" w:hint="default"/>
          <w:sz w:val="26"/>
          <w:szCs w:val="26"/>
        </w:rPr>
      </w:pPr>
    </w:p>
    <w:p>
      <w:pPr>
        <w:pStyle w:val="Heading7"/>
        <w:spacing w:line="518" w:lineRule="auto"/>
        <w:ind w:left="1133" w:right="7557"/>
        <w:jc w:val="left"/>
        <w:rPr>
          <w:rFonts w:ascii="宋体" w:hAnsi="宋体" w:cs="宋体" w:eastAsia="宋体" w:hint="default"/>
          <w:b w:val="0"/>
          <w:bCs w:val="0"/>
          <w:sz w:val="18"/>
          <w:szCs w:val="18"/>
        </w:rPr>
      </w:pPr>
      <w:bookmarkStart w:name="2、同一控制下企业合并" w:id="402"/>
      <w:bookmarkEnd w:id="402"/>
      <w:r>
        <w:rPr>
          <w:b w:val="0"/>
          <w:bCs w:val="0"/>
        </w:rPr>
      </w:r>
      <w:r>
        <w:rPr>
          <w:rFonts w:ascii="Times New Roman" w:hAnsi="Times New Roman" w:cs="Times New Roman" w:eastAsia="Times New Roman" w:hint="default"/>
        </w:rPr>
        <w:t>2</w:t>
      </w:r>
      <w:r>
        <w:rPr/>
        <w:t>、同一控制下企业合并</w:t>
      </w:r>
      <w:r>
        <w:rPr>
          <w:w w:val="99"/>
        </w:rPr>
        <w:t> </w:t>
      </w:r>
      <w:bookmarkStart w:name="(1)本期发生的同一控制下企业合并" w:id="403"/>
      <w:bookmarkEnd w:id="403"/>
      <w:r>
        <w:rPr>
          <w:w w:val="99"/>
        </w:rPr>
      </w:r>
      <w:r>
        <w:rPr>
          <w:rFonts w:ascii="Times New Roman" w:hAnsi="Times New Roman" w:cs="Times New Roman" w:eastAsia="Times New Roman" w:hint="default"/>
        </w:rPr>
        <w:t>(1)</w:t>
      </w:r>
      <w:r>
        <w:rPr/>
        <w:t>本期发生的同一控制下企业合并</w:t>
      </w:r>
      <w:r>
        <w:rPr>
          <w:w w:val="99"/>
        </w:rPr>
        <w:t> </w:t>
      </w:r>
      <w:r>
        <w:rPr>
          <w:rFonts w:ascii="宋体" w:hAnsi="宋体" w:cs="宋体" w:eastAsia="宋体" w:hint="default"/>
          <w:b w:val="0"/>
          <w:bCs w:val="0"/>
          <w:sz w:val="18"/>
          <w:szCs w:val="18"/>
        </w:rPr>
        <w:t>无</w:t>
      </w:r>
    </w:p>
    <w:p>
      <w:pPr>
        <w:pStyle w:val="Heading7"/>
        <w:spacing w:line="240" w:lineRule="auto" w:before="141"/>
        <w:ind w:right="0"/>
        <w:jc w:val="left"/>
        <w:rPr>
          <w:b w:val="0"/>
          <w:bCs w:val="0"/>
        </w:rPr>
      </w:pPr>
      <w:bookmarkStart w:name="(2)合并成本" w:id="404"/>
      <w:bookmarkEnd w:id="404"/>
      <w:r>
        <w:rPr>
          <w:b w:val="0"/>
          <w:bCs w:val="0"/>
        </w:rPr>
      </w:r>
      <w:r>
        <w:rPr>
          <w:rFonts w:ascii="Times New Roman" w:hAnsi="Times New Roman" w:cs="Times New Roman" w:eastAsia="Times New Roman" w:hint="default"/>
        </w:rPr>
        <w:t>(2)</w:t>
      </w:r>
      <w:r>
        <w:rPr/>
        <w:t>合并成本</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3)合并日被合并方资产、负债的账面价值" w:id="405"/>
      <w:bookmarkEnd w:id="405"/>
      <w:r>
        <w:rPr>
          <w:b w:val="0"/>
          <w:bCs w:val="0"/>
        </w:rPr>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40" w:lineRule="auto" w:before="35"/>
        <w:ind w:left="1133" w:right="0"/>
        <w:jc w:val="left"/>
        <w:rPr>
          <w:b w:val="0"/>
          <w:bCs w:val="0"/>
        </w:rPr>
      </w:pPr>
      <w:bookmarkStart w:name="3、反向购买" w:id="406"/>
      <w:bookmarkEnd w:id="406"/>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性交易处理时调整权益的金额及其计算：无</w:t>
      </w:r>
    </w:p>
    <w:p>
      <w:pPr>
        <w:spacing w:line="240" w:lineRule="auto" w:before="3"/>
        <w:rPr>
          <w:rFonts w:ascii="宋体" w:hAnsi="宋体" w:cs="宋体" w:eastAsia="宋体" w:hint="default"/>
          <w:sz w:val="22"/>
          <w:szCs w:val="22"/>
        </w:rPr>
      </w:pPr>
    </w:p>
    <w:p>
      <w:pPr>
        <w:pStyle w:val="Heading7"/>
        <w:spacing w:line="240" w:lineRule="auto"/>
        <w:ind w:left="1133" w:right="0"/>
        <w:jc w:val="left"/>
        <w:rPr>
          <w:b w:val="0"/>
          <w:bCs w:val="0"/>
        </w:rPr>
      </w:pPr>
      <w:bookmarkStart w:name="4、处置子公司" w:id="407"/>
      <w:bookmarkEnd w:id="407"/>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40" w:lineRule="auto" w:before="116"/>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7"/>
        <w:spacing w:line="240" w:lineRule="auto"/>
        <w:ind w:left="1133" w:right="0"/>
        <w:jc w:val="left"/>
        <w:rPr>
          <w:b w:val="0"/>
          <w:bCs w:val="0"/>
        </w:rPr>
      </w:pPr>
      <w:bookmarkStart w:name="5、其他原因的合并范围变动" w:id="408"/>
      <w:bookmarkEnd w:id="408"/>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说明其他原因导致的合并范围变动</w:t>
      </w:r>
      <w:r>
        <w:rPr>
          <w:rFonts w:ascii="Times New Roman" w:hAnsi="Times New Roman" w:cs="Times New Roman" w:eastAsia="Times New Roman" w:hint="default"/>
        </w:rPr>
        <w:t>(</w:t>
      </w:r>
      <w:r>
        <w:rPr/>
        <w:t>如，新设子公司、清算子公司等</w:t>
      </w:r>
      <w:r>
        <w:rPr>
          <w:rFonts w:ascii="Times New Roman" w:hAnsi="Times New Roman" w:cs="Times New Roman" w:eastAsia="Times New Roman" w:hint="default"/>
        </w:rPr>
        <w:t>)</w:t>
      </w:r>
      <w:r>
        <w:rPr/>
        <w:t>及其相关情况：</w:t>
      </w:r>
    </w:p>
    <w:p>
      <w:pPr>
        <w:pStyle w:val="BodyText"/>
        <w:spacing w:line="240" w:lineRule="auto" w:before="103"/>
        <w:ind w:right="0"/>
        <w:jc w:val="left"/>
      </w:pPr>
      <w:r>
        <w:rPr>
          <w:rFonts w:ascii="Times New Roman" w:hAnsi="Times New Roman" w:cs="Times New Roman" w:eastAsia="Times New Roman" w:hint="default"/>
        </w:rPr>
        <w:t>1.  </w:t>
      </w:r>
      <w:r>
        <w:rPr/>
        <w:t>新设子公司</w:t>
      </w:r>
    </w:p>
    <w:p>
      <w:pPr>
        <w:spacing w:line="240" w:lineRule="auto" w:before="12"/>
        <w:rPr>
          <w:rFonts w:ascii="宋体" w:hAnsi="宋体" w:cs="宋体" w:eastAsia="宋体" w:hint="default"/>
          <w:sz w:val="6"/>
          <w:szCs w:val="6"/>
        </w:rPr>
      </w:pPr>
    </w:p>
    <w:tbl>
      <w:tblPr>
        <w:tblW w:w="0" w:type="auto"/>
        <w:jc w:val="left"/>
        <w:tblInd w:w="1126" w:type="dxa"/>
        <w:tblLayout w:type="fixed"/>
        <w:tblCellMar>
          <w:top w:w="0" w:type="dxa"/>
          <w:left w:w="0" w:type="dxa"/>
          <w:bottom w:w="0" w:type="dxa"/>
          <w:right w:w="0" w:type="dxa"/>
        </w:tblCellMar>
        <w:tblLook w:val="01E0"/>
      </w:tblPr>
      <w:tblGrid>
        <w:gridCol w:w="2585"/>
        <w:gridCol w:w="1419"/>
        <w:gridCol w:w="1766"/>
        <w:gridCol w:w="1696"/>
        <w:gridCol w:w="1258"/>
      </w:tblGrid>
      <w:tr>
        <w:trPr>
          <w:trHeight w:val="349" w:hRule="exact"/>
        </w:trPr>
        <w:tc>
          <w:tcPr>
            <w:tcW w:w="258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41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98" w:right="0"/>
              <w:jc w:val="left"/>
              <w:rPr>
                <w:rFonts w:ascii="宋体" w:hAnsi="宋体" w:cs="宋体" w:eastAsia="宋体" w:hint="default"/>
                <w:sz w:val="20"/>
                <w:szCs w:val="20"/>
              </w:rPr>
            </w:pPr>
            <w:r>
              <w:rPr>
                <w:rFonts w:ascii="宋体" w:hAnsi="宋体" w:cs="宋体" w:eastAsia="宋体" w:hint="default"/>
                <w:b/>
                <w:bCs/>
                <w:sz w:val="20"/>
                <w:szCs w:val="20"/>
              </w:rPr>
              <w:t>股权取得方式</w:t>
            </w:r>
            <w:r>
              <w:rPr>
                <w:rFonts w:ascii="宋体" w:hAnsi="宋体" w:cs="宋体" w:eastAsia="宋体" w:hint="default"/>
                <w:sz w:val="20"/>
                <w:szCs w:val="20"/>
              </w:rPr>
            </w:r>
          </w:p>
        </w:tc>
        <w:tc>
          <w:tcPr>
            <w:tcW w:w="176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股权取得时点</w:t>
            </w:r>
            <w:r>
              <w:rPr>
                <w:rFonts w:ascii="宋体" w:hAnsi="宋体" w:cs="宋体" w:eastAsia="宋体" w:hint="default"/>
                <w:sz w:val="20"/>
                <w:szCs w:val="20"/>
              </w:rPr>
            </w:r>
          </w:p>
        </w:tc>
        <w:tc>
          <w:tcPr>
            <w:tcW w:w="1696" w:type="dxa"/>
            <w:tcBorders>
              <w:top w:val="single" w:sz="6" w:space="0" w:color="000000"/>
              <w:left w:val="single" w:sz="6" w:space="0" w:color="000000"/>
              <w:bottom w:val="single" w:sz="8" w:space="0" w:color="000000"/>
              <w:right w:val="single" w:sz="4" w:space="0" w:color="000000"/>
            </w:tcBorders>
          </w:tcPr>
          <w:p>
            <w:pPr>
              <w:pStyle w:val="TableParagraph"/>
              <w:spacing w:line="240" w:lineRule="auto" w:before="5"/>
              <w:ind w:right="2"/>
              <w:jc w:val="center"/>
              <w:rPr>
                <w:rFonts w:ascii="宋体" w:hAnsi="宋体" w:cs="宋体" w:eastAsia="宋体" w:hint="default"/>
                <w:sz w:val="20"/>
                <w:szCs w:val="20"/>
              </w:rPr>
            </w:pPr>
            <w:r>
              <w:rPr>
                <w:rFonts w:ascii="宋体" w:hAnsi="宋体" w:cs="宋体" w:eastAsia="宋体" w:hint="default"/>
                <w:b/>
                <w:bCs/>
                <w:sz w:val="20"/>
                <w:szCs w:val="20"/>
              </w:rPr>
              <w:t>出资额</w:t>
            </w:r>
            <w:r>
              <w:rPr>
                <w:rFonts w:ascii="宋体" w:hAnsi="宋体" w:cs="宋体" w:eastAsia="宋体" w:hint="default"/>
                <w:sz w:val="20"/>
                <w:szCs w:val="20"/>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b/>
                <w:bCs/>
                <w:sz w:val="20"/>
                <w:szCs w:val="20"/>
              </w:rPr>
              <w:t>出资比例</w:t>
            </w:r>
            <w:r>
              <w:rPr>
                <w:rFonts w:ascii="宋体" w:hAnsi="宋体" w:cs="宋体" w:eastAsia="宋体" w:hint="default"/>
                <w:sz w:val="20"/>
                <w:szCs w:val="20"/>
              </w:rPr>
            </w:r>
          </w:p>
        </w:tc>
      </w:tr>
      <w:tr>
        <w:trPr>
          <w:trHeight w:val="348" w:hRule="exact"/>
        </w:trPr>
        <w:tc>
          <w:tcPr>
            <w:tcW w:w="25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深圳五秒</w:t>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新设子公司</w:t>
            </w:r>
          </w:p>
        </w:tc>
        <w:tc>
          <w:tcPr>
            <w:tcW w:w="17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17</w:t>
            </w:r>
            <w:r>
              <w:rPr>
                <w:rFonts w:ascii="宋体" w:hAnsi="宋体" w:cs="宋体" w:eastAsia="宋体" w:hint="default"/>
                <w:sz w:val="20"/>
                <w:szCs w:val="20"/>
              </w:rPr>
              <w:t>日</w:t>
            </w:r>
          </w:p>
        </w:tc>
        <w:tc>
          <w:tcPr>
            <w:tcW w:w="1696"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sz w:val="20"/>
              </w:rPr>
              <w:t>77,700.00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69.93%</w:t>
            </w:r>
          </w:p>
        </w:tc>
      </w:tr>
    </w:tbl>
    <w:p>
      <w:pPr>
        <w:pStyle w:val="BodyText"/>
        <w:spacing w:line="240" w:lineRule="auto" w:before="51"/>
        <w:ind w:left="1134" w:right="0"/>
        <w:jc w:val="left"/>
      </w:pPr>
      <w:r>
        <w:rPr>
          <w:rFonts w:ascii="Times New Roman" w:hAnsi="Times New Roman" w:cs="Times New Roman" w:eastAsia="Times New Roman" w:hint="default"/>
        </w:rPr>
        <w:t>2.</w:t>
      </w:r>
      <w:r>
        <w:rPr/>
        <w:t>注销子公司</w:t>
      </w:r>
    </w:p>
    <w:p>
      <w:pPr>
        <w:spacing w:line="240" w:lineRule="auto" w:before="0"/>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5134"/>
        <w:gridCol w:w="3590"/>
      </w:tblGrid>
      <w:tr>
        <w:trPr>
          <w:trHeight w:val="349" w:hRule="exact"/>
        </w:trPr>
        <w:tc>
          <w:tcPr>
            <w:tcW w:w="5134" w:type="dxa"/>
            <w:tcBorders>
              <w:top w:val="single" w:sz="6" w:space="0" w:color="000000"/>
              <w:left w:val="single" w:sz="6" w:space="0" w:color="000000"/>
              <w:bottom w:val="single" w:sz="8" w:space="0" w:color="000000"/>
              <w:right w:val="single" w:sz="4"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b/>
                <w:bCs/>
                <w:sz w:val="20"/>
                <w:szCs w:val="20"/>
              </w:rPr>
              <w:t>注销时间</w:t>
            </w:r>
            <w:r>
              <w:rPr>
                <w:rFonts w:ascii="宋体" w:hAnsi="宋体" w:cs="宋体" w:eastAsia="宋体" w:hint="default"/>
                <w:sz w:val="20"/>
                <w:szCs w:val="20"/>
              </w:rPr>
            </w:r>
          </w:p>
        </w:tc>
      </w:tr>
      <w:tr>
        <w:trPr>
          <w:trHeight w:val="347" w:hRule="exact"/>
        </w:trPr>
        <w:tc>
          <w:tcPr>
            <w:tcW w:w="513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北京幻龙</w:t>
            </w:r>
          </w:p>
        </w:tc>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月注销</w:t>
            </w:r>
          </w:p>
        </w:tc>
      </w:tr>
      <w:tr>
        <w:trPr>
          <w:trHeight w:val="348" w:hRule="exact"/>
        </w:trPr>
        <w:tc>
          <w:tcPr>
            <w:tcW w:w="513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成都米斗</w:t>
            </w:r>
          </w:p>
        </w:tc>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7</w:t>
            </w:r>
            <w:r>
              <w:rPr>
                <w:rFonts w:ascii="宋体" w:hAnsi="宋体" w:cs="宋体" w:eastAsia="宋体" w:hint="default"/>
                <w:sz w:val="20"/>
                <w:szCs w:val="20"/>
              </w:rPr>
              <w:t>月注销</w:t>
            </w:r>
          </w:p>
        </w:tc>
      </w:tr>
    </w:tbl>
    <w:p>
      <w:pPr>
        <w:spacing w:line="240" w:lineRule="auto" w:before="2"/>
        <w:rPr>
          <w:rFonts w:ascii="宋体" w:hAnsi="宋体" w:cs="宋体" w:eastAsia="宋体" w:hint="default"/>
          <w:sz w:val="19"/>
          <w:szCs w:val="19"/>
        </w:rPr>
      </w:pPr>
    </w:p>
    <w:p>
      <w:pPr>
        <w:spacing w:line="494" w:lineRule="auto" w:before="35"/>
        <w:ind w:left="1133" w:right="7557" w:firstLine="0"/>
        <w:jc w:val="left"/>
        <w:rPr>
          <w:rFonts w:ascii="宋体" w:hAnsi="宋体" w:cs="宋体" w:eastAsia="宋体" w:hint="default"/>
          <w:sz w:val="21"/>
          <w:szCs w:val="21"/>
        </w:rPr>
      </w:pPr>
      <w:bookmarkStart w:name="6、其他" w:id="409"/>
      <w:bookmarkEnd w:id="40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10"/>
      <w:bookmarkEnd w:id="410"/>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11"/>
      <w:bookmarkEnd w:id="411"/>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b/>
          <w:bCs/>
          <w:w w:val="99"/>
          <w:sz w:val="21"/>
          <w:szCs w:val="21"/>
        </w:rPr>
        <w:t> </w:t>
      </w:r>
      <w:bookmarkStart w:name="(1)企业集团的构成" w:id="412"/>
      <w:bookmarkEnd w:id="412"/>
      <w:r>
        <w:rPr>
          <w:rFonts w:ascii="宋体" w:hAnsi="宋体" w:cs="宋体" w:eastAsia="宋体" w:hint="default"/>
          <w:b/>
          <w:bCs/>
          <w:w w:val="99"/>
          <w:sz w:val="21"/>
          <w:szCs w:val="21"/>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11"/>
        <w:rPr>
          <w:rFonts w:ascii="宋体" w:hAnsi="宋体" w:cs="宋体" w:eastAsia="宋体" w:hint="default"/>
          <w:b/>
          <w:bCs/>
          <w:sz w:val="6"/>
          <w:szCs w:val="6"/>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深圳卓页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成都卓页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深圳创想时空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杭州九锡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苏州华娱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苏州中青宝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深圳时代首游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北京乐乐堂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深圳中青聚宝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深圳幻游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西安掌控力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深圳中富彩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深圳乔戈里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CUPLAY</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英属维京群岛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美国中青宝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加利福尼亚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加利福尼亚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韩国中青宝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深圳雪羽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福州卓越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上海美峰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上海集美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通过子公司间接 持有</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深圳比格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通过子公司间接 持有</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深圳米斗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香港中青宝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LEEPLAY</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英属维京群岛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LEEGAME</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深圳五秒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7"/>
        <w:ind w:left="1134" w:right="7692"/>
        <w:jc w:val="left"/>
      </w:pPr>
      <w:r>
        <w:rPr/>
        <w:t>确定公司是代理人还是委托人的依据： 其他说明：</w:t>
      </w:r>
    </w:p>
    <w:p>
      <w:pPr>
        <w:pStyle w:val="BodyText"/>
        <w:spacing w:line="300" w:lineRule="auto" w:before="26"/>
        <w:ind w:left="1574" w:right="7072"/>
        <w:jc w:val="left"/>
      </w:pPr>
      <w:r>
        <w:rPr>
          <w:rFonts w:ascii="Times New Roman" w:hAnsi="Times New Roman" w:cs="Times New Roman" w:eastAsia="Times New Roman" w:hint="default"/>
        </w:rPr>
        <w:t>1)</w:t>
      </w:r>
      <w:r>
        <w:rPr/>
        <w:t>深圳卓页 全称：深圳市卓页互动网络科技有限公司</w:t>
      </w:r>
    </w:p>
    <w:p>
      <w:pPr>
        <w:pStyle w:val="BodyText"/>
        <w:spacing w:line="300" w:lineRule="auto" w:before="31"/>
        <w:ind w:right="1133" w:firstLine="440"/>
        <w:jc w:val="left"/>
      </w:pPr>
      <w:r>
        <w:rPr/>
        <w:t>深圳卓页于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日经深圳市市场监督管理局批准成立，注册号</w:t>
      </w:r>
      <w:r>
        <w:rPr>
          <w:rFonts w:ascii="Times New Roman" w:hAnsi="Times New Roman" w:cs="Times New Roman" w:eastAsia="Times New Roman" w:hint="default"/>
        </w:rPr>
        <w:t>440301102831813</w:t>
      </w:r>
      <w:r>
        <w:rPr/>
        <w:t>，注册资本</w:t>
      </w:r>
      <w:r>
        <w:rPr>
          <w:rFonts w:ascii="Times New Roman" w:hAnsi="Times New Roman" w:cs="Times New Roman" w:eastAsia="Times New Roman" w:hint="default"/>
        </w:rPr>
        <w:t>5,000.00</w:t>
      </w:r>
      <w:r>
        <w:rPr/>
        <w:t>万元，法定 代表人：申睿。截至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日，本公司直接持股</w:t>
      </w:r>
      <w:r>
        <w:rPr>
          <w:rFonts w:ascii="Times New Roman" w:hAnsi="Times New Roman" w:cs="Times New Roman" w:eastAsia="Times New Roman" w:hint="default"/>
        </w:rPr>
        <w:t>40%</w:t>
      </w:r>
      <w:r>
        <w:rPr/>
        <w:t>和通过子公司深圳中青聚宝间接持股</w:t>
      </w:r>
      <w:r>
        <w:rPr>
          <w:rFonts w:ascii="Times New Roman" w:hAnsi="Times New Roman" w:cs="Times New Roman" w:eastAsia="Times New Roman" w:hint="default"/>
        </w:rPr>
        <w:t>60%</w:t>
      </w:r>
      <w:r>
        <w:rPr/>
        <w:t>。</w:t>
      </w:r>
    </w:p>
    <w:p>
      <w:pPr>
        <w:pStyle w:val="BodyText"/>
        <w:spacing w:line="300" w:lineRule="auto" w:before="13"/>
        <w:ind w:left="1574" w:right="743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成都卓页</w:t>
      </w:r>
      <w:r>
        <w:rPr>
          <w:w w:val="99"/>
        </w:rPr>
        <w:t> </w:t>
      </w:r>
      <w:r>
        <w:rPr/>
        <w:t>全称：成都市卓页网络科技有限公司</w:t>
      </w:r>
    </w:p>
    <w:p>
      <w:pPr>
        <w:pStyle w:val="BodyText"/>
        <w:spacing w:line="300" w:lineRule="auto" w:before="31"/>
        <w:ind w:right="0" w:firstLine="440"/>
        <w:jc w:val="left"/>
      </w:pPr>
      <w:r>
        <w:rPr>
          <w:spacing w:val="-2"/>
        </w:rPr>
        <w:t>成都卓页于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13</w:t>
      </w:r>
      <w:r>
        <w:rPr>
          <w:spacing w:val="-2"/>
        </w:rPr>
        <w:t>日经成都市工商行政管理局批准成立，注册号</w:t>
      </w:r>
      <w:r>
        <w:rPr>
          <w:rFonts w:ascii="Times New Roman" w:hAnsi="Times New Roman" w:cs="Times New Roman" w:eastAsia="Times New Roman" w:hint="default"/>
          <w:spacing w:val="-2"/>
        </w:rPr>
        <w:t>510109000124552</w:t>
      </w:r>
      <w:r>
        <w:rPr>
          <w:spacing w:val="-2"/>
        </w:rPr>
        <w:t>，注册资本</w:t>
      </w:r>
      <w:r>
        <w:rPr>
          <w:rFonts w:ascii="Times New Roman" w:hAnsi="Times New Roman" w:cs="Times New Roman" w:eastAsia="Times New Roman" w:hint="default"/>
          <w:spacing w:val="-2"/>
        </w:rPr>
        <w:t>125,000.00</w:t>
      </w:r>
      <w:r>
        <w:rPr>
          <w:spacing w:val="-2"/>
        </w:rPr>
        <w:t>元，法定</w:t>
      </w:r>
      <w:r>
        <w:rPr/>
        <w:t> 代表人：郑楠芳。截至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日，本公司通过子公司深圳卓页间接持股</w:t>
      </w:r>
      <w:r>
        <w:rPr>
          <w:rFonts w:ascii="Times New Roman" w:hAnsi="Times New Roman" w:cs="Times New Roman" w:eastAsia="Times New Roman" w:hint="default"/>
        </w:rPr>
        <w:t>60%</w:t>
      </w:r>
      <w:r>
        <w:rPr/>
        <w:t>。</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left="1574" w:right="7432"/>
        <w:jc w:val="left"/>
      </w:pPr>
      <w:r>
        <w:rPr>
          <w:rFonts w:ascii="Times New Roman" w:hAnsi="Times New Roman" w:cs="Times New Roman" w:eastAsia="Times New Roman" w:hint="default"/>
        </w:rPr>
        <w:t>3)</w:t>
      </w:r>
      <w:r>
        <w:rPr/>
        <w:t>深圳创想时空 全称：深圳市创想时空科技有限公司</w:t>
      </w:r>
    </w:p>
    <w:p>
      <w:pPr>
        <w:pStyle w:val="BodyText"/>
        <w:spacing w:line="300" w:lineRule="auto" w:before="31"/>
        <w:ind w:left="1134" w:right="0" w:firstLine="440"/>
        <w:jc w:val="left"/>
      </w:pPr>
      <w:r>
        <w:rPr>
          <w:spacing w:val="-3"/>
        </w:rPr>
        <w:t>深圳创想时空于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15</w:t>
      </w:r>
      <w:r>
        <w:rPr>
          <w:spacing w:val="-3"/>
        </w:rPr>
        <w:t>日经深圳市市场监督管理局批准成立，注册号</w:t>
      </w:r>
      <w:r>
        <w:rPr>
          <w:rFonts w:ascii="Times New Roman" w:hAnsi="Times New Roman" w:cs="Times New Roman" w:eastAsia="Times New Roman" w:hint="default"/>
          <w:spacing w:val="-3"/>
        </w:rPr>
        <w:t>440301105109683</w:t>
      </w:r>
      <w:r>
        <w:rPr>
          <w:spacing w:val="-3"/>
        </w:rPr>
        <w:t>，注册资本</w:t>
      </w:r>
      <w:r>
        <w:rPr>
          <w:rFonts w:ascii="Times New Roman" w:hAnsi="Times New Roman" w:cs="Times New Roman" w:eastAsia="Times New Roman" w:hint="default"/>
          <w:spacing w:val="-3"/>
        </w:rPr>
        <w:t>100,000.00</w:t>
      </w:r>
      <w:r>
        <w:rPr>
          <w:spacing w:val="-3"/>
        </w:rPr>
        <w:t>元，</w:t>
      </w:r>
      <w:r>
        <w:rPr/>
        <w:t> 法定代表人：申睿。截至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日，本公司通过子公司深圳卓页间接持股</w:t>
      </w:r>
      <w:r>
        <w:rPr>
          <w:rFonts w:ascii="Times New Roman" w:hAnsi="Times New Roman" w:cs="Times New Roman" w:eastAsia="Times New Roman" w:hint="default"/>
        </w:rPr>
        <w:t>100%</w:t>
      </w:r>
      <w:r>
        <w:rPr/>
        <w:t>。</w:t>
      </w:r>
    </w:p>
    <w:p>
      <w:pPr>
        <w:pStyle w:val="BodyText"/>
        <w:spacing w:line="300" w:lineRule="auto" w:before="13"/>
        <w:ind w:left="1574" w:right="7612"/>
        <w:jc w:val="left"/>
      </w:pPr>
      <w:r>
        <w:rPr>
          <w:rFonts w:ascii="Times New Roman" w:hAnsi="Times New Roman" w:cs="Times New Roman" w:eastAsia="Times New Roman" w:hint="default"/>
        </w:rPr>
        <w:t>4)</w:t>
      </w:r>
      <w:r>
        <w:rPr/>
        <w:t>杭州九锡 全称：杭州九锡网络科技有限公司</w:t>
      </w:r>
    </w:p>
    <w:p>
      <w:pPr>
        <w:pStyle w:val="BodyText"/>
        <w:spacing w:line="300" w:lineRule="auto" w:before="31"/>
        <w:ind w:right="1133" w:firstLine="440"/>
        <w:jc w:val="left"/>
      </w:pPr>
      <w:r>
        <w:rPr/>
        <w:t>杭州九锡于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06</w:t>
      </w:r>
      <w:r>
        <w:rPr/>
        <w:t>日经杭州市下城区市场监督管理局批准成立，注册号</w:t>
      </w:r>
      <w:r>
        <w:rPr>
          <w:rFonts w:ascii="Times New Roman" w:hAnsi="Times New Roman" w:cs="Times New Roman" w:eastAsia="Times New Roman" w:hint="default"/>
        </w:rPr>
        <w:t>330108000067375</w:t>
      </w:r>
      <w:r>
        <w:rPr/>
        <w:t>，注册资本</w:t>
      </w:r>
      <w:r>
        <w:rPr>
          <w:rFonts w:ascii="Times New Roman" w:hAnsi="Times New Roman" w:cs="Times New Roman" w:eastAsia="Times New Roman" w:hint="default"/>
        </w:rPr>
        <w:t>100,000.00 </w:t>
      </w:r>
      <w:r>
        <w:rPr/>
        <w:t>元，法定代表人：郑楠芳。截至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日，本公司通过子公司深圳卓页间接持股</w:t>
      </w:r>
      <w:r>
        <w:rPr>
          <w:rFonts w:ascii="Times New Roman" w:hAnsi="Times New Roman" w:cs="Times New Roman" w:eastAsia="Times New Roman" w:hint="default"/>
        </w:rPr>
        <w:t>60%</w:t>
      </w:r>
      <w:r>
        <w:rPr/>
        <w:t>。</w:t>
      </w:r>
    </w:p>
    <w:p>
      <w:pPr>
        <w:pStyle w:val="BodyText"/>
        <w:spacing w:line="300" w:lineRule="auto" w:before="13"/>
        <w:ind w:left="1574" w:right="7252"/>
        <w:jc w:val="left"/>
      </w:pPr>
      <w:r>
        <w:rPr>
          <w:rFonts w:ascii="Times New Roman" w:hAnsi="Times New Roman" w:cs="Times New Roman" w:eastAsia="Times New Roman" w:hint="default"/>
        </w:rPr>
        <w:t>5)</w:t>
      </w:r>
      <w:r>
        <w:rPr/>
        <w:t>苏州华娱 全称：苏州华娱创新投资发展有限公司</w:t>
      </w:r>
    </w:p>
    <w:p>
      <w:pPr>
        <w:pStyle w:val="BodyText"/>
        <w:spacing w:line="240" w:lineRule="auto" w:before="31"/>
        <w:ind w:left="1574" w:right="0"/>
        <w:jc w:val="left"/>
      </w:pPr>
      <w:r>
        <w:rPr/>
        <w:t>苏州华娱于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24</w:t>
      </w:r>
      <w:r>
        <w:rPr/>
        <w:t>日经江苏省苏州工业园区工商行政管理局批准成立，注册号</w:t>
      </w:r>
      <w:r>
        <w:rPr>
          <w:rFonts w:ascii="Times New Roman" w:hAnsi="Times New Roman" w:cs="Times New Roman" w:eastAsia="Times New Roman" w:hint="default"/>
        </w:rPr>
        <w:t>320594000132889</w:t>
      </w:r>
      <w:r>
        <w:rPr/>
        <w:t>，注册资本</w:t>
      </w:r>
    </w:p>
    <w:p>
      <w:pPr>
        <w:pStyle w:val="BodyText"/>
        <w:spacing w:line="240" w:lineRule="auto" w:before="63"/>
        <w:ind w:right="0"/>
        <w:jc w:val="left"/>
      </w:pPr>
      <w:r>
        <w:rPr>
          <w:rFonts w:ascii="Times New Roman" w:hAnsi="Times New Roman" w:cs="Times New Roman" w:eastAsia="Times New Roman" w:hint="default"/>
        </w:rPr>
        <w:t>37,500,000.00</w:t>
      </w:r>
      <w:r>
        <w:rPr/>
        <w:t>元，法定代表人：夏玄。截至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日，本公司直接持股</w:t>
      </w:r>
      <w:r>
        <w:rPr>
          <w:rFonts w:ascii="Times New Roman" w:hAnsi="Times New Roman" w:cs="Times New Roman" w:eastAsia="Times New Roman" w:hint="default"/>
        </w:rPr>
        <w:t>100%</w:t>
      </w:r>
      <w:r>
        <w:rPr/>
        <w:t>。</w:t>
      </w:r>
    </w:p>
    <w:p>
      <w:pPr>
        <w:pStyle w:val="BodyText"/>
        <w:spacing w:line="300" w:lineRule="auto" w:before="63"/>
        <w:ind w:left="1574" w:right="7252"/>
        <w:jc w:val="left"/>
      </w:pPr>
      <w:r>
        <w:rPr>
          <w:rFonts w:ascii="Times New Roman" w:hAnsi="Times New Roman" w:cs="Times New Roman" w:eastAsia="Times New Roman" w:hint="default"/>
        </w:rPr>
        <w:t>6)</w:t>
      </w:r>
      <w:r>
        <w:rPr/>
        <w:t>苏州中青宝 全称：苏州中青宝网互动科技有限公司</w:t>
      </w:r>
    </w:p>
    <w:p>
      <w:pPr>
        <w:pStyle w:val="BodyText"/>
        <w:spacing w:line="240" w:lineRule="auto" w:before="31"/>
        <w:ind w:left="1574" w:right="0"/>
        <w:jc w:val="left"/>
      </w:pPr>
      <w:r>
        <w:rPr/>
        <w:t>苏州中青宝于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08</w:t>
      </w:r>
      <w:r>
        <w:rPr/>
        <w:t>月</w:t>
      </w:r>
      <w:r>
        <w:rPr>
          <w:rFonts w:ascii="Times New Roman" w:hAnsi="Times New Roman" w:cs="Times New Roman" w:eastAsia="Times New Roman" w:hint="default"/>
        </w:rPr>
        <w:t>17</w:t>
      </w:r>
      <w:r>
        <w:rPr/>
        <w:t>日经江苏省苏州工业园区工商行政管理局批准成立，注册号</w:t>
      </w:r>
      <w:r>
        <w:rPr>
          <w:rFonts w:ascii="Times New Roman" w:hAnsi="Times New Roman" w:cs="Times New Roman" w:eastAsia="Times New Roman" w:hint="default"/>
        </w:rPr>
        <w:t>320594000142151</w:t>
      </w:r>
      <w:r>
        <w:rPr/>
        <w:t>，注册资本</w:t>
      </w:r>
    </w:p>
    <w:p>
      <w:pPr>
        <w:pStyle w:val="BodyText"/>
        <w:spacing w:line="240" w:lineRule="auto" w:before="63"/>
        <w:ind w:right="0"/>
        <w:jc w:val="left"/>
      </w:pPr>
      <w:r>
        <w:rPr>
          <w:rFonts w:ascii="Times New Roman" w:hAnsi="Times New Roman" w:cs="Times New Roman" w:eastAsia="Times New Roman" w:hint="default"/>
        </w:rPr>
        <w:t>10,000,000.00</w:t>
      </w:r>
      <w:r>
        <w:rPr/>
        <w:t>元，法定代表人：夏玄。截至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日，本公司直接持股</w:t>
      </w:r>
      <w:r>
        <w:rPr>
          <w:rFonts w:ascii="Times New Roman" w:hAnsi="Times New Roman" w:cs="Times New Roman" w:eastAsia="Times New Roman" w:hint="default"/>
        </w:rPr>
        <w:t>100%</w:t>
      </w:r>
      <w:r>
        <w:rPr/>
        <w:t>。</w:t>
      </w:r>
    </w:p>
    <w:p>
      <w:pPr>
        <w:pStyle w:val="BodyText"/>
        <w:spacing w:line="300" w:lineRule="auto" w:before="63"/>
        <w:ind w:left="1574" w:right="7252"/>
        <w:jc w:val="left"/>
      </w:pPr>
      <w:r>
        <w:rPr>
          <w:rFonts w:ascii="Times New Roman" w:hAnsi="Times New Roman" w:cs="Times New Roman" w:eastAsia="Times New Roman" w:hint="default"/>
        </w:rPr>
        <w:t>7)</w:t>
      </w:r>
      <w:r>
        <w:rPr/>
        <w:t>深圳时代首游 全称：深圳时代首游互动科技有限公司</w:t>
      </w:r>
    </w:p>
    <w:p>
      <w:pPr>
        <w:pStyle w:val="BodyText"/>
        <w:spacing w:line="300" w:lineRule="auto" w:before="31"/>
        <w:ind w:right="0" w:firstLine="440"/>
        <w:jc w:val="left"/>
        <w:rPr>
          <w:rFonts w:ascii="Times New Roman" w:hAnsi="Times New Roman" w:cs="Times New Roman" w:eastAsia="Times New Roman" w:hint="default"/>
        </w:rPr>
      </w:pPr>
      <w:r>
        <w:rPr>
          <w:spacing w:val="-1"/>
        </w:rPr>
        <w:t>深圳时代首游于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02</w:t>
      </w:r>
      <w:r>
        <w:rPr>
          <w:spacing w:val="-1"/>
        </w:rPr>
        <w:t>月</w:t>
      </w:r>
      <w:r>
        <w:rPr>
          <w:rFonts w:ascii="Times New Roman" w:hAnsi="Times New Roman" w:cs="Times New Roman" w:eastAsia="Times New Roman" w:hint="default"/>
          <w:spacing w:val="-1"/>
        </w:rPr>
        <w:t>27</w:t>
      </w:r>
      <w:r>
        <w:rPr>
          <w:spacing w:val="-1"/>
        </w:rPr>
        <w:t>日经深圳市市场监督管理局批准成立，注册号</w:t>
      </w:r>
      <w:r>
        <w:rPr>
          <w:rFonts w:ascii="Times New Roman" w:hAnsi="Times New Roman" w:cs="Times New Roman" w:eastAsia="Times New Roman" w:hint="default"/>
          <w:spacing w:val="-1"/>
        </w:rPr>
        <w:t>440301106021703</w:t>
      </w:r>
      <w:r>
        <w:rPr>
          <w:spacing w:val="-1"/>
        </w:rPr>
        <w:t>，注册资本</w:t>
      </w:r>
      <w:r>
        <w:rPr>
          <w:rFonts w:ascii="Times New Roman" w:hAnsi="Times New Roman" w:cs="Times New Roman" w:eastAsia="Times New Roman" w:hint="default"/>
          <w:spacing w:val="-1"/>
        </w:rPr>
        <w:t>10,000,000.00</w:t>
      </w:r>
      <w:r>
        <w:rPr>
          <w:rFonts w:ascii="Times New Roman" w:hAnsi="Times New Roman" w:cs="Times New Roman" w:eastAsia="Times New Roman" w:hint="default"/>
        </w:rPr>
        <w:t> </w:t>
      </w:r>
      <w:r>
        <w:rPr/>
        <w:t>元，法定代表人：朱亮。截至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日，本公司通过子公司苏州中青宝间接持股</w:t>
      </w:r>
      <w:r>
        <w:rPr>
          <w:rFonts w:ascii="Times New Roman" w:hAnsi="Times New Roman" w:cs="Times New Roman" w:eastAsia="Times New Roman" w:hint="default"/>
        </w:rPr>
        <w:t>100%</w:t>
      </w:r>
    </w:p>
    <w:p>
      <w:pPr>
        <w:pStyle w:val="BodyText"/>
        <w:spacing w:line="300" w:lineRule="auto" w:before="13"/>
        <w:ind w:left="1574" w:right="7432"/>
        <w:jc w:val="left"/>
      </w:pPr>
      <w:r>
        <w:rPr>
          <w:rFonts w:ascii="Times New Roman" w:hAnsi="Times New Roman" w:cs="Times New Roman" w:eastAsia="Times New Roman" w:hint="default"/>
        </w:rPr>
        <w:t>8)</w:t>
      </w:r>
      <w:r>
        <w:rPr/>
        <w:t>北京乐乐堂 全称：北京乐乐堂科技有限责任公司</w:t>
      </w:r>
    </w:p>
    <w:p>
      <w:pPr>
        <w:pStyle w:val="BodyText"/>
        <w:spacing w:line="240" w:lineRule="auto" w:before="32"/>
        <w:ind w:left="1574" w:right="0"/>
        <w:jc w:val="left"/>
      </w:pPr>
      <w:r>
        <w:rPr/>
        <w:t>北京乐乐堂于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09</w:t>
      </w:r>
      <w:r>
        <w:rPr/>
        <w:t>月</w:t>
      </w:r>
      <w:r>
        <w:rPr>
          <w:rFonts w:ascii="Times New Roman" w:hAnsi="Times New Roman" w:cs="Times New Roman" w:eastAsia="Times New Roman" w:hint="default"/>
        </w:rPr>
        <w:t>01</w:t>
      </w:r>
      <w:r>
        <w:rPr/>
        <w:t>日经北京市工商行政管理局海淀分局批准成立，注册号</w:t>
      </w:r>
      <w:r>
        <w:rPr>
          <w:rFonts w:ascii="Times New Roman" w:hAnsi="Times New Roman" w:cs="Times New Roman" w:eastAsia="Times New Roman" w:hint="default"/>
        </w:rPr>
        <w:t>110108013179092</w:t>
      </w:r>
      <w:r>
        <w:rPr/>
        <w:t>，注册资本</w:t>
      </w:r>
    </w:p>
    <w:p>
      <w:pPr>
        <w:pStyle w:val="BodyText"/>
        <w:spacing w:line="240" w:lineRule="auto" w:before="63"/>
        <w:ind w:right="0"/>
        <w:jc w:val="left"/>
      </w:pPr>
      <w:r>
        <w:rPr>
          <w:rFonts w:ascii="Times New Roman" w:hAnsi="Times New Roman" w:cs="Times New Roman" w:eastAsia="Times New Roman" w:hint="default"/>
        </w:rPr>
        <w:t>500,000.00</w:t>
      </w:r>
      <w:r>
        <w:rPr/>
        <w:t>元，法定代表人：林彦钊。截至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日，本公司直接持股</w:t>
      </w:r>
      <w:r>
        <w:rPr>
          <w:rFonts w:ascii="Times New Roman" w:hAnsi="Times New Roman" w:cs="Times New Roman" w:eastAsia="Times New Roman" w:hint="default"/>
        </w:rPr>
        <w:t>67%</w:t>
      </w:r>
      <w:r>
        <w:rPr/>
        <w:t>。</w:t>
      </w:r>
    </w:p>
    <w:p>
      <w:pPr>
        <w:pStyle w:val="BodyText"/>
        <w:spacing w:line="300" w:lineRule="auto" w:before="63"/>
        <w:ind w:left="1574" w:right="7252"/>
        <w:jc w:val="left"/>
      </w:pPr>
      <w:r>
        <w:rPr>
          <w:rFonts w:ascii="Times New Roman" w:hAnsi="Times New Roman" w:cs="Times New Roman" w:eastAsia="Times New Roman" w:hint="default"/>
        </w:rPr>
        <w:t>9)</w:t>
      </w:r>
      <w:r>
        <w:rPr/>
        <w:t>深圳中青聚宝 全称：深圳中青聚宝信息技术有限公司</w:t>
      </w:r>
    </w:p>
    <w:p>
      <w:pPr>
        <w:pStyle w:val="BodyText"/>
        <w:spacing w:line="300" w:lineRule="auto" w:before="31"/>
        <w:ind w:left="1134" w:right="0" w:firstLine="440"/>
        <w:jc w:val="left"/>
      </w:pPr>
      <w:r>
        <w:rPr>
          <w:spacing w:val="-2"/>
        </w:rPr>
        <w:t>深圳中青聚宝于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09</w:t>
      </w:r>
      <w:r>
        <w:rPr>
          <w:spacing w:val="-2"/>
        </w:rPr>
        <w:t>月</w:t>
      </w:r>
      <w:r>
        <w:rPr>
          <w:rFonts w:ascii="Times New Roman" w:hAnsi="Times New Roman" w:cs="Times New Roman" w:eastAsia="Times New Roman" w:hint="default"/>
          <w:spacing w:val="-2"/>
        </w:rPr>
        <w:t>03</w:t>
      </w:r>
      <w:r>
        <w:rPr>
          <w:spacing w:val="-2"/>
        </w:rPr>
        <w:t>日经深圳市市场监督管理局批准成立，注册号</w:t>
      </w:r>
      <w:r>
        <w:rPr>
          <w:rFonts w:ascii="Times New Roman" w:hAnsi="Times New Roman" w:cs="Times New Roman" w:eastAsia="Times New Roman" w:hint="default"/>
          <w:spacing w:val="-2"/>
        </w:rPr>
        <w:t>440301104916164</w:t>
      </w:r>
      <w:r>
        <w:rPr>
          <w:spacing w:val="-2"/>
        </w:rPr>
        <w:t>，注册资本</w:t>
      </w:r>
      <w:r>
        <w:rPr>
          <w:rFonts w:ascii="Times New Roman" w:hAnsi="Times New Roman" w:cs="Times New Roman" w:eastAsia="Times New Roman" w:hint="default"/>
          <w:spacing w:val="-2"/>
        </w:rPr>
        <w:t>100,000,000.00</w:t>
      </w:r>
      <w:r>
        <w:rPr>
          <w:rFonts w:ascii="Times New Roman" w:hAnsi="Times New Roman" w:cs="Times New Roman" w:eastAsia="Times New Roman" w:hint="default"/>
        </w:rPr>
        <w:t> </w:t>
      </w:r>
      <w:r>
        <w:rPr/>
        <w:t>元，法定代表人：张超玉。截至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日，本公司直接持股</w:t>
      </w:r>
      <w:r>
        <w:rPr>
          <w:rFonts w:ascii="Times New Roman" w:hAnsi="Times New Roman" w:cs="Times New Roman" w:eastAsia="Times New Roman" w:hint="default"/>
        </w:rPr>
        <w:t>100%</w:t>
      </w:r>
      <w:r>
        <w:rPr/>
        <w:t>。</w:t>
      </w:r>
    </w:p>
    <w:p>
      <w:pPr>
        <w:pStyle w:val="BodyText"/>
        <w:spacing w:line="300" w:lineRule="auto" w:before="13"/>
        <w:ind w:left="1574" w:right="7792"/>
        <w:jc w:val="left"/>
      </w:pPr>
      <w:r>
        <w:rPr>
          <w:rFonts w:ascii="Times New Roman" w:hAnsi="Times New Roman" w:cs="Times New Roman" w:eastAsia="Times New Roman" w:hint="default"/>
        </w:rPr>
        <w:t>10)</w:t>
      </w:r>
      <w:r>
        <w:rPr/>
        <w:t>深圳幻游 全称：深圳市幻游科技有限公司</w:t>
      </w:r>
    </w:p>
    <w:p>
      <w:pPr>
        <w:pStyle w:val="BodyText"/>
        <w:spacing w:line="300" w:lineRule="auto" w:before="31"/>
        <w:ind w:right="1178" w:firstLine="440"/>
        <w:jc w:val="left"/>
      </w:pPr>
      <w:r>
        <w:rPr/>
        <w:t>深圳幻游于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04</w:t>
      </w:r>
      <w:r>
        <w:rPr/>
        <w:t>月</w:t>
      </w:r>
      <w:r>
        <w:rPr>
          <w:rFonts w:ascii="Times New Roman" w:hAnsi="Times New Roman" w:cs="Times New Roman" w:eastAsia="Times New Roman" w:hint="default"/>
        </w:rPr>
        <w:t>29</w:t>
      </w:r>
      <w:r>
        <w:rPr/>
        <w:t>日经深圳市市场监督管理局批准成立，注册号</w:t>
      </w:r>
      <w:r>
        <w:rPr>
          <w:rFonts w:ascii="Times New Roman" w:hAnsi="Times New Roman" w:cs="Times New Roman" w:eastAsia="Times New Roman" w:hint="default"/>
        </w:rPr>
        <w:t>440301104641241</w:t>
      </w:r>
      <w:r>
        <w:rPr/>
        <w:t>，注册资本</w:t>
      </w:r>
      <w:r>
        <w:rPr>
          <w:rFonts w:ascii="Times New Roman" w:hAnsi="Times New Roman" w:cs="Times New Roman" w:eastAsia="Times New Roman" w:hint="default"/>
        </w:rPr>
        <w:t>6,130,000.00</w:t>
      </w:r>
      <w:r>
        <w:rPr/>
        <w:t>元， 法定代表人：江雷。截至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日，本公司通过子公司深圳中青聚宝间接持股</w:t>
      </w:r>
      <w:r>
        <w:rPr>
          <w:rFonts w:ascii="Times New Roman" w:hAnsi="Times New Roman" w:cs="Times New Roman" w:eastAsia="Times New Roman" w:hint="default"/>
        </w:rPr>
        <w:t>100%</w:t>
      </w:r>
      <w:r>
        <w:rPr/>
        <w:t>。</w:t>
      </w:r>
    </w:p>
    <w:p>
      <w:pPr>
        <w:pStyle w:val="BodyText"/>
        <w:spacing w:line="300" w:lineRule="auto" w:before="13"/>
        <w:ind w:left="1574" w:right="7072"/>
        <w:jc w:val="left"/>
      </w:pPr>
      <w:r>
        <w:rPr>
          <w:rFonts w:ascii="Times New Roman" w:hAnsi="Times New Roman" w:cs="Times New Roman" w:eastAsia="Times New Roman" w:hint="default"/>
        </w:rPr>
        <w:t>11)</w:t>
      </w:r>
      <w:r>
        <w:rPr/>
        <w:t>西安掌控力 全称：西安掌控力数码文化发展有限公司</w:t>
      </w:r>
    </w:p>
    <w:p>
      <w:pPr>
        <w:pStyle w:val="BodyText"/>
        <w:spacing w:line="300" w:lineRule="auto" w:before="31"/>
        <w:ind w:right="0" w:firstLine="440"/>
        <w:jc w:val="left"/>
      </w:pPr>
      <w:r>
        <w:rPr>
          <w:spacing w:val="-2"/>
        </w:rPr>
        <w:t>西安掌控力于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02</w:t>
      </w:r>
      <w:r>
        <w:rPr>
          <w:spacing w:val="-2"/>
        </w:rPr>
        <w:t>日经西安市工商行政管理局批准成立，注册号</w:t>
      </w:r>
      <w:r>
        <w:rPr>
          <w:rFonts w:ascii="Times New Roman" w:hAnsi="Times New Roman" w:cs="Times New Roman" w:eastAsia="Times New Roman" w:hint="default"/>
          <w:spacing w:val="-2"/>
        </w:rPr>
        <w:t>610131100050436</w:t>
      </w:r>
      <w:r>
        <w:rPr>
          <w:spacing w:val="-2"/>
        </w:rPr>
        <w:t>，注册资本</w:t>
      </w:r>
      <w:r>
        <w:rPr>
          <w:rFonts w:ascii="Times New Roman" w:hAnsi="Times New Roman" w:cs="Times New Roman" w:eastAsia="Times New Roman" w:hint="default"/>
          <w:spacing w:val="-2"/>
        </w:rPr>
        <w:t>2,040,800.00</w:t>
      </w:r>
      <w:r>
        <w:rPr>
          <w:spacing w:val="-2"/>
        </w:rPr>
        <w:t>元，</w:t>
      </w:r>
      <w:r>
        <w:rPr/>
        <w:t> </w:t>
      </w:r>
      <w:r>
        <w:rPr>
          <w:spacing w:val="-2"/>
        </w:rPr>
        <w:t>法定代表人：陈建辉。</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8</w:t>
      </w:r>
      <w:r>
        <w:rPr>
          <w:spacing w:val="-2"/>
        </w:rPr>
        <w:t>日深圳中青聚宝与西安掌控力、陈建辉、徐晓亮、栾伟签订增资协议，深圳中青聚宝同意</w:t>
      </w:r>
      <w:r>
        <w:rPr>
          <w:spacing w:val="-61"/>
        </w:rPr>
        <w:t> </w:t>
      </w:r>
      <w:r>
        <w:rPr>
          <w:spacing w:val="-61"/>
        </w:rPr>
      </w:r>
      <w:r>
        <w:rPr>
          <w:spacing w:val="-2"/>
        </w:rPr>
        <w:t>向西安掌控力增资人民币</w:t>
      </w:r>
      <w:r>
        <w:rPr>
          <w:rFonts w:ascii="Times New Roman" w:hAnsi="Times New Roman" w:cs="Times New Roman" w:eastAsia="Times New Roman" w:hint="default"/>
          <w:spacing w:val="-2"/>
        </w:rPr>
        <w:t>400</w:t>
      </w:r>
      <w:r>
        <w:rPr>
          <w:spacing w:val="-2"/>
        </w:rPr>
        <w:t>万元，该笔增资款中</w:t>
      </w:r>
      <w:r>
        <w:rPr>
          <w:rFonts w:ascii="Times New Roman" w:hAnsi="Times New Roman" w:cs="Times New Roman" w:eastAsia="Times New Roman" w:hint="default"/>
          <w:spacing w:val="-2"/>
        </w:rPr>
        <w:t>104.08</w:t>
      </w:r>
      <w:r>
        <w:rPr>
          <w:spacing w:val="-2"/>
        </w:rPr>
        <w:t>万元计入注册资本金，余下</w:t>
      </w:r>
      <w:r>
        <w:rPr>
          <w:rFonts w:ascii="Times New Roman" w:hAnsi="Times New Roman" w:cs="Times New Roman" w:eastAsia="Times New Roman" w:hint="default"/>
          <w:spacing w:val="-2"/>
        </w:rPr>
        <w:t>295.92</w:t>
      </w:r>
      <w:r>
        <w:rPr>
          <w:spacing w:val="-2"/>
        </w:rPr>
        <w:t>万元计入资本公积金。完成增资后</w:t>
      </w:r>
      <w:r>
        <w:rPr>
          <w:spacing w:val="-52"/>
        </w:rPr>
        <w:t> </w:t>
      </w:r>
      <w:r>
        <w:rPr>
          <w:spacing w:val="-52"/>
        </w:rPr>
      </w:r>
      <w:r>
        <w:rPr/>
        <w:t>深圳中青聚宝持有西安掌控力</w:t>
      </w:r>
      <w:r>
        <w:rPr>
          <w:rFonts w:ascii="Times New Roman" w:hAnsi="Times New Roman" w:cs="Times New Roman" w:eastAsia="Times New Roman" w:hint="default"/>
        </w:rPr>
        <w:t>51%</w:t>
      </w:r>
      <w:r>
        <w:rPr/>
        <w:t>的股权，陈建辉、徐晓亮、栾伟合计持有西安掌控力</w:t>
      </w:r>
      <w:r>
        <w:rPr>
          <w:rFonts w:ascii="Times New Roman" w:hAnsi="Times New Roman" w:cs="Times New Roman" w:eastAsia="Times New Roman" w:hint="default"/>
        </w:rPr>
        <w:t>49%</w:t>
      </w:r>
      <w:r>
        <w:rPr/>
        <w:t>的股权。截至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33"/>
        </w:rPr>
        <w:t> </w:t>
      </w:r>
      <w:r>
        <w:rPr/>
        <w:t>本公司通过子公司深圳中青聚宝间接持股</w:t>
      </w:r>
      <w:r>
        <w:rPr>
          <w:rFonts w:ascii="Times New Roman" w:hAnsi="Times New Roman" w:cs="Times New Roman" w:eastAsia="Times New Roman" w:hint="default"/>
        </w:rPr>
        <w:t>51%</w:t>
      </w:r>
      <w:r>
        <w:rPr/>
        <w:t>。</w:t>
      </w:r>
    </w:p>
    <w:p>
      <w:pPr>
        <w:pStyle w:val="BodyText"/>
        <w:spacing w:line="300" w:lineRule="auto" w:before="13"/>
        <w:ind w:left="1574" w:right="7252"/>
        <w:jc w:val="left"/>
      </w:pPr>
      <w:r>
        <w:rPr>
          <w:rFonts w:ascii="Times New Roman" w:hAnsi="Times New Roman" w:cs="Times New Roman" w:eastAsia="Times New Roman" w:hint="default"/>
        </w:rPr>
        <w:t>12)</w:t>
      </w:r>
      <w:r>
        <w:rPr/>
        <w:t>深圳中富彩 全称：深圳市中富彩网络技术有限公司</w:t>
      </w:r>
    </w:p>
    <w:p>
      <w:pPr>
        <w:pStyle w:val="BodyText"/>
        <w:spacing w:line="300" w:lineRule="auto" w:before="31"/>
        <w:ind w:left="1134" w:right="0" w:firstLine="440"/>
        <w:jc w:val="left"/>
      </w:pPr>
      <w:r>
        <w:rPr>
          <w:spacing w:val="-2"/>
        </w:rPr>
        <w:t>深圳中富彩于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09</w:t>
      </w:r>
      <w:r>
        <w:rPr>
          <w:spacing w:val="-2"/>
        </w:rPr>
        <w:t>月</w:t>
      </w:r>
      <w:r>
        <w:rPr>
          <w:rFonts w:ascii="Times New Roman" w:hAnsi="Times New Roman" w:cs="Times New Roman" w:eastAsia="Times New Roman" w:hint="default"/>
          <w:spacing w:val="-2"/>
        </w:rPr>
        <w:t>13</w:t>
      </w:r>
      <w:r>
        <w:rPr>
          <w:spacing w:val="-2"/>
        </w:rPr>
        <w:t>日经深圳市市场监督管理局批准成立，注册号</w:t>
      </w:r>
      <w:r>
        <w:rPr>
          <w:rFonts w:ascii="Times New Roman" w:hAnsi="Times New Roman" w:cs="Times New Roman" w:eastAsia="Times New Roman" w:hint="default"/>
          <w:spacing w:val="-2"/>
        </w:rPr>
        <w:t>440301107950033</w:t>
      </w:r>
      <w:r>
        <w:rPr>
          <w:spacing w:val="-2"/>
        </w:rPr>
        <w:t>，注册资本</w:t>
      </w:r>
      <w:r>
        <w:rPr>
          <w:rFonts w:ascii="Times New Roman" w:hAnsi="Times New Roman" w:cs="Times New Roman" w:eastAsia="Times New Roman" w:hint="default"/>
          <w:spacing w:val="-2"/>
        </w:rPr>
        <w:t>10,000,000.00</w:t>
      </w:r>
      <w:r>
        <w:rPr>
          <w:spacing w:val="-2"/>
        </w:rPr>
        <w:t>元，</w:t>
      </w:r>
      <w:r>
        <w:rPr/>
        <w:t> 法定代表人：张超玉。截至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日，本公司通过子公司深圳中青聚宝间接持股</w:t>
      </w:r>
      <w:r>
        <w:rPr>
          <w:rFonts w:ascii="Times New Roman" w:hAnsi="Times New Roman" w:cs="Times New Roman" w:eastAsia="Times New Roman" w:hint="default"/>
        </w:rPr>
        <w:t>51%</w:t>
      </w:r>
      <w:r>
        <w:rPr/>
        <w:t>。</w:t>
      </w:r>
    </w:p>
    <w:p>
      <w:pPr>
        <w:pStyle w:val="BodyText"/>
        <w:spacing w:line="240" w:lineRule="auto" w:before="13"/>
        <w:ind w:left="1574" w:right="0"/>
        <w:jc w:val="left"/>
      </w:pPr>
      <w:r>
        <w:rPr>
          <w:rFonts w:ascii="Times New Roman" w:hAnsi="Times New Roman" w:cs="Times New Roman" w:eastAsia="Times New Roman" w:hint="default"/>
        </w:rPr>
        <w:t>13)</w:t>
      </w:r>
      <w:r>
        <w:rPr/>
        <w:t>深圳乔戈里</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574" w:right="0"/>
        <w:jc w:val="left"/>
      </w:pPr>
      <w:r>
        <w:rPr/>
        <w:t>全称：深圳乔戈里投资有限公司 </w:t>
      </w:r>
      <w:r>
        <w:rPr>
          <w:spacing w:val="-2"/>
        </w:rPr>
        <w:t>深圳乔戈里于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07</w:t>
      </w:r>
      <w:r>
        <w:rPr>
          <w:spacing w:val="-2"/>
        </w:rPr>
        <w:t>月</w:t>
      </w:r>
      <w:r>
        <w:rPr>
          <w:rFonts w:ascii="Times New Roman" w:hAnsi="Times New Roman" w:cs="Times New Roman" w:eastAsia="Times New Roman" w:hint="default"/>
          <w:spacing w:val="-2"/>
        </w:rPr>
        <w:t>17</w:t>
      </w:r>
      <w:r>
        <w:rPr>
          <w:spacing w:val="-2"/>
        </w:rPr>
        <w:t>日经深圳市市场监督管理局批准成立，注册号</w:t>
      </w:r>
      <w:r>
        <w:rPr>
          <w:rFonts w:ascii="Times New Roman" w:hAnsi="Times New Roman" w:cs="Times New Roman" w:eastAsia="Times New Roman" w:hint="default"/>
          <w:spacing w:val="-2"/>
        </w:rPr>
        <w:t>440301109884668</w:t>
      </w:r>
      <w:r>
        <w:rPr>
          <w:spacing w:val="-2"/>
        </w:rPr>
        <w:t>，注册资本</w:t>
      </w:r>
      <w:r>
        <w:rPr>
          <w:rFonts w:ascii="Times New Roman" w:hAnsi="Times New Roman" w:cs="Times New Roman" w:eastAsia="Times New Roman" w:hint="default"/>
          <w:spacing w:val="-2"/>
        </w:rPr>
        <w:t>40,000,000.00</w:t>
      </w:r>
      <w:r>
        <w:rPr>
          <w:spacing w:val="-2"/>
        </w:rPr>
        <w:t>元，</w:t>
      </w:r>
    </w:p>
    <w:p>
      <w:pPr>
        <w:pStyle w:val="BodyText"/>
        <w:spacing w:line="248" w:lineRule="exact"/>
        <w:ind w:left="1134" w:right="0"/>
        <w:jc w:val="left"/>
      </w:pPr>
      <w:r>
        <w:rPr/>
        <w:t>法定代表人：江雷。截至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日，本公司通过子公司深圳中青聚宝间接持股</w:t>
      </w:r>
      <w:r>
        <w:rPr>
          <w:rFonts w:ascii="Times New Roman" w:hAnsi="Times New Roman" w:cs="Times New Roman" w:eastAsia="Times New Roman" w:hint="default"/>
        </w:rPr>
        <w:t>100%</w:t>
      </w:r>
      <w:r>
        <w:rPr/>
        <w:t>。</w:t>
      </w:r>
    </w:p>
    <w:p>
      <w:pPr>
        <w:pStyle w:val="BodyText"/>
        <w:spacing w:line="240" w:lineRule="auto" w:before="102"/>
        <w:ind w:left="1574" w:right="0"/>
        <w:jc w:val="left"/>
        <w:rPr>
          <w:rFonts w:ascii="Times New Roman" w:hAnsi="Times New Roman" w:cs="Times New Roman" w:eastAsia="Times New Roman" w:hint="default"/>
        </w:rPr>
      </w:pPr>
      <w:r>
        <w:rPr>
          <w:rFonts w:ascii="Times New Roman"/>
        </w:rPr>
        <w:t>14)CUPLAY</w:t>
      </w:r>
    </w:p>
    <w:p>
      <w:pPr>
        <w:pStyle w:val="BodyText"/>
        <w:spacing w:line="240" w:lineRule="auto" w:before="65"/>
        <w:ind w:left="1574" w:right="0"/>
        <w:jc w:val="left"/>
        <w:rPr>
          <w:rFonts w:ascii="Times New Roman" w:hAnsi="Times New Roman" w:cs="Times New Roman" w:eastAsia="Times New Roman" w:hint="default"/>
        </w:rPr>
      </w:pPr>
      <w:r>
        <w:rPr/>
        <w:t>全称：</w:t>
      </w:r>
      <w:r>
        <w:rPr>
          <w:rFonts w:ascii="Times New Roman" w:hAnsi="Times New Roman" w:cs="Times New Roman" w:eastAsia="Times New Roman" w:hint="default"/>
        </w:rPr>
        <w:t>CUPLAYCO.,LTD</w:t>
      </w:r>
    </w:p>
    <w:p>
      <w:pPr>
        <w:pStyle w:val="BodyText"/>
        <w:spacing w:line="300" w:lineRule="auto" w:before="63"/>
        <w:ind w:right="0" w:firstLine="440"/>
        <w:jc w:val="left"/>
      </w:pPr>
      <w:r>
        <w:rPr>
          <w:rFonts w:ascii="Times New Roman" w:hAnsi="Times New Roman" w:cs="Times New Roman" w:eastAsia="Times New Roman" w:hint="default"/>
        </w:rPr>
        <w:t>CUPLAY</w:t>
      </w: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日经</w:t>
      </w:r>
      <w:r>
        <w:rPr>
          <w:rFonts w:ascii="Times New Roman" w:hAnsi="Times New Roman" w:cs="Times New Roman" w:eastAsia="Times New Roman" w:hint="default"/>
        </w:rPr>
        <w:t>Registrar of Corporate</w:t>
      </w:r>
      <w:r>
        <w:rPr>
          <w:rFonts w:ascii="Times New Roman" w:hAnsi="Times New Roman" w:cs="Times New Roman" w:eastAsia="Times New Roman" w:hint="default"/>
          <w:spacing w:val="32"/>
        </w:rPr>
        <w:t> </w:t>
      </w:r>
      <w:r>
        <w:rPr>
          <w:rFonts w:ascii="Times New Roman" w:hAnsi="Times New Roman" w:cs="Times New Roman" w:eastAsia="Times New Roman" w:hint="default"/>
        </w:rPr>
        <w:t>Affairs</w:t>
      </w:r>
      <w:r>
        <w:rPr/>
        <w:t>批准成立，注册资本</w:t>
      </w:r>
      <w:r>
        <w:rPr>
          <w:rFonts w:ascii="Times New Roman" w:hAnsi="Times New Roman" w:cs="Times New Roman" w:eastAsia="Times New Roman" w:hint="default"/>
        </w:rPr>
        <w:t>5,989,965.20</w:t>
      </w:r>
      <w:r>
        <w:rPr/>
        <w:t>元。截至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1"/>
        </w:rPr>
        <w:t> </w:t>
      </w:r>
      <w:r>
        <w:rPr/>
        <w:t>本公司直接持股</w:t>
      </w:r>
      <w:r>
        <w:rPr>
          <w:rFonts w:ascii="Times New Roman" w:hAnsi="Times New Roman" w:cs="Times New Roman" w:eastAsia="Times New Roman" w:hint="default"/>
        </w:rPr>
        <w:t>100%</w:t>
      </w:r>
      <w:r>
        <w:rPr/>
        <w:t>。</w:t>
      </w:r>
    </w:p>
    <w:p>
      <w:pPr>
        <w:pStyle w:val="BodyText"/>
        <w:spacing w:line="300" w:lineRule="auto" w:before="13"/>
        <w:ind w:left="1574" w:right="8684"/>
        <w:jc w:val="left"/>
        <w:rPr>
          <w:rFonts w:ascii="Times New Roman" w:hAnsi="Times New Roman" w:cs="Times New Roman" w:eastAsia="Times New Roman" w:hint="default"/>
        </w:rPr>
      </w:pPr>
      <w:r>
        <w:rPr>
          <w:rFonts w:ascii="Times New Roman" w:hAnsi="Times New Roman" w:cs="Times New Roman" w:eastAsia="Times New Roman" w:hint="default"/>
        </w:rPr>
        <w:t>15)</w:t>
      </w:r>
      <w:r>
        <w:rPr/>
        <w:t>美国中青宝</w:t>
      </w:r>
      <w:r>
        <w:rPr>
          <w:w w:val="99"/>
        </w:rPr>
        <w:t> </w:t>
      </w:r>
      <w:r>
        <w:rPr/>
        <w:t>全称：</w:t>
      </w:r>
      <w:r>
        <w:rPr>
          <w:rFonts w:ascii="Times New Roman" w:hAnsi="Times New Roman" w:cs="Times New Roman" w:eastAsia="Times New Roman" w:hint="default"/>
        </w:rPr>
        <w:t>ZQ GAME</w:t>
      </w:r>
      <w:r>
        <w:rPr>
          <w:rFonts w:ascii="Times New Roman" w:hAnsi="Times New Roman" w:cs="Times New Roman" w:eastAsia="Times New Roman" w:hint="default"/>
          <w:spacing w:val="-2"/>
        </w:rPr>
        <w:t> </w:t>
      </w:r>
      <w:r>
        <w:rPr>
          <w:rFonts w:ascii="Times New Roman" w:hAnsi="Times New Roman" w:cs="Times New Roman" w:eastAsia="Times New Roman" w:hint="default"/>
        </w:rPr>
        <w:t>Inc</w:t>
      </w:r>
    </w:p>
    <w:p>
      <w:pPr>
        <w:pStyle w:val="BodyText"/>
        <w:spacing w:line="300" w:lineRule="auto" w:before="13"/>
        <w:ind w:left="1134" w:right="0" w:firstLine="440"/>
        <w:jc w:val="left"/>
      </w:pPr>
      <w:r>
        <w:rPr>
          <w:spacing w:val="-2"/>
          <w:w w:val="99"/>
        </w:rPr>
        <w:t>美国中青宝系于</w:t>
      </w:r>
      <w:r>
        <w:rPr>
          <w:rFonts w:ascii="Times New Roman" w:hAnsi="Times New Roman" w:cs="Times New Roman" w:eastAsia="Times New Roman" w:hint="default"/>
          <w:spacing w:val="-2"/>
          <w:w w:val="99"/>
        </w:rPr>
        <w:t>2011</w:t>
      </w:r>
      <w:r>
        <w:rPr>
          <w:spacing w:val="-2"/>
          <w:w w:val="99"/>
        </w:rPr>
        <w:t>年</w:t>
      </w:r>
      <w:r>
        <w:rPr>
          <w:rFonts w:ascii="Times New Roman" w:hAnsi="Times New Roman" w:cs="Times New Roman" w:eastAsia="Times New Roman" w:hint="default"/>
          <w:spacing w:val="-2"/>
          <w:w w:val="99"/>
        </w:rPr>
        <w:t>3</w:t>
      </w:r>
      <w:r>
        <w:rPr>
          <w:spacing w:val="-2"/>
          <w:w w:val="99"/>
        </w:rPr>
        <w:t>月</w:t>
      </w:r>
      <w:r>
        <w:rPr>
          <w:rFonts w:ascii="Times New Roman" w:hAnsi="Times New Roman" w:cs="Times New Roman" w:eastAsia="Times New Roman" w:hint="default"/>
          <w:spacing w:val="-2"/>
          <w:w w:val="99"/>
        </w:rPr>
        <w:t>11</w:t>
      </w:r>
      <w:r>
        <w:rPr>
          <w:spacing w:val="-2"/>
          <w:w w:val="99"/>
        </w:rPr>
        <w:t>日由本公司在美国投资成立的全资子公司，已由</w:t>
      </w:r>
      <w:r>
        <w:rPr>
          <w:rFonts w:ascii="Times New Roman" w:hAnsi="Times New Roman" w:cs="Times New Roman" w:eastAsia="Times New Roman" w:hint="default"/>
          <w:spacing w:val="-2"/>
          <w:w w:val="99"/>
        </w:rPr>
        <w:t>CUPLAY</w:t>
      </w:r>
      <w:r>
        <w:rPr>
          <w:spacing w:val="-2"/>
          <w:w w:val="99"/>
        </w:rPr>
        <w:t>发行及足缴股本为</w:t>
      </w:r>
      <w:r>
        <w:rPr>
          <w:rFonts w:ascii="Times New Roman" w:hAnsi="Times New Roman" w:cs="Times New Roman" w:eastAsia="Times New Roman" w:hint="default"/>
          <w:spacing w:val="-2"/>
          <w:w w:val="99"/>
        </w:rPr>
        <w:t>10,000.00</w:t>
      </w:r>
      <w:r>
        <w:rPr>
          <w:spacing w:val="-2"/>
          <w:w w:val="99"/>
        </w:rPr>
        <w:t>美元，</w:t>
      </w:r>
      <w:r>
        <w:rPr/>
        <w:t>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日，本公司直接持股</w:t>
      </w:r>
      <w:r>
        <w:rPr>
          <w:rFonts w:ascii="Times New Roman" w:hAnsi="Times New Roman" w:cs="Times New Roman" w:eastAsia="Times New Roman" w:hint="default"/>
        </w:rPr>
        <w:t>100%</w:t>
      </w:r>
      <w:r>
        <w:rPr/>
        <w:t>。</w:t>
      </w:r>
    </w:p>
    <w:p>
      <w:pPr>
        <w:pStyle w:val="BodyText"/>
        <w:spacing w:line="240" w:lineRule="auto" w:before="13"/>
        <w:ind w:left="1574" w:right="0"/>
        <w:jc w:val="left"/>
      </w:pPr>
      <w:r>
        <w:rPr>
          <w:rFonts w:ascii="Times New Roman" w:hAnsi="Times New Roman" w:cs="Times New Roman" w:eastAsia="Times New Roman" w:hint="default"/>
        </w:rPr>
        <w:t>16)</w:t>
      </w:r>
      <w:r>
        <w:rPr/>
        <w:t>韩国中青宝</w:t>
      </w:r>
    </w:p>
    <w:p>
      <w:pPr>
        <w:pStyle w:val="BodyText"/>
        <w:spacing w:line="240" w:lineRule="auto" w:before="63"/>
        <w:ind w:left="1574" w:right="0"/>
        <w:jc w:val="left"/>
        <w:rPr>
          <w:rFonts w:ascii="Times New Roman" w:hAnsi="Times New Roman" w:cs="Times New Roman" w:eastAsia="Times New Roman" w:hint="default"/>
        </w:rPr>
      </w:pPr>
      <w:r>
        <w:rPr/>
        <w:t>全称：</w:t>
      </w:r>
      <w:r>
        <w:rPr>
          <w:rFonts w:ascii="Times New Roman" w:hAnsi="Times New Roman" w:cs="Times New Roman" w:eastAsia="Times New Roman" w:hint="default"/>
        </w:rPr>
        <w:t>ZQ Game Korea</w:t>
      </w:r>
      <w:r>
        <w:rPr>
          <w:rFonts w:ascii="Times New Roman" w:hAnsi="Times New Roman" w:cs="Times New Roman" w:eastAsia="Times New Roman" w:hint="default"/>
          <w:spacing w:val="-5"/>
        </w:rPr>
        <w:t> </w:t>
      </w:r>
      <w:r>
        <w:rPr>
          <w:rFonts w:ascii="Times New Roman" w:hAnsi="Times New Roman" w:cs="Times New Roman" w:eastAsia="Times New Roman" w:hint="default"/>
        </w:rPr>
        <w:t>Co.,Ltd</w:t>
      </w:r>
    </w:p>
    <w:p>
      <w:pPr>
        <w:pStyle w:val="BodyText"/>
        <w:spacing w:line="300" w:lineRule="auto" w:before="63"/>
        <w:ind w:right="0" w:firstLine="440"/>
        <w:jc w:val="left"/>
      </w:pPr>
      <w:r>
        <w:rPr>
          <w:spacing w:val="-1"/>
        </w:rPr>
        <w:t>韩国中青宝系于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02</w:t>
      </w:r>
      <w:r>
        <w:rPr>
          <w:spacing w:val="-1"/>
        </w:rPr>
        <w:t>月</w:t>
      </w:r>
      <w:r>
        <w:rPr>
          <w:rFonts w:ascii="Times New Roman" w:hAnsi="Times New Roman" w:cs="Times New Roman" w:eastAsia="Times New Roman" w:hint="default"/>
          <w:spacing w:val="-1"/>
        </w:rPr>
        <w:t>07</w:t>
      </w:r>
      <w:r>
        <w:rPr>
          <w:spacing w:val="-1"/>
        </w:rPr>
        <w:t>日由</w:t>
      </w:r>
      <w:r>
        <w:rPr>
          <w:rFonts w:ascii="Times New Roman" w:hAnsi="Times New Roman" w:cs="Times New Roman" w:eastAsia="Times New Roman" w:hint="default"/>
          <w:spacing w:val="-1"/>
        </w:rPr>
        <w:t>CUPLAY</w:t>
      </w:r>
      <w:r>
        <w:rPr>
          <w:spacing w:val="-1"/>
        </w:rPr>
        <w:t>在韩国投资设立的全资子公司，已发行及足缴股本为</w:t>
      </w:r>
      <w:r>
        <w:rPr>
          <w:rFonts w:ascii="Times New Roman" w:hAnsi="Times New Roman" w:cs="Times New Roman" w:eastAsia="Times New Roman" w:hint="default"/>
          <w:spacing w:val="-1"/>
        </w:rPr>
        <w:t>2,000,000.00</w:t>
      </w:r>
      <w:r>
        <w:rPr>
          <w:spacing w:val="-1"/>
        </w:rPr>
        <w:t>韩币。截</w:t>
      </w:r>
      <w:r>
        <w:rPr/>
        <w:t> 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日，本公司通过子公司</w:t>
      </w:r>
      <w:r>
        <w:rPr>
          <w:rFonts w:ascii="Times New Roman" w:hAnsi="Times New Roman" w:cs="Times New Roman" w:eastAsia="Times New Roman" w:hint="default"/>
        </w:rPr>
        <w:t>CUPLAY</w:t>
      </w:r>
      <w:r>
        <w:rPr/>
        <w:t>间接持股</w:t>
      </w:r>
      <w:r>
        <w:rPr>
          <w:rFonts w:ascii="Times New Roman" w:hAnsi="Times New Roman" w:cs="Times New Roman" w:eastAsia="Times New Roman" w:hint="default"/>
        </w:rPr>
        <w:t>100%</w:t>
      </w:r>
      <w:r>
        <w:rPr/>
        <w:t>。</w:t>
      </w:r>
    </w:p>
    <w:p>
      <w:pPr>
        <w:pStyle w:val="BodyText"/>
        <w:spacing w:line="300" w:lineRule="auto" w:before="13"/>
        <w:ind w:left="1574" w:right="7432"/>
        <w:jc w:val="left"/>
      </w:pPr>
      <w:r>
        <w:rPr>
          <w:rFonts w:ascii="Times New Roman" w:hAnsi="Times New Roman" w:cs="Times New Roman" w:eastAsia="Times New Roman" w:hint="default"/>
        </w:rPr>
        <w:t>17)</w:t>
      </w:r>
      <w:r>
        <w:rPr/>
        <w:t>深圳雪羽</w:t>
      </w:r>
      <w:r>
        <w:rPr>
          <w:w w:val="99"/>
        </w:rPr>
        <w:t> </w:t>
      </w:r>
      <w:r>
        <w:rPr/>
        <w:t>全称：深圳市雪羽网络科技有限公司</w:t>
      </w:r>
    </w:p>
    <w:p>
      <w:pPr>
        <w:pStyle w:val="BodyText"/>
        <w:spacing w:line="300" w:lineRule="auto" w:before="31"/>
        <w:ind w:right="0" w:firstLine="440"/>
        <w:jc w:val="left"/>
      </w:pPr>
      <w:r>
        <w:rPr/>
        <w:t>深圳雪羽于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02</w:t>
      </w:r>
      <w:r>
        <w:rPr/>
        <w:t>日经深圳市市场监督管理局批准成立，注册号</w:t>
      </w:r>
      <w:r>
        <w:rPr>
          <w:rFonts w:ascii="Times New Roman" w:hAnsi="Times New Roman" w:cs="Times New Roman" w:eastAsia="Times New Roman" w:hint="default"/>
        </w:rPr>
        <w:t>440301105180541</w:t>
      </w:r>
      <w:r>
        <w:rPr/>
        <w:t>，注册资本</w:t>
      </w:r>
      <w:r>
        <w:rPr>
          <w:rFonts w:ascii="Times New Roman" w:hAnsi="Times New Roman" w:cs="Times New Roman" w:eastAsia="Times New Roman" w:hint="default"/>
        </w:rPr>
        <w:t>10,000,000.00</w:t>
      </w:r>
      <w:r>
        <w:rPr/>
        <w:t>元，</w:t>
      </w:r>
      <w:r>
        <w:rPr>
          <w:spacing w:val="1"/>
        </w:rPr>
        <w:t> </w:t>
      </w:r>
      <w:r>
        <w:rPr/>
        <w:t>法定代表人：李小冬。截至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日，本公司直接持股</w:t>
      </w:r>
      <w:r>
        <w:rPr>
          <w:rFonts w:ascii="Times New Roman" w:hAnsi="Times New Roman" w:cs="Times New Roman" w:eastAsia="Times New Roman" w:hint="default"/>
        </w:rPr>
        <w:t>100%</w:t>
      </w:r>
      <w:r>
        <w:rPr/>
        <w:t>。</w:t>
      </w:r>
    </w:p>
    <w:p>
      <w:pPr>
        <w:pStyle w:val="BodyText"/>
        <w:spacing w:line="300" w:lineRule="auto" w:before="13"/>
        <w:ind w:left="1574" w:right="7252"/>
        <w:jc w:val="left"/>
      </w:pPr>
      <w:r>
        <w:rPr>
          <w:rFonts w:ascii="Times New Roman" w:hAnsi="Times New Roman" w:cs="Times New Roman" w:eastAsia="Times New Roman" w:hint="default"/>
        </w:rPr>
        <w:t>18)</w:t>
      </w:r>
      <w:r>
        <w:rPr/>
        <w:t>福州卓越 全称：福州卓越无限软件开发有限公司</w:t>
      </w:r>
    </w:p>
    <w:p>
      <w:pPr>
        <w:pStyle w:val="BodyText"/>
        <w:spacing w:line="300" w:lineRule="auto" w:before="31"/>
        <w:ind w:right="1133" w:firstLine="440"/>
        <w:jc w:val="left"/>
      </w:pPr>
      <w:r>
        <w:rPr/>
        <w:t>福州卓越于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09</w:t>
      </w:r>
      <w:r>
        <w:rPr/>
        <w:t>月</w:t>
      </w:r>
      <w:r>
        <w:rPr>
          <w:rFonts w:ascii="Times New Roman" w:hAnsi="Times New Roman" w:cs="Times New Roman" w:eastAsia="Times New Roman" w:hint="default"/>
        </w:rPr>
        <w:t>21</w:t>
      </w:r>
      <w:r>
        <w:rPr/>
        <w:t>日经福州市鼓楼区工商行政管理局批准成立，注册号</w:t>
      </w:r>
      <w:r>
        <w:rPr>
          <w:rFonts w:ascii="Times New Roman" w:hAnsi="Times New Roman" w:cs="Times New Roman" w:eastAsia="Times New Roman" w:hint="default"/>
        </w:rPr>
        <w:t>350102100107385</w:t>
      </w:r>
      <w:r>
        <w:rPr/>
        <w:t>，注册资本</w:t>
      </w:r>
      <w:r>
        <w:rPr>
          <w:rFonts w:ascii="Times New Roman" w:hAnsi="Times New Roman" w:cs="Times New Roman" w:eastAsia="Times New Roman" w:hint="default"/>
        </w:rPr>
        <w:t>500,000.00 </w:t>
      </w:r>
      <w:r>
        <w:rPr/>
        <w:t>元，法定代表人：张云霞。截至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日，本公司直接持股</w:t>
      </w:r>
      <w:r>
        <w:rPr>
          <w:rFonts w:ascii="Times New Roman" w:hAnsi="Times New Roman" w:cs="Times New Roman" w:eastAsia="Times New Roman" w:hint="default"/>
        </w:rPr>
        <w:t>51%</w:t>
      </w:r>
      <w:r>
        <w:rPr/>
        <w:t>。</w:t>
      </w:r>
    </w:p>
    <w:p>
      <w:pPr>
        <w:pStyle w:val="BodyText"/>
        <w:spacing w:line="300" w:lineRule="auto" w:before="13"/>
        <w:ind w:left="1574" w:right="7612"/>
        <w:jc w:val="left"/>
      </w:pPr>
      <w:r>
        <w:rPr>
          <w:rFonts w:ascii="Times New Roman" w:hAnsi="Times New Roman" w:cs="Times New Roman" w:eastAsia="Times New Roman" w:hint="default"/>
        </w:rPr>
        <w:t>19)</w:t>
      </w:r>
      <w:r>
        <w:rPr/>
        <w:t>上海美峰 全称：上海美峰数码科技有限公司</w:t>
      </w:r>
    </w:p>
    <w:p>
      <w:pPr>
        <w:pStyle w:val="BodyText"/>
        <w:spacing w:line="300" w:lineRule="auto" w:before="31"/>
        <w:ind w:right="0" w:firstLine="440"/>
        <w:jc w:val="left"/>
      </w:pPr>
      <w:r>
        <w:rPr/>
        <w:t>上海美峰于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日经上海市工商行政管理局浦东新区分局批准成立，注册号</w:t>
      </w:r>
      <w:r>
        <w:rPr>
          <w:rFonts w:ascii="Times New Roman" w:hAnsi="Times New Roman" w:cs="Times New Roman" w:eastAsia="Times New Roman" w:hint="default"/>
        </w:rPr>
        <w:t>310115000862881</w:t>
      </w:r>
      <w:r>
        <w:rPr/>
        <w:t>，注册资本 </w:t>
      </w:r>
      <w:r>
        <w:rPr>
          <w:rFonts w:ascii="Times New Roman" w:hAnsi="Times New Roman" w:cs="Times New Roman" w:eastAsia="Times New Roman" w:hint="default"/>
          <w:spacing w:val="-2"/>
        </w:rPr>
        <w:t>20,000,000.00</w:t>
      </w:r>
      <w:r>
        <w:rPr>
          <w:spacing w:val="-2"/>
        </w:rPr>
        <w:t>元，法定代表人：李德新。</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13</w:t>
      </w:r>
      <w:r>
        <w:rPr>
          <w:spacing w:val="-2"/>
        </w:rPr>
        <w:t>日本公司与李德新、郭瑜、钟松签订了股权转让协议，以</w:t>
      </w:r>
      <w:r>
        <w:rPr>
          <w:rFonts w:ascii="Times New Roman" w:hAnsi="Times New Roman" w:cs="Times New Roman" w:eastAsia="Times New Roman" w:hint="default"/>
          <w:spacing w:val="-2"/>
        </w:rPr>
        <w:t>35,700</w:t>
      </w:r>
      <w:r>
        <w:rPr>
          <w:spacing w:val="-2"/>
        </w:rPr>
        <w:t>亿元收</w:t>
      </w:r>
      <w:r>
        <w:rPr>
          <w:spacing w:val="-47"/>
        </w:rPr>
        <w:t> </w:t>
      </w:r>
      <w:r>
        <w:rPr>
          <w:spacing w:val="-2"/>
        </w:rPr>
        <w:t>购上海美峰</w:t>
      </w:r>
      <w:r>
        <w:rPr>
          <w:rFonts w:ascii="Times New Roman" w:hAnsi="Times New Roman" w:cs="Times New Roman" w:eastAsia="Times New Roman" w:hint="default"/>
          <w:spacing w:val="-2"/>
        </w:rPr>
        <w:t>51%</w:t>
      </w:r>
      <w:r>
        <w:rPr>
          <w:spacing w:val="-2"/>
        </w:rPr>
        <w:t>的股权，其中李德新转让</w:t>
      </w:r>
      <w:r>
        <w:rPr>
          <w:rFonts w:ascii="Times New Roman" w:hAnsi="Times New Roman" w:cs="Times New Roman" w:eastAsia="Times New Roman" w:hint="default"/>
          <w:spacing w:val="-2"/>
        </w:rPr>
        <w:t>24.6942%</w:t>
      </w:r>
      <w:r>
        <w:rPr>
          <w:spacing w:val="-2"/>
        </w:rPr>
        <w:t>，价款</w:t>
      </w:r>
      <w:r>
        <w:rPr>
          <w:rFonts w:ascii="Times New Roman" w:hAnsi="Times New Roman" w:cs="Times New Roman" w:eastAsia="Times New Roman" w:hint="default"/>
          <w:spacing w:val="-2"/>
        </w:rPr>
        <w:t>17,285.94</w:t>
      </w:r>
      <w:r>
        <w:rPr>
          <w:spacing w:val="-2"/>
        </w:rPr>
        <w:t>万元；郭瑜转让</w:t>
      </w:r>
      <w:r>
        <w:rPr>
          <w:rFonts w:ascii="Times New Roman" w:hAnsi="Times New Roman" w:cs="Times New Roman" w:eastAsia="Times New Roman" w:hint="default"/>
          <w:spacing w:val="-2"/>
        </w:rPr>
        <w:t>22.7817%</w:t>
      </w:r>
      <w:r>
        <w:rPr>
          <w:spacing w:val="-2"/>
        </w:rPr>
        <w:t>，价款</w:t>
      </w:r>
      <w:r>
        <w:rPr>
          <w:rFonts w:ascii="Times New Roman" w:hAnsi="Times New Roman" w:cs="Times New Roman" w:eastAsia="Times New Roman" w:hint="default"/>
          <w:spacing w:val="-2"/>
        </w:rPr>
        <w:t>15,947.19</w:t>
      </w:r>
      <w:r>
        <w:rPr>
          <w:spacing w:val="-2"/>
        </w:rPr>
        <w:t>万元；钟松转让</w:t>
      </w:r>
      <w:r>
        <w:rPr>
          <w:spacing w:val="-33"/>
        </w:rPr>
        <w:t> </w:t>
      </w:r>
      <w:r>
        <w:rPr>
          <w:spacing w:val="-33"/>
        </w:rPr>
      </w:r>
      <w:r>
        <w:rPr>
          <w:rFonts w:ascii="Times New Roman" w:hAnsi="Times New Roman" w:cs="Times New Roman" w:eastAsia="Times New Roman" w:hint="default"/>
        </w:rPr>
        <w:t>3.5241%</w:t>
      </w:r>
      <w:r>
        <w:rPr/>
        <w:t>，价款</w:t>
      </w:r>
      <w:r>
        <w:rPr>
          <w:rFonts w:ascii="Times New Roman" w:hAnsi="Times New Roman" w:cs="Times New Roman" w:eastAsia="Times New Roman" w:hint="default"/>
        </w:rPr>
        <w:t>2,466.87</w:t>
      </w:r>
      <w:r>
        <w:rPr/>
        <w:t>万元。</w:t>
      </w:r>
    </w:p>
    <w:p>
      <w:pPr>
        <w:pStyle w:val="BodyText"/>
        <w:spacing w:line="300" w:lineRule="auto" w:before="13"/>
        <w:ind w:left="1134" w:right="0" w:firstLine="44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6</w:t>
      </w:r>
      <w:r>
        <w:rPr>
          <w:spacing w:val="-2"/>
        </w:rPr>
        <w:t>日本公司与李杰、郭瑜、钟松签订了关于股权收购协议之补充协议李杰、郭瑜、钟松将其合计持有的上海</w:t>
      </w:r>
      <w:r>
        <w:rPr/>
        <w:t> 美峰</w:t>
      </w:r>
      <w:r>
        <w:rPr>
          <w:rFonts w:ascii="Times New Roman" w:hAnsi="Times New Roman" w:cs="Times New Roman" w:eastAsia="Times New Roman" w:hint="default"/>
        </w:rPr>
        <w:t>20.6334%</w:t>
      </w:r>
      <w:r>
        <w:rPr/>
        <w:t>股权无偿转让给本公司。截至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日，本公司直接持股</w:t>
      </w:r>
      <w:r>
        <w:rPr>
          <w:rFonts w:ascii="Times New Roman" w:hAnsi="Times New Roman" w:cs="Times New Roman" w:eastAsia="Times New Roman" w:hint="default"/>
        </w:rPr>
        <w:t>71.6334%</w:t>
      </w:r>
      <w:r>
        <w:rPr/>
        <w:t>。</w:t>
      </w:r>
    </w:p>
    <w:p>
      <w:pPr>
        <w:pStyle w:val="BodyText"/>
        <w:spacing w:line="300" w:lineRule="auto" w:before="13"/>
        <w:ind w:left="1574" w:right="7612"/>
        <w:jc w:val="left"/>
      </w:pPr>
      <w:r>
        <w:rPr>
          <w:rFonts w:ascii="Times New Roman" w:hAnsi="Times New Roman" w:cs="Times New Roman" w:eastAsia="Times New Roman" w:hint="default"/>
        </w:rPr>
        <w:t>20)</w:t>
      </w:r>
      <w:r>
        <w:rPr/>
        <w:t>上海集美 全称：上海集美信息技术有限公司</w:t>
      </w:r>
    </w:p>
    <w:p>
      <w:pPr>
        <w:pStyle w:val="BodyText"/>
        <w:spacing w:line="240" w:lineRule="auto" w:before="31"/>
        <w:ind w:left="1574" w:right="0"/>
        <w:jc w:val="left"/>
      </w:pPr>
      <w:r>
        <w:rPr/>
        <w:t>上海集美于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08</w:t>
      </w:r>
      <w:r>
        <w:rPr/>
        <w:t>月</w:t>
      </w:r>
      <w:r>
        <w:rPr>
          <w:rFonts w:ascii="Times New Roman" w:hAnsi="Times New Roman" w:cs="Times New Roman" w:eastAsia="Times New Roman" w:hint="default"/>
        </w:rPr>
        <w:t>13</w:t>
      </w:r>
      <w:r>
        <w:rPr/>
        <w:t>日经上海市浦东新区市场监督管理局批准成立，注册号</w:t>
      </w:r>
      <w:r>
        <w:rPr>
          <w:rFonts w:ascii="Times New Roman" w:hAnsi="Times New Roman" w:cs="Times New Roman" w:eastAsia="Times New Roman" w:hint="default"/>
        </w:rPr>
        <w:t>310115002160322</w:t>
      </w:r>
      <w:r>
        <w:rPr/>
        <w:t>，注册资本</w:t>
      </w:r>
    </w:p>
    <w:p>
      <w:pPr>
        <w:pStyle w:val="BodyText"/>
        <w:spacing w:line="240" w:lineRule="auto" w:before="63"/>
        <w:ind w:right="0"/>
        <w:jc w:val="left"/>
      </w:pPr>
      <w:r>
        <w:rPr>
          <w:rFonts w:ascii="Times New Roman" w:hAnsi="Times New Roman" w:cs="Times New Roman" w:eastAsia="Times New Roman" w:hint="default"/>
        </w:rPr>
        <w:t>10,000,000.00</w:t>
      </w:r>
      <w:r>
        <w:rPr/>
        <w:t>元，法定代表人：李杰。截至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日，本公司通过子公司上海美峰间接持股</w:t>
      </w:r>
      <w:r>
        <w:rPr>
          <w:rFonts w:ascii="Times New Roman" w:hAnsi="Times New Roman" w:cs="Times New Roman" w:eastAsia="Times New Roman" w:hint="default"/>
        </w:rPr>
        <w:t>71.6334%</w:t>
      </w:r>
      <w:r>
        <w:rPr/>
        <w:t>。</w:t>
      </w:r>
    </w:p>
    <w:p>
      <w:pPr>
        <w:pStyle w:val="BodyText"/>
        <w:spacing w:line="300" w:lineRule="auto" w:before="63"/>
        <w:ind w:left="1574" w:right="7792"/>
        <w:jc w:val="left"/>
      </w:pPr>
      <w:r>
        <w:rPr>
          <w:rFonts w:ascii="Times New Roman" w:hAnsi="Times New Roman" w:cs="Times New Roman" w:eastAsia="Times New Roman" w:hint="default"/>
        </w:rPr>
        <w:t>21)</w:t>
      </w:r>
      <w:r>
        <w:rPr/>
        <w:t>深圳苏摩 全称：深圳市苏摩科技有限公司</w:t>
      </w:r>
    </w:p>
    <w:p>
      <w:pPr>
        <w:pStyle w:val="BodyText"/>
        <w:spacing w:line="300" w:lineRule="auto" w:before="31"/>
        <w:ind w:right="0" w:firstLine="440"/>
        <w:jc w:val="left"/>
      </w:pPr>
      <w:r>
        <w:rPr/>
        <w:t>深圳苏摩于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02</w:t>
      </w:r>
      <w:r>
        <w:rPr/>
        <w:t>月</w:t>
      </w:r>
      <w:r>
        <w:rPr>
          <w:rFonts w:ascii="Times New Roman" w:hAnsi="Times New Roman" w:cs="Times New Roman" w:eastAsia="Times New Roman" w:hint="default"/>
        </w:rPr>
        <w:t>27</w:t>
      </w:r>
      <w:r>
        <w:rPr/>
        <w:t>日经深圳市市场监督管理局批准成立，注册号</w:t>
      </w:r>
      <w:r>
        <w:rPr>
          <w:rFonts w:ascii="Times New Roman" w:hAnsi="Times New Roman" w:cs="Times New Roman" w:eastAsia="Times New Roman" w:hint="default"/>
        </w:rPr>
        <w:t>440301103841991</w:t>
      </w:r>
      <w:r>
        <w:rPr/>
        <w:t>，注册资本</w:t>
      </w:r>
      <w:r>
        <w:rPr>
          <w:rFonts w:ascii="Times New Roman" w:hAnsi="Times New Roman" w:cs="Times New Roman" w:eastAsia="Times New Roman" w:hint="default"/>
        </w:rPr>
        <w:t>10,000,000.00</w:t>
      </w:r>
      <w:r>
        <w:rPr/>
        <w:t>元，</w:t>
      </w:r>
      <w:r>
        <w:rPr>
          <w:spacing w:val="1"/>
        </w:rPr>
        <w:t> </w:t>
      </w:r>
      <w:r>
        <w:rPr/>
        <w:t>法定代表人：陈雷。</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日本公司与陈雷、郝聃、姚君林、深圳市腾讯计算机系统有限公司、深圳市世纪汇祥科技 </w:t>
      </w:r>
      <w:r>
        <w:rPr>
          <w:spacing w:val="-2"/>
        </w:rPr>
        <w:t>有限公司签订了股权转让协议，以</w:t>
      </w:r>
      <w:r>
        <w:rPr>
          <w:rFonts w:ascii="Times New Roman" w:hAnsi="Times New Roman" w:cs="Times New Roman" w:eastAsia="Times New Roman" w:hint="default"/>
          <w:spacing w:val="-2"/>
        </w:rPr>
        <w:t>8,746.50</w:t>
      </w:r>
      <w:r>
        <w:rPr>
          <w:spacing w:val="-2"/>
        </w:rPr>
        <w:t>万元收购深圳苏摩</w:t>
      </w:r>
      <w:r>
        <w:rPr>
          <w:rFonts w:ascii="Times New Roman" w:hAnsi="Times New Roman" w:cs="Times New Roman" w:eastAsia="Times New Roman" w:hint="default"/>
          <w:spacing w:val="-2"/>
        </w:rPr>
        <w:t>51%</w:t>
      </w:r>
      <w:r>
        <w:rPr>
          <w:spacing w:val="-2"/>
        </w:rPr>
        <w:t>的股权，其中陈雷转让</w:t>
      </w:r>
      <w:r>
        <w:rPr>
          <w:rFonts w:ascii="Times New Roman" w:hAnsi="Times New Roman" w:cs="Times New Roman" w:eastAsia="Times New Roman" w:hint="default"/>
          <w:spacing w:val="-2"/>
        </w:rPr>
        <w:t>37.71%</w:t>
      </w:r>
      <w:r>
        <w:rPr>
          <w:spacing w:val="-2"/>
        </w:rPr>
        <w:t>，价款</w:t>
      </w:r>
      <w:r>
        <w:rPr>
          <w:rFonts w:ascii="Times New Roman" w:hAnsi="Times New Roman" w:cs="Times New Roman" w:eastAsia="Times New Roman" w:hint="default"/>
          <w:spacing w:val="-2"/>
        </w:rPr>
        <w:t>6,467.26</w:t>
      </w:r>
      <w:r>
        <w:rPr>
          <w:spacing w:val="-2"/>
        </w:rPr>
        <w:t>万元；好聃转</w:t>
      </w:r>
      <w:r>
        <w:rPr>
          <w:spacing w:val="-28"/>
        </w:rPr>
        <w:t> </w:t>
      </w:r>
      <w:r>
        <w:rPr>
          <w:spacing w:val="-28"/>
        </w:rPr>
      </w:r>
      <w:r>
        <w:rPr>
          <w:spacing w:val="-2"/>
        </w:rPr>
        <w:t>让</w:t>
      </w:r>
      <w:r>
        <w:rPr>
          <w:rFonts w:ascii="Times New Roman" w:hAnsi="Times New Roman" w:cs="Times New Roman" w:eastAsia="Times New Roman" w:hint="default"/>
          <w:spacing w:val="-2"/>
        </w:rPr>
        <w:t>4.34%</w:t>
      </w:r>
      <w:r>
        <w:rPr>
          <w:spacing w:val="-2"/>
        </w:rPr>
        <w:t>，价款</w:t>
      </w:r>
      <w:r>
        <w:rPr>
          <w:rFonts w:ascii="Times New Roman" w:hAnsi="Times New Roman" w:cs="Times New Roman" w:eastAsia="Times New Roman" w:hint="default"/>
          <w:spacing w:val="-2"/>
        </w:rPr>
        <w:t>744.31</w:t>
      </w:r>
      <w:r>
        <w:rPr>
          <w:spacing w:val="-2"/>
        </w:rPr>
        <w:t>万元；姚君林转让</w:t>
      </w:r>
      <w:r>
        <w:rPr>
          <w:rFonts w:ascii="Times New Roman" w:hAnsi="Times New Roman" w:cs="Times New Roman" w:eastAsia="Times New Roman" w:hint="default"/>
          <w:spacing w:val="-2"/>
        </w:rPr>
        <w:t>1.30%</w:t>
      </w:r>
      <w:r>
        <w:rPr>
          <w:spacing w:val="-2"/>
        </w:rPr>
        <w:t>，价款</w:t>
      </w:r>
      <w:r>
        <w:rPr>
          <w:rFonts w:ascii="Times New Roman" w:hAnsi="Times New Roman" w:cs="Times New Roman" w:eastAsia="Times New Roman" w:hint="default"/>
          <w:spacing w:val="-2"/>
        </w:rPr>
        <w:t>222.95</w:t>
      </w:r>
      <w:r>
        <w:rPr>
          <w:spacing w:val="-2"/>
        </w:rPr>
        <w:t>万元；深圳市腾讯计算机系统有限公司转让</w:t>
      </w:r>
      <w:r>
        <w:rPr>
          <w:rFonts w:ascii="Times New Roman" w:hAnsi="Times New Roman" w:cs="Times New Roman" w:eastAsia="Times New Roman" w:hint="default"/>
          <w:spacing w:val="-2"/>
        </w:rPr>
        <w:t>6.15%</w:t>
      </w:r>
      <w:r>
        <w:rPr>
          <w:spacing w:val="-2"/>
        </w:rPr>
        <w:t>，价款</w:t>
      </w:r>
      <w:r>
        <w:rPr>
          <w:rFonts w:ascii="Times New Roman" w:hAnsi="Times New Roman" w:cs="Times New Roman" w:eastAsia="Times New Roman" w:hint="default"/>
          <w:spacing w:val="-2"/>
        </w:rPr>
        <w:t>1,054.725</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万元；深圳市世纪汇祥科技有限公司转让</w:t>
      </w:r>
      <w:r>
        <w:rPr>
          <w:rFonts w:ascii="Times New Roman" w:hAnsi="Times New Roman" w:cs="Times New Roman" w:eastAsia="Times New Roman" w:hint="default"/>
        </w:rPr>
        <w:t>1.50%</w:t>
      </w:r>
      <w:r>
        <w:rPr/>
        <w:t>，价款</w:t>
      </w:r>
      <w:r>
        <w:rPr>
          <w:rFonts w:ascii="Times New Roman" w:hAnsi="Times New Roman" w:cs="Times New Roman" w:eastAsia="Times New Roman" w:hint="default"/>
        </w:rPr>
        <w:t>257.255</w:t>
      </w:r>
      <w:r>
        <w:rPr/>
        <w:t>万元。截至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日，本公司直接持股</w:t>
      </w:r>
      <w:r>
        <w:rPr>
          <w:rFonts w:ascii="Times New Roman" w:hAnsi="Times New Roman" w:cs="Times New Roman" w:eastAsia="Times New Roman" w:hint="default"/>
        </w:rPr>
        <w:t>51%</w:t>
      </w:r>
      <w:r>
        <w:rPr/>
        <w:t>。</w:t>
      </w:r>
    </w:p>
    <w:p>
      <w:pPr>
        <w:pStyle w:val="BodyText"/>
        <w:spacing w:line="300" w:lineRule="auto" w:before="13"/>
        <w:ind w:left="1574" w:right="7432"/>
        <w:jc w:val="left"/>
      </w:pPr>
      <w:r>
        <w:rPr>
          <w:rFonts w:ascii="Times New Roman" w:hAnsi="Times New Roman" w:cs="Times New Roman" w:eastAsia="Times New Roman" w:hint="default"/>
        </w:rPr>
        <w:t>22)</w:t>
      </w:r>
      <w:r>
        <w:rPr/>
        <w:t>深圳比格 全称：深圳市比格互动科技有限公司</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178" w:firstLine="440"/>
        <w:jc w:val="left"/>
      </w:pPr>
      <w:r>
        <w:rPr/>
        <w:t>深圳比格于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08</w:t>
      </w:r>
      <w:r>
        <w:rPr/>
        <w:t>月</w:t>
      </w:r>
      <w:r>
        <w:rPr>
          <w:rFonts w:ascii="Times New Roman" w:hAnsi="Times New Roman" w:cs="Times New Roman" w:eastAsia="Times New Roman" w:hint="default"/>
        </w:rPr>
        <w:t>15</w:t>
      </w:r>
      <w:r>
        <w:rPr/>
        <w:t>日经深圳市市场监督管理局批准成立，注册号</w:t>
      </w:r>
      <w:r>
        <w:rPr>
          <w:rFonts w:ascii="Times New Roman" w:hAnsi="Times New Roman" w:cs="Times New Roman" w:eastAsia="Times New Roman" w:hint="default"/>
        </w:rPr>
        <w:t>440301105636164</w:t>
      </w:r>
      <w:r>
        <w:rPr/>
        <w:t>，注册资本</w:t>
      </w:r>
      <w:r>
        <w:rPr>
          <w:rFonts w:ascii="Times New Roman" w:hAnsi="Times New Roman" w:cs="Times New Roman" w:eastAsia="Times New Roman" w:hint="default"/>
        </w:rPr>
        <w:t>1,300,000.00</w:t>
      </w:r>
      <w:r>
        <w:rPr/>
        <w:t>元， 法定代表人：陈雷。截至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日，本公司通过子公司深圳苏摩间接持股</w:t>
      </w:r>
      <w:r>
        <w:rPr>
          <w:rFonts w:ascii="Times New Roman" w:hAnsi="Times New Roman" w:cs="Times New Roman" w:eastAsia="Times New Roman" w:hint="default"/>
        </w:rPr>
        <w:t>51%</w:t>
      </w:r>
      <w:r>
        <w:rPr/>
        <w:t>。</w:t>
      </w:r>
    </w:p>
    <w:p>
      <w:pPr>
        <w:pStyle w:val="BodyText"/>
        <w:spacing w:line="300" w:lineRule="auto" w:before="13"/>
        <w:ind w:left="1574" w:right="7792"/>
        <w:jc w:val="left"/>
      </w:pPr>
      <w:r>
        <w:rPr>
          <w:rFonts w:ascii="Times New Roman" w:hAnsi="Times New Roman" w:cs="Times New Roman" w:eastAsia="Times New Roman" w:hint="default"/>
        </w:rPr>
        <w:t>23)</w:t>
      </w:r>
      <w:r>
        <w:rPr/>
        <w:t>深圳米斗 全称：深圳市米斗科技有限公司</w:t>
      </w:r>
    </w:p>
    <w:p>
      <w:pPr>
        <w:pStyle w:val="BodyText"/>
        <w:spacing w:line="300" w:lineRule="auto" w:before="32"/>
        <w:ind w:right="1178" w:firstLine="440"/>
        <w:jc w:val="left"/>
      </w:pPr>
      <w:r>
        <w:rPr/>
        <w:t>深圳米斗于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05</w:t>
      </w:r>
      <w:r>
        <w:rPr/>
        <w:t>月</w:t>
      </w:r>
      <w:r>
        <w:rPr>
          <w:rFonts w:ascii="Times New Roman" w:hAnsi="Times New Roman" w:cs="Times New Roman" w:eastAsia="Times New Roman" w:hint="default"/>
        </w:rPr>
        <w:t>16</w:t>
      </w:r>
      <w:r>
        <w:rPr/>
        <w:t>日经深圳市市场监督管理局批准成立，注册号</w:t>
      </w:r>
      <w:r>
        <w:rPr>
          <w:rFonts w:ascii="Times New Roman" w:hAnsi="Times New Roman" w:cs="Times New Roman" w:eastAsia="Times New Roman" w:hint="default"/>
        </w:rPr>
        <w:t>440301109378154</w:t>
      </w:r>
      <w:r>
        <w:rPr/>
        <w:t>，注册资本</w:t>
      </w:r>
      <w:r>
        <w:rPr>
          <w:rFonts w:ascii="Times New Roman" w:hAnsi="Times New Roman" w:cs="Times New Roman" w:eastAsia="Times New Roman" w:hint="default"/>
        </w:rPr>
        <w:t>1,000,000.00</w:t>
      </w:r>
      <w:r>
        <w:rPr/>
        <w:t>元， 法定代表人：陈雷。截至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日，本公司通过子公司深圳苏摩间接持股</w:t>
      </w:r>
      <w:r>
        <w:rPr>
          <w:rFonts w:ascii="Times New Roman" w:hAnsi="Times New Roman" w:cs="Times New Roman" w:eastAsia="Times New Roman" w:hint="default"/>
        </w:rPr>
        <w:t>51%</w:t>
      </w:r>
      <w:r>
        <w:rPr/>
        <w:t>。</w:t>
      </w:r>
    </w:p>
    <w:p>
      <w:pPr>
        <w:pStyle w:val="BodyText"/>
        <w:spacing w:line="240" w:lineRule="auto" w:before="13"/>
        <w:ind w:left="1574" w:right="0"/>
        <w:jc w:val="left"/>
      </w:pPr>
      <w:r>
        <w:rPr>
          <w:rFonts w:ascii="Times New Roman" w:hAnsi="Times New Roman" w:cs="Times New Roman" w:eastAsia="Times New Roman" w:hint="default"/>
        </w:rPr>
        <w:t>24)</w:t>
      </w:r>
      <w:r>
        <w:rPr/>
        <w:t>香港中青宝</w:t>
      </w:r>
    </w:p>
    <w:p>
      <w:pPr>
        <w:pStyle w:val="BodyText"/>
        <w:spacing w:line="240" w:lineRule="auto" w:before="63"/>
        <w:ind w:left="1574" w:right="0"/>
        <w:jc w:val="left"/>
        <w:rPr>
          <w:rFonts w:ascii="Times New Roman" w:hAnsi="Times New Roman" w:cs="Times New Roman" w:eastAsia="Times New Roman" w:hint="default"/>
        </w:rPr>
      </w:pPr>
      <w:r>
        <w:rPr/>
        <w:t>全称：</w:t>
      </w:r>
      <w:r>
        <w:rPr>
          <w:rFonts w:ascii="Times New Roman" w:hAnsi="Times New Roman" w:cs="Times New Roman" w:eastAsia="Times New Roman" w:hint="default"/>
        </w:rPr>
        <w:t>Zqgame Hong Kong Co.,</w:t>
      </w:r>
      <w:r>
        <w:rPr>
          <w:rFonts w:ascii="Times New Roman" w:hAnsi="Times New Roman" w:cs="Times New Roman" w:eastAsia="Times New Roman" w:hint="default"/>
          <w:spacing w:val="-3"/>
        </w:rPr>
        <w:t> </w:t>
      </w:r>
      <w:r>
        <w:rPr>
          <w:rFonts w:ascii="Times New Roman" w:hAnsi="Times New Roman" w:cs="Times New Roman" w:eastAsia="Times New Roman" w:hint="default"/>
        </w:rPr>
        <w:t>LTD</w:t>
      </w:r>
    </w:p>
    <w:p>
      <w:pPr>
        <w:pStyle w:val="BodyText"/>
        <w:spacing w:line="300" w:lineRule="auto" w:before="63"/>
        <w:ind w:right="1178" w:firstLine="440"/>
        <w:jc w:val="left"/>
      </w:pPr>
      <w:r>
        <w:rPr/>
        <w:t>香港中青宝于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07</w:t>
      </w:r>
      <w:r>
        <w:rPr/>
        <w:t>月</w:t>
      </w:r>
      <w:r>
        <w:rPr>
          <w:rFonts w:ascii="Times New Roman" w:hAnsi="Times New Roman" w:cs="Times New Roman" w:eastAsia="Times New Roman" w:hint="default"/>
        </w:rPr>
        <w:t>16</w:t>
      </w:r>
      <w:r>
        <w:rPr/>
        <w:t>日经香港特别行政区公司注册处批准成立，注册资本</w:t>
      </w:r>
      <w:r>
        <w:rPr>
          <w:rFonts w:ascii="Times New Roman" w:hAnsi="Times New Roman" w:cs="Times New Roman" w:eastAsia="Times New Roman" w:hint="default"/>
        </w:rPr>
        <w:t>0.00</w:t>
      </w:r>
      <w:r>
        <w:rPr/>
        <w:t>元。截至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 司直接持股</w:t>
      </w:r>
      <w:r>
        <w:rPr>
          <w:rFonts w:ascii="Times New Roman" w:hAnsi="Times New Roman" w:cs="Times New Roman" w:eastAsia="Times New Roman" w:hint="default"/>
        </w:rPr>
        <w:t>100%</w:t>
      </w:r>
      <w:r>
        <w:rPr/>
        <w:t>。</w:t>
      </w:r>
    </w:p>
    <w:p>
      <w:pPr>
        <w:pStyle w:val="BodyText"/>
        <w:spacing w:line="240" w:lineRule="auto" w:before="52"/>
        <w:ind w:left="1574" w:right="0"/>
        <w:jc w:val="left"/>
        <w:rPr>
          <w:rFonts w:ascii="Times New Roman" w:hAnsi="Times New Roman" w:cs="Times New Roman" w:eastAsia="Times New Roman" w:hint="default"/>
        </w:rPr>
      </w:pPr>
      <w:r>
        <w:rPr>
          <w:rFonts w:ascii="Times New Roman"/>
        </w:rPr>
        <w:t>25)LEEPLAY</w:t>
      </w:r>
    </w:p>
    <w:p>
      <w:pPr>
        <w:pStyle w:val="BodyText"/>
        <w:spacing w:line="240" w:lineRule="auto" w:before="65"/>
        <w:ind w:left="1574" w:right="0"/>
        <w:jc w:val="left"/>
        <w:rPr>
          <w:rFonts w:ascii="Times New Roman" w:hAnsi="Times New Roman" w:cs="Times New Roman" w:eastAsia="Times New Roman" w:hint="default"/>
        </w:rPr>
      </w:pPr>
      <w:r>
        <w:rPr/>
        <w:t>全称：</w:t>
      </w:r>
      <w:r>
        <w:rPr>
          <w:rFonts w:ascii="Times New Roman" w:hAnsi="Times New Roman" w:cs="Times New Roman" w:eastAsia="Times New Roman" w:hint="default"/>
        </w:rPr>
        <w:t>LeePlay International</w:t>
      </w:r>
      <w:r>
        <w:rPr>
          <w:rFonts w:ascii="Times New Roman" w:hAnsi="Times New Roman" w:cs="Times New Roman" w:eastAsia="Times New Roman" w:hint="default"/>
          <w:spacing w:val="-4"/>
        </w:rPr>
        <w:t> </w:t>
      </w:r>
      <w:r>
        <w:rPr>
          <w:rFonts w:ascii="Times New Roman" w:hAnsi="Times New Roman" w:cs="Times New Roman" w:eastAsia="Times New Roman" w:hint="default"/>
        </w:rPr>
        <w:t>Ltd</w:t>
      </w:r>
    </w:p>
    <w:p>
      <w:pPr>
        <w:pStyle w:val="BodyText"/>
        <w:spacing w:line="300" w:lineRule="auto" w:before="63"/>
        <w:ind w:right="1120" w:firstLine="440"/>
        <w:jc w:val="left"/>
      </w:pPr>
      <w:r>
        <w:rPr>
          <w:rFonts w:ascii="Times New Roman" w:hAnsi="Times New Roman" w:cs="Times New Roman" w:eastAsia="Times New Roman" w:hint="default"/>
        </w:rPr>
        <w:t>LEEPLAY</w:t>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08</w:t>
      </w:r>
      <w:r>
        <w:rPr/>
        <w:t>月</w:t>
      </w:r>
      <w:r>
        <w:rPr>
          <w:rFonts w:ascii="Times New Roman" w:hAnsi="Times New Roman" w:cs="Times New Roman" w:eastAsia="Times New Roman" w:hint="default"/>
        </w:rPr>
        <w:t>20</w:t>
      </w:r>
      <w:r>
        <w:rPr/>
        <w:t>日经</w:t>
      </w:r>
      <w:r>
        <w:rPr>
          <w:rFonts w:ascii="Times New Roman" w:hAnsi="Times New Roman" w:cs="Times New Roman" w:eastAsia="Times New Roman" w:hint="default"/>
        </w:rPr>
        <w:t>Registrar</w:t>
      </w:r>
      <w:r>
        <w:rPr>
          <w:rFonts w:ascii="Times New Roman" w:hAnsi="Times New Roman" w:cs="Times New Roman" w:eastAsia="Times New Roman" w:hint="default"/>
          <w:spacing w:val="-12"/>
        </w:rPr>
        <w:t> </w:t>
      </w:r>
      <w:r>
        <w:rPr>
          <w:rFonts w:ascii="Times New Roman" w:hAnsi="Times New Roman" w:cs="Times New Roman" w:eastAsia="Times New Roman" w:hint="default"/>
        </w:rPr>
        <w:t>of</w:t>
      </w:r>
      <w:r>
        <w:rPr>
          <w:rFonts w:ascii="Times New Roman" w:hAnsi="Times New Roman" w:cs="Times New Roman" w:eastAsia="Times New Roman" w:hint="default"/>
          <w:spacing w:val="-12"/>
        </w:rPr>
        <w:t> </w:t>
      </w:r>
      <w:r>
        <w:rPr>
          <w:rFonts w:ascii="Times New Roman" w:hAnsi="Times New Roman" w:cs="Times New Roman" w:eastAsia="Times New Roman" w:hint="default"/>
        </w:rPr>
        <w:t>Corporate</w:t>
      </w:r>
      <w:r>
        <w:rPr>
          <w:rFonts w:ascii="Times New Roman" w:hAnsi="Times New Roman" w:cs="Times New Roman" w:eastAsia="Times New Roman" w:hint="default"/>
          <w:spacing w:val="-12"/>
        </w:rPr>
        <w:t> </w:t>
      </w:r>
      <w:r>
        <w:rPr>
          <w:rFonts w:ascii="Times New Roman" w:hAnsi="Times New Roman" w:cs="Times New Roman" w:eastAsia="Times New Roman" w:hint="default"/>
        </w:rPr>
        <w:t>Affairs</w:t>
      </w:r>
      <w:r>
        <w:rPr/>
        <w:t>批准成立，注册资本</w:t>
      </w:r>
      <w:r>
        <w:rPr>
          <w:rFonts w:ascii="Times New Roman" w:hAnsi="Times New Roman" w:cs="Times New Roman" w:eastAsia="Times New Roman" w:hint="default"/>
        </w:rPr>
        <w:t>0.00</w:t>
      </w:r>
      <w:r>
        <w:rPr/>
        <w:t>元。截至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 通过子公司香港中青宝间接持股</w:t>
      </w:r>
      <w:r>
        <w:rPr>
          <w:rFonts w:ascii="Times New Roman" w:hAnsi="Times New Roman" w:cs="Times New Roman" w:eastAsia="Times New Roman" w:hint="default"/>
        </w:rPr>
        <w:t>100%</w:t>
      </w:r>
      <w:r>
        <w:rPr/>
        <w:t>。</w:t>
      </w:r>
    </w:p>
    <w:p>
      <w:pPr>
        <w:pStyle w:val="BodyText"/>
        <w:spacing w:line="240" w:lineRule="auto" w:before="52"/>
        <w:ind w:left="1574" w:right="0"/>
        <w:jc w:val="left"/>
        <w:rPr>
          <w:rFonts w:ascii="Times New Roman" w:hAnsi="Times New Roman" w:cs="Times New Roman" w:eastAsia="Times New Roman" w:hint="default"/>
        </w:rPr>
      </w:pPr>
      <w:r>
        <w:rPr>
          <w:rFonts w:ascii="Times New Roman"/>
        </w:rPr>
        <w:t>26)LEEGAME</w:t>
      </w:r>
    </w:p>
    <w:p>
      <w:pPr>
        <w:pStyle w:val="BodyText"/>
        <w:spacing w:line="240" w:lineRule="auto" w:before="65"/>
        <w:ind w:left="1574" w:right="0"/>
        <w:jc w:val="left"/>
        <w:rPr>
          <w:rFonts w:ascii="Times New Roman" w:hAnsi="Times New Roman" w:cs="Times New Roman" w:eastAsia="Times New Roman" w:hint="default"/>
        </w:rPr>
      </w:pPr>
      <w:r>
        <w:rPr/>
        <w:t>全称：</w:t>
      </w:r>
      <w:r>
        <w:rPr>
          <w:rFonts w:ascii="Times New Roman" w:hAnsi="Times New Roman" w:cs="Times New Roman" w:eastAsia="Times New Roman" w:hint="default"/>
        </w:rPr>
        <w:t>LeeGame International</w:t>
      </w:r>
      <w:r>
        <w:rPr>
          <w:rFonts w:ascii="Times New Roman" w:hAnsi="Times New Roman" w:cs="Times New Roman" w:eastAsia="Times New Roman" w:hint="default"/>
          <w:spacing w:val="-7"/>
        </w:rPr>
        <w:t> </w:t>
      </w:r>
      <w:r>
        <w:rPr>
          <w:rFonts w:ascii="Times New Roman" w:hAnsi="Times New Roman" w:cs="Times New Roman" w:eastAsia="Times New Roman" w:hint="default"/>
        </w:rPr>
        <w:t>Ltd</w:t>
      </w:r>
    </w:p>
    <w:p>
      <w:pPr>
        <w:pStyle w:val="BodyText"/>
        <w:spacing w:line="240" w:lineRule="auto" w:before="63"/>
        <w:ind w:left="1574" w:right="0"/>
        <w:jc w:val="left"/>
        <w:rPr>
          <w:rFonts w:ascii="Times New Roman" w:hAnsi="Times New Roman" w:cs="Times New Roman" w:eastAsia="Times New Roman" w:hint="default"/>
        </w:rPr>
      </w:pPr>
      <w:r>
        <w:rPr>
          <w:rFonts w:ascii="Times New Roman" w:hAnsi="Times New Roman" w:cs="Times New Roman" w:eastAsia="Times New Roman" w:hint="default"/>
        </w:rPr>
        <w:t>LEEGAME</w:t>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08</w:t>
      </w:r>
      <w:r>
        <w:rPr/>
        <w:t>月</w:t>
      </w:r>
      <w:r>
        <w:rPr>
          <w:rFonts w:ascii="Times New Roman" w:hAnsi="Times New Roman" w:cs="Times New Roman" w:eastAsia="Times New Roman" w:hint="default"/>
        </w:rPr>
        <w:t>21</w:t>
      </w:r>
      <w:r>
        <w:rPr/>
        <w:t>日经</w:t>
      </w:r>
      <w:r>
        <w:rPr>
          <w:rFonts w:ascii="Times New Roman" w:hAnsi="Times New Roman" w:cs="Times New Roman" w:eastAsia="Times New Roman" w:hint="default"/>
        </w:rPr>
        <w:t>Assistant Registrar of Companies,Cayman</w:t>
      </w:r>
      <w:r>
        <w:rPr>
          <w:rFonts w:ascii="Times New Roman" w:hAnsi="Times New Roman" w:cs="Times New Roman" w:eastAsia="Times New Roman" w:hint="default"/>
          <w:spacing w:val="-12"/>
        </w:rPr>
        <w:t> </w:t>
      </w:r>
      <w:r>
        <w:rPr>
          <w:rFonts w:ascii="Times New Roman" w:hAnsi="Times New Roman" w:cs="Times New Roman" w:eastAsia="Times New Roman" w:hint="default"/>
        </w:rPr>
        <w:t>Islands</w:t>
      </w:r>
      <w:r>
        <w:rPr/>
        <w:t>批准成立，注册资本</w:t>
      </w:r>
      <w:r>
        <w:rPr>
          <w:rFonts w:ascii="Times New Roman" w:hAnsi="Times New Roman" w:cs="Times New Roman" w:eastAsia="Times New Roman" w:hint="default"/>
        </w:rPr>
        <w:t>0.00</w:t>
      </w:r>
      <w:r>
        <w:rPr/>
        <w:t>元。截至</w:t>
      </w:r>
      <w:r>
        <w:rPr>
          <w:rFonts w:ascii="Times New Roman" w:hAnsi="Times New Roman" w:cs="Times New Roman" w:eastAsia="Times New Roman" w:hint="default"/>
        </w:rPr>
        <w:t>2015</w:t>
      </w:r>
    </w:p>
    <w:p>
      <w:pPr>
        <w:pStyle w:val="BodyText"/>
        <w:spacing w:line="240" w:lineRule="auto" w:before="63"/>
        <w:ind w:right="0"/>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日，本公司通过子公司香港中青宝间接持股</w:t>
      </w:r>
      <w:r>
        <w:rPr>
          <w:rFonts w:ascii="Times New Roman" w:hAnsi="Times New Roman" w:cs="Times New Roman" w:eastAsia="Times New Roman" w:hint="default"/>
        </w:rPr>
        <w:t>100%</w:t>
      </w:r>
      <w:r>
        <w:rPr/>
        <w:t>。</w:t>
      </w:r>
    </w:p>
    <w:p>
      <w:pPr>
        <w:pStyle w:val="BodyText"/>
        <w:spacing w:line="300" w:lineRule="auto" w:before="63"/>
        <w:ind w:left="1574" w:right="7432"/>
        <w:jc w:val="left"/>
      </w:pPr>
      <w:r>
        <w:rPr>
          <w:rFonts w:ascii="Times New Roman" w:hAnsi="Times New Roman" w:cs="Times New Roman" w:eastAsia="Times New Roman" w:hint="default"/>
        </w:rPr>
        <w:t>27)</w:t>
      </w:r>
      <w:r>
        <w:rPr/>
        <w:t>深圳五秒</w:t>
      </w:r>
      <w:r>
        <w:rPr>
          <w:w w:val="99"/>
        </w:rPr>
        <w:t> </w:t>
      </w:r>
      <w:r>
        <w:rPr/>
        <w:t>全称：深圳市五秒传媒科技有限公司</w:t>
      </w:r>
    </w:p>
    <w:p>
      <w:pPr>
        <w:pStyle w:val="BodyText"/>
        <w:spacing w:line="300" w:lineRule="auto" w:before="31"/>
        <w:ind w:right="0" w:firstLine="440"/>
        <w:jc w:val="left"/>
      </w:pPr>
      <w:r>
        <w:rPr/>
        <w:t>深圳五秒于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08</w:t>
      </w:r>
      <w:r>
        <w:rPr/>
        <w:t>月</w:t>
      </w:r>
      <w:r>
        <w:rPr>
          <w:rFonts w:ascii="Times New Roman" w:hAnsi="Times New Roman" w:cs="Times New Roman" w:eastAsia="Times New Roman" w:hint="default"/>
        </w:rPr>
        <w:t>14</w:t>
      </w:r>
      <w:r>
        <w:rPr/>
        <w:t>日经深圳市市场监督管理局批准成立，注册号</w:t>
      </w:r>
      <w:r>
        <w:rPr>
          <w:rFonts w:ascii="Times New Roman" w:hAnsi="Times New Roman" w:cs="Times New Roman" w:eastAsia="Times New Roman" w:hint="default"/>
        </w:rPr>
        <w:t>440301113659441</w:t>
      </w:r>
      <w:r>
        <w:rPr/>
        <w:t>，注册资本</w:t>
      </w:r>
      <w:r>
        <w:rPr>
          <w:rFonts w:ascii="Times New Roman" w:hAnsi="Times New Roman" w:cs="Times New Roman" w:eastAsia="Times New Roman" w:hint="default"/>
        </w:rPr>
        <w:t>111,111.00</w:t>
      </w:r>
      <w:r>
        <w:rPr/>
        <w:t>元，法 定代表人：游国良。截至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日，本公司直接持股</w:t>
      </w:r>
      <w:r>
        <w:rPr>
          <w:rFonts w:ascii="Times New Roman" w:hAnsi="Times New Roman" w:cs="Times New Roman" w:eastAsia="Times New Roman" w:hint="default"/>
        </w:rPr>
        <w:t>69.93%</w:t>
      </w:r>
      <w:r>
        <w:rPr/>
        <w:t>。</w:t>
      </w:r>
    </w:p>
    <w:p>
      <w:pPr>
        <w:spacing w:line="240" w:lineRule="auto" w:before="1"/>
        <w:rPr>
          <w:rFonts w:ascii="宋体" w:hAnsi="宋体" w:cs="宋体" w:eastAsia="宋体" w:hint="default"/>
          <w:sz w:val="22"/>
          <w:szCs w:val="22"/>
        </w:rPr>
      </w:pPr>
    </w:p>
    <w:p>
      <w:pPr>
        <w:pStyle w:val="Heading7"/>
        <w:spacing w:line="240" w:lineRule="auto"/>
        <w:ind w:left="1114" w:right="8609"/>
        <w:jc w:val="center"/>
        <w:rPr>
          <w:b w:val="0"/>
          <w:bCs w:val="0"/>
        </w:rPr>
      </w:pPr>
      <w:bookmarkStart w:name="(2)重要的非全资子公司" w:id="413"/>
      <w:bookmarkEnd w:id="413"/>
      <w:r>
        <w:rPr>
          <w:b w:val="0"/>
          <w:bCs w:val="0"/>
        </w:rPr>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上海美峰</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-6,555,035.13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19,460,978.71</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5,404,920.35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9,926,230.03</w:t>
            </w:r>
          </w:p>
        </w:tc>
      </w:tr>
    </w:tbl>
    <w:p>
      <w:pPr>
        <w:pStyle w:val="BodyText"/>
        <w:spacing w:line="240" w:lineRule="auto" w:before="51"/>
        <w:ind w:left="1134" w:right="0"/>
        <w:jc w:val="left"/>
      </w:pPr>
      <w:r>
        <w:rPr/>
        <w:t>子公司少数股东的持股比例不同于表决权比例的说明：无</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3)重要非全资子公司的主要财务信息" w:id="414"/>
      <w:bookmarkEnd w:id="414"/>
      <w:r>
        <w:rPr>
          <w:b w:val="0"/>
          <w:bCs w:val="0"/>
        </w:rPr>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10"/>
        <w:gridCol w:w="763"/>
        <w:gridCol w:w="736"/>
        <w:gridCol w:w="736"/>
        <w:gridCol w:w="737"/>
        <w:gridCol w:w="735"/>
        <w:gridCol w:w="736"/>
        <w:gridCol w:w="734"/>
        <w:gridCol w:w="736"/>
        <w:gridCol w:w="735"/>
        <w:gridCol w:w="737"/>
        <w:gridCol w:w="737"/>
        <w:gridCol w:w="736"/>
      </w:tblGrid>
      <w:tr>
        <w:trPr>
          <w:trHeight w:val="402" w:hRule="exact"/>
        </w:trPr>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69" w:right="78"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4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10"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7"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上海美 峰</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90,247,0</w:t>
            </w:r>
          </w:p>
          <w:p>
            <w:pPr>
              <w:pStyle w:val="TableParagraph"/>
              <w:spacing w:line="240" w:lineRule="auto" w:before="106"/>
              <w:ind w:left="331" w:right="0"/>
              <w:jc w:val="left"/>
              <w:rPr>
                <w:rFonts w:ascii="Times New Roman" w:hAnsi="Times New Roman" w:cs="Times New Roman" w:eastAsia="Times New Roman" w:hint="default"/>
                <w:sz w:val="18"/>
                <w:szCs w:val="18"/>
              </w:rPr>
            </w:pPr>
            <w:r>
              <w:rPr>
                <w:rFonts w:ascii="Times New Roman"/>
                <w:sz w:val="18"/>
              </w:rPr>
              <w:t>53.11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10,696,2</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74.41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100,943,</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327.52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28,756,1</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89.58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3,581,88</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1.40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32,338,0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70.98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131,072,</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299.98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5,098,06</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9.39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136,170,</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369.37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9,150,37</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5.59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10,037,1</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14.52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19,187,4</w:t>
            </w:r>
          </w:p>
          <w:p>
            <w:pPr>
              <w:pStyle w:val="TableParagraph"/>
              <w:spacing w:line="240" w:lineRule="auto" w:before="106"/>
              <w:ind w:left="304" w:right="0"/>
              <w:jc w:val="left"/>
              <w:rPr>
                <w:rFonts w:ascii="Times New Roman" w:hAnsi="Times New Roman" w:cs="Times New Roman" w:eastAsia="Times New Roman" w:hint="default"/>
                <w:sz w:val="18"/>
                <w:szCs w:val="18"/>
              </w:rPr>
            </w:pPr>
            <w:r>
              <w:rPr>
                <w:rFonts w:ascii="Times New Roman"/>
                <w:sz w:val="18"/>
              </w:rPr>
              <w:t>90.11</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深圳苏 摩</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21,906,0</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39.98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1,434,18</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3.77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23,340,2</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23.75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2,872,96</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7.86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209,643.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3,082,61</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1.45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59,702,7</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27.14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138,085.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59,840,8</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12.48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26,170,2</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53.67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943,396.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27,113,6</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49.87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51"/>
        <w:gridCol w:w="1271"/>
        <w:gridCol w:w="1062"/>
        <w:gridCol w:w="1066"/>
        <w:gridCol w:w="1064"/>
        <w:gridCol w:w="1063"/>
        <w:gridCol w:w="1064"/>
        <w:gridCol w:w="1063"/>
        <w:gridCol w:w="1066"/>
      </w:tblGrid>
      <w:tr>
        <w:trPr>
          <w:trHeight w:val="402" w:hRule="exact"/>
        </w:trPr>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30" w:right="59" w:hanging="270"/>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4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1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上海美峰</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49,727,474.15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-13,377,622.7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-13,377,622.7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9,134,747.79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128,396,027.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64,462,220.7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64,462,220.7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8,390,376.88</w:t>
            </w:r>
          </w:p>
        </w:tc>
      </w:tr>
      <w:tr>
        <w:trPr>
          <w:trHeight w:val="715"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深圳苏摩</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19,894,881.29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11,030,449.6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11,030,449.6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9,916,340.26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22,195,248.8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6,394,571.48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6,394,571.48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8,830,128.50</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4)使用企业集团资产和清偿企业集团债务的重大限制" w:id="415"/>
      <w:bookmarkEnd w:id="415"/>
      <w:r>
        <w:rPr>
          <w:b w:val="0"/>
          <w:bCs w:val="0"/>
        </w:rPr>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5)向纳入合并财务报表范围的结构化主体提供的财务支持或其他支持" w:id="416"/>
      <w:bookmarkEnd w:id="416"/>
      <w:r>
        <w:rPr>
          <w:b w:val="0"/>
          <w:bCs w:val="0"/>
        </w:rPr>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506" w:lineRule="auto"/>
        <w:ind w:right="2113"/>
        <w:jc w:val="left"/>
        <w:rPr>
          <w:b w:val="0"/>
          <w:bCs w:val="0"/>
        </w:rPr>
      </w:pPr>
      <w:bookmarkStart w:name="2、在子公司的所有者权益份额发生变化且仍控制子公司的交易" w:id="417"/>
      <w:bookmarkEnd w:id="417"/>
      <w:r>
        <w:rPr>
          <w:b w:val="0"/>
          <w:bCs w:val="0"/>
        </w:rPr>
      </w:r>
      <w:r>
        <w:rPr>
          <w:rFonts w:ascii="Times New Roman" w:hAnsi="Times New Roman" w:cs="Times New Roman" w:eastAsia="Times New Roman" w:hint="default"/>
          <w:w w:val="95"/>
        </w:rPr>
        <w:t>2</w:t>
      </w:r>
      <w:r>
        <w:rPr>
          <w:w w:val="95"/>
        </w:rPr>
        <w:t>、在子公司的所有者权益份额发生变化且仍控制子公司的交易</w:t>
      </w:r>
      <w:r>
        <w:rPr>
          <w:spacing w:val="82"/>
          <w:w w:val="95"/>
        </w:rPr>
        <w:t> </w:t>
      </w:r>
      <w:r>
        <w:rPr>
          <w:spacing w:val="82"/>
          <w:w w:val="95"/>
        </w:rPr>
      </w:r>
      <w:bookmarkStart w:name="(1)在子公司所有者权益份额发生变化的情况说明" w:id="418"/>
      <w:bookmarkEnd w:id="418"/>
      <w:r>
        <w:rPr>
          <w:spacing w:val="82"/>
          <w:w w:val="95"/>
        </w:rPr>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3"/>
        <w:rPr>
          <w:rFonts w:ascii="宋体" w:hAnsi="宋体" w:cs="宋体" w:eastAsia="宋体" w:hint="default"/>
          <w:b/>
          <w:bCs/>
          <w:sz w:val="5"/>
          <w:szCs w:val="5"/>
        </w:rPr>
      </w:pPr>
    </w:p>
    <w:tbl>
      <w:tblPr>
        <w:tblW w:w="0" w:type="auto"/>
        <w:jc w:val="left"/>
        <w:tblInd w:w="1129" w:type="dxa"/>
        <w:tblLayout w:type="fixed"/>
        <w:tblCellMar>
          <w:top w:w="0" w:type="dxa"/>
          <w:left w:w="0" w:type="dxa"/>
          <w:bottom w:w="0" w:type="dxa"/>
          <w:right w:w="0" w:type="dxa"/>
        </w:tblCellMar>
        <w:tblLook w:val="01E0"/>
      </w:tblPr>
      <w:tblGrid>
        <w:gridCol w:w="2182"/>
        <w:gridCol w:w="1636"/>
        <w:gridCol w:w="1919"/>
        <w:gridCol w:w="2987"/>
      </w:tblGrid>
      <w:tr>
        <w:trPr>
          <w:trHeight w:val="342" w:hRule="exact"/>
        </w:trPr>
        <w:tc>
          <w:tcPr>
            <w:tcW w:w="2182" w:type="dxa"/>
            <w:vMerge w:val="restart"/>
            <w:tcBorders>
              <w:top w:val="single" w:sz="4" w:space="0" w:color="000000"/>
              <w:left w:val="single" w:sz="4" w:space="0" w:color="000000"/>
              <w:right w:val="single" w:sz="4" w:space="0" w:color="000000"/>
            </w:tcBorders>
          </w:tcPr>
          <w:p>
            <w:pPr>
              <w:pStyle w:val="TableParagraph"/>
              <w:spacing w:line="240" w:lineRule="auto" w:before="176"/>
              <w:ind w:left="4"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3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69" w:right="0"/>
              <w:jc w:val="left"/>
              <w:rPr>
                <w:rFonts w:ascii="宋体" w:hAnsi="宋体" w:cs="宋体" w:eastAsia="宋体" w:hint="default"/>
                <w:sz w:val="20"/>
                <w:szCs w:val="20"/>
              </w:rPr>
            </w:pPr>
            <w:r>
              <w:rPr>
                <w:rFonts w:ascii="宋体" w:hAnsi="宋体" w:cs="宋体" w:eastAsia="宋体" w:hint="default"/>
                <w:b/>
                <w:bCs/>
                <w:sz w:val="20"/>
                <w:szCs w:val="20"/>
              </w:rPr>
              <w:t>所有者权益份额</w:t>
            </w:r>
            <w:r>
              <w:rPr>
                <w:rFonts w:ascii="宋体" w:hAnsi="宋体" w:cs="宋体" w:eastAsia="宋体" w:hint="default"/>
                <w:sz w:val="20"/>
                <w:szCs w:val="20"/>
              </w:rPr>
            </w:r>
          </w:p>
        </w:tc>
        <w:tc>
          <w:tcPr>
            <w:tcW w:w="2987" w:type="dxa"/>
            <w:vMerge w:val="restart"/>
            <w:tcBorders>
              <w:top w:val="single" w:sz="4" w:space="0" w:color="000000"/>
              <w:left w:val="single" w:sz="4" w:space="0" w:color="000000"/>
              <w:right w:val="single" w:sz="4" w:space="0" w:color="000000"/>
            </w:tcBorders>
          </w:tcPr>
          <w:p>
            <w:pPr>
              <w:pStyle w:val="TableParagraph"/>
              <w:spacing w:line="240" w:lineRule="auto" w:before="176"/>
              <w:ind w:left="4" w:right="0"/>
              <w:jc w:val="left"/>
              <w:rPr>
                <w:rFonts w:ascii="宋体" w:hAnsi="宋体" w:cs="宋体" w:eastAsia="宋体" w:hint="default"/>
                <w:sz w:val="20"/>
                <w:szCs w:val="20"/>
              </w:rPr>
            </w:pPr>
            <w:r>
              <w:rPr>
                <w:rFonts w:ascii="宋体" w:hAnsi="宋体" w:cs="宋体" w:eastAsia="宋体" w:hint="default"/>
                <w:b/>
                <w:bCs/>
                <w:sz w:val="20"/>
                <w:szCs w:val="20"/>
              </w:rPr>
              <w:t>变化原因</w:t>
            </w:r>
            <w:r>
              <w:rPr>
                <w:rFonts w:ascii="宋体" w:hAnsi="宋体" w:cs="宋体" w:eastAsia="宋体" w:hint="default"/>
                <w:sz w:val="20"/>
                <w:szCs w:val="20"/>
              </w:rPr>
            </w:r>
          </w:p>
        </w:tc>
      </w:tr>
      <w:tr>
        <w:trPr>
          <w:trHeight w:val="342" w:hRule="exact"/>
        </w:trPr>
        <w:tc>
          <w:tcPr>
            <w:tcW w:w="2182" w:type="dxa"/>
            <w:vMerge/>
            <w:tcBorders>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11" w:right="0"/>
              <w:jc w:val="left"/>
              <w:rPr>
                <w:rFonts w:ascii="宋体" w:hAnsi="宋体" w:cs="宋体" w:eastAsia="宋体" w:hint="default"/>
                <w:sz w:val="20"/>
                <w:szCs w:val="20"/>
              </w:rPr>
            </w:pPr>
            <w:r>
              <w:rPr>
                <w:rFonts w:ascii="宋体" w:hAnsi="宋体" w:cs="宋体" w:eastAsia="宋体" w:hint="default"/>
                <w:b/>
                <w:bCs/>
                <w:sz w:val="20"/>
                <w:szCs w:val="20"/>
              </w:rPr>
              <w:t>变化前</w:t>
            </w:r>
            <w:r>
              <w:rPr>
                <w:rFonts w:ascii="宋体" w:hAnsi="宋体" w:cs="宋体" w:eastAsia="宋体" w:hint="default"/>
                <w:sz w:val="20"/>
                <w:szCs w:val="20"/>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变化后</w:t>
            </w:r>
            <w:r>
              <w:rPr>
                <w:rFonts w:ascii="宋体" w:hAnsi="宋体" w:cs="宋体" w:eastAsia="宋体" w:hint="default"/>
                <w:sz w:val="20"/>
                <w:szCs w:val="20"/>
              </w:rPr>
            </w:r>
          </w:p>
        </w:tc>
        <w:tc>
          <w:tcPr>
            <w:tcW w:w="2987" w:type="dxa"/>
            <w:vMerge/>
            <w:tcBorders>
              <w:left w:val="single" w:sz="4" w:space="0" w:color="000000"/>
              <w:bottom w:val="single" w:sz="4" w:space="0" w:color="000000"/>
              <w:right w:val="single" w:sz="4" w:space="0" w:color="000000"/>
            </w:tcBorders>
          </w:tcPr>
          <w:p>
            <w:pPr/>
          </w:p>
        </w:tc>
      </w:tr>
      <w:tr>
        <w:trPr>
          <w:trHeight w:val="342"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深圳创想时空</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51.00%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100.00%</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收购少数股权</w:t>
            </w:r>
          </w:p>
        </w:tc>
      </w:tr>
      <w:tr>
        <w:trPr>
          <w:trHeight w:val="342"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深圳幻游</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51.00%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100.00%</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收购少数股权</w:t>
            </w:r>
          </w:p>
        </w:tc>
      </w:tr>
      <w:tr>
        <w:trPr>
          <w:trHeight w:val="342"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上海美峰</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51.00%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71.63%</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少数股东无偿赠送</w:t>
            </w:r>
          </w:p>
        </w:tc>
      </w:tr>
      <w:tr>
        <w:trPr>
          <w:trHeight w:val="342"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深圳五秒</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77.00%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69.93%</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少数股权增资，股权稀释</w:t>
            </w:r>
          </w:p>
        </w:tc>
      </w:tr>
    </w:tbl>
    <w:p>
      <w:pPr>
        <w:spacing w:line="240" w:lineRule="auto" w:before="2"/>
        <w:rPr>
          <w:rFonts w:ascii="宋体" w:hAnsi="宋体" w:cs="宋体" w:eastAsia="宋体" w:hint="default"/>
          <w:b/>
          <w:bCs/>
          <w:sz w:val="19"/>
          <w:szCs w:val="19"/>
        </w:rPr>
      </w:pPr>
    </w:p>
    <w:p>
      <w:pPr>
        <w:pStyle w:val="Heading7"/>
        <w:spacing w:line="240" w:lineRule="auto" w:before="35"/>
        <w:ind w:right="0"/>
        <w:jc w:val="left"/>
        <w:rPr>
          <w:b w:val="0"/>
          <w:bCs w:val="0"/>
        </w:rPr>
      </w:pPr>
      <w:bookmarkStart w:name="(2)交易对于少数股东权益及归属于母公司所有者权益的影响" w:id="419"/>
      <w:bookmarkEnd w:id="419"/>
      <w:r>
        <w:rPr>
          <w:b w:val="0"/>
          <w:bCs w:val="0"/>
        </w:rPr>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17,114,441.60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-17,114,436.60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-17,114,436.60</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1129" w:type="dxa"/>
        <w:tblLayout w:type="fixed"/>
        <w:tblCellMar>
          <w:top w:w="0" w:type="dxa"/>
          <w:left w:w="0" w:type="dxa"/>
          <w:bottom w:w="0" w:type="dxa"/>
          <w:right w:w="0" w:type="dxa"/>
        </w:tblCellMar>
        <w:tblLook w:val="01E0"/>
      </w:tblPr>
      <w:tblGrid>
        <w:gridCol w:w="1242"/>
        <w:gridCol w:w="1316"/>
        <w:gridCol w:w="1216"/>
        <w:gridCol w:w="1616"/>
        <w:gridCol w:w="1516"/>
        <w:gridCol w:w="1617"/>
      </w:tblGrid>
      <w:tr>
        <w:trPr>
          <w:trHeight w:val="342"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深圳创想时空</w:t>
            </w:r>
            <w:r>
              <w:rPr>
                <w:rFonts w:ascii="宋体" w:hAnsi="宋体" w:cs="宋体" w:eastAsia="宋体" w:hint="default"/>
                <w:sz w:val="20"/>
                <w:szCs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深圳幻游</w:t>
            </w:r>
            <w:r>
              <w:rPr>
                <w:rFonts w:ascii="宋体" w:hAnsi="宋体" w:cs="宋体" w:eastAsia="宋体" w:hint="default"/>
                <w:sz w:val="20"/>
                <w:szCs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上海美峰</w:t>
            </w:r>
            <w:r>
              <w:rPr>
                <w:rFonts w:ascii="宋体" w:hAnsi="宋体" w:cs="宋体" w:eastAsia="宋体" w:hint="default"/>
                <w:sz w:val="20"/>
                <w:szCs w:val="20"/>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深圳五秒</w:t>
            </w:r>
            <w:r>
              <w:rPr>
                <w:rFonts w:ascii="宋体" w:hAnsi="宋体" w:cs="宋体" w:eastAsia="宋体" w:hint="default"/>
                <w:sz w:val="20"/>
                <w:szCs w:val="20"/>
              </w:rPr>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42"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3.00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w w:val="100"/>
                <w:sz w:val="20"/>
              </w:rPr>
              <w:t>-</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w w:val="100"/>
                <w:sz w:val="20"/>
              </w:rPr>
              <w:t>-</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w w:val="100"/>
                <w:sz w:val="20"/>
              </w:rPr>
              <w:t>5</w:t>
            </w:r>
          </w:p>
        </w:tc>
      </w:tr>
      <w:tr>
        <w:trPr>
          <w:trHeight w:val="65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
              <w:ind w:left="4" w:right="2"/>
              <w:jc w:val="left"/>
              <w:rPr>
                <w:rFonts w:ascii="宋体" w:hAnsi="宋体" w:cs="宋体" w:eastAsia="宋体" w:hint="default"/>
                <w:sz w:val="20"/>
                <w:szCs w:val="20"/>
              </w:rPr>
            </w:pPr>
            <w:r>
              <w:rPr>
                <w:rFonts w:ascii="宋体" w:hAnsi="宋体" w:cs="宋体" w:eastAsia="宋体" w:hint="default"/>
                <w:sz w:val="20"/>
                <w:szCs w:val="20"/>
              </w:rPr>
              <w:t>购</w:t>
            </w:r>
            <w:r>
              <w:rPr>
                <w:rFonts w:ascii="宋体" w:hAnsi="宋体" w:cs="宋体" w:eastAsia="宋体" w:hint="default"/>
                <w:spacing w:val="-67"/>
                <w:sz w:val="20"/>
                <w:szCs w:val="20"/>
              </w:rPr>
              <w:t> </w:t>
            </w:r>
            <w:r>
              <w:rPr>
                <w:rFonts w:ascii="宋体" w:hAnsi="宋体" w:cs="宋体" w:eastAsia="宋体" w:hint="default"/>
                <w:sz w:val="20"/>
                <w:szCs w:val="20"/>
              </w:rPr>
              <w:t>买</w:t>
            </w:r>
            <w:r>
              <w:rPr>
                <w:rFonts w:ascii="宋体" w:hAnsi="宋体" w:cs="宋体" w:eastAsia="宋体" w:hint="default"/>
                <w:spacing w:val="-68"/>
                <w:sz w:val="20"/>
                <w:szCs w:val="20"/>
              </w:rPr>
              <w:t> </w:t>
            </w:r>
            <w:r>
              <w:rPr>
                <w:rFonts w:ascii="宋体" w:hAnsi="宋体" w:cs="宋体" w:eastAsia="宋体" w:hint="default"/>
                <w:sz w:val="20"/>
                <w:szCs w:val="20"/>
              </w:rPr>
              <w:t>成</w:t>
            </w:r>
            <w:r>
              <w:rPr>
                <w:rFonts w:ascii="宋体" w:hAnsi="宋体" w:cs="宋体" w:eastAsia="宋体" w:hint="default"/>
                <w:spacing w:val="-67"/>
                <w:sz w:val="20"/>
                <w:szCs w:val="20"/>
              </w:rPr>
              <w:t> </w:t>
            </w:r>
            <w:r>
              <w:rPr>
                <w:rFonts w:ascii="宋体" w:hAnsi="宋体" w:cs="宋体" w:eastAsia="宋体" w:hint="default"/>
                <w:sz w:val="20"/>
                <w:szCs w:val="20"/>
              </w:rPr>
              <w:t>本</w:t>
            </w:r>
            <w:r>
              <w:rPr>
                <w:rFonts w:ascii="宋体" w:hAnsi="宋体" w:cs="宋体" w:eastAsia="宋体" w:hint="default"/>
                <w:spacing w:val="-66"/>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处</w:t>
            </w:r>
            <w:r>
              <w:rPr>
                <w:rFonts w:ascii="宋体" w:hAnsi="宋体" w:cs="宋体" w:eastAsia="宋体" w:hint="default"/>
                <w:w w:val="100"/>
                <w:sz w:val="20"/>
                <w:szCs w:val="20"/>
              </w:rPr>
              <w:t> </w:t>
            </w:r>
            <w:r>
              <w:rPr>
                <w:rFonts w:ascii="宋体" w:hAnsi="宋体" w:cs="宋体" w:eastAsia="宋体" w:hint="default"/>
                <w:sz w:val="20"/>
                <w:szCs w:val="20"/>
              </w:rPr>
              <w:t>置对价合计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3.00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100"/>
                <w:sz w:val="20"/>
              </w:rPr>
              <w:t>-</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100"/>
                <w:sz w:val="20"/>
              </w:rPr>
              <w:t>-</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100"/>
                <w:sz w:val="20"/>
              </w:rPr>
              <w:t>5</w:t>
            </w:r>
          </w:p>
        </w:tc>
      </w:tr>
      <w:tr>
        <w:trPr>
          <w:trHeight w:val="1278"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5"/>
              <w:ind w:left="4" w:right="2"/>
              <w:jc w:val="both"/>
              <w:rPr>
                <w:rFonts w:ascii="宋体" w:hAnsi="宋体" w:cs="宋体" w:eastAsia="宋体" w:hint="default"/>
                <w:sz w:val="20"/>
                <w:szCs w:val="20"/>
              </w:rPr>
            </w:pPr>
            <w:r>
              <w:rPr>
                <w:rFonts w:ascii="宋体" w:hAnsi="宋体" w:cs="宋体" w:eastAsia="宋体" w:hint="default"/>
                <w:sz w:val="20"/>
                <w:szCs w:val="20"/>
              </w:rPr>
              <w:t>减</w:t>
            </w:r>
            <w:r>
              <w:rPr>
                <w:rFonts w:ascii="宋体" w:hAnsi="宋体" w:cs="宋体" w:eastAsia="宋体" w:hint="default"/>
                <w:spacing w:val="-67"/>
                <w:sz w:val="20"/>
                <w:szCs w:val="20"/>
              </w:rPr>
              <w:t> </w:t>
            </w:r>
            <w:r>
              <w:rPr>
                <w:rFonts w:ascii="宋体" w:hAnsi="宋体" w:cs="宋体" w:eastAsia="宋体" w:hint="default"/>
                <w:sz w:val="20"/>
                <w:szCs w:val="20"/>
              </w:rPr>
              <w:t>：</w:t>
            </w:r>
            <w:r>
              <w:rPr>
                <w:rFonts w:ascii="宋体" w:hAnsi="宋体" w:cs="宋体" w:eastAsia="宋体" w:hint="default"/>
                <w:spacing w:val="-68"/>
                <w:sz w:val="20"/>
                <w:szCs w:val="20"/>
              </w:rPr>
              <w:t> </w:t>
            </w:r>
            <w:r>
              <w:rPr>
                <w:rFonts w:ascii="宋体" w:hAnsi="宋体" w:cs="宋体" w:eastAsia="宋体" w:hint="default"/>
                <w:sz w:val="20"/>
                <w:szCs w:val="20"/>
              </w:rPr>
              <w:t>按</w:t>
            </w:r>
            <w:r>
              <w:rPr>
                <w:rFonts w:ascii="宋体" w:hAnsi="宋体" w:cs="宋体" w:eastAsia="宋体" w:hint="default"/>
                <w:spacing w:val="-67"/>
                <w:sz w:val="20"/>
                <w:szCs w:val="20"/>
              </w:rPr>
              <w:t> </w:t>
            </w:r>
            <w:r>
              <w:rPr>
                <w:rFonts w:ascii="宋体" w:hAnsi="宋体" w:cs="宋体" w:eastAsia="宋体" w:hint="default"/>
                <w:sz w:val="20"/>
                <w:szCs w:val="20"/>
              </w:rPr>
              <w:t>取</w:t>
            </w:r>
            <w:r>
              <w:rPr>
                <w:rFonts w:ascii="宋体" w:hAnsi="宋体" w:cs="宋体" w:eastAsia="宋体" w:hint="default"/>
                <w:spacing w:val="-68"/>
                <w:sz w:val="20"/>
                <w:szCs w:val="20"/>
              </w:rPr>
              <w:t> </w:t>
            </w:r>
            <w:r>
              <w:rPr>
                <w:rFonts w:ascii="宋体" w:hAnsi="宋体" w:cs="宋体" w:eastAsia="宋体" w:hint="default"/>
                <w:sz w:val="20"/>
                <w:szCs w:val="20"/>
              </w:rPr>
              <w:t>得</w:t>
            </w:r>
            <w:r>
              <w:rPr>
                <w:rFonts w:ascii="宋体" w:hAnsi="宋体" w:cs="宋体" w:eastAsia="宋体" w:hint="default"/>
                <w:spacing w:val="-66"/>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w w:val="100"/>
                <w:sz w:val="20"/>
                <w:szCs w:val="20"/>
              </w:rPr>
              <w:t> </w:t>
            </w:r>
            <w:r>
              <w:rPr>
                <w:rFonts w:ascii="宋体" w:hAnsi="宋体" w:cs="宋体" w:eastAsia="宋体" w:hint="default"/>
                <w:spacing w:val="2"/>
                <w:sz w:val="20"/>
                <w:szCs w:val="20"/>
              </w:rPr>
              <w:t>处置的股权比</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2"/>
                <w:sz w:val="20"/>
                <w:szCs w:val="20"/>
              </w:rPr>
              <w:t>例计算的子公</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司净资产份额</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153,782.83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15,631.77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14,155,597.00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2,789,430.00</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17,114,441.60</w:t>
            </w:r>
          </w:p>
        </w:tc>
      </w:tr>
      <w:tr>
        <w:trPr>
          <w:trHeight w:val="342"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差额</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-153,780.83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-15,628.77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-14,155,597.00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-2,789,430.00</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-17,114,436.60</w:t>
            </w:r>
          </w:p>
        </w:tc>
      </w:tr>
      <w:tr>
        <w:trPr>
          <w:trHeight w:val="65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4"/>
              <w:jc w:val="left"/>
              <w:rPr>
                <w:rFonts w:ascii="宋体" w:hAnsi="宋体" w:cs="宋体" w:eastAsia="宋体" w:hint="default"/>
                <w:sz w:val="20"/>
                <w:szCs w:val="20"/>
              </w:rPr>
            </w:pPr>
            <w:r>
              <w:rPr>
                <w:rFonts w:ascii="宋体" w:hAnsi="宋体" w:cs="宋体" w:eastAsia="宋体" w:hint="default"/>
                <w:spacing w:val="2"/>
                <w:sz w:val="20"/>
                <w:szCs w:val="20"/>
              </w:rPr>
              <w:t>其中：调整资</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本公积</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-153,780.83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-15,628.77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-14,155,597.00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-2,789,430.00</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sz w:val="20"/>
              </w:rPr>
              <w:t>-17,114,436.60</w:t>
            </w:r>
          </w:p>
        </w:tc>
      </w:tr>
      <w:tr>
        <w:trPr>
          <w:trHeight w:val="342"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调整盈余公积</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w w:val="100"/>
                <w:sz w:val="20"/>
              </w:rPr>
              <w:t>-</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w w:val="100"/>
                <w:sz w:val="20"/>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w w:val="100"/>
                <w:sz w:val="20"/>
              </w:rPr>
              <w:t>-</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w w:val="100"/>
                <w:sz w:val="20"/>
              </w:rPr>
              <w:t>-</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w w:val="100"/>
                <w:sz w:val="20"/>
              </w:rPr>
              <w:t>0</w:t>
            </w:r>
          </w:p>
        </w:tc>
      </w:tr>
      <w:tr>
        <w:trPr>
          <w:trHeight w:val="655"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4"/>
              <w:jc w:val="left"/>
              <w:rPr>
                <w:rFonts w:ascii="宋体" w:hAnsi="宋体" w:cs="宋体" w:eastAsia="宋体" w:hint="default"/>
                <w:sz w:val="20"/>
                <w:szCs w:val="20"/>
              </w:rPr>
            </w:pPr>
            <w:r>
              <w:rPr>
                <w:rFonts w:ascii="宋体" w:hAnsi="宋体" w:cs="宋体" w:eastAsia="宋体" w:hint="default"/>
                <w:spacing w:val="2"/>
                <w:sz w:val="20"/>
                <w:szCs w:val="20"/>
              </w:rPr>
              <w:t>调整未分配利</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润</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100"/>
                <w:sz w:val="20"/>
              </w:rPr>
              <w:t>-</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100"/>
                <w:sz w:val="20"/>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100"/>
                <w:sz w:val="20"/>
              </w:rPr>
              <w:t>-</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100"/>
                <w:sz w:val="20"/>
              </w:rPr>
              <w:t>-</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left"/>
              <w:rPr>
                <w:rFonts w:ascii="Times New Roman" w:hAnsi="Times New Roman" w:cs="Times New Roman" w:eastAsia="Times New Roman" w:hint="default"/>
                <w:sz w:val="20"/>
                <w:szCs w:val="20"/>
              </w:rPr>
            </w:pPr>
            <w:r>
              <w:rPr>
                <w:rFonts w:ascii="Times New Roman"/>
                <w:w w:val="100"/>
                <w:sz w:val="20"/>
              </w:rPr>
              <w:t>0</w:t>
            </w:r>
          </w:p>
        </w:tc>
      </w:tr>
    </w:tbl>
    <w:p>
      <w:pPr>
        <w:spacing w:line="240" w:lineRule="auto" w:before="2"/>
        <w:rPr>
          <w:rFonts w:ascii="宋体" w:hAnsi="宋体" w:cs="宋体" w:eastAsia="宋体" w:hint="default"/>
          <w:sz w:val="19"/>
          <w:szCs w:val="19"/>
        </w:rPr>
      </w:pPr>
    </w:p>
    <w:p>
      <w:pPr>
        <w:pStyle w:val="Heading7"/>
        <w:spacing w:line="506" w:lineRule="auto" w:before="35"/>
        <w:ind w:right="7485"/>
        <w:jc w:val="left"/>
        <w:rPr>
          <w:b w:val="0"/>
          <w:bCs w:val="0"/>
        </w:rPr>
      </w:pPr>
      <w:bookmarkStart w:name="3、在合营安排或联营企业中的权益" w:id="420"/>
      <w:bookmarkEnd w:id="420"/>
      <w:r>
        <w:rPr>
          <w:b w:val="0"/>
          <w:bCs w:val="0"/>
        </w:rPr>
      </w:r>
      <w:r>
        <w:rPr>
          <w:rFonts w:ascii="Times New Roman" w:hAnsi="Times New Roman" w:cs="Times New Roman" w:eastAsia="Times New Roman" w:hint="default"/>
        </w:rPr>
        <w:t>3</w:t>
      </w:r>
      <w:r>
        <w:rPr/>
        <w:t>、在合营安排或联营企业中的权益</w:t>
      </w:r>
      <w:r>
        <w:rPr>
          <w:w w:val="99"/>
        </w:rPr>
        <w:t> </w:t>
      </w:r>
      <w:bookmarkStart w:name="(1)重要的合营企业或联营企业" w:id="421"/>
      <w:bookmarkEnd w:id="421"/>
      <w:r>
        <w:rPr>
          <w:w w:val="99"/>
        </w:rPr>
      </w:r>
      <w:r>
        <w:rPr>
          <w:rFonts w:ascii="Times New Roman" w:hAnsi="Times New Roman" w:cs="Times New Roman" w:eastAsia="Times New Roman" w:hint="default"/>
        </w:rPr>
        <w:t>(1)</w:t>
      </w:r>
      <w:r>
        <w:rPr/>
        <w:t>重要的合营企业或联营企业</w:t>
      </w:r>
      <w:r>
        <w:rPr>
          <w:b w:val="0"/>
          <w:bCs w:val="0"/>
        </w:rPr>
      </w:r>
    </w:p>
    <w:p>
      <w:pPr>
        <w:pStyle w:val="BodyText"/>
        <w:spacing w:line="240" w:lineRule="auto" w:before="90"/>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2)重要合营企业的主要财务信息" w:id="422"/>
      <w:bookmarkEnd w:id="422"/>
      <w:r>
        <w:rPr>
          <w:b w:val="0"/>
          <w:bCs w:val="0"/>
        </w:rPr>
      </w:r>
      <w:r>
        <w:rPr>
          <w:rFonts w:ascii="Times New Roman" w:hAnsi="Times New Roman" w:cs="Times New Roman" w:eastAsia="Times New Roman" w:hint="default"/>
        </w:rPr>
        <w:t>(2)</w:t>
      </w:r>
      <w:r>
        <w:rPr/>
        <w:t>重要合营企业的主要财务信息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3)重要联营企业的主要财务信息" w:id="423"/>
      <w:bookmarkEnd w:id="423"/>
      <w:r>
        <w:rPr>
          <w:b w:val="0"/>
          <w:bCs w:val="0"/>
        </w:rPr>
      </w:r>
      <w:r>
        <w:rPr>
          <w:rFonts w:ascii="Times New Roman" w:hAnsi="Times New Roman" w:cs="Times New Roman" w:eastAsia="Times New Roman" w:hint="default"/>
        </w:rPr>
        <w:t>(3)</w:t>
      </w:r>
      <w:r>
        <w:rPr/>
        <w:t>重要联营企业的主要财务信息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4)不重要的合营企业和联营企业的汇总财务信息" w:id="424"/>
      <w:bookmarkEnd w:id="424"/>
      <w:r>
        <w:rPr>
          <w:b w:val="0"/>
          <w:bCs w:val="0"/>
        </w:rPr>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35,205,641.15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-3,581,358.85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-3,581,358.85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8,610,581.18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777,039.14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-1,606,457.96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-74,653.18</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-1,606,457.96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-74,653.18</w:t>
            </w:r>
            <w:r>
              <w:rPr>
                <w:rFonts w:ascii="Times New Roman"/>
                <w:sz w:val="18"/>
              </w:rPr>
            </w:r>
          </w:p>
        </w:tc>
      </w:tr>
    </w:tbl>
    <w:p>
      <w:pPr>
        <w:pStyle w:val="BodyText"/>
        <w:spacing w:line="240" w:lineRule="auto" w:before="51"/>
        <w:ind w:left="1134" w:right="0"/>
        <w:jc w:val="left"/>
      </w:pPr>
      <w:r>
        <w:rPr/>
        <w:t>其他说明</w:t>
      </w:r>
    </w:p>
    <w:p>
      <w:pPr>
        <w:pStyle w:val="BodyText"/>
        <w:spacing w:line="300" w:lineRule="auto" w:before="116"/>
        <w:ind w:right="1130" w:firstLine="440"/>
        <w:jc w:val="both"/>
      </w:pPr>
      <w:r>
        <w:rPr>
          <w:rFonts w:ascii="Times New Roman" w:hAnsi="Times New Roman" w:cs="Times New Roman" w:eastAsia="Times New Roman" w:hint="default"/>
        </w:rPr>
        <w:t>1)</w:t>
      </w:r>
      <w:r>
        <w:rPr/>
        <w:t>深圳游嘻宝创业投资企业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深圳游嘻宝</w:t>
      </w:r>
      <w:r>
        <w:rPr>
          <w:rFonts w:ascii="Times New Roman" w:hAnsi="Times New Roman" w:cs="Times New Roman" w:eastAsia="Times New Roman" w:hint="default"/>
        </w:rPr>
        <w:t>”</w:t>
      </w:r>
      <w:r>
        <w:rPr>
          <w:rFonts w:ascii="Times New Roman" w:hAnsi="Times New Roman" w:cs="Times New Roman" w:eastAsia="Times New Roman" w:hint="default"/>
        </w:rPr>
        <w:t>)</w:t>
      </w:r>
      <w:r>
        <w:rPr/>
        <w:t>系本公司全资孙公司深圳乔戈里与王磊共同出资设立，</w:t>
      </w:r>
      <w:r>
        <w:rPr>
          <w:w w:val="99"/>
        </w:rPr>
        <w:t> </w:t>
      </w:r>
      <w:r>
        <w:rPr/>
        <w:t>深圳乔戈里出资比例为</w:t>
      </w:r>
      <w:r>
        <w:rPr>
          <w:rFonts w:ascii="Times New Roman" w:hAnsi="Times New Roman" w:cs="Times New Roman" w:eastAsia="Times New Roman" w:hint="default"/>
        </w:rPr>
        <w:t>98.40%</w:t>
      </w:r>
      <w:r>
        <w:rPr/>
        <w:t>。根据合伙协议，合伙人对合伙企业有关事项作出决议，实行合伙人一人一票并经全体合伙</w:t>
      </w:r>
      <w:r>
        <w:rPr>
          <w:spacing w:val="-22"/>
        </w:rPr>
        <w:t> </w:t>
      </w:r>
      <w:r>
        <w:rPr>
          <w:spacing w:val="-22"/>
        </w:rPr>
      </w:r>
      <w:r>
        <w:rPr/>
        <w:t>人过半数通过的表决方法。</w:t>
      </w:r>
    </w:p>
    <w:p>
      <w:pPr>
        <w:pStyle w:val="BodyText"/>
        <w:spacing w:line="300" w:lineRule="auto" w:before="31"/>
        <w:ind w:right="1130" w:firstLine="440"/>
        <w:jc w:val="both"/>
      </w:pPr>
      <w:r>
        <w:rPr>
          <w:rFonts w:ascii="Times New Roman" w:hAnsi="Times New Roman" w:cs="Times New Roman" w:eastAsia="Times New Roman" w:hint="default"/>
        </w:rPr>
        <w:t>2)2010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日，本公司全资子公司深圳卓页与上海顶势网络科技有限公司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上海顶势</w:t>
      </w:r>
      <w:r>
        <w:rPr>
          <w:rFonts w:ascii="Times New Roman" w:hAnsi="Times New Roman" w:cs="Times New Roman" w:eastAsia="Times New Roman" w:hint="default"/>
        </w:rPr>
        <w:t>”</w:t>
      </w:r>
      <w:r>
        <w:rPr>
          <w:rFonts w:ascii="Times New Roman" w:hAnsi="Times New Roman" w:cs="Times New Roman" w:eastAsia="Times New Roman" w:hint="default"/>
        </w:rPr>
        <w:t>)</w:t>
      </w:r>
      <w:r>
        <w:rPr/>
        <w:t>、高磊、杨华共同</w:t>
      </w:r>
      <w:r>
        <w:rPr>
          <w:w w:val="99"/>
        </w:rPr>
        <w:t> </w:t>
      </w:r>
      <w:r>
        <w:rPr/>
        <w:t>签订投资协议，深圳卓页公司向上海顶势增资人民币</w:t>
      </w:r>
      <w:r>
        <w:rPr>
          <w:rFonts w:ascii="Times New Roman" w:hAnsi="Times New Roman" w:cs="Times New Roman" w:eastAsia="Times New Roman" w:hint="default"/>
        </w:rPr>
        <w:t>41.00</w:t>
      </w:r>
      <w:r>
        <w:rPr/>
        <w:t>万元，完成增资后持有上海顶势</w:t>
      </w:r>
      <w:r>
        <w:rPr>
          <w:rFonts w:ascii="Times New Roman" w:hAnsi="Times New Roman" w:cs="Times New Roman" w:eastAsia="Times New Roman" w:hint="default"/>
        </w:rPr>
        <w:t>45.00%</w:t>
      </w:r>
      <w:r>
        <w:rPr/>
        <w:t>的股权，高磊、杨华合计</w:t>
      </w:r>
      <w:r>
        <w:rPr>
          <w:spacing w:val="-58"/>
        </w:rPr>
        <w:t> </w:t>
      </w:r>
      <w:r>
        <w:rPr>
          <w:spacing w:val="-58"/>
        </w:rPr>
      </w:r>
      <w:r>
        <w:rPr/>
        <w:t>持有</w:t>
      </w:r>
      <w:r>
        <w:rPr>
          <w:rFonts w:ascii="Times New Roman" w:hAnsi="Times New Roman" w:cs="Times New Roman" w:eastAsia="Times New Roman" w:hint="default"/>
        </w:rPr>
        <w:t>55.00%</w:t>
      </w:r>
      <w:r>
        <w:rPr/>
        <w:t>的股权。</w:t>
      </w:r>
    </w:p>
    <w:p>
      <w:pPr>
        <w:pStyle w:val="BodyText"/>
        <w:spacing w:line="300" w:lineRule="auto" w:before="13"/>
        <w:ind w:left="1134" w:right="1179" w:firstLine="440"/>
        <w:jc w:val="both"/>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日，上海顶势净资产为</w:t>
      </w:r>
      <w:r>
        <w:rPr>
          <w:rFonts w:ascii="Times New Roman" w:hAnsi="Times New Roman" w:cs="Times New Roman" w:eastAsia="Times New Roman" w:hint="default"/>
        </w:rPr>
        <w:t>-424,359.51</w:t>
      </w:r>
      <w:r>
        <w:rPr/>
        <w:t>元，本公司已经对该公司的长期股权投资账面价值减记至零，本 公司累计未确认该项投资亏损为人民币</w:t>
      </w:r>
      <w:r>
        <w:rPr>
          <w:rFonts w:ascii="Times New Roman" w:hAnsi="Times New Roman" w:cs="Times New Roman" w:eastAsia="Times New Roman" w:hint="default"/>
        </w:rPr>
        <w:t>210,286.43</w:t>
      </w:r>
      <w:r>
        <w:rPr/>
        <w:t>元。</w:t>
      </w:r>
    </w:p>
    <w:p>
      <w:pPr>
        <w:pStyle w:val="BodyText"/>
        <w:spacing w:line="300" w:lineRule="auto" w:before="13"/>
        <w:ind w:left="1134" w:right="1132" w:firstLine="440"/>
        <w:jc w:val="both"/>
      </w:pPr>
      <w:r>
        <w:rPr>
          <w:rFonts w:ascii="Times New Roman" w:hAnsi="Times New Roman" w:cs="Times New Roman" w:eastAsia="Times New Roman" w:hint="default"/>
          <w:spacing w:val="-1"/>
        </w:rPr>
        <w:t>3)2011</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20</w:t>
      </w:r>
      <w:r>
        <w:rPr>
          <w:spacing w:val="-1"/>
        </w:rPr>
        <w:t>日，本公司全资子公司深圳卓页公司与黄昱钊、唐丽霞、曾志峰、张璐共同出资在广州市设立广州卓游</w:t>
      </w:r>
      <w:r>
        <w:rPr/>
        <w:t> </w:t>
      </w:r>
      <w:r>
        <w:rPr>
          <w:spacing w:val="-1"/>
        </w:rPr>
        <w:t>网络科技有限公司</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广州卓游</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w:t>
      </w:r>
      <w:r>
        <w:rPr>
          <w:spacing w:val="-1"/>
        </w:rPr>
        <w:t>，设立时注册资本和实收资本均为人民币</w:t>
      </w:r>
      <w:r>
        <w:rPr>
          <w:rFonts w:ascii="Times New Roman" w:hAnsi="Times New Roman" w:cs="Times New Roman" w:eastAsia="Times New Roman" w:hint="default"/>
          <w:spacing w:val="-1"/>
        </w:rPr>
        <w:t>10.00</w:t>
      </w:r>
      <w:r>
        <w:rPr>
          <w:spacing w:val="-1"/>
        </w:rPr>
        <w:t>万元，其中：深圳卓页公司出资人民</w:t>
      </w:r>
      <w:r>
        <w:rPr>
          <w:spacing w:val="-82"/>
        </w:rPr>
        <w:t> </w:t>
      </w:r>
      <w:r>
        <w:rPr>
          <w:spacing w:val="-82"/>
        </w:rPr>
      </w:r>
      <w:r>
        <w:rPr/>
        <w:t>币</w:t>
      </w:r>
      <w:r>
        <w:rPr>
          <w:rFonts w:ascii="Times New Roman" w:hAnsi="Times New Roman" w:cs="Times New Roman" w:eastAsia="Times New Roman" w:hint="default"/>
        </w:rPr>
        <w:t>3.00</w:t>
      </w:r>
      <w:r>
        <w:rPr/>
        <w:t>万元，出资比例为</w:t>
      </w:r>
      <w:r>
        <w:rPr>
          <w:rFonts w:ascii="Times New Roman" w:hAnsi="Times New Roman" w:cs="Times New Roman" w:eastAsia="Times New Roman" w:hint="default"/>
        </w:rPr>
        <w:t>30.00%</w:t>
      </w:r>
      <w:r>
        <w:rPr/>
        <w:t>，黄昱钊、唐丽霞、曾志峰、张璐共出资人民币</w:t>
      </w:r>
      <w:r>
        <w:rPr>
          <w:rFonts w:ascii="Times New Roman" w:hAnsi="Times New Roman" w:cs="Times New Roman" w:eastAsia="Times New Roman" w:hint="default"/>
        </w:rPr>
        <w:t>7.00</w:t>
      </w:r>
      <w:r>
        <w:rPr/>
        <w:t>万元，出资比例为</w:t>
      </w:r>
      <w:r>
        <w:rPr>
          <w:rFonts w:ascii="Times New Roman" w:hAnsi="Times New Roman" w:cs="Times New Roman" w:eastAsia="Times New Roman" w:hint="default"/>
        </w:rPr>
        <w:t>70.00%</w:t>
      </w:r>
      <w:r>
        <w:rPr/>
        <w:t>。</w:t>
      </w:r>
    </w:p>
    <w:p>
      <w:pPr>
        <w:pStyle w:val="BodyText"/>
        <w:spacing w:line="300" w:lineRule="auto" w:before="13"/>
        <w:ind w:left="1134" w:right="1131" w:firstLine="440"/>
        <w:jc w:val="both"/>
      </w:pPr>
      <w:r>
        <w:rPr>
          <w:spacing w:val="-2"/>
        </w:rPr>
        <w:t>广州卓游目前已经停止经营，截至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日，净资产为</w:t>
      </w:r>
      <w:r>
        <w:rPr>
          <w:rFonts w:ascii="Times New Roman" w:hAnsi="Times New Roman" w:cs="Times New Roman" w:eastAsia="Times New Roman" w:hint="default"/>
          <w:spacing w:val="-2"/>
        </w:rPr>
        <w:t>-2,400,799.78</w:t>
      </w:r>
      <w:r>
        <w:rPr>
          <w:spacing w:val="-2"/>
        </w:rPr>
        <w:t>元，本公司已经对该公司的长期股权投资账</w:t>
      </w:r>
      <w:r>
        <w:rPr/>
        <w:t> 面价值减记至零，本公司累计未确认该项投资亏损为人民币</w:t>
      </w:r>
      <w:r>
        <w:rPr>
          <w:rFonts w:ascii="Times New Roman" w:hAnsi="Times New Roman" w:cs="Times New Roman" w:eastAsia="Times New Roman" w:hint="default"/>
        </w:rPr>
        <w:t>750,239.93</w:t>
      </w:r>
      <w:r>
        <w:rPr/>
        <w:t>元。</w:t>
      </w:r>
    </w:p>
    <w:p>
      <w:pPr>
        <w:pStyle w:val="BodyText"/>
        <w:spacing w:line="300" w:lineRule="auto" w:before="13"/>
        <w:ind w:left="1134" w:right="1132" w:firstLine="440"/>
        <w:jc w:val="both"/>
      </w:pPr>
      <w:r>
        <w:rPr>
          <w:rFonts w:ascii="Times New Roman" w:hAnsi="Times New Roman" w:cs="Times New Roman" w:eastAsia="Times New Roman" w:hint="default"/>
          <w:spacing w:val="-1"/>
        </w:rPr>
        <w:t>4)2014</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28</w:t>
      </w:r>
      <w:r>
        <w:rPr>
          <w:spacing w:val="-1"/>
        </w:rPr>
        <w:t>日，本公司之全资孙公司深圳乔戈里与深圳游嘻宝、张立华、刘佳帅、杨俊华共同出资设立上海声聚网</w:t>
      </w:r>
      <w:r>
        <w:rPr/>
        <w:t> 络科技有限公司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上海声聚</w:t>
      </w:r>
      <w:r>
        <w:rPr>
          <w:rFonts w:ascii="Times New Roman" w:hAnsi="Times New Roman" w:cs="Times New Roman" w:eastAsia="Times New Roman" w:hint="default"/>
        </w:rPr>
        <w:t>”</w:t>
      </w:r>
      <w:r>
        <w:rPr>
          <w:rFonts w:ascii="Times New Roman" w:hAnsi="Times New Roman" w:cs="Times New Roman" w:eastAsia="Times New Roman" w:hint="default"/>
        </w:rPr>
        <w:t>)</w:t>
      </w:r>
      <w:r>
        <w:rPr/>
        <w:t>，本公司持股</w:t>
      </w:r>
      <w:r>
        <w:rPr>
          <w:rFonts w:ascii="Times New Roman" w:hAnsi="Times New Roman" w:cs="Times New Roman" w:eastAsia="Times New Roman" w:hint="default"/>
        </w:rPr>
        <w:t>25%</w:t>
      </w:r>
      <w:r>
        <w:rPr/>
        <w:t>。</w:t>
      </w:r>
    </w:p>
    <w:p>
      <w:pPr>
        <w:pStyle w:val="BodyText"/>
        <w:spacing w:line="300" w:lineRule="auto" w:before="13"/>
        <w:ind w:right="1130" w:firstLine="440"/>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24"/>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日，公司与贵州国信通电子商务有限公司</w:t>
      </w:r>
      <w:r>
        <w:rPr>
          <w:rFonts w:ascii="Times New Roman" w:hAnsi="Times New Roman" w:cs="Times New Roman" w:eastAsia="Times New Roman" w:hint="default"/>
        </w:rPr>
        <w:t>(</w:t>
      </w:r>
      <w:r>
        <w:rPr/>
        <w:t>以下简称贵州国信通</w:t>
      </w:r>
      <w:r>
        <w:rPr>
          <w:rFonts w:ascii="Times New Roman" w:hAnsi="Times New Roman" w:cs="Times New Roman" w:eastAsia="Times New Roman" w:hint="default"/>
        </w:rPr>
        <w:t>)</w:t>
      </w:r>
      <w:r>
        <w:rPr/>
        <w:t>、彭愈、黄承扬、任琴、孙良涛、刘晓 </w:t>
      </w:r>
      <w:r>
        <w:rPr>
          <w:spacing w:val="-2"/>
        </w:rPr>
        <w:t>娟、北京黑马拓新创业投资中心</w:t>
      </w:r>
      <w:r>
        <w:rPr>
          <w:rFonts w:ascii="Times New Roman" w:hAnsi="Times New Roman" w:cs="Times New Roman" w:eastAsia="Times New Roman" w:hint="default"/>
          <w:spacing w:val="-2"/>
        </w:rPr>
        <w:t>(</w:t>
      </w:r>
      <w:r>
        <w:rPr>
          <w:spacing w:val="-2"/>
        </w:rPr>
        <w:t>有限合伙</w:t>
      </w:r>
      <w:r>
        <w:rPr>
          <w:rFonts w:ascii="Times New Roman" w:hAnsi="Times New Roman" w:cs="Times New Roman" w:eastAsia="Times New Roman" w:hint="default"/>
          <w:spacing w:val="-2"/>
        </w:rPr>
        <w:t>)</w:t>
      </w:r>
      <w:r>
        <w:rPr>
          <w:spacing w:val="-2"/>
        </w:rPr>
        <w:t>、北京翔耀咨询有限公司签订了增资扩股协议，公司以</w:t>
      </w:r>
      <w:r>
        <w:rPr>
          <w:rFonts w:ascii="Times New Roman" w:hAnsi="Times New Roman" w:cs="Times New Roman" w:eastAsia="Times New Roman" w:hint="default"/>
          <w:spacing w:val="-2"/>
        </w:rPr>
        <w:t>800</w:t>
      </w:r>
      <w:r>
        <w:rPr>
          <w:spacing w:val="-2"/>
        </w:rPr>
        <w:t>万元增资贵州国信通，</w:t>
      </w:r>
      <w:r>
        <w:rPr/>
        <w:t> 其中</w:t>
      </w:r>
      <w:r>
        <w:rPr>
          <w:rFonts w:ascii="Times New Roman" w:hAnsi="Times New Roman" w:cs="Times New Roman" w:eastAsia="Times New Roman" w:hint="default"/>
        </w:rPr>
        <w:t>313.39</w:t>
      </w:r>
      <w:r>
        <w:rPr/>
        <w:t>万元计入注册资本，其余</w:t>
      </w:r>
      <w:r>
        <w:rPr>
          <w:rFonts w:ascii="Times New Roman" w:hAnsi="Times New Roman" w:cs="Times New Roman" w:eastAsia="Times New Roman" w:hint="default"/>
        </w:rPr>
        <w:t>486.61</w:t>
      </w:r>
      <w:r>
        <w:rPr/>
        <w:t>万元计入资本公积金，持股比例</w:t>
      </w:r>
      <w:r>
        <w:rPr>
          <w:rFonts w:ascii="Times New Roman" w:hAnsi="Times New Roman" w:cs="Times New Roman" w:eastAsia="Times New Roman" w:hint="default"/>
        </w:rPr>
        <w:t>22%</w:t>
      </w:r>
      <w:r>
        <w:rPr/>
        <w:t>。</w:t>
      </w:r>
    </w:p>
    <w:p>
      <w:pPr>
        <w:spacing w:line="240" w:lineRule="auto" w:before="1"/>
        <w:rPr>
          <w:rFonts w:ascii="宋体" w:hAnsi="宋体" w:cs="宋体" w:eastAsia="宋体" w:hint="default"/>
          <w:sz w:val="22"/>
          <w:szCs w:val="22"/>
        </w:rPr>
      </w:pPr>
    </w:p>
    <w:p>
      <w:pPr>
        <w:pStyle w:val="Heading7"/>
        <w:spacing w:line="506" w:lineRule="auto"/>
        <w:ind w:left="1133" w:right="2113"/>
        <w:jc w:val="left"/>
        <w:rPr>
          <w:b w:val="0"/>
          <w:bCs w:val="0"/>
        </w:rPr>
      </w:pPr>
      <w:bookmarkStart w:name="(5)合营企业或联营企业向本公司转移资金的能力存在重大限制的说明" w:id="425"/>
      <w:bookmarkEnd w:id="425"/>
      <w:r>
        <w:rPr>
          <w:b w:val="0"/>
          <w:bCs w:val="0"/>
        </w:rPr>
      </w:r>
      <w:r>
        <w:rPr>
          <w:rFonts w:ascii="Times New Roman" w:hAnsi="Times New Roman" w:cs="Times New Roman" w:eastAsia="Times New Roman" w:hint="default"/>
          <w:w w:val="95"/>
        </w:rPr>
        <w:t>(5)</w:t>
      </w:r>
      <w:r>
        <w:rPr>
          <w:w w:val="95"/>
        </w:rPr>
        <w:t>合营企业或联营企业向本公司转移资金的能力存在重大限制的说明</w:t>
      </w:r>
      <w:r>
        <w:rPr>
          <w:spacing w:val="8"/>
          <w:w w:val="95"/>
        </w:rPr>
        <w:t> </w:t>
      </w:r>
      <w:r>
        <w:rPr>
          <w:spacing w:val="8"/>
          <w:w w:val="95"/>
        </w:rPr>
      </w:r>
      <w:bookmarkStart w:name="(6)合营企业或联营企业发生的超额亏损" w:id="426"/>
      <w:bookmarkEnd w:id="426"/>
      <w:r>
        <w:rPr>
          <w:spacing w:val="8"/>
          <w:w w:val="95"/>
        </w:rPr>
      </w:r>
      <w:r>
        <w:rPr>
          <w:rFonts w:ascii="Times New Roman" w:hAnsi="Times New Roman" w:cs="Times New Roman" w:eastAsia="Times New Roman" w:hint="default"/>
        </w:rPr>
        <w:t>(6)</w:t>
      </w:r>
      <w:r>
        <w:rPr/>
        <w:t>合营企业或联营企业发生的超额亏损</w:t>
      </w:r>
      <w:r>
        <w:rPr>
          <w:b w:val="0"/>
          <w:bCs w:val="0"/>
        </w:rPr>
      </w:r>
    </w:p>
    <w:p>
      <w:pPr>
        <w:pStyle w:val="BodyText"/>
        <w:spacing w:line="240" w:lineRule="auto" w:before="9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1"/>
        <w:gridCol w:w="2392"/>
        <w:gridCol w:w="2392"/>
        <w:gridCol w:w="2394"/>
      </w:tblGrid>
      <w:tr>
        <w:trPr>
          <w:trHeight w:val="71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累积未确认前期累计的损失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10" w:right="81" w:hanging="63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本期未确认的损失</w:t>
            </w:r>
            <w:r>
              <w:rPr>
                <w:rFonts w:ascii="Times New Roman" w:hAnsi="Times New Roman" w:cs="Times New Roman" w:eastAsia="Times New Roman" w:hint="default"/>
                <w:sz w:val="18"/>
                <w:szCs w:val="18"/>
              </w:rPr>
              <w:t>(</w:t>
            </w:r>
            <w:r>
              <w:rPr>
                <w:rFonts w:ascii="宋体" w:hAnsi="宋体" w:cs="宋体" w:eastAsia="宋体" w:hint="default"/>
                <w:sz w:val="18"/>
                <w:szCs w:val="18"/>
              </w:rPr>
              <w:t>或本期分 享的净利润</w:t>
            </w:r>
            <w:r>
              <w:rPr>
                <w:rFonts w:ascii="Times New Roman" w:hAnsi="Times New Roman" w:cs="Times New Roman" w:eastAsia="Times New Roman" w:hint="default"/>
                <w:sz w:val="18"/>
                <w:szCs w:val="18"/>
              </w:rPr>
              <w:t>)</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广州卓游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-750,239.93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-750,239.93</w:t>
            </w:r>
            <w:r>
              <w:rPr>
                <w:rFonts w:ascii="Times New Roman"/>
                <w:sz w:val="18"/>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上海顶势</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-210,286.43</w:t>
            </w:r>
            <w:r>
              <w:rPr>
                <w:rFonts w:ascii="Times New Roman"/>
                <w:sz w:val="18"/>
              </w:rPr>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-210,286.43</w:t>
            </w:r>
            <w:r>
              <w:rPr>
                <w:rFonts w:ascii="Times New Roman"/>
                <w:sz w:val="18"/>
              </w:rPr>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-750,239.93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-210,286.43</w:t>
            </w:r>
            <w:r>
              <w:rPr>
                <w:rFonts w:ascii="Times New Roman"/>
                <w:sz w:val="18"/>
              </w:rPr>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-960,526.36</w:t>
            </w:r>
            <w:r>
              <w:rPr>
                <w:rFonts w:ascii="Times New Roman"/>
                <w:sz w:val="18"/>
              </w:rPr>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7"/>
        <w:spacing w:line="240" w:lineRule="auto"/>
        <w:ind w:left="1133" w:right="0"/>
        <w:jc w:val="left"/>
        <w:rPr>
          <w:b w:val="0"/>
          <w:bCs w:val="0"/>
        </w:rPr>
      </w:pPr>
      <w:bookmarkStart w:name="(7)与合营企业投资相关的未确认承诺" w:id="427"/>
      <w:bookmarkEnd w:id="427"/>
      <w:r>
        <w:rPr>
          <w:b w:val="0"/>
          <w:bCs w:val="0"/>
        </w:rPr>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8)与合营企业或联营企业投资相关的或有负债" w:id="428"/>
      <w:bookmarkEnd w:id="428"/>
      <w:r>
        <w:rPr>
          <w:b w:val="0"/>
          <w:bCs w:val="0"/>
        </w:rPr>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40" w:lineRule="auto" w:before="35"/>
        <w:ind w:left="1133" w:right="0"/>
        <w:jc w:val="both"/>
        <w:rPr>
          <w:b w:val="0"/>
          <w:bCs w:val="0"/>
        </w:rPr>
      </w:pPr>
      <w:bookmarkStart w:name="4、重要的共同经营" w:id="429"/>
      <w:bookmarkEnd w:id="429"/>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10"/>
        <w:rPr>
          <w:rFonts w:ascii="宋体" w:hAnsi="宋体" w:cs="宋体" w:eastAsia="宋体" w:hint="default"/>
          <w:sz w:val="26"/>
          <w:szCs w:val="26"/>
        </w:rPr>
      </w:pPr>
    </w:p>
    <w:p>
      <w:pPr>
        <w:pStyle w:val="Heading7"/>
        <w:spacing w:line="240" w:lineRule="auto"/>
        <w:ind w:right="0"/>
        <w:jc w:val="both"/>
        <w:rPr>
          <w:b w:val="0"/>
          <w:bCs w:val="0"/>
        </w:rPr>
      </w:pPr>
      <w:bookmarkStart w:name="5、在未纳入合并财务报表范围的结构化主体中的权益" w:id="430"/>
      <w:bookmarkEnd w:id="430"/>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both"/>
      </w:pPr>
      <w:r>
        <w:rPr/>
        <w:t>未纳入合并财务报表范围的结构化主体的相关说明：无</w:t>
      </w:r>
    </w:p>
    <w:p>
      <w:pPr>
        <w:spacing w:line="240" w:lineRule="auto" w:before="10"/>
        <w:rPr>
          <w:rFonts w:ascii="宋体" w:hAnsi="宋体" w:cs="宋体" w:eastAsia="宋体" w:hint="default"/>
          <w:sz w:val="26"/>
          <w:szCs w:val="26"/>
        </w:rPr>
      </w:pPr>
    </w:p>
    <w:p>
      <w:pPr>
        <w:pStyle w:val="Heading7"/>
        <w:spacing w:line="240" w:lineRule="auto"/>
        <w:ind w:right="0"/>
        <w:jc w:val="both"/>
        <w:rPr>
          <w:b w:val="0"/>
          <w:bCs w:val="0"/>
        </w:rPr>
      </w:pPr>
      <w:bookmarkStart w:name="6、其他" w:id="431"/>
      <w:bookmarkEnd w:id="431"/>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3"/>
        <w:spacing w:line="240" w:lineRule="auto"/>
        <w:ind w:left="1134" w:right="0"/>
        <w:jc w:val="both"/>
        <w:rPr>
          <w:b w:val="0"/>
          <w:bCs w:val="0"/>
        </w:rPr>
      </w:pPr>
      <w:bookmarkStart w:name="十、与金融工具相关的风险" w:id="432"/>
      <w:bookmarkEnd w:id="432"/>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134" w:right="1132" w:firstLine="440"/>
        <w:jc w:val="both"/>
      </w:pPr>
      <w:r>
        <w:rPr/>
        <w:t>本公司的主要金融工具包括借款、应收款项、应付款项等，各项金融工具的详细情况说明见本附注六。与这些金融工 </w:t>
      </w:r>
      <w:r>
        <w:rPr>
          <w:spacing w:val="-2"/>
        </w:rPr>
        <w:t>具有关的风险，以及本公司为降低这些风险所采取的风险管理政策如下所述。本公司管理层对这些风险敞口进行管理和监控</w:t>
      </w:r>
      <w:r>
        <w:rPr>
          <w:spacing w:val="-64"/>
        </w:rPr>
        <w:t> </w:t>
      </w:r>
      <w:r>
        <w:rPr>
          <w:spacing w:val="-64"/>
        </w:rPr>
      </w:r>
      <w:r>
        <w:rPr/>
        <w:t>以确保将上述风险控制在限定的范围之内。</w:t>
      </w:r>
    </w:p>
    <w:p>
      <w:pPr>
        <w:pStyle w:val="BodyText"/>
        <w:spacing w:line="552" w:lineRule="exact" w:before="27"/>
        <w:ind w:left="1574" w:right="1132" w:hanging="44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各类风险管理目标和政策 本公司从事风险管理的目标是在风险和收益之间取得适当的平衡，将风险对本公司经营业绩的负面影响降低到最低水</w:t>
      </w:r>
    </w:p>
    <w:p>
      <w:pPr>
        <w:pStyle w:val="BodyText"/>
        <w:spacing w:line="316" w:lineRule="auto"/>
        <w:ind w:left="1134" w:right="1127"/>
        <w:jc w:val="left"/>
      </w:pPr>
      <w:r>
        <w:rPr>
          <w:spacing w:val="-2"/>
        </w:rPr>
        <w:t>平，使股东及其它权益投资者的利益最大化。基于该风险管理目标，本公司风险管理的基本策略是确定和分析本公司所面临</w:t>
      </w:r>
      <w:r>
        <w:rPr>
          <w:spacing w:val="-66"/>
        </w:rPr>
        <w:t> </w:t>
      </w:r>
      <w:r>
        <w:rPr>
          <w:spacing w:val="-66"/>
        </w:rPr>
      </w:r>
      <w:r>
        <w:rPr>
          <w:spacing w:val="-5"/>
        </w:rPr>
        <w:t>的各种风险，建立适当的风险承受底线并进行风险管理，并及时可靠地对各种风险进行监督，将风险控制在限定的范围之内。</w:t>
      </w:r>
    </w:p>
    <w:p>
      <w:pPr>
        <w:spacing w:line="240" w:lineRule="auto" w:before="10"/>
        <w:rPr>
          <w:rFonts w:ascii="宋体" w:hAnsi="宋体" w:cs="宋体" w:eastAsia="宋体" w:hint="default"/>
          <w:sz w:val="19"/>
          <w:szCs w:val="19"/>
        </w:rPr>
      </w:pPr>
    </w:p>
    <w:p>
      <w:pPr>
        <w:pStyle w:val="BodyText"/>
        <w:spacing w:line="240" w:lineRule="auto"/>
        <w:ind w:left="1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市场风险</w:t>
      </w:r>
    </w:p>
    <w:p>
      <w:pPr>
        <w:pStyle w:val="BodyText"/>
        <w:spacing w:line="540" w:lineRule="atLeast" w:before="12"/>
        <w:ind w:left="1574" w:right="1132" w:hanging="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汇率风险</w:t>
      </w:r>
      <w:r>
        <w:rPr>
          <w:w w:val="99"/>
        </w:rPr>
        <w:t> </w:t>
      </w:r>
      <w:r>
        <w:rPr/>
        <w:t>本公司承受汇率风险主要与美元、港币和韩元有关，除本公司及几个下属子公司以美元、港币、韩元进行采购和销售</w:t>
      </w:r>
    </w:p>
    <w:p>
      <w:pPr>
        <w:pStyle w:val="BodyText"/>
        <w:spacing w:line="309" w:lineRule="auto" w:before="76"/>
        <w:ind w:right="1131"/>
        <w:jc w:val="both"/>
      </w:pPr>
      <w:r>
        <w:rPr>
          <w:spacing w:val="-2"/>
        </w:rPr>
        <w:t>外，本公司的其它主要业务活动以人民币计价结算。于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日，除下表所述资产及负债的美元余额、港币余额和韩</w:t>
      </w:r>
      <w:r>
        <w:rPr>
          <w:spacing w:val="-58"/>
        </w:rPr>
        <w:t> </w:t>
      </w:r>
      <w:r>
        <w:rPr>
          <w:spacing w:val="-58"/>
        </w:rPr>
      </w:r>
      <w:r>
        <w:rPr>
          <w:spacing w:val="-2"/>
        </w:rPr>
        <w:t>元余额外，本公司的资产及负债均为人民币余额。该美元余额、港币余额和韩元余额的资产和负债产生的汇率风险可能对本</w:t>
      </w:r>
      <w:r>
        <w:rPr>
          <w:spacing w:val="-66"/>
        </w:rPr>
        <w:t> </w:t>
      </w:r>
      <w:r>
        <w:rPr>
          <w:spacing w:val="-66"/>
        </w:rPr>
      </w:r>
      <w:r>
        <w:rPr/>
        <w:t>公司的经营业绩产生影响。</w:t>
      </w:r>
    </w:p>
    <w:tbl>
      <w:tblPr>
        <w:tblW w:w="0" w:type="auto"/>
        <w:jc w:val="left"/>
        <w:tblInd w:w="1129" w:type="dxa"/>
        <w:tblLayout w:type="fixed"/>
        <w:tblCellMar>
          <w:top w:w="0" w:type="dxa"/>
          <w:left w:w="0" w:type="dxa"/>
          <w:bottom w:w="0" w:type="dxa"/>
          <w:right w:w="0" w:type="dxa"/>
        </w:tblCellMar>
        <w:tblLook w:val="01E0"/>
      </w:tblPr>
      <w:tblGrid>
        <w:gridCol w:w="3708"/>
        <w:gridCol w:w="2500"/>
        <w:gridCol w:w="2434"/>
      </w:tblGrid>
      <w:tr>
        <w:trPr>
          <w:trHeight w:val="342"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4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2015</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12</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31</w:t>
            </w:r>
            <w:r>
              <w:rPr>
                <w:rFonts w:ascii="宋体" w:hAnsi="宋体" w:cs="宋体" w:eastAsia="宋体" w:hint="default"/>
                <w:b/>
                <w:bCs/>
                <w:sz w:val="20"/>
                <w:szCs w:val="20"/>
              </w:rPr>
              <w:t>日</w:t>
            </w:r>
            <w:r>
              <w:rPr>
                <w:rFonts w:ascii="宋体" w:hAnsi="宋体" w:cs="宋体" w:eastAsia="宋体" w:hint="default"/>
                <w:sz w:val="20"/>
                <w:szCs w:val="20"/>
              </w:rPr>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11"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2014</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12</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31</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42"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货币资金</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4,088,983.13</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2,697,697.06</w:t>
            </w:r>
          </w:p>
        </w:tc>
      </w:tr>
      <w:tr>
        <w:trPr>
          <w:trHeight w:val="342"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货币资金</w:t>
            </w:r>
            <w:r>
              <w:rPr>
                <w:rFonts w:ascii="Times New Roman" w:hAnsi="Times New Roman" w:cs="Times New Roman" w:eastAsia="Times New Roman" w:hint="default"/>
                <w:sz w:val="20"/>
                <w:szCs w:val="20"/>
              </w:rPr>
              <w:t>-</w:t>
            </w:r>
            <w:r>
              <w:rPr>
                <w:rFonts w:ascii="宋体" w:hAnsi="宋体" w:cs="宋体" w:eastAsia="宋体" w:hint="default"/>
                <w:sz w:val="20"/>
                <w:szCs w:val="20"/>
              </w:rPr>
              <w:t>港币</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1,468,150.42</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967,072.74</w:t>
            </w:r>
          </w:p>
        </w:tc>
      </w:tr>
      <w:tr>
        <w:trPr>
          <w:trHeight w:val="342"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货币资金</w:t>
            </w:r>
            <w:r>
              <w:rPr>
                <w:rFonts w:ascii="Times New Roman" w:hAnsi="Times New Roman" w:cs="Times New Roman" w:eastAsia="Times New Roman" w:hint="default"/>
                <w:sz w:val="20"/>
                <w:szCs w:val="20"/>
              </w:rPr>
              <w:t>-</w:t>
            </w:r>
            <w:r>
              <w:rPr>
                <w:rFonts w:ascii="宋体" w:hAnsi="宋体" w:cs="宋体" w:eastAsia="宋体" w:hint="default"/>
                <w:sz w:val="20"/>
                <w:szCs w:val="20"/>
              </w:rPr>
              <w:t>韩元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6,889,275.00</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23,490,536.00</w:t>
            </w:r>
          </w:p>
        </w:tc>
      </w:tr>
      <w:tr>
        <w:trPr>
          <w:trHeight w:val="342"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应收账款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1,827,932.09</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1,023,797.61</w:t>
            </w:r>
          </w:p>
        </w:tc>
      </w:tr>
      <w:tr>
        <w:trPr>
          <w:trHeight w:val="342"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应收账款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港币</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93,855.17</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200,103.82</w:t>
            </w:r>
          </w:p>
        </w:tc>
      </w:tr>
      <w:tr>
        <w:trPr>
          <w:trHeight w:val="342"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应收账款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韩元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100"/>
                <w:sz w:val="20"/>
              </w:rPr>
              <w:t>-</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578,932.00</w:t>
            </w:r>
          </w:p>
        </w:tc>
      </w:tr>
      <w:tr>
        <w:trPr>
          <w:trHeight w:val="342"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其它应收款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3,611,203.75</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100"/>
                <w:sz w:val="20"/>
              </w:rPr>
              <w:t>-</w:t>
            </w:r>
          </w:p>
        </w:tc>
      </w:tr>
      <w:tr>
        <w:trPr>
          <w:trHeight w:val="342"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其它应收款</w:t>
            </w:r>
            <w:r>
              <w:rPr>
                <w:rFonts w:ascii="Times New Roman" w:hAnsi="Times New Roman" w:cs="Times New Roman" w:eastAsia="Times New Roman" w:hint="default"/>
                <w:sz w:val="20"/>
                <w:szCs w:val="20"/>
              </w:rPr>
              <w:t>-</w:t>
            </w:r>
            <w:r>
              <w:rPr>
                <w:rFonts w:ascii="宋体" w:hAnsi="宋体" w:cs="宋体" w:eastAsia="宋体" w:hint="default"/>
                <w:sz w:val="20"/>
                <w:szCs w:val="20"/>
              </w:rPr>
              <w:t>韩元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23,575,712.00</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23,959,070.00</w:t>
            </w:r>
          </w:p>
        </w:tc>
      </w:tr>
      <w:tr>
        <w:trPr>
          <w:trHeight w:val="342"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预付账款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2,182,888.12</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1,650,728.03</w:t>
            </w:r>
          </w:p>
        </w:tc>
      </w:tr>
      <w:tr>
        <w:trPr>
          <w:trHeight w:val="342"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预付账款</w:t>
            </w:r>
            <w:r>
              <w:rPr>
                <w:rFonts w:ascii="Times New Roman" w:hAnsi="Times New Roman" w:cs="Times New Roman" w:eastAsia="Times New Roman" w:hint="default"/>
                <w:sz w:val="20"/>
                <w:szCs w:val="20"/>
              </w:rPr>
              <w:t>-</w:t>
            </w:r>
            <w:r>
              <w:rPr>
                <w:rFonts w:ascii="宋体" w:hAnsi="宋体" w:cs="宋体" w:eastAsia="宋体" w:hint="default"/>
                <w:sz w:val="20"/>
                <w:szCs w:val="20"/>
              </w:rPr>
              <w:t>韩元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638,154.00</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100"/>
                <w:sz w:val="20"/>
              </w:rPr>
              <w:t>-</w:t>
            </w:r>
          </w:p>
        </w:tc>
      </w:tr>
      <w:tr>
        <w:trPr>
          <w:trHeight w:val="342"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固定资产</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48,559.95</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45,508.96</w:t>
            </w:r>
          </w:p>
        </w:tc>
      </w:tr>
      <w:tr>
        <w:trPr>
          <w:trHeight w:val="342"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固定资产</w:t>
            </w:r>
            <w:r>
              <w:rPr>
                <w:rFonts w:ascii="Times New Roman" w:hAnsi="Times New Roman" w:cs="Times New Roman" w:eastAsia="Times New Roman" w:hint="default"/>
                <w:sz w:val="20"/>
                <w:szCs w:val="20"/>
              </w:rPr>
              <w:t>-</w:t>
            </w:r>
            <w:r>
              <w:rPr>
                <w:rFonts w:ascii="宋体" w:hAnsi="宋体" w:cs="宋体" w:eastAsia="宋体" w:hint="default"/>
                <w:sz w:val="20"/>
                <w:szCs w:val="20"/>
              </w:rPr>
              <w:t>韩元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1,208,990.00</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7,997,354.00</w:t>
            </w:r>
          </w:p>
        </w:tc>
      </w:tr>
      <w:tr>
        <w:trPr>
          <w:trHeight w:val="343"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递延所得税资产</w:t>
            </w:r>
            <w:r>
              <w:rPr>
                <w:rFonts w:ascii="Times New Roman" w:hAnsi="Times New Roman" w:cs="Times New Roman" w:eastAsia="Times New Roman" w:hint="default"/>
                <w:sz w:val="20"/>
                <w:szCs w:val="20"/>
              </w:rPr>
              <w:t>-</w:t>
            </w:r>
            <w:r>
              <w:rPr>
                <w:rFonts w:ascii="宋体" w:hAnsi="宋体" w:cs="宋体" w:eastAsia="宋体" w:hint="default"/>
                <w:sz w:val="20"/>
                <w:szCs w:val="20"/>
              </w:rPr>
              <w:t>韩元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300,467.66</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300,467.66</w:t>
            </w:r>
          </w:p>
        </w:tc>
      </w:tr>
    </w:tbl>
    <w:p>
      <w:pPr>
        <w:spacing w:after="0" w:line="240" w:lineRule="auto"/>
        <w:jc w:val="right"/>
        <w:rPr>
          <w:rFonts w:ascii="Times New Roman" w:hAnsi="Times New Roman" w:cs="Times New Roman" w:eastAsia="Times New Roman" w:hint="default"/>
          <w:sz w:val="20"/>
          <w:szCs w:val="20"/>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708"/>
        <w:gridCol w:w="2500"/>
        <w:gridCol w:w="2434"/>
      </w:tblGrid>
      <w:tr>
        <w:trPr>
          <w:trHeight w:val="342"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其他流动资产</w:t>
            </w:r>
            <w:r>
              <w:rPr>
                <w:rFonts w:ascii="Times New Roman" w:hAnsi="Times New Roman" w:cs="Times New Roman" w:eastAsia="Times New Roman" w:hint="default"/>
                <w:sz w:val="20"/>
                <w:szCs w:val="20"/>
              </w:rPr>
              <w:t>-</w:t>
            </w:r>
            <w:r>
              <w:rPr>
                <w:rFonts w:ascii="宋体" w:hAnsi="宋体" w:cs="宋体" w:eastAsia="宋体" w:hint="default"/>
                <w:sz w:val="20"/>
                <w:szCs w:val="20"/>
              </w:rPr>
              <w:t>韩元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968,413.00</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3,950.00</w:t>
            </w:r>
          </w:p>
        </w:tc>
      </w:tr>
      <w:tr>
        <w:trPr>
          <w:trHeight w:val="342"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长期待摊费用</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193,580.93</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546,189.36</w:t>
            </w:r>
          </w:p>
        </w:tc>
      </w:tr>
      <w:tr>
        <w:trPr>
          <w:trHeight w:val="342"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研发支出</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3,198,940.51</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1,822,853.18</w:t>
            </w:r>
          </w:p>
        </w:tc>
      </w:tr>
      <w:tr>
        <w:trPr>
          <w:trHeight w:val="342"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应付账款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1,390,403.84</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952,875.42</w:t>
            </w:r>
          </w:p>
        </w:tc>
      </w:tr>
      <w:tr>
        <w:trPr>
          <w:trHeight w:val="342"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其它应付款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60,123.74</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2,803,168.77</w:t>
            </w:r>
          </w:p>
        </w:tc>
      </w:tr>
      <w:tr>
        <w:trPr>
          <w:trHeight w:val="342"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其它应付款</w:t>
            </w:r>
            <w:r>
              <w:rPr>
                <w:rFonts w:ascii="Times New Roman" w:hAnsi="Times New Roman" w:cs="Times New Roman" w:eastAsia="Times New Roman" w:hint="default"/>
                <w:sz w:val="20"/>
                <w:szCs w:val="20"/>
              </w:rPr>
              <w:t>-</w:t>
            </w:r>
            <w:r>
              <w:rPr>
                <w:rFonts w:ascii="宋体" w:hAnsi="宋体" w:cs="宋体" w:eastAsia="宋体" w:hint="default"/>
                <w:sz w:val="20"/>
                <w:szCs w:val="20"/>
              </w:rPr>
              <w:t>港币</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2,250.00</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100"/>
                <w:sz w:val="20"/>
              </w:rPr>
              <w:t>-</w:t>
            </w:r>
          </w:p>
        </w:tc>
      </w:tr>
      <w:tr>
        <w:trPr>
          <w:trHeight w:val="342"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其它应付款</w:t>
            </w:r>
            <w:r>
              <w:rPr>
                <w:rFonts w:ascii="Times New Roman" w:hAnsi="Times New Roman" w:cs="Times New Roman" w:eastAsia="Times New Roman" w:hint="default"/>
                <w:sz w:val="20"/>
                <w:szCs w:val="20"/>
              </w:rPr>
              <w:t>-</w:t>
            </w:r>
            <w:r>
              <w:rPr>
                <w:rFonts w:ascii="宋体" w:hAnsi="宋体" w:cs="宋体" w:eastAsia="宋体" w:hint="default"/>
                <w:sz w:val="20"/>
                <w:szCs w:val="20"/>
              </w:rPr>
              <w:t>韩元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12,184,433.00</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8,292,535.00</w:t>
            </w:r>
          </w:p>
        </w:tc>
      </w:tr>
      <w:tr>
        <w:trPr>
          <w:trHeight w:val="342"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预收账款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45,158.98</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1,294.11</w:t>
            </w:r>
          </w:p>
        </w:tc>
      </w:tr>
      <w:tr>
        <w:trPr>
          <w:trHeight w:val="342"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预收账款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韩元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500,612.00</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100"/>
                <w:sz w:val="20"/>
              </w:rPr>
              <w:t>-</w:t>
            </w:r>
          </w:p>
        </w:tc>
      </w:tr>
      <w:tr>
        <w:trPr>
          <w:trHeight w:val="342"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应付职工薪酬</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16,515.39</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11,795.00</w:t>
            </w:r>
          </w:p>
        </w:tc>
      </w:tr>
      <w:tr>
        <w:trPr>
          <w:trHeight w:val="342"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应付职工薪酬</w:t>
            </w:r>
            <w:r>
              <w:rPr>
                <w:rFonts w:ascii="Times New Roman" w:hAnsi="Times New Roman" w:cs="Times New Roman" w:eastAsia="Times New Roman" w:hint="default"/>
                <w:sz w:val="20"/>
                <w:szCs w:val="20"/>
              </w:rPr>
              <w:t>-</w:t>
            </w:r>
            <w:r>
              <w:rPr>
                <w:rFonts w:ascii="宋体" w:hAnsi="宋体" w:cs="宋体" w:eastAsia="宋体" w:hint="default"/>
                <w:sz w:val="20"/>
                <w:szCs w:val="20"/>
              </w:rPr>
              <w:t>韩元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100"/>
                <w:sz w:val="20"/>
              </w:rPr>
              <w:t>-</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5,182,539.00</w:t>
            </w:r>
          </w:p>
        </w:tc>
      </w:tr>
      <w:tr>
        <w:trPr>
          <w:trHeight w:val="342"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应交税费</w:t>
            </w:r>
            <w:r>
              <w:rPr>
                <w:rFonts w:ascii="Times New Roman" w:hAnsi="Times New Roman" w:cs="Times New Roman" w:eastAsia="Times New Roman" w:hint="default"/>
                <w:sz w:val="20"/>
                <w:szCs w:val="20"/>
              </w:rPr>
              <w:t>-</w:t>
            </w:r>
            <w:r>
              <w:rPr>
                <w:rFonts w:ascii="宋体" w:hAnsi="宋体" w:cs="宋体" w:eastAsia="宋体" w:hint="default"/>
                <w:sz w:val="20"/>
                <w:szCs w:val="20"/>
              </w:rPr>
              <w:t>韩元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100"/>
                <w:sz w:val="20"/>
              </w:rPr>
              <w:t>-</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183,720.00</w:t>
            </w:r>
          </w:p>
        </w:tc>
      </w:tr>
    </w:tbl>
    <w:p>
      <w:pPr>
        <w:pStyle w:val="BodyText"/>
        <w:spacing w:line="240" w:lineRule="auto" w:before="10"/>
        <w:ind w:left="1574" w:right="0"/>
        <w:jc w:val="left"/>
      </w:pPr>
      <w:r>
        <w:rPr/>
        <w:t>本公司密切关注汇率变动对本公司的影响，本公司目前并未采取其他措施规避外汇风险。</w:t>
      </w:r>
    </w:p>
    <w:p>
      <w:pPr>
        <w:pStyle w:val="BodyText"/>
        <w:spacing w:line="300" w:lineRule="auto" w:before="76"/>
        <w:ind w:left="1574" w:right="113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利率风险</w:t>
      </w:r>
      <w:r>
        <w:rPr>
          <w:w w:val="99"/>
        </w:rPr>
        <w:t> </w:t>
      </w:r>
      <w:r>
        <w:rPr/>
        <w:t>本公司的利率风险产生于银行借款。浮动利率的金融负债使本公司面临现金流量利率风险，固定利率的金融负债使本</w:t>
      </w:r>
    </w:p>
    <w:p>
      <w:pPr>
        <w:pStyle w:val="BodyText"/>
        <w:spacing w:line="300" w:lineRule="auto" w:before="31"/>
        <w:ind w:right="1033"/>
        <w:jc w:val="left"/>
        <w:rPr>
          <w:rFonts w:ascii="Times New Roman" w:hAnsi="Times New Roman" w:cs="Times New Roman" w:eastAsia="Times New Roman" w:hint="default"/>
        </w:rPr>
      </w:pPr>
      <w:r>
        <w:rPr/>
        <w:t>公司面临公允价值利率风险。本公司根据当时的市场环境来决定固定利率及浮动利率合同的相对比例。于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85"/>
        </w:rPr>
        <w:t> </w:t>
      </w:r>
      <w:r>
        <w:rPr>
          <w:spacing w:val="-2"/>
        </w:rPr>
        <w:t>本公司的带息债务主要为人民币计价的浮动利率借款合同，金额合计为</w:t>
      </w:r>
      <w:r>
        <w:rPr>
          <w:rFonts w:ascii="Times New Roman" w:hAnsi="Times New Roman" w:cs="Times New Roman" w:eastAsia="Times New Roman" w:hint="default"/>
          <w:spacing w:val="-2"/>
        </w:rPr>
        <w:t>20,000,000.00</w:t>
      </w:r>
      <w:r>
        <w:rPr>
          <w:spacing w:val="-2"/>
        </w:rPr>
        <w:t>元</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67,956,000.00</w:t>
      </w:r>
      <w:r>
        <w:rPr>
          <w:spacing w:val="-2"/>
        </w:rPr>
        <w:t>元</w:t>
      </w:r>
      <w:r>
        <w:rPr>
          <w:rFonts w:ascii="Times New Roman" w:hAnsi="Times New Roman" w:cs="Times New Roman" w:eastAsia="Times New Roman" w:hint="default"/>
          <w:spacing w:val="-2"/>
        </w:rPr>
        <w:t>)</w:t>
      </w:r>
      <w:r>
        <w:rPr>
          <w:spacing w:val="-2"/>
        </w:rPr>
        <w:t>，</w:t>
      </w:r>
      <w:r>
        <w:rPr>
          <w:spacing w:val="-61"/>
        </w:rPr>
        <w:t> </w:t>
      </w:r>
      <w:r>
        <w:rPr/>
        <w:t>及人民币计价的固定利率合同，金额为</w:t>
      </w:r>
      <w:r>
        <w:rPr>
          <w:rFonts w:ascii="Times New Roman" w:hAnsi="Times New Roman" w:cs="Times New Roman" w:eastAsia="Times New Roman" w:hint="default"/>
        </w:rPr>
        <w:t>80,000,000.00</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220,000,000.00</w:t>
      </w:r>
      <w:r>
        <w:rPr/>
        <w:t>元</w:t>
      </w:r>
      <w:r>
        <w:rPr>
          <w:rFonts w:ascii="Times New Roman" w:hAnsi="Times New Roman" w:cs="Times New Roman" w:eastAsia="Times New Roman" w:hint="default"/>
        </w:rPr>
        <w:t>)</w:t>
      </w:r>
    </w:p>
    <w:p>
      <w:pPr>
        <w:pStyle w:val="BodyText"/>
        <w:spacing w:line="316" w:lineRule="auto" w:before="13"/>
        <w:ind w:right="1133" w:firstLine="440"/>
        <w:jc w:val="both"/>
      </w:pPr>
      <w:r>
        <w:rPr/>
        <w:t>本公司因利率变动引起金融工具公允价值变动的风险主要与固定利率银行借款有关。对于固定利率借款，本公司的目 标是保持其浮动利率。</w:t>
      </w:r>
    </w:p>
    <w:p>
      <w:pPr>
        <w:pStyle w:val="BodyText"/>
        <w:spacing w:line="319" w:lineRule="auto" w:before="19"/>
        <w:ind w:right="1133" w:firstLine="440"/>
        <w:jc w:val="both"/>
      </w:pPr>
      <w:r>
        <w:rPr/>
        <w:t>本公司因利率变动引起金融工具现金流量变动的风险主要与浮动利率银行借款有关。本公司的政策是保持这些借款的 浮动利率，以消除利率变动的公允价值风险。</w:t>
      </w:r>
    </w:p>
    <w:p>
      <w:pPr>
        <w:pStyle w:val="BodyText"/>
        <w:spacing w:line="309" w:lineRule="auto" w:before="17"/>
        <w:ind w:left="1574" w:right="5092"/>
        <w:jc w:val="left"/>
      </w:pPr>
      <w:r>
        <w:rPr>
          <w:rFonts w:ascii="Times New Roman" w:hAnsi="Times New Roman" w:cs="Times New Roman" w:eastAsia="Times New Roman" w:hint="default"/>
        </w:rPr>
        <w:t>3)</w:t>
      </w:r>
      <w:r>
        <w:rPr/>
        <w:t>价格风险 本公司以市场价格运营游戏产品，因此受到此等价格波动的影响。 </w:t>
      </w:r>
      <w:r>
        <w:rPr>
          <w:rFonts w:ascii="Times New Roman" w:hAnsi="Times New Roman" w:cs="Times New Roman" w:eastAsia="Times New Roman" w:hint="default"/>
        </w:rPr>
        <w:t>(2)  </w:t>
      </w:r>
      <w:r>
        <w:rPr/>
        <w:t>信用风险</w:t>
      </w:r>
    </w:p>
    <w:p>
      <w:pPr>
        <w:pStyle w:val="BodyText"/>
        <w:spacing w:line="300" w:lineRule="auto" w:before="5"/>
        <w:ind w:left="1134" w:right="1132" w:firstLine="440"/>
        <w:jc w:val="both"/>
      </w:pP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日，可能引起本公司财务损失的最大信用风险敞口主要来自于合同另一方未能履行义务而导致本公司 金融资产产生的损失，具体包括：</w:t>
      </w:r>
    </w:p>
    <w:p>
      <w:pPr>
        <w:pStyle w:val="BodyText"/>
        <w:spacing w:line="316" w:lineRule="auto" w:before="31"/>
        <w:ind w:left="1134" w:right="1133" w:firstLine="440"/>
        <w:jc w:val="both"/>
      </w:pPr>
      <w:r>
        <w:rPr>
          <w:spacing w:val="-4"/>
        </w:rPr>
        <w:t>合并资产负债表中已确认的金融资产的账面金额；对于以公允价值计量的金融工具而言，账面价值反映了其风险敞口，</w:t>
      </w:r>
      <w:r>
        <w:rPr/>
        <w:t> 但并非最大风险敞口，其最大风险敞口将随着未来公允价值的变化而改变。</w:t>
      </w:r>
    </w:p>
    <w:p>
      <w:pPr>
        <w:pStyle w:val="BodyText"/>
        <w:spacing w:line="316" w:lineRule="auto" w:before="19"/>
        <w:ind w:left="1134" w:right="1133" w:firstLine="440"/>
        <w:jc w:val="both"/>
      </w:pPr>
      <w:r>
        <w:rPr/>
        <w:t>为降低信用风险，本公司成立专门部门确定信用额度、进行信用审批，并执行其它监控程序以确保采取必要的措施回 </w:t>
      </w:r>
      <w:r>
        <w:rPr>
          <w:spacing w:val="-2"/>
        </w:rPr>
        <w:t>收过期债权。此外，本公司于每个资产负债表日审核每一单项应收款的回收情况，以确保就无法回收的款项计提充分的坏账</w:t>
      </w:r>
      <w:r>
        <w:rPr>
          <w:spacing w:val="-66"/>
        </w:rPr>
        <w:t> </w:t>
      </w:r>
      <w:r>
        <w:rPr>
          <w:spacing w:val="-66"/>
        </w:rPr>
      </w:r>
      <w:r>
        <w:rPr/>
        <w:t>准备。因此，本公司管理层认为本公司所承担的信用风险已经大为降低。</w:t>
      </w:r>
    </w:p>
    <w:p>
      <w:pPr>
        <w:pStyle w:val="BodyText"/>
        <w:spacing w:line="316" w:lineRule="auto" w:before="19"/>
        <w:ind w:left="1574" w:right="3472"/>
        <w:jc w:val="left"/>
      </w:pPr>
      <w:r>
        <w:rPr/>
        <w:t>本公司的流动资金存放在信用评级较高的银行，故流动资金的信用风险较低。 由于本公司的风险敞口分布在多个合同方和多个客户，因此没有重大的信用集中风险。 应收账款前五名金额合计：</w:t>
      </w:r>
      <w:r>
        <w:rPr>
          <w:rFonts w:ascii="Times New Roman" w:hAnsi="Times New Roman" w:cs="Times New Roman" w:eastAsia="Times New Roman" w:hint="default"/>
        </w:rPr>
        <w:t>88,725,311.96</w:t>
      </w:r>
      <w:r>
        <w:rPr/>
        <w:t>元</w:t>
      </w:r>
    </w:p>
    <w:p>
      <w:pPr>
        <w:pStyle w:val="BodyText"/>
        <w:spacing w:line="300" w:lineRule="auto"/>
        <w:ind w:left="1574" w:right="113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5"/>
        </w:rPr>
        <w:t> </w:t>
      </w:r>
      <w:r>
        <w:rPr/>
        <w:t>流动风险</w:t>
      </w:r>
      <w:r>
        <w:rPr>
          <w:w w:val="99"/>
        </w:rPr>
        <w:t> </w:t>
      </w:r>
      <w:r>
        <w:rPr/>
        <w:t>流动风险为本公司在到期日无法履行其财务义务的风险。本公司管理流动性风险的方法是确保有足够的资金流动性来</w:t>
      </w:r>
    </w:p>
    <w:p>
      <w:pPr>
        <w:pStyle w:val="BodyText"/>
        <w:spacing w:line="319" w:lineRule="auto" w:before="31"/>
        <w:ind w:left="1134" w:right="1133"/>
        <w:jc w:val="both"/>
      </w:pPr>
      <w:r>
        <w:rPr>
          <w:spacing w:val="-2"/>
        </w:rPr>
        <w:t>履行到期债务，而不至于造成不可接受的损失或对企业信誉造成损害。本公司定期分析负债结构和期限，以确保有充裕的资</w:t>
      </w:r>
      <w:r>
        <w:rPr>
          <w:spacing w:val="-66"/>
        </w:rPr>
        <w:t> </w:t>
      </w:r>
      <w:r>
        <w:rPr>
          <w:spacing w:val="-66"/>
        </w:rPr>
      </w:r>
      <w:r>
        <w:rPr>
          <w:spacing w:val="-2"/>
        </w:rPr>
        <w:t>金。本公司管理层对银行借款的使用情况进行监控并确保遵守借款协议。同时与金融机构进行融资磋商，以保持一定的授信</w:t>
      </w:r>
      <w:r>
        <w:rPr>
          <w:spacing w:val="-66"/>
        </w:rPr>
        <w:t> </w:t>
      </w:r>
      <w:r>
        <w:rPr>
          <w:spacing w:val="-66"/>
        </w:rPr>
      </w:r>
      <w:r>
        <w:rPr/>
        <w:t>额度，减低流动性风险。</w:t>
      </w:r>
    </w:p>
    <w:p>
      <w:pPr>
        <w:pStyle w:val="BodyText"/>
        <w:spacing w:line="300" w:lineRule="auto" w:before="17"/>
        <w:ind w:right="1117" w:firstLine="440"/>
        <w:jc w:val="both"/>
      </w:pPr>
      <w:r>
        <w:rPr>
          <w:spacing w:val="-2"/>
        </w:rPr>
        <w:t>本公司将银行借款作为主要资金来源。于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spacing w:val="-52"/>
        </w:rPr>
        <w:t> </w:t>
      </w:r>
      <w:r>
        <w:rPr>
          <w:spacing w:val="-2"/>
        </w:rPr>
        <w:t>本公司尚未使用的银行借款额度为</w:t>
      </w:r>
      <w:r>
        <w:rPr>
          <w:rFonts w:ascii="Times New Roman" w:hAnsi="Times New Roman" w:cs="Times New Roman" w:eastAsia="Times New Roman" w:hint="default"/>
          <w:spacing w:val="-2"/>
        </w:rPr>
        <w:t>100,000,000.00</w:t>
      </w:r>
      <w:r>
        <w:rPr>
          <w:spacing w:val="-2"/>
        </w:rPr>
        <w:t>元，</w:t>
      </w:r>
      <w:r>
        <w:rPr>
          <w:rFonts w:ascii="Times New Roman" w:hAnsi="Times New Roman" w:cs="Times New Roman" w:eastAsia="Times New Roman" w:hint="default"/>
          <w:spacing w:val="-2"/>
        </w:rPr>
        <w:t>(2014</w:t>
      </w:r>
      <w:r>
        <w:rPr>
          <w:rFonts w:ascii="Times New Roman" w:hAnsi="Times New Roman" w:cs="Times New Roman" w:eastAsia="Times New Roman" w:hint="default"/>
        </w:rPr>
        <w:t> </w:t>
      </w:r>
      <w:r>
        <w:rPr>
          <w:spacing w:val="7"/>
        </w:rPr>
        <w:t>年</w:t>
      </w:r>
      <w:r>
        <w:rPr>
          <w:rFonts w:ascii="Times New Roman" w:hAnsi="Times New Roman" w:cs="Times New Roman" w:eastAsia="Times New Roman" w:hint="default"/>
          <w:spacing w:val="7"/>
        </w:rPr>
        <w:t>12</w:t>
      </w:r>
      <w:r>
        <w:rPr>
          <w:spacing w:val="7"/>
        </w:rPr>
        <w:t>月</w:t>
      </w:r>
      <w:r>
        <w:rPr>
          <w:rFonts w:ascii="Times New Roman" w:hAnsi="Times New Roman" w:cs="Times New Roman" w:eastAsia="Times New Roman" w:hint="default"/>
          <w:spacing w:val="7"/>
        </w:rPr>
        <w:t>31</w:t>
      </w:r>
      <w:r>
        <w:rPr>
          <w:spacing w:val="7"/>
        </w:rPr>
        <w:t>日：</w:t>
      </w:r>
      <w:r>
        <w:rPr>
          <w:rFonts w:ascii="Times New Roman" w:hAnsi="Times New Roman" w:cs="Times New Roman" w:eastAsia="Times New Roman" w:hint="default"/>
          <w:spacing w:val="7"/>
        </w:rPr>
        <w:t>10,000,000.00</w:t>
      </w:r>
      <w:r>
        <w:rPr>
          <w:spacing w:val="7"/>
        </w:rPr>
        <w:t>元</w:t>
      </w:r>
      <w:r>
        <w:rPr>
          <w:rFonts w:ascii="Times New Roman" w:hAnsi="Times New Roman" w:cs="Times New Roman" w:eastAsia="Times New Roman" w:hint="default"/>
          <w:spacing w:val="7"/>
        </w:rPr>
        <w:t>)</w:t>
      </w:r>
      <w:r>
        <w:rPr>
          <w:spacing w:val="7"/>
        </w:rPr>
        <w:t>其中本公司尚未使用的短期银行借款额度为人民币</w:t>
      </w:r>
      <w:r>
        <w:rPr>
          <w:rFonts w:ascii="Times New Roman" w:hAnsi="Times New Roman" w:cs="Times New Roman" w:eastAsia="Times New Roman" w:hint="default"/>
          <w:spacing w:val="7"/>
        </w:rPr>
        <w:t>100,000,000.00</w:t>
      </w:r>
      <w:r>
        <w:rPr>
          <w:spacing w:val="7"/>
        </w:rPr>
        <w:t>元</w:t>
      </w:r>
      <w:r>
        <w:rPr>
          <w:rFonts w:ascii="Times New Roman" w:hAnsi="Times New Roman" w:cs="Times New Roman" w:eastAsia="Times New Roman" w:hint="default"/>
          <w:spacing w:val="7"/>
        </w:rPr>
        <w:t>(2014</w:t>
      </w:r>
      <w:r>
        <w:rPr>
          <w:spacing w:val="7"/>
        </w:rPr>
        <w:t>年</w:t>
      </w:r>
      <w:r>
        <w:rPr>
          <w:rFonts w:ascii="Times New Roman" w:hAnsi="Times New Roman" w:cs="Times New Roman" w:eastAsia="Times New Roman" w:hint="default"/>
          <w:spacing w:val="7"/>
        </w:rPr>
        <w:t>12</w:t>
      </w:r>
      <w:r>
        <w:rPr>
          <w:spacing w:val="7"/>
        </w:rPr>
        <w:t>月</w:t>
      </w:r>
      <w:r>
        <w:rPr>
          <w:rFonts w:ascii="Times New Roman" w:hAnsi="Times New Roman" w:cs="Times New Roman" w:eastAsia="Times New Roman" w:hint="default"/>
          <w:spacing w:val="7"/>
        </w:rPr>
        <w:t>31</w:t>
      </w:r>
      <w:r>
        <w:rPr>
          <w:spacing w:val="7"/>
        </w:rPr>
        <w:t>日：</w:t>
      </w:r>
      <w:r>
        <w:rPr>
          <w:spacing w:val="-83"/>
        </w:rPr>
        <w:t> </w:t>
      </w:r>
      <w:r>
        <w:rPr>
          <w:rFonts w:ascii="Times New Roman" w:hAnsi="Times New Roman" w:cs="Times New Roman" w:eastAsia="Times New Roman" w:hint="default"/>
        </w:rPr>
        <w:t>10,000,000.00</w:t>
      </w:r>
      <w:r>
        <w:rPr/>
        <w:t>元</w:t>
      </w:r>
      <w:r>
        <w:rPr>
          <w:rFonts w:ascii="Times New Roman" w:hAnsi="Times New Roman" w:cs="Times New Roman" w:eastAsia="Times New Roman" w:hint="default"/>
        </w:rPr>
        <w:t>)</w:t>
      </w:r>
      <w:r>
        <w:rPr/>
        <w:t>。</w:t>
      </w:r>
    </w:p>
    <w:p>
      <w:pPr>
        <w:spacing w:after="0" w:line="30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left="1574" w:right="0"/>
        <w:jc w:val="left"/>
      </w:pPr>
      <w:r>
        <w:rPr/>
        <w:t>本公司持有的金融资产和金融负债按未折现剩余合同义务的到期期限分析如下：</w:t>
      </w:r>
    </w:p>
    <w:p>
      <w:pPr>
        <w:pStyle w:val="BodyText"/>
        <w:spacing w:line="240" w:lineRule="auto" w:before="76"/>
        <w:ind w:left="1574"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日金额：</w:t>
      </w: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1452"/>
        <w:gridCol w:w="1736"/>
        <w:gridCol w:w="1232"/>
        <w:gridCol w:w="1498"/>
        <w:gridCol w:w="1092"/>
        <w:gridCol w:w="1717"/>
      </w:tblGrid>
      <w:tr>
        <w:trPr>
          <w:trHeight w:val="349" w:hRule="exact"/>
        </w:trPr>
        <w:tc>
          <w:tcPr>
            <w:tcW w:w="145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3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458" w:right="0"/>
              <w:jc w:val="left"/>
              <w:rPr>
                <w:rFonts w:ascii="宋体" w:hAnsi="宋体" w:cs="宋体" w:eastAsia="宋体" w:hint="default"/>
                <w:sz w:val="20"/>
                <w:szCs w:val="20"/>
              </w:rPr>
            </w:pPr>
            <w:r>
              <w:rPr>
                <w:rFonts w:ascii="宋体" w:hAnsi="宋体" w:cs="宋体" w:eastAsia="宋体" w:hint="default"/>
                <w:b/>
                <w:bCs/>
                <w:sz w:val="20"/>
                <w:szCs w:val="20"/>
              </w:rPr>
              <w:t>一年以内</w:t>
            </w:r>
            <w:r>
              <w:rPr>
                <w:rFonts w:ascii="宋体" w:hAnsi="宋体" w:cs="宋体" w:eastAsia="宋体" w:hint="default"/>
                <w:sz w:val="20"/>
                <w:szCs w:val="20"/>
              </w:rPr>
            </w:r>
          </w:p>
        </w:tc>
        <w:tc>
          <w:tcPr>
            <w:tcW w:w="123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06" w:right="0"/>
              <w:jc w:val="left"/>
              <w:rPr>
                <w:rFonts w:ascii="宋体" w:hAnsi="宋体" w:cs="宋体" w:eastAsia="宋体" w:hint="default"/>
                <w:sz w:val="20"/>
                <w:szCs w:val="20"/>
              </w:rPr>
            </w:pPr>
            <w:r>
              <w:rPr>
                <w:rFonts w:ascii="宋体" w:hAnsi="宋体" w:cs="宋体" w:eastAsia="宋体" w:hint="default"/>
                <w:b/>
                <w:bCs/>
                <w:sz w:val="20"/>
                <w:szCs w:val="20"/>
              </w:rPr>
              <w:t>一到二年</w:t>
            </w:r>
            <w:r>
              <w:rPr>
                <w:rFonts w:ascii="宋体" w:hAnsi="宋体" w:cs="宋体" w:eastAsia="宋体" w:hint="default"/>
                <w:sz w:val="20"/>
                <w:szCs w:val="20"/>
              </w:rPr>
            </w:r>
          </w:p>
        </w:tc>
        <w:tc>
          <w:tcPr>
            <w:tcW w:w="1498" w:type="dxa"/>
            <w:tcBorders>
              <w:top w:val="single" w:sz="6" w:space="0" w:color="000000"/>
              <w:left w:val="single" w:sz="6" w:space="0" w:color="000000"/>
              <w:bottom w:val="single" w:sz="8" w:space="0" w:color="000000"/>
              <w:right w:val="single" w:sz="4" w:space="0" w:color="000000"/>
            </w:tcBorders>
          </w:tcPr>
          <w:p>
            <w:pPr>
              <w:pStyle w:val="TableParagraph"/>
              <w:spacing w:line="240" w:lineRule="auto" w:before="5"/>
              <w:ind w:left="340" w:right="0"/>
              <w:jc w:val="left"/>
              <w:rPr>
                <w:rFonts w:ascii="宋体" w:hAnsi="宋体" w:cs="宋体" w:eastAsia="宋体" w:hint="default"/>
                <w:sz w:val="20"/>
                <w:szCs w:val="20"/>
              </w:rPr>
            </w:pPr>
            <w:r>
              <w:rPr>
                <w:rFonts w:ascii="宋体" w:hAnsi="宋体" w:cs="宋体" w:eastAsia="宋体" w:hint="default"/>
                <w:b/>
                <w:bCs/>
                <w:sz w:val="20"/>
                <w:szCs w:val="20"/>
              </w:rPr>
              <w:t>二到五年</w:t>
            </w:r>
            <w:r>
              <w:rPr>
                <w:rFonts w:ascii="宋体" w:hAnsi="宋体" w:cs="宋体" w:eastAsia="宋体" w:hint="default"/>
                <w:sz w:val="20"/>
                <w:szCs w:val="20"/>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39" w:right="0"/>
              <w:jc w:val="left"/>
              <w:rPr>
                <w:rFonts w:ascii="宋体" w:hAnsi="宋体" w:cs="宋体" w:eastAsia="宋体" w:hint="default"/>
                <w:sz w:val="20"/>
                <w:szCs w:val="20"/>
              </w:rPr>
            </w:pPr>
            <w:r>
              <w:rPr>
                <w:rFonts w:ascii="宋体" w:hAnsi="宋体" w:cs="宋体" w:eastAsia="宋体" w:hint="default"/>
                <w:b/>
                <w:bCs/>
                <w:sz w:val="20"/>
                <w:szCs w:val="20"/>
              </w:rPr>
              <w:t>五年以上</w:t>
            </w:r>
            <w:r>
              <w:rPr>
                <w:rFonts w:ascii="宋体" w:hAnsi="宋体" w:cs="宋体" w:eastAsia="宋体" w:hint="default"/>
                <w:sz w:val="20"/>
                <w:szCs w:val="20"/>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47" w:hRule="exact"/>
        </w:trPr>
        <w:tc>
          <w:tcPr>
            <w:tcW w:w="14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b/>
                <w:bCs/>
                <w:sz w:val="20"/>
                <w:szCs w:val="20"/>
              </w:rPr>
              <w:t>金融资产</w:t>
            </w:r>
            <w:r>
              <w:rPr>
                <w:rFonts w:ascii="宋体" w:hAnsi="宋体" w:cs="宋体" w:eastAsia="宋体" w:hint="default"/>
                <w:sz w:val="20"/>
                <w:szCs w:val="20"/>
              </w:rPr>
            </w:r>
          </w:p>
        </w:tc>
        <w:tc>
          <w:tcPr>
            <w:tcW w:w="1736" w:type="dxa"/>
            <w:tcBorders>
              <w:top w:val="single" w:sz="8" w:space="0" w:color="000000"/>
              <w:left w:val="single" w:sz="6" w:space="0" w:color="000000"/>
              <w:bottom w:val="single" w:sz="8" w:space="0" w:color="000000"/>
              <w:right w:val="single" w:sz="6" w:space="0" w:color="000000"/>
            </w:tcBorders>
          </w:tcPr>
          <w:p>
            <w:pPr/>
          </w:p>
        </w:tc>
        <w:tc>
          <w:tcPr>
            <w:tcW w:w="1232" w:type="dxa"/>
            <w:tcBorders>
              <w:top w:val="single" w:sz="8" w:space="0" w:color="000000"/>
              <w:left w:val="single" w:sz="6" w:space="0" w:color="000000"/>
              <w:bottom w:val="single" w:sz="8" w:space="0" w:color="000000"/>
              <w:right w:val="single" w:sz="6" w:space="0" w:color="000000"/>
            </w:tcBorders>
          </w:tcPr>
          <w:p>
            <w:pPr/>
          </w:p>
        </w:tc>
        <w:tc>
          <w:tcPr>
            <w:tcW w:w="1498" w:type="dxa"/>
            <w:tcBorders>
              <w:top w:val="single" w:sz="8" w:space="0" w:color="000000"/>
              <w:left w:val="single" w:sz="6" w:space="0" w:color="000000"/>
              <w:bottom w:val="single" w:sz="8"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r>
      <w:tr>
        <w:trPr>
          <w:trHeight w:val="347" w:hRule="exact"/>
        </w:trPr>
        <w:tc>
          <w:tcPr>
            <w:tcW w:w="14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7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291,139,329.09</w:t>
            </w:r>
          </w:p>
        </w:tc>
        <w:tc>
          <w:tcPr>
            <w:tcW w:w="12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100"/>
                <w:sz w:val="20"/>
              </w:rPr>
              <w:t>-</w:t>
            </w:r>
          </w:p>
        </w:tc>
        <w:tc>
          <w:tcPr>
            <w:tcW w:w="149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w w:val="100"/>
                <w:sz w:val="20"/>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100"/>
                <w:sz w:val="20"/>
              </w:rPr>
              <w:t>-</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291,139,329.09</w:t>
            </w:r>
          </w:p>
        </w:tc>
      </w:tr>
      <w:tr>
        <w:trPr>
          <w:trHeight w:val="348" w:hRule="exact"/>
        </w:trPr>
        <w:tc>
          <w:tcPr>
            <w:tcW w:w="14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7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138,207,726.03</w:t>
            </w:r>
          </w:p>
        </w:tc>
        <w:tc>
          <w:tcPr>
            <w:tcW w:w="12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100"/>
                <w:sz w:val="20"/>
              </w:rPr>
              <w:t>-</w:t>
            </w:r>
          </w:p>
        </w:tc>
        <w:tc>
          <w:tcPr>
            <w:tcW w:w="149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w w:val="100"/>
                <w:sz w:val="20"/>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100"/>
                <w:sz w:val="20"/>
              </w:rPr>
              <w:t>-</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138,207,726.03</w:t>
            </w:r>
          </w:p>
        </w:tc>
      </w:tr>
      <w:tr>
        <w:trPr>
          <w:trHeight w:val="347" w:hRule="exact"/>
        </w:trPr>
        <w:tc>
          <w:tcPr>
            <w:tcW w:w="1452"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其它应收款</w:t>
            </w:r>
          </w:p>
        </w:tc>
        <w:tc>
          <w:tcPr>
            <w:tcW w:w="17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0"/>
                <w:szCs w:val="20"/>
              </w:rPr>
            </w:pPr>
            <w:r>
              <w:rPr>
                <w:rFonts w:ascii="Times New Roman"/>
                <w:spacing w:val="-1"/>
                <w:sz w:val="20"/>
              </w:rPr>
              <w:t>120,496,072.28</w:t>
            </w:r>
          </w:p>
        </w:tc>
        <w:tc>
          <w:tcPr>
            <w:tcW w:w="12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pacing w:val="-1"/>
                <w:sz w:val="20"/>
              </w:rPr>
              <w:t>908,601.10</w:t>
            </w:r>
          </w:p>
        </w:tc>
        <w:tc>
          <w:tcPr>
            <w:tcW w:w="149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0"/>
                <w:szCs w:val="20"/>
              </w:rPr>
            </w:pPr>
            <w:r>
              <w:rPr>
                <w:rFonts w:ascii="Times New Roman"/>
                <w:w w:val="100"/>
                <w:sz w:val="20"/>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w w:val="100"/>
                <w:sz w:val="20"/>
              </w:rPr>
              <w:t>-</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121,404,673.38</w:t>
            </w:r>
          </w:p>
        </w:tc>
      </w:tr>
      <w:tr>
        <w:trPr>
          <w:trHeight w:val="347" w:hRule="exact"/>
        </w:trPr>
        <w:tc>
          <w:tcPr>
            <w:tcW w:w="14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b/>
                <w:bCs/>
                <w:sz w:val="20"/>
                <w:szCs w:val="20"/>
              </w:rPr>
              <w:t>金融负债</w:t>
            </w:r>
            <w:r>
              <w:rPr>
                <w:rFonts w:ascii="宋体" w:hAnsi="宋体" w:cs="宋体" w:eastAsia="宋体" w:hint="default"/>
                <w:sz w:val="20"/>
                <w:szCs w:val="20"/>
              </w:rPr>
            </w:r>
          </w:p>
        </w:tc>
        <w:tc>
          <w:tcPr>
            <w:tcW w:w="1736" w:type="dxa"/>
            <w:tcBorders>
              <w:top w:val="single" w:sz="8" w:space="0" w:color="000000"/>
              <w:left w:val="single" w:sz="6" w:space="0" w:color="000000"/>
              <w:bottom w:val="single" w:sz="8" w:space="0" w:color="000000"/>
              <w:right w:val="single" w:sz="6" w:space="0" w:color="000000"/>
            </w:tcBorders>
          </w:tcPr>
          <w:p>
            <w:pPr/>
          </w:p>
        </w:tc>
        <w:tc>
          <w:tcPr>
            <w:tcW w:w="1232" w:type="dxa"/>
            <w:tcBorders>
              <w:top w:val="single" w:sz="8" w:space="0" w:color="000000"/>
              <w:left w:val="single" w:sz="6" w:space="0" w:color="000000"/>
              <w:bottom w:val="single" w:sz="8" w:space="0" w:color="000000"/>
              <w:right w:val="single" w:sz="6" w:space="0" w:color="000000"/>
            </w:tcBorders>
          </w:tcPr>
          <w:p>
            <w:pPr/>
          </w:p>
        </w:tc>
        <w:tc>
          <w:tcPr>
            <w:tcW w:w="1498" w:type="dxa"/>
            <w:tcBorders>
              <w:top w:val="single" w:sz="8" w:space="0" w:color="000000"/>
              <w:left w:val="single" w:sz="6" w:space="0" w:color="000000"/>
              <w:bottom w:val="single" w:sz="8"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r>
      <w:tr>
        <w:trPr>
          <w:trHeight w:val="347" w:hRule="exact"/>
        </w:trPr>
        <w:tc>
          <w:tcPr>
            <w:tcW w:w="14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7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100,000,000.00</w:t>
            </w:r>
          </w:p>
        </w:tc>
        <w:tc>
          <w:tcPr>
            <w:tcW w:w="12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100"/>
                <w:sz w:val="20"/>
              </w:rPr>
              <w:t>-</w:t>
            </w:r>
          </w:p>
        </w:tc>
        <w:tc>
          <w:tcPr>
            <w:tcW w:w="149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w w:val="100"/>
                <w:sz w:val="20"/>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100"/>
                <w:sz w:val="20"/>
              </w:rPr>
              <w:t>-</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100,000,000.00</w:t>
            </w:r>
          </w:p>
        </w:tc>
      </w:tr>
      <w:tr>
        <w:trPr>
          <w:trHeight w:val="347" w:hRule="exact"/>
        </w:trPr>
        <w:tc>
          <w:tcPr>
            <w:tcW w:w="14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7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26,601,097.42</w:t>
            </w:r>
          </w:p>
        </w:tc>
        <w:tc>
          <w:tcPr>
            <w:tcW w:w="12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100"/>
                <w:sz w:val="20"/>
              </w:rPr>
              <w:t>-</w:t>
            </w:r>
          </w:p>
        </w:tc>
        <w:tc>
          <w:tcPr>
            <w:tcW w:w="149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w w:val="100"/>
                <w:sz w:val="20"/>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100"/>
                <w:sz w:val="20"/>
              </w:rPr>
              <w:t>-</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26,601,097.42</w:t>
            </w:r>
          </w:p>
        </w:tc>
      </w:tr>
      <w:tr>
        <w:trPr>
          <w:trHeight w:val="347" w:hRule="exact"/>
        </w:trPr>
        <w:tc>
          <w:tcPr>
            <w:tcW w:w="14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其它应付款</w:t>
            </w:r>
          </w:p>
        </w:tc>
        <w:tc>
          <w:tcPr>
            <w:tcW w:w="17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2,945,655.90</w:t>
            </w:r>
          </w:p>
        </w:tc>
        <w:tc>
          <w:tcPr>
            <w:tcW w:w="12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100"/>
                <w:sz w:val="20"/>
              </w:rPr>
              <w:t>-</w:t>
            </w:r>
          </w:p>
        </w:tc>
        <w:tc>
          <w:tcPr>
            <w:tcW w:w="149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w w:val="100"/>
                <w:sz w:val="20"/>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100"/>
                <w:sz w:val="20"/>
              </w:rPr>
              <w:t>-</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2,945,655.90</w:t>
            </w:r>
          </w:p>
        </w:tc>
      </w:tr>
      <w:tr>
        <w:trPr>
          <w:trHeight w:val="348" w:hRule="exact"/>
        </w:trPr>
        <w:tc>
          <w:tcPr>
            <w:tcW w:w="14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7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12,677,981.39</w:t>
            </w:r>
          </w:p>
        </w:tc>
        <w:tc>
          <w:tcPr>
            <w:tcW w:w="12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100"/>
                <w:sz w:val="20"/>
              </w:rPr>
              <w:t>-</w:t>
            </w:r>
          </w:p>
        </w:tc>
        <w:tc>
          <w:tcPr>
            <w:tcW w:w="149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w w:val="100"/>
                <w:sz w:val="20"/>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100"/>
                <w:sz w:val="20"/>
              </w:rPr>
              <w:t>-</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12,677,981.39</w:t>
            </w:r>
          </w:p>
        </w:tc>
      </w:tr>
    </w:tbl>
    <w:p>
      <w:pPr>
        <w:pStyle w:val="BodyText"/>
        <w:spacing w:line="300" w:lineRule="auto" w:before="10"/>
        <w:ind w:left="1574" w:right="113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敏感性分析 本公司采用敏感性分析技术分析风险变量的合理、可能变化对当期损益或所有者权益可能产生的影响。由于任何风险</w:t>
      </w:r>
    </w:p>
    <w:p>
      <w:pPr>
        <w:pStyle w:val="BodyText"/>
        <w:spacing w:line="316" w:lineRule="auto" w:before="31"/>
        <w:ind w:right="0"/>
        <w:jc w:val="left"/>
      </w:pPr>
      <w:r>
        <w:rPr>
          <w:spacing w:val="-2"/>
        </w:rPr>
        <w:t>变量很少孤立的发生变化，而变量之间存在的相关性对某一风险变量变化的最终影响金额将产生重大作用，因此下述内容是</w:t>
      </w:r>
      <w:r>
        <w:rPr>
          <w:spacing w:val="-64"/>
        </w:rPr>
        <w:t> </w:t>
      </w:r>
      <w:r>
        <w:rPr>
          <w:spacing w:val="-64"/>
        </w:rPr>
      </w:r>
      <w:r>
        <w:rPr/>
        <w:t>在假设每一变量的变化是独立的情况下进行的。</w:t>
      </w:r>
    </w:p>
    <w:p>
      <w:pPr>
        <w:pStyle w:val="BodyText"/>
        <w:spacing w:line="300" w:lineRule="auto" w:before="19"/>
        <w:ind w:left="1574" w:right="383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外汇风险敏感性分析</w:t>
      </w:r>
      <w:r>
        <w:rPr>
          <w:w w:val="99"/>
        </w:rPr>
        <w:t> </w:t>
      </w:r>
      <w:r>
        <w:rPr/>
        <w:t>外汇风险敏感性分析假设：所有境外经营净投资套期及现金流量套期均高度有效。</w:t>
      </w:r>
    </w:p>
    <w:p>
      <w:pPr>
        <w:pStyle w:val="BodyText"/>
        <w:spacing w:line="240" w:lineRule="auto" w:before="31"/>
        <w:ind w:left="1574" w:right="0"/>
        <w:jc w:val="left"/>
      </w:pPr>
      <w:r>
        <w:rPr/>
        <w:t>在上述假设的基础上，在其它变量不变的情况下，汇率可能发生的合理变动对当期损益和权益的税后影响如下：</w:t>
      </w:r>
    </w:p>
    <w:p>
      <w:pPr>
        <w:spacing w:line="240" w:lineRule="auto" w:before="0"/>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669"/>
        <w:gridCol w:w="1722"/>
        <w:gridCol w:w="1568"/>
        <w:gridCol w:w="1526"/>
        <w:gridCol w:w="1553"/>
        <w:gridCol w:w="1565"/>
      </w:tblGrid>
      <w:tr>
        <w:trPr>
          <w:trHeight w:val="349" w:hRule="exact"/>
        </w:trPr>
        <w:tc>
          <w:tcPr>
            <w:tcW w:w="669" w:type="dxa"/>
            <w:vMerge w:val="restart"/>
            <w:tcBorders>
              <w:top w:val="single" w:sz="6" w:space="0" w:color="000000"/>
              <w:left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b/>
                <w:bCs/>
                <w:sz w:val="20"/>
                <w:szCs w:val="20"/>
              </w:rPr>
              <w:t>項目</w:t>
            </w:r>
            <w:r>
              <w:rPr>
                <w:rFonts w:ascii="宋体" w:hAnsi="宋体" w:cs="宋体" w:eastAsia="宋体" w:hint="default"/>
                <w:sz w:val="20"/>
                <w:szCs w:val="20"/>
              </w:rPr>
            </w:r>
          </w:p>
        </w:tc>
        <w:tc>
          <w:tcPr>
            <w:tcW w:w="1722" w:type="dxa"/>
            <w:vMerge w:val="restart"/>
            <w:tcBorders>
              <w:top w:val="single" w:sz="6" w:space="0" w:color="000000"/>
              <w:left w:val="single" w:sz="6" w:space="0" w:color="000000"/>
              <w:right w:val="single" w:sz="6" w:space="0" w:color="000000"/>
            </w:tcBorders>
          </w:tcPr>
          <w:p>
            <w:pPr>
              <w:pStyle w:val="TableParagraph"/>
              <w:spacing w:line="240" w:lineRule="auto" w:before="5"/>
              <w:ind w:left="451" w:right="0"/>
              <w:jc w:val="left"/>
              <w:rPr>
                <w:rFonts w:ascii="宋体" w:hAnsi="宋体" w:cs="宋体" w:eastAsia="宋体" w:hint="default"/>
                <w:sz w:val="20"/>
                <w:szCs w:val="20"/>
              </w:rPr>
            </w:pPr>
            <w:r>
              <w:rPr>
                <w:rFonts w:ascii="宋体" w:hAnsi="宋体" w:cs="宋体" w:eastAsia="宋体" w:hint="default"/>
                <w:b/>
                <w:bCs/>
                <w:sz w:val="20"/>
                <w:szCs w:val="20"/>
              </w:rPr>
              <w:t>汇率变动</w:t>
            </w:r>
            <w:r>
              <w:rPr>
                <w:rFonts w:ascii="宋体" w:hAnsi="宋体" w:cs="宋体" w:eastAsia="宋体" w:hint="default"/>
                <w:sz w:val="20"/>
                <w:szCs w:val="20"/>
              </w:rPr>
            </w:r>
          </w:p>
        </w:tc>
        <w:tc>
          <w:tcPr>
            <w:tcW w:w="3094" w:type="dxa"/>
            <w:gridSpan w:val="2"/>
            <w:tcBorders>
              <w:top w:val="single" w:sz="6" w:space="0" w:color="000000"/>
              <w:left w:val="single" w:sz="6" w:space="0" w:color="000000"/>
              <w:bottom w:val="single" w:sz="8"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2015</w:t>
            </w:r>
            <w:r>
              <w:rPr>
                <w:rFonts w:ascii="宋体" w:hAnsi="宋体" w:cs="宋体" w:eastAsia="宋体" w:hint="default"/>
                <w:b/>
                <w:bCs/>
                <w:sz w:val="20"/>
                <w:szCs w:val="20"/>
              </w:rPr>
              <w:t>年度</w:t>
            </w:r>
            <w:r>
              <w:rPr>
                <w:rFonts w:ascii="宋体" w:hAnsi="宋体" w:cs="宋体" w:eastAsia="宋体" w:hint="default"/>
                <w:sz w:val="20"/>
                <w:szCs w:val="20"/>
              </w:rPr>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2014</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660" w:hRule="exact"/>
        </w:trPr>
        <w:tc>
          <w:tcPr>
            <w:tcW w:w="669" w:type="dxa"/>
            <w:vMerge/>
            <w:tcBorders>
              <w:left w:val="single" w:sz="6" w:space="0" w:color="000000"/>
              <w:bottom w:val="single" w:sz="8" w:space="0" w:color="000000"/>
              <w:right w:val="single" w:sz="6" w:space="0" w:color="000000"/>
            </w:tcBorders>
          </w:tcPr>
          <w:p>
            <w:pPr/>
          </w:p>
        </w:tc>
        <w:tc>
          <w:tcPr>
            <w:tcW w:w="1722" w:type="dxa"/>
            <w:vMerge/>
            <w:tcBorders>
              <w:left w:val="single" w:sz="6" w:space="0" w:color="000000"/>
              <w:bottom w:val="single" w:sz="8" w:space="0" w:color="000000"/>
              <w:right w:val="single" w:sz="6" w:space="0" w:color="000000"/>
            </w:tcBorders>
          </w:tcPr>
          <w:p>
            <w:pPr/>
          </w:p>
        </w:tc>
        <w:tc>
          <w:tcPr>
            <w:tcW w:w="15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73" w:right="0"/>
              <w:jc w:val="left"/>
              <w:rPr>
                <w:rFonts w:ascii="宋体" w:hAnsi="宋体" w:cs="宋体" w:eastAsia="宋体" w:hint="default"/>
                <w:sz w:val="20"/>
                <w:szCs w:val="20"/>
              </w:rPr>
            </w:pPr>
            <w:r>
              <w:rPr>
                <w:rFonts w:ascii="宋体" w:hAnsi="宋体" w:cs="宋体" w:eastAsia="宋体" w:hint="default"/>
                <w:b/>
                <w:bCs/>
                <w:sz w:val="20"/>
                <w:szCs w:val="20"/>
              </w:rPr>
              <w:t>对净利润的影响</w:t>
            </w:r>
            <w:r>
              <w:rPr>
                <w:rFonts w:ascii="宋体" w:hAnsi="宋体" w:cs="宋体" w:eastAsia="宋体" w:hint="default"/>
                <w:sz w:val="20"/>
                <w:szCs w:val="20"/>
              </w:rPr>
            </w:r>
          </w:p>
        </w:tc>
        <w:tc>
          <w:tcPr>
            <w:tcW w:w="1526" w:type="dxa"/>
            <w:tcBorders>
              <w:top w:val="single" w:sz="8" w:space="0" w:color="000000"/>
              <w:left w:val="single" w:sz="6" w:space="0" w:color="000000"/>
              <w:bottom w:val="single" w:sz="8" w:space="0" w:color="000000"/>
              <w:right w:val="single" w:sz="4" w:space="0" w:color="000000"/>
            </w:tcBorders>
          </w:tcPr>
          <w:p>
            <w:pPr>
              <w:pStyle w:val="TableParagraph"/>
              <w:spacing w:line="285" w:lineRule="auto"/>
              <w:ind w:left="555" w:right="53" w:hanging="502"/>
              <w:jc w:val="left"/>
              <w:rPr>
                <w:rFonts w:ascii="宋体" w:hAnsi="宋体" w:cs="宋体" w:eastAsia="宋体" w:hint="default"/>
                <w:sz w:val="20"/>
                <w:szCs w:val="20"/>
              </w:rPr>
            </w:pPr>
            <w:r>
              <w:rPr>
                <w:rFonts w:ascii="宋体" w:hAnsi="宋体" w:cs="宋体" w:eastAsia="宋体" w:hint="default"/>
                <w:b/>
                <w:bCs/>
                <w:sz w:val="20"/>
                <w:szCs w:val="20"/>
              </w:rPr>
              <w:t>对所有者权益的</w:t>
            </w:r>
            <w:r>
              <w:rPr>
                <w:rFonts w:ascii="宋体" w:hAnsi="宋体" w:cs="宋体" w:eastAsia="宋体" w:hint="default"/>
                <w:b/>
                <w:bCs/>
                <w:w w:val="99"/>
                <w:sz w:val="20"/>
                <w:szCs w:val="20"/>
              </w:rPr>
              <w:t> </w:t>
            </w:r>
            <w:r>
              <w:rPr>
                <w:rFonts w:ascii="宋体" w:hAnsi="宋体" w:cs="宋体" w:eastAsia="宋体" w:hint="default"/>
                <w:b/>
                <w:bCs/>
                <w:sz w:val="20"/>
                <w:szCs w:val="20"/>
              </w:rPr>
              <w:t>影响</w:t>
            </w:r>
            <w:r>
              <w:rPr>
                <w:rFonts w:ascii="宋体" w:hAnsi="宋体" w:cs="宋体" w:eastAsia="宋体" w:hint="default"/>
                <w:sz w:val="20"/>
                <w:szCs w:val="20"/>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8" w:right="0"/>
              <w:jc w:val="left"/>
              <w:rPr>
                <w:rFonts w:ascii="宋体" w:hAnsi="宋体" w:cs="宋体" w:eastAsia="宋体" w:hint="default"/>
                <w:sz w:val="20"/>
                <w:szCs w:val="20"/>
              </w:rPr>
            </w:pPr>
            <w:r>
              <w:rPr>
                <w:rFonts w:ascii="宋体" w:hAnsi="宋体" w:cs="宋体" w:eastAsia="宋体" w:hint="default"/>
                <w:b/>
                <w:bCs/>
                <w:sz w:val="20"/>
                <w:szCs w:val="20"/>
              </w:rPr>
              <w:t>对净利润的影响</w:t>
            </w:r>
            <w:r>
              <w:rPr>
                <w:rFonts w:ascii="宋体" w:hAnsi="宋体" w:cs="宋体" w:eastAsia="宋体" w:hint="default"/>
                <w:sz w:val="20"/>
                <w:szCs w:val="20"/>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577" w:right="72" w:hanging="502"/>
              <w:jc w:val="left"/>
              <w:rPr>
                <w:rFonts w:ascii="宋体" w:hAnsi="宋体" w:cs="宋体" w:eastAsia="宋体" w:hint="default"/>
                <w:sz w:val="20"/>
                <w:szCs w:val="20"/>
              </w:rPr>
            </w:pPr>
            <w:r>
              <w:rPr>
                <w:rFonts w:ascii="宋体" w:hAnsi="宋体" w:cs="宋体" w:eastAsia="宋体" w:hint="default"/>
                <w:b/>
                <w:bCs/>
                <w:sz w:val="20"/>
                <w:szCs w:val="20"/>
              </w:rPr>
              <w:t>对所有者权益的</w:t>
            </w:r>
            <w:r>
              <w:rPr>
                <w:rFonts w:ascii="宋体" w:hAnsi="宋体" w:cs="宋体" w:eastAsia="宋体" w:hint="default"/>
                <w:b/>
                <w:bCs/>
                <w:w w:val="99"/>
                <w:sz w:val="20"/>
                <w:szCs w:val="20"/>
              </w:rPr>
              <w:t> </w:t>
            </w:r>
            <w:r>
              <w:rPr>
                <w:rFonts w:ascii="宋体" w:hAnsi="宋体" w:cs="宋体" w:eastAsia="宋体" w:hint="default"/>
                <w:b/>
                <w:bCs/>
                <w:sz w:val="20"/>
                <w:szCs w:val="20"/>
              </w:rPr>
              <w:t>影响</w:t>
            </w:r>
            <w:r>
              <w:rPr>
                <w:rFonts w:ascii="宋体" w:hAnsi="宋体" w:cs="宋体" w:eastAsia="宋体" w:hint="default"/>
                <w:sz w:val="20"/>
                <w:szCs w:val="20"/>
              </w:rPr>
            </w:r>
          </w:p>
        </w:tc>
      </w:tr>
      <w:tr>
        <w:trPr>
          <w:trHeight w:val="347" w:hRule="exact"/>
        </w:trPr>
        <w:tc>
          <w:tcPr>
            <w:tcW w:w="669"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1722"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对人民币升值</w:t>
            </w:r>
            <w:r>
              <w:rPr>
                <w:rFonts w:ascii="Times New Roman" w:hAnsi="Times New Roman" w:cs="Times New Roman" w:eastAsia="Times New Roman" w:hint="default"/>
                <w:sz w:val="20"/>
                <w:szCs w:val="20"/>
              </w:rPr>
              <w:t>5%</w:t>
            </w:r>
          </w:p>
        </w:tc>
        <w:tc>
          <w:tcPr>
            <w:tcW w:w="15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pacing w:val="-1"/>
                <w:sz w:val="20"/>
              </w:rPr>
              <w:t>460,794.70</w:t>
            </w:r>
          </w:p>
        </w:tc>
        <w:tc>
          <w:tcPr>
            <w:tcW w:w="1526"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pacing w:val="-1"/>
                <w:sz w:val="20"/>
              </w:rPr>
              <w:t>460,794.70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170,749.74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170,749.74</w:t>
            </w:r>
          </w:p>
        </w:tc>
      </w:tr>
      <w:tr>
        <w:trPr>
          <w:trHeight w:val="347" w:hRule="exact"/>
        </w:trPr>
        <w:tc>
          <w:tcPr>
            <w:tcW w:w="6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17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对人民币贬值</w:t>
            </w:r>
            <w:r>
              <w:rPr>
                <w:rFonts w:ascii="Times New Roman" w:hAnsi="Times New Roman" w:cs="Times New Roman" w:eastAsia="Times New Roman" w:hint="default"/>
                <w:sz w:val="20"/>
                <w:szCs w:val="20"/>
              </w:rPr>
              <w:t>5%</w:t>
            </w:r>
          </w:p>
        </w:tc>
        <w:tc>
          <w:tcPr>
            <w:tcW w:w="15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-460,794.70</w:t>
            </w:r>
          </w:p>
        </w:tc>
        <w:tc>
          <w:tcPr>
            <w:tcW w:w="1526"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pacing w:val="-1"/>
                <w:sz w:val="20"/>
              </w:rPr>
              <w:t>-460,794.70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-170,749.74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-170,749.74</w:t>
            </w:r>
          </w:p>
        </w:tc>
      </w:tr>
      <w:tr>
        <w:trPr>
          <w:trHeight w:val="347" w:hRule="exact"/>
        </w:trPr>
        <w:tc>
          <w:tcPr>
            <w:tcW w:w="6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港币</w:t>
            </w:r>
          </w:p>
        </w:tc>
        <w:tc>
          <w:tcPr>
            <w:tcW w:w="17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对人民币升值</w:t>
            </w:r>
            <w:r>
              <w:rPr>
                <w:rFonts w:ascii="Times New Roman" w:hAnsi="Times New Roman" w:cs="Times New Roman" w:eastAsia="Times New Roman" w:hint="default"/>
                <w:sz w:val="20"/>
                <w:szCs w:val="20"/>
              </w:rPr>
              <w:t>5%</w:t>
            </w:r>
          </w:p>
        </w:tc>
        <w:tc>
          <w:tcPr>
            <w:tcW w:w="15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1,068,257.37</w:t>
            </w:r>
          </w:p>
        </w:tc>
        <w:tc>
          <w:tcPr>
            <w:tcW w:w="1526"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1,068,257.37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49,605.01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49,605.01</w:t>
            </w:r>
          </w:p>
        </w:tc>
      </w:tr>
      <w:tr>
        <w:trPr>
          <w:trHeight w:val="347" w:hRule="exact"/>
        </w:trPr>
        <w:tc>
          <w:tcPr>
            <w:tcW w:w="6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港币</w:t>
            </w:r>
          </w:p>
        </w:tc>
        <w:tc>
          <w:tcPr>
            <w:tcW w:w="17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对人民币贬值</w:t>
            </w:r>
            <w:r>
              <w:rPr>
                <w:rFonts w:ascii="Times New Roman" w:hAnsi="Times New Roman" w:cs="Times New Roman" w:eastAsia="Times New Roman" w:hint="default"/>
                <w:sz w:val="20"/>
                <w:szCs w:val="20"/>
              </w:rPr>
              <w:t>5%</w:t>
            </w:r>
          </w:p>
        </w:tc>
        <w:tc>
          <w:tcPr>
            <w:tcW w:w="15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-1,068,257.37</w:t>
            </w:r>
          </w:p>
        </w:tc>
        <w:tc>
          <w:tcPr>
            <w:tcW w:w="1526"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-1,068,257.37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-49,605.01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-49,605.01</w:t>
            </w:r>
          </w:p>
        </w:tc>
      </w:tr>
      <w:tr>
        <w:trPr>
          <w:trHeight w:val="347" w:hRule="exact"/>
        </w:trPr>
        <w:tc>
          <w:tcPr>
            <w:tcW w:w="6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韩元</w:t>
            </w:r>
          </w:p>
        </w:tc>
        <w:tc>
          <w:tcPr>
            <w:tcW w:w="17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对人民币升值</w:t>
            </w:r>
            <w:r>
              <w:rPr>
                <w:rFonts w:ascii="Times New Roman" w:hAnsi="Times New Roman" w:cs="Times New Roman" w:eastAsia="Times New Roman" w:hint="default"/>
                <w:sz w:val="20"/>
                <w:szCs w:val="20"/>
              </w:rPr>
              <w:t>5%</w:t>
            </w:r>
          </w:p>
        </w:tc>
        <w:tc>
          <w:tcPr>
            <w:tcW w:w="15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-113,889.18</w:t>
            </w:r>
          </w:p>
        </w:tc>
        <w:tc>
          <w:tcPr>
            <w:tcW w:w="1526"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pacing w:val="-1"/>
                <w:sz w:val="20"/>
              </w:rPr>
              <w:t>-113,889.18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1,813,539.41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1,813,539.41</w:t>
            </w:r>
          </w:p>
        </w:tc>
      </w:tr>
      <w:tr>
        <w:trPr>
          <w:trHeight w:val="348" w:hRule="exact"/>
        </w:trPr>
        <w:tc>
          <w:tcPr>
            <w:tcW w:w="6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韩元</w:t>
            </w:r>
          </w:p>
        </w:tc>
        <w:tc>
          <w:tcPr>
            <w:tcW w:w="17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对人民币贬值</w:t>
            </w:r>
            <w:r>
              <w:rPr>
                <w:rFonts w:ascii="Times New Roman" w:hAnsi="Times New Roman" w:cs="Times New Roman" w:eastAsia="Times New Roman" w:hint="default"/>
                <w:sz w:val="20"/>
                <w:szCs w:val="20"/>
              </w:rPr>
              <w:t>5%</w:t>
            </w:r>
          </w:p>
        </w:tc>
        <w:tc>
          <w:tcPr>
            <w:tcW w:w="15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113,889.18</w:t>
            </w:r>
          </w:p>
        </w:tc>
        <w:tc>
          <w:tcPr>
            <w:tcW w:w="1526"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113,889.18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-1,813,539.41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-1,813,539.41</w:t>
            </w:r>
          </w:p>
        </w:tc>
      </w:tr>
    </w:tbl>
    <w:p>
      <w:pPr>
        <w:pStyle w:val="BodyText"/>
        <w:spacing w:line="309" w:lineRule="auto" w:before="10"/>
        <w:ind w:left="1574" w:right="5812" w:firstLine="9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利率风险敏感性分析</w:t>
      </w:r>
      <w:r>
        <w:rPr>
          <w:w w:val="99"/>
        </w:rPr>
        <w:t> </w:t>
      </w:r>
      <w:r>
        <w:rPr/>
        <w:t>利率风险敏感性分析基于下述假设：</w:t>
      </w:r>
      <w:r>
        <w:rPr>
          <w:w w:val="99"/>
        </w:rPr>
        <w:t> </w:t>
      </w:r>
      <w:r>
        <w:rPr/>
        <w:t>市场利率变化影响可变利率金融工具的利息收入或费用；</w:t>
      </w:r>
    </w:p>
    <w:p>
      <w:pPr>
        <w:pStyle w:val="BodyText"/>
        <w:spacing w:line="316" w:lineRule="auto" w:before="24"/>
        <w:ind w:left="1574" w:right="1492"/>
        <w:jc w:val="left"/>
      </w:pPr>
      <w:r>
        <w:rPr/>
        <w:t>对于以公允价值计量的固定利率金融工具，市场利率变化仅仅影响其利息收入或费用； 以资产负债表日市场利率采用现金流量折现法计算衍生金融工具及其它金融资产和负债的公允价值变化。 在上述假设的基础上，在其它变量不变的情况下，利率可能发生的合理变动对当期损益和权益的税后影响如下：</w:t>
      </w:r>
    </w:p>
    <w:tbl>
      <w:tblPr>
        <w:tblW w:w="0" w:type="auto"/>
        <w:jc w:val="left"/>
        <w:tblInd w:w="1126" w:type="dxa"/>
        <w:tblLayout w:type="fixed"/>
        <w:tblCellMar>
          <w:top w:w="0" w:type="dxa"/>
          <w:left w:w="0" w:type="dxa"/>
          <w:bottom w:w="0" w:type="dxa"/>
          <w:right w:w="0" w:type="dxa"/>
        </w:tblCellMar>
        <w:tblLook w:val="01E0"/>
      </w:tblPr>
      <w:tblGrid>
        <w:gridCol w:w="1510"/>
        <w:gridCol w:w="916"/>
        <w:gridCol w:w="1474"/>
        <w:gridCol w:w="1847"/>
        <w:gridCol w:w="1386"/>
        <w:gridCol w:w="1591"/>
      </w:tblGrid>
      <w:tr>
        <w:trPr>
          <w:trHeight w:val="349" w:hRule="exact"/>
        </w:trPr>
        <w:tc>
          <w:tcPr>
            <w:tcW w:w="1510" w:type="dxa"/>
            <w:vMerge w:val="restart"/>
            <w:tcBorders>
              <w:top w:val="single" w:sz="6" w:space="0" w:color="000000"/>
              <w:left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916" w:type="dxa"/>
            <w:vMerge w:val="restart"/>
            <w:tcBorders>
              <w:top w:val="single" w:sz="6" w:space="0" w:color="000000"/>
              <w:left w:val="single" w:sz="6" w:space="0" w:color="000000"/>
              <w:right w:val="single" w:sz="6" w:space="0" w:color="000000"/>
            </w:tcBorders>
          </w:tcPr>
          <w:p>
            <w:pPr>
              <w:pStyle w:val="TableParagraph"/>
              <w:spacing w:line="240" w:lineRule="auto" w:before="5"/>
              <w:ind w:left="49" w:right="0"/>
              <w:jc w:val="left"/>
              <w:rPr>
                <w:rFonts w:ascii="宋体" w:hAnsi="宋体" w:cs="宋体" w:eastAsia="宋体" w:hint="default"/>
                <w:sz w:val="20"/>
                <w:szCs w:val="20"/>
              </w:rPr>
            </w:pPr>
            <w:r>
              <w:rPr>
                <w:rFonts w:ascii="宋体" w:hAnsi="宋体" w:cs="宋体" w:eastAsia="宋体" w:hint="default"/>
                <w:b/>
                <w:bCs/>
                <w:sz w:val="20"/>
                <w:szCs w:val="20"/>
              </w:rPr>
              <w:t>利率变动</w:t>
            </w:r>
            <w:r>
              <w:rPr>
                <w:rFonts w:ascii="宋体" w:hAnsi="宋体" w:cs="宋体" w:eastAsia="宋体" w:hint="default"/>
                <w:sz w:val="20"/>
                <w:szCs w:val="20"/>
              </w:rPr>
            </w:r>
          </w:p>
        </w:tc>
        <w:tc>
          <w:tcPr>
            <w:tcW w:w="3321" w:type="dxa"/>
            <w:gridSpan w:val="2"/>
            <w:tcBorders>
              <w:top w:val="single" w:sz="6" w:space="0" w:color="000000"/>
              <w:left w:val="single" w:sz="6" w:space="0" w:color="000000"/>
              <w:bottom w:val="single" w:sz="8"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2015</w:t>
            </w:r>
            <w:r>
              <w:rPr>
                <w:rFonts w:ascii="宋体" w:hAnsi="宋体" w:cs="宋体" w:eastAsia="宋体" w:hint="default"/>
                <w:b/>
                <w:bCs/>
                <w:sz w:val="20"/>
                <w:szCs w:val="20"/>
              </w:rPr>
              <w:t>年度</w:t>
            </w:r>
            <w:r>
              <w:rPr>
                <w:rFonts w:ascii="宋体" w:hAnsi="宋体" w:cs="宋体" w:eastAsia="宋体" w:hint="default"/>
                <w:sz w:val="20"/>
                <w:szCs w:val="20"/>
              </w:rPr>
            </w:r>
          </w:p>
        </w:tc>
        <w:tc>
          <w:tcPr>
            <w:tcW w:w="2978" w:type="dxa"/>
            <w:gridSpan w:val="2"/>
            <w:tcBorders>
              <w:top w:val="single" w:sz="4" w:space="0" w:color="000000"/>
              <w:left w:val="single" w:sz="4" w:space="0" w:color="000000"/>
              <w:bottom w:val="single" w:sz="6"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2014</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660" w:hRule="exact"/>
        </w:trPr>
        <w:tc>
          <w:tcPr>
            <w:tcW w:w="1510" w:type="dxa"/>
            <w:vMerge/>
            <w:tcBorders>
              <w:left w:val="single" w:sz="6" w:space="0" w:color="000000"/>
              <w:bottom w:val="single" w:sz="8" w:space="0" w:color="000000"/>
              <w:right w:val="single" w:sz="6" w:space="0" w:color="000000"/>
            </w:tcBorders>
          </w:tcPr>
          <w:p>
            <w:pPr/>
          </w:p>
        </w:tc>
        <w:tc>
          <w:tcPr>
            <w:tcW w:w="916" w:type="dxa"/>
            <w:vMerge/>
            <w:tcBorders>
              <w:left w:val="single" w:sz="6" w:space="0" w:color="000000"/>
              <w:bottom w:val="single" w:sz="8" w:space="0" w:color="000000"/>
              <w:right w:val="single" w:sz="6" w:space="0" w:color="000000"/>
            </w:tcBorders>
          </w:tcPr>
          <w:p>
            <w:pPr/>
          </w:p>
        </w:tc>
        <w:tc>
          <w:tcPr>
            <w:tcW w:w="14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right="26"/>
              <w:jc w:val="right"/>
              <w:rPr>
                <w:rFonts w:ascii="宋体" w:hAnsi="宋体" w:cs="宋体" w:eastAsia="宋体" w:hint="default"/>
                <w:sz w:val="20"/>
                <w:szCs w:val="20"/>
              </w:rPr>
            </w:pPr>
            <w:r>
              <w:rPr>
                <w:rFonts w:ascii="宋体" w:hAnsi="宋体" w:cs="宋体" w:eastAsia="宋体" w:hint="default"/>
                <w:b/>
                <w:bCs/>
                <w:w w:val="95"/>
                <w:sz w:val="20"/>
                <w:szCs w:val="20"/>
              </w:rPr>
              <w:t>对净利润的影响</w:t>
            </w:r>
            <w:r>
              <w:rPr>
                <w:rFonts w:ascii="宋体" w:hAnsi="宋体" w:cs="宋体" w:eastAsia="宋体" w:hint="default"/>
                <w:sz w:val="20"/>
                <w:szCs w:val="20"/>
              </w:rPr>
            </w:r>
          </w:p>
        </w:tc>
        <w:tc>
          <w:tcPr>
            <w:tcW w:w="18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right="11"/>
              <w:jc w:val="right"/>
              <w:rPr>
                <w:rFonts w:ascii="宋体" w:hAnsi="宋体" w:cs="宋体" w:eastAsia="宋体" w:hint="default"/>
                <w:sz w:val="20"/>
                <w:szCs w:val="20"/>
              </w:rPr>
            </w:pPr>
            <w:r>
              <w:rPr>
                <w:rFonts w:ascii="宋体" w:hAnsi="宋体" w:cs="宋体" w:eastAsia="宋体" w:hint="default"/>
                <w:b/>
                <w:bCs/>
                <w:w w:val="95"/>
                <w:sz w:val="20"/>
                <w:szCs w:val="20"/>
              </w:rPr>
              <w:t>对所有者权益的影响</w:t>
            </w:r>
            <w:r>
              <w:rPr>
                <w:rFonts w:ascii="宋体" w:hAnsi="宋体" w:cs="宋体" w:eastAsia="宋体" w:hint="default"/>
                <w:sz w:val="20"/>
                <w:szCs w:val="20"/>
              </w:rPr>
            </w:r>
          </w:p>
        </w:tc>
        <w:tc>
          <w:tcPr>
            <w:tcW w:w="1386" w:type="dxa"/>
            <w:tcBorders>
              <w:top w:val="single" w:sz="6" w:space="0" w:color="000000"/>
              <w:left w:val="single" w:sz="6" w:space="0" w:color="000000"/>
              <w:bottom w:val="single" w:sz="8" w:space="0" w:color="000000"/>
              <w:right w:val="single" w:sz="4" w:space="0" w:color="000000"/>
            </w:tcBorders>
          </w:tcPr>
          <w:p>
            <w:pPr>
              <w:pStyle w:val="TableParagraph"/>
              <w:spacing w:line="285" w:lineRule="auto" w:before="3"/>
              <w:ind w:left="585" w:right="85" w:hanging="503"/>
              <w:jc w:val="left"/>
              <w:rPr>
                <w:rFonts w:ascii="宋体" w:hAnsi="宋体" w:cs="宋体" w:eastAsia="宋体" w:hint="default"/>
                <w:sz w:val="20"/>
                <w:szCs w:val="20"/>
              </w:rPr>
            </w:pPr>
            <w:r>
              <w:rPr>
                <w:rFonts w:ascii="宋体" w:hAnsi="宋体" w:cs="宋体" w:eastAsia="宋体" w:hint="default"/>
                <w:b/>
                <w:bCs/>
                <w:sz w:val="20"/>
                <w:szCs w:val="20"/>
              </w:rPr>
              <w:t>对净利润的影</w:t>
            </w:r>
            <w:r>
              <w:rPr>
                <w:rFonts w:ascii="宋体" w:hAnsi="宋体" w:cs="宋体" w:eastAsia="宋体" w:hint="default"/>
                <w:b/>
                <w:bCs/>
                <w:w w:val="99"/>
                <w:sz w:val="20"/>
                <w:szCs w:val="20"/>
              </w:rPr>
              <w:t> </w:t>
            </w:r>
            <w:r>
              <w:rPr>
                <w:rFonts w:ascii="宋体" w:hAnsi="宋体" w:cs="宋体" w:eastAsia="宋体" w:hint="default"/>
                <w:b/>
                <w:bCs/>
                <w:sz w:val="20"/>
                <w:szCs w:val="20"/>
              </w:rPr>
              <w:t>响</w:t>
            </w:r>
            <w:r>
              <w:rPr>
                <w:rFonts w:ascii="宋体" w:hAnsi="宋体" w:cs="宋体" w:eastAsia="宋体" w:hint="default"/>
                <w:sz w:val="20"/>
                <w:szCs w:val="20"/>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590" w:right="87" w:hanging="502"/>
              <w:jc w:val="left"/>
              <w:rPr>
                <w:rFonts w:ascii="宋体" w:hAnsi="宋体" w:cs="宋体" w:eastAsia="宋体" w:hint="default"/>
                <w:sz w:val="20"/>
                <w:szCs w:val="20"/>
              </w:rPr>
            </w:pPr>
            <w:r>
              <w:rPr>
                <w:rFonts w:ascii="宋体" w:hAnsi="宋体" w:cs="宋体" w:eastAsia="宋体" w:hint="default"/>
                <w:b/>
                <w:bCs/>
                <w:sz w:val="20"/>
                <w:szCs w:val="20"/>
              </w:rPr>
              <w:t>对所有者权益的</w:t>
            </w:r>
            <w:r>
              <w:rPr>
                <w:rFonts w:ascii="宋体" w:hAnsi="宋体" w:cs="宋体" w:eastAsia="宋体" w:hint="default"/>
                <w:b/>
                <w:bCs/>
                <w:w w:val="99"/>
                <w:sz w:val="20"/>
                <w:szCs w:val="20"/>
              </w:rPr>
              <w:t> </w:t>
            </w:r>
            <w:r>
              <w:rPr>
                <w:rFonts w:ascii="宋体" w:hAnsi="宋体" w:cs="宋体" w:eastAsia="宋体" w:hint="default"/>
                <w:b/>
                <w:bCs/>
                <w:sz w:val="20"/>
                <w:szCs w:val="20"/>
              </w:rPr>
              <w:t>影响</w:t>
            </w:r>
            <w:r>
              <w:rPr>
                <w:rFonts w:ascii="宋体" w:hAnsi="宋体" w:cs="宋体" w:eastAsia="宋体" w:hint="default"/>
                <w:sz w:val="20"/>
                <w:szCs w:val="20"/>
              </w:rPr>
            </w:r>
          </w:p>
        </w:tc>
      </w:tr>
      <w:tr>
        <w:trPr>
          <w:trHeight w:val="347" w:hRule="exact"/>
        </w:trPr>
        <w:tc>
          <w:tcPr>
            <w:tcW w:w="1510"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浮动利率借款</w:t>
            </w:r>
          </w:p>
        </w:tc>
        <w:tc>
          <w:tcPr>
            <w:tcW w:w="916"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增加</w:t>
            </w:r>
            <w:r>
              <w:rPr>
                <w:rFonts w:ascii="Times New Roman" w:hAnsi="Times New Roman" w:cs="Times New Roman" w:eastAsia="Times New Roman" w:hint="default"/>
                <w:sz w:val="20"/>
                <w:szCs w:val="20"/>
              </w:rPr>
              <w:t>1%</w:t>
            </w:r>
          </w:p>
        </w:tc>
        <w:tc>
          <w:tcPr>
            <w:tcW w:w="14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0"/>
                <w:szCs w:val="20"/>
              </w:rPr>
            </w:pPr>
            <w:r>
              <w:rPr>
                <w:rFonts w:ascii="Times New Roman"/>
                <w:spacing w:val="-1"/>
                <w:sz w:val="20"/>
              </w:rPr>
              <w:t>-170,000.00</w:t>
            </w:r>
          </w:p>
        </w:tc>
        <w:tc>
          <w:tcPr>
            <w:tcW w:w="18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pacing w:val="-1"/>
                <w:sz w:val="20"/>
              </w:rPr>
              <w:t>-170,000.00</w:t>
            </w:r>
          </w:p>
        </w:tc>
        <w:tc>
          <w:tcPr>
            <w:tcW w:w="1386"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0"/>
                <w:szCs w:val="20"/>
              </w:rPr>
            </w:pPr>
            <w:r>
              <w:rPr>
                <w:rFonts w:ascii="Times New Roman"/>
                <w:spacing w:val="-1"/>
                <w:sz w:val="20"/>
              </w:rPr>
              <w:t>-577,626.00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-577,626.00</w:t>
            </w:r>
          </w:p>
        </w:tc>
      </w:tr>
      <w:tr>
        <w:trPr>
          <w:trHeight w:val="348" w:hRule="exact"/>
        </w:trPr>
        <w:tc>
          <w:tcPr>
            <w:tcW w:w="15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浮动利率借款</w:t>
            </w:r>
          </w:p>
        </w:tc>
        <w:tc>
          <w:tcPr>
            <w:tcW w:w="9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减少</w:t>
            </w:r>
            <w:r>
              <w:rPr>
                <w:rFonts w:ascii="Times New Roman" w:hAnsi="Times New Roman" w:cs="Times New Roman" w:eastAsia="Times New Roman" w:hint="default"/>
                <w:sz w:val="20"/>
                <w:szCs w:val="20"/>
              </w:rPr>
              <w:t>1%</w:t>
            </w:r>
          </w:p>
        </w:tc>
        <w:tc>
          <w:tcPr>
            <w:tcW w:w="14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170,000.00</w:t>
            </w:r>
          </w:p>
        </w:tc>
        <w:tc>
          <w:tcPr>
            <w:tcW w:w="18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170,000.00</w:t>
            </w:r>
          </w:p>
        </w:tc>
        <w:tc>
          <w:tcPr>
            <w:tcW w:w="1386"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pacing w:val="-1"/>
                <w:sz w:val="20"/>
              </w:rPr>
              <w:t>577,626.00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577,626.00</w:t>
            </w:r>
          </w:p>
        </w:tc>
      </w:tr>
    </w:tbl>
    <w:p>
      <w:pPr>
        <w:spacing w:after="0" w:line="240" w:lineRule="auto"/>
        <w:jc w:val="right"/>
        <w:rPr>
          <w:rFonts w:ascii="Times New Roman" w:hAnsi="Times New Roman" w:cs="Times New Roman" w:eastAsia="Times New Roman" w:hint="default"/>
          <w:sz w:val="20"/>
          <w:szCs w:val="20"/>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十一、公允价值的披露" w:id="433"/>
      <w:bookmarkEnd w:id="433"/>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left="1133" w:right="0"/>
        <w:jc w:val="left"/>
        <w:rPr>
          <w:b w:val="0"/>
          <w:bCs w:val="0"/>
        </w:rPr>
      </w:pPr>
      <w:bookmarkStart w:name="1、以公允价值计量的资产和负债的期末公允价值" w:id="434"/>
      <w:bookmarkEnd w:id="434"/>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402"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35"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1971" w:type="dxa"/>
            <w:vMerge w:val="restart"/>
            <w:tcBorders>
              <w:top w:val="nil" w:sz="6" w:space="0" w:color="auto"/>
              <w:left w:val="single" w:sz="4" w:space="0" w:color="000000"/>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可供出售金融资产</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181,972,226.70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181,972,226.70</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181,972,226.70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181,972,226.70</w:t>
            </w:r>
          </w:p>
        </w:tc>
      </w:tr>
      <w:tr>
        <w:trPr>
          <w:trHeight w:val="161"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1" w:type="dxa"/>
            <w:vMerge/>
            <w:tcBorders>
              <w:left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7"/>
        <w:spacing w:line="240" w:lineRule="auto" w:before="35"/>
        <w:ind w:right="0"/>
        <w:jc w:val="left"/>
        <w:rPr>
          <w:b w:val="0"/>
          <w:bCs w:val="0"/>
        </w:rPr>
      </w:pPr>
      <w:bookmarkStart w:name="2、持续和非持续第一层次公允价值计量项目市价的确定依据" w:id="435"/>
      <w:bookmarkEnd w:id="435"/>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3、持续和非持续第二层次公允价值计量项目，采用的估值技术和重要参数的定性及定量信" w:id="436"/>
      <w:bookmarkEnd w:id="436"/>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6"/>
          <w:szCs w:val="26"/>
        </w:rPr>
      </w:pPr>
    </w:p>
    <w:p>
      <w:pPr>
        <w:pStyle w:val="BodyText"/>
        <w:spacing w:line="304" w:lineRule="auto"/>
        <w:ind w:right="1131" w:firstLine="420"/>
        <w:jc w:val="both"/>
      </w:pPr>
      <w:r>
        <w:rPr/>
        <w:t>本公司可供出售金融资产年末余额</w:t>
      </w:r>
      <w:r>
        <w:rPr>
          <w:rFonts w:ascii="Times New Roman" w:hAnsi="Times New Roman" w:cs="Times New Roman" w:eastAsia="Times New Roman" w:hint="default"/>
        </w:rPr>
        <w:t>181,972,226.70</w:t>
      </w:r>
      <w:r>
        <w:rPr/>
        <w:t>元系根据《企业会计准则第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长期股权投资》第十五条，本公司因 </w:t>
      </w:r>
      <w:r>
        <w:rPr>
          <w:spacing w:val="-1"/>
        </w:rPr>
        <w:t>处置上海跳跃</w:t>
      </w:r>
      <w:r>
        <w:rPr>
          <w:rFonts w:ascii="Times New Roman" w:hAnsi="Times New Roman" w:cs="Times New Roman" w:eastAsia="Times New Roman" w:hint="default"/>
          <w:spacing w:val="-1"/>
        </w:rPr>
        <w:t>10.1%</w:t>
      </w:r>
      <w:r>
        <w:rPr>
          <w:spacing w:val="-1"/>
        </w:rPr>
        <w:t>股权投资丧失了对上海跳跃重大影响，处置后的剩余股权应当改按《企业会计准则第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w:t>
      </w:r>
      <w:r>
        <w:rPr>
          <w:spacing w:val="-41"/>
        </w:rPr>
        <w:t> </w:t>
      </w:r>
      <w:r>
        <w:rPr>
          <w:spacing w:val="-2"/>
        </w:rPr>
        <w:t>认和计量》核算，其在丧失重大影响之日的公允价值与账面价值之间的差额计入当期损益而确认。其公允价值是基于北京中</w:t>
      </w:r>
      <w:r>
        <w:rPr>
          <w:spacing w:val="-66"/>
        </w:rPr>
        <w:t> </w:t>
      </w:r>
      <w:r>
        <w:rPr>
          <w:spacing w:val="-66"/>
        </w:rPr>
      </w:r>
      <w:r>
        <w:rPr>
          <w:spacing w:val="-1"/>
        </w:rPr>
        <w:t>林资产评估有限公司</w:t>
      </w:r>
      <w:r>
        <w:rPr>
          <w:rFonts w:ascii="Times New Roman" w:hAnsi="Times New Roman" w:cs="Times New Roman" w:eastAsia="Times New Roman" w:hint="default"/>
          <w:spacing w:val="-1"/>
        </w:rPr>
        <w:t>(</w:t>
      </w:r>
      <w:r>
        <w:rPr>
          <w:spacing w:val="-1"/>
        </w:rPr>
        <w:t>与本公司无关联的独立第三方</w:t>
      </w:r>
      <w:r>
        <w:rPr>
          <w:rFonts w:ascii="Times New Roman" w:hAnsi="Times New Roman" w:cs="Times New Roman" w:eastAsia="Times New Roman" w:hint="default"/>
          <w:spacing w:val="-1"/>
        </w:rPr>
        <w:t>)</w:t>
      </w:r>
      <w:r>
        <w:rPr>
          <w:spacing w:val="-1"/>
        </w:rPr>
        <w:t>作出的估值确定。有关评估值是以收益法评估结果作为股东全部权益价</w:t>
      </w:r>
      <w:r>
        <w:rPr>
          <w:spacing w:val="-57"/>
        </w:rPr>
        <w:t> </w:t>
      </w:r>
      <w:r>
        <w:rPr>
          <w:spacing w:val="-57"/>
        </w:rPr>
      </w:r>
      <w:r>
        <w:rPr/>
        <w:t>值的评估结论。</w:t>
      </w:r>
    </w:p>
    <w:p>
      <w:pPr>
        <w:spacing w:line="240" w:lineRule="auto" w:before="3"/>
        <w:rPr>
          <w:rFonts w:ascii="宋体" w:hAnsi="宋体" w:cs="宋体" w:eastAsia="宋体" w:hint="default"/>
          <w:sz w:val="23"/>
          <w:szCs w:val="23"/>
        </w:rPr>
      </w:pPr>
    </w:p>
    <w:p>
      <w:pPr>
        <w:pStyle w:val="Heading7"/>
        <w:spacing w:line="240" w:lineRule="auto"/>
        <w:ind w:left="1133" w:right="0"/>
        <w:jc w:val="left"/>
        <w:rPr>
          <w:b w:val="0"/>
          <w:bCs w:val="0"/>
        </w:rPr>
      </w:pPr>
      <w:bookmarkStart w:name="4、持续和非持续第三层次公允价值计量项目，采用的估值技术和重要参数的定性及定量信" w:id="437"/>
      <w:bookmarkEnd w:id="437"/>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5、持续的第三层次公允价值计量项目，期初与期末账面价值间的调节信息及不可观察参数" w:id="438"/>
      <w:bookmarkEnd w:id="438"/>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6、持续的公允价值计量项目，本期内发生各层级之间转换的，转换的原因及确定转换时点" w:id="439"/>
      <w:bookmarkEnd w:id="439"/>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7、本期内发生的估值技术变更及变更原因" w:id="440"/>
      <w:bookmarkEnd w:id="440"/>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无</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40" w:lineRule="auto" w:before="35"/>
        <w:ind w:left="1133" w:right="0"/>
        <w:jc w:val="left"/>
        <w:rPr>
          <w:b w:val="0"/>
          <w:bCs w:val="0"/>
        </w:rPr>
      </w:pPr>
      <w:bookmarkStart w:name="8、不以公允价值计量的金融资产和金融负债的公允价值情况" w:id="441"/>
      <w:bookmarkEnd w:id="441"/>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9、其他" w:id="442"/>
      <w:bookmarkEnd w:id="442"/>
      <w:r>
        <w:rPr>
          <w:b w:val="0"/>
          <w:bCs w:val="0"/>
        </w:rPr>
      </w:r>
      <w:r>
        <w:rPr>
          <w:rFonts w:ascii="Times New Roman" w:hAnsi="Times New Roman" w:cs="Times New Roman" w:eastAsia="Times New Roman" w:hint="default"/>
        </w:rPr>
        <w:t>9</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3"/>
        <w:rPr>
          <w:rFonts w:ascii="宋体" w:hAnsi="宋体" w:cs="宋体" w:eastAsia="宋体" w:hint="default"/>
          <w:sz w:val="24"/>
          <w:szCs w:val="24"/>
        </w:rPr>
      </w:pPr>
    </w:p>
    <w:p>
      <w:pPr>
        <w:pStyle w:val="Heading3"/>
        <w:spacing w:line="240" w:lineRule="auto"/>
        <w:ind w:left="1134" w:right="0"/>
        <w:jc w:val="left"/>
        <w:rPr>
          <w:b w:val="0"/>
          <w:bCs w:val="0"/>
        </w:rPr>
      </w:pPr>
      <w:bookmarkStart w:name="十二、关联方及关联交易" w:id="443"/>
      <w:bookmarkEnd w:id="443"/>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left="1133" w:right="0"/>
        <w:jc w:val="left"/>
        <w:rPr>
          <w:b w:val="0"/>
          <w:bCs w:val="0"/>
        </w:rPr>
      </w:pPr>
      <w:bookmarkStart w:name="1、本企业的母公司情况" w:id="444"/>
      <w:bookmarkEnd w:id="444"/>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宝德控股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34"/>
              <w:jc w:val="right"/>
              <w:rPr>
                <w:rFonts w:ascii="Times New Roman" w:hAnsi="Times New Roman" w:cs="Times New Roman" w:eastAsia="Times New Roman" w:hint="default"/>
                <w:sz w:val="18"/>
                <w:szCs w:val="18"/>
              </w:rPr>
            </w:pPr>
            <w:r>
              <w:rPr>
                <w:rFonts w:ascii="Times New Roman"/>
                <w:spacing w:val="-1"/>
                <w:sz w:val="18"/>
              </w:rPr>
              <w:t>800,000,000.00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27.28%</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服务器生产与销售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34"/>
              <w:jc w:val="right"/>
              <w:rPr>
                <w:rFonts w:ascii="Times New Roman" w:hAnsi="Times New Roman" w:cs="Times New Roman" w:eastAsia="Times New Roman" w:hint="default"/>
                <w:sz w:val="18"/>
                <w:szCs w:val="18"/>
              </w:rPr>
            </w:pPr>
            <w:r>
              <w:rPr>
                <w:rFonts w:ascii="Times New Roman"/>
                <w:spacing w:val="-1"/>
                <w:sz w:val="18"/>
              </w:rPr>
              <w:t>243,000,000.00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15.24%</w:t>
            </w:r>
          </w:p>
        </w:tc>
      </w:tr>
    </w:tbl>
    <w:p>
      <w:pPr>
        <w:pStyle w:val="BodyText"/>
        <w:spacing w:line="357" w:lineRule="auto" w:before="51"/>
        <w:ind w:left="1574" w:right="4162" w:hanging="441"/>
        <w:jc w:val="left"/>
      </w:pPr>
      <w:r>
        <w:rPr/>
        <w:t>本企业的母公司情况的说明 宝德控股直接持有本公司</w:t>
      </w:r>
      <w:r>
        <w:rPr>
          <w:rFonts w:ascii="Times New Roman" w:hAnsi="Times New Roman" w:cs="Times New Roman" w:eastAsia="Times New Roman" w:hint="default"/>
        </w:rPr>
        <w:t>27.28%</w:t>
      </w:r>
      <w:r>
        <w:rPr/>
        <w:t>股权，宝德科技直接持有本公司</w:t>
      </w:r>
      <w:r>
        <w:rPr>
          <w:rFonts w:ascii="Times New Roman" w:hAnsi="Times New Roman" w:cs="Times New Roman" w:eastAsia="Times New Roman" w:hint="default"/>
        </w:rPr>
        <w:t>15.24%</w:t>
      </w:r>
      <w:r>
        <w:rPr/>
        <w:t>股权。</w:t>
      </w:r>
    </w:p>
    <w:p>
      <w:pPr>
        <w:spacing w:line="240" w:lineRule="auto" w:before="2"/>
        <w:rPr>
          <w:rFonts w:ascii="宋体" w:hAnsi="宋体" w:cs="宋体" w:eastAsia="宋体" w:hint="default"/>
          <w:sz w:val="21"/>
          <w:szCs w:val="21"/>
        </w:rPr>
      </w:pPr>
    </w:p>
    <w:p>
      <w:pPr>
        <w:pStyle w:val="BodyText"/>
        <w:spacing w:line="300" w:lineRule="auto"/>
        <w:ind w:left="1134" w:right="1130" w:firstLine="440"/>
        <w:jc w:val="both"/>
      </w:pPr>
      <w:r>
        <w:rPr>
          <w:spacing w:val="-1"/>
        </w:rPr>
        <w:t>李瑞杰与张云霞系夫妻关系，分别持有深圳前海宝德资产管理有限公司</w:t>
      </w:r>
      <w:r>
        <w:rPr>
          <w:rFonts w:ascii="Times New Roman" w:hAnsi="Times New Roman" w:cs="Times New Roman" w:eastAsia="Times New Roman" w:hint="default"/>
          <w:spacing w:val="-1"/>
        </w:rPr>
        <w:t>87.50%</w:t>
      </w:r>
      <w:r>
        <w:rPr>
          <w:spacing w:val="-1"/>
        </w:rPr>
        <w:t>和</w:t>
      </w:r>
      <w:r>
        <w:rPr>
          <w:rFonts w:ascii="Times New Roman" w:hAnsi="Times New Roman" w:cs="Times New Roman" w:eastAsia="Times New Roman" w:hint="default"/>
          <w:spacing w:val="-1"/>
        </w:rPr>
        <w:t>12.50%</w:t>
      </w:r>
      <w:r>
        <w:rPr>
          <w:spacing w:val="-1"/>
        </w:rPr>
        <w:t>股权。深圳前海宝德资产管理</w:t>
      </w:r>
      <w:r>
        <w:rPr/>
        <w:t> </w:t>
      </w:r>
      <w:r>
        <w:rPr>
          <w:spacing w:val="-2"/>
        </w:rPr>
        <w:t>有限公司、李瑞杰和张云霞分别持有宝德控股股权的</w:t>
      </w:r>
      <w:r>
        <w:rPr>
          <w:rFonts w:ascii="Times New Roman" w:hAnsi="Times New Roman" w:cs="Times New Roman" w:eastAsia="Times New Roman" w:hint="default"/>
          <w:spacing w:val="-2"/>
        </w:rPr>
        <w:t>57.33%</w:t>
      </w:r>
      <w:r>
        <w:rPr>
          <w:spacing w:val="-2"/>
        </w:rPr>
        <w:t>、</w:t>
      </w:r>
      <w:r>
        <w:rPr>
          <w:rFonts w:ascii="Times New Roman" w:hAnsi="Times New Roman" w:cs="Times New Roman" w:eastAsia="Times New Roman" w:hint="default"/>
          <w:spacing w:val="-2"/>
        </w:rPr>
        <w:t>37.34%</w:t>
      </w:r>
      <w:r>
        <w:rPr>
          <w:spacing w:val="-2"/>
        </w:rPr>
        <w:t>和</w:t>
      </w:r>
      <w:r>
        <w:rPr>
          <w:rFonts w:ascii="Times New Roman" w:hAnsi="Times New Roman" w:cs="Times New Roman" w:eastAsia="Times New Roman" w:hint="default"/>
          <w:spacing w:val="-2"/>
        </w:rPr>
        <w:t>5.33%</w:t>
      </w:r>
      <w:r>
        <w:rPr>
          <w:spacing w:val="-2"/>
        </w:rPr>
        <w:t>；宝德控股则持有宝德科技股权的</w:t>
      </w:r>
      <w:r>
        <w:rPr>
          <w:rFonts w:ascii="Times New Roman" w:hAnsi="Times New Roman" w:cs="Times New Roman" w:eastAsia="Times New Roman" w:hint="default"/>
          <w:spacing w:val="-2"/>
        </w:rPr>
        <w:t>42.05%</w:t>
      </w:r>
      <w:r>
        <w:rPr>
          <w:spacing w:val="-2"/>
        </w:rPr>
        <w:t>；李</w:t>
      </w:r>
      <w:r>
        <w:rPr>
          <w:spacing w:val="-34"/>
        </w:rPr>
        <w:t> </w:t>
      </w:r>
      <w:r>
        <w:rPr/>
        <w:t>瑞杰与张云霞二人通过宝德控股、宝德科技间接控制本公司。</w:t>
      </w:r>
    </w:p>
    <w:p>
      <w:pPr>
        <w:pStyle w:val="BodyText"/>
        <w:spacing w:line="360" w:lineRule="auto" w:before="72"/>
        <w:ind w:left="1134" w:right="7332"/>
        <w:jc w:val="left"/>
      </w:pPr>
      <w:r>
        <w:rPr/>
        <w:t>本企业最终控制方是李瑞杰和张云霞夫妇。 其他说明：</w:t>
      </w:r>
    </w:p>
    <w:p>
      <w:pPr>
        <w:spacing w:line="240" w:lineRule="auto" w:before="3"/>
        <w:rPr>
          <w:rFonts w:ascii="宋体" w:hAnsi="宋体" w:cs="宋体" w:eastAsia="宋体" w:hint="default"/>
          <w:sz w:val="17"/>
          <w:szCs w:val="17"/>
        </w:rPr>
      </w:pPr>
    </w:p>
    <w:p>
      <w:pPr>
        <w:pStyle w:val="BodyText"/>
        <w:spacing w:line="240" w:lineRule="auto"/>
        <w:ind w:left="155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控股股东的注册资本及其变化</w:t>
      </w: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1282"/>
        <w:gridCol w:w="1876"/>
        <w:gridCol w:w="1456"/>
        <w:gridCol w:w="2044"/>
        <w:gridCol w:w="1864"/>
      </w:tblGrid>
      <w:tr>
        <w:trPr>
          <w:trHeight w:val="349" w:hRule="exact"/>
        </w:trPr>
        <w:tc>
          <w:tcPr>
            <w:tcW w:w="128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187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left="56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56" w:type="dxa"/>
            <w:tcBorders>
              <w:top w:val="single" w:sz="6" w:space="0" w:color="000000"/>
              <w:left w:val="single" w:sz="6" w:space="0" w:color="000000"/>
              <w:bottom w:val="single" w:sz="8" w:space="0" w:color="000000"/>
              <w:right w:val="single" w:sz="4" w:space="0" w:color="000000"/>
            </w:tcBorders>
          </w:tcPr>
          <w:p>
            <w:pPr>
              <w:pStyle w:val="TableParagraph"/>
              <w:spacing w:line="240" w:lineRule="auto" w:before="21"/>
              <w:ind w:left="358"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55"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6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7" w:hRule="exact"/>
        </w:trPr>
        <w:tc>
          <w:tcPr>
            <w:tcW w:w="12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宝德控股</w:t>
            </w:r>
          </w:p>
        </w:tc>
        <w:tc>
          <w:tcPr>
            <w:tcW w:w="18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300,000,000.00</w:t>
            </w:r>
          </w:p>
        </w:tc>
        <w:tc>
          <w:tcPr>
            <w:tcW w:w="1456"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56"/>
              <w:ind w:right="2"/>
              <w:jc w:val="right"/>
              <w:rPr>
                <w:rFonts w:ascii="Times New Roman" w:hAnsi="Times New Roman" w:cs="Times New Roman" w:eastAsia="Times New Roman" w:hint="default"/>
                <w:sz w:val="18"/>
                <w:szCs w:val="18"/>
              </w:rPr>
            </w:pPr>
            <w:r>
              <w:rPr>
                <w:rFonts w:ascii="Times New Roman"/>
                <w:spacing w:val="-1"/>
                <w:sz w:val="18"/>
              </w:rPr>
              <w:t>500,000,000.00</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800,000,000.00</w:t>
            </w:r>
          </w:p>
        </w:tc>
      </w:tr>
      <w:tr>
        <w:trPr>
          <w:trHeight w:val="348" w:hRule="exact"/>
        </w:trPr>
        <w:tc>
          <w:tcPr>
            <w:tcW w:w="12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18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243,000,000.00</w:t>
            </w:r>
          </w:p>
        </w:tc>
        <w:tc>
          <w:tcPr>
            <w:tcW w:w="1456"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56"/>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243,000,000.00</w:t>
            </w:r>
          </w:p>
        </w:tc>
      </w:tr>
    </w:tbl>
    <w:p>
      <w:pPr>
        <w:spacing w:line="240" w:lineRule="auto" w:before="10"/>
        <w:rPr>
          <w:rFonts w:ascii="宋体" w:hAnsi="宋体" w:cs="宋体" w:eastAsia="宋体" w:hint="default"/>
          <w:sz w:val="15"/>
          <w:szCs w:val="15"/>
        </w:rPr>
      </w:pPr>
    </w:p>
    <w:p>
      <w:pPr>
        <w:pStyle w:val="BodyText"/>
        <w:spacing w:line="240" w:lineRule="auto" w:before="44"/>
        <w:ind w:left="1554"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42"/>
        </w:rPr>
        <w:t> </w:t>
      </w:r>
      <w:r>
        <w:rPr/>
        <w:t>控股股东的所持股份或权益及其变化</w:t>
      </w: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1282"/>
        <w:gridCol w:w="1609"/>
        <w:gridCol w:w="1722"/>
        <w:gridCol w:w="2099"/>
        <w:gridCol w:w="1809"/>
      </w:tblGrid>
      <w:tr>
        <w:trPr>
          <w:trHeight w:val="349" w:hRule="exact"/>
        </w:trPr>
        <w:tc>
          <w:tcPr>
            <w:tcW w:w="1282"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3332" w:type="dxa"/>
            <w:gridSpan w:val="2"/>
            <w:tcBorders>
              <w:top w:val="single" w:sz="6" w:space="0" w:color="000000"/>
              <w:left w:val="single" w:sz="6" w:space="0" w:color="000000"/>
              <w:bottom w:val="single" w:sz="8"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持股数量</w:t>
            </w:r>
            <w:r>
              <w:rPr>
                <w:rFonts w:ascii="宋体" w:hAnsi="宋体" w:cs="宋体" w:eastAsia="宋体" w:hint="default"/>
                <w:sz w:val="18"/>
                <w:szCs w:val="18"/>
              </w:rPr>
            </w:r>
          </w:p>
        </w:tc>
        <w:tc>
          <w:tcPr>
            <w:tcW w:w="3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47" w:hRule="exact"/>
        </w:trPr>
        <w:tc>
          <w:tcPr>
            <w:tcW w:w="1282" w:type="dxa"/>
            <w:vMerge/>
            <w:tcBorders>
              <w:left w:val="single" w:sz="6" w:space="0" w:color="000000"/>
              <w:bottom w:val="single" w:sz="8" w:space="0" w:color="000000"/>
              <w:right w:val="single" w:sz="6" w:space="0" w:color="000000"/>
            </w:tcBorders>
          </w:tcPr>
          <w:p>
            <w:pPr/>
          </w:p>
        </w:tc>
        <w:tc>
          <w:tcPr>
            <w:tcW w:w="16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b/>
                <w:bCs/>
                <w:sz w:val="18"/>
                <w:szCs w:val="18"/>
              </w:rPr>
              <w:t>年末</w:t>
            </w:r>
            <w:r>
              <w:rPr>
                <w:rFonts w:ascii="宋体" w:hAnsi="宋体" w:cs="宋体" w:eastAsia="宋体" w:hint="default"/>
                <w:sz w:val="18"/>
                <w:szCs w:val="18"/>
              </w:rPr>
            </w:r>
          </w:p>
        </w:tc>
        <w:tc>
          <w:tcPr>
            <w:tcW w:w="1722"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16"/>
              <w:ind w:left="673" w:right="0"/>
              <w:jc w:val="left"/>
              <w:rPr>
                <w:rFonts w:ascii="宋体" w:hAnsi="宋体" w:cs="宋体" w:eastAsia="宋体" w:hint="default"/>
                <w:sz w:val="18"/>
                <w:szCs w:val="18"/>
              </w:rPr>
            </w:pPr>
            <w:r>
              <w:rPr>
                <w:rFonts w:ascii="宋体" w:hAnsi="宋体" w:cs="宋体" w:eastAsia="宋体" w:hint="default"/>
                <w:b/>
                <w:bCs/>
                <w:sz w:val="18"/>
                <w:szCs w:val="18"/>
              </w:rPr>
              <w:t>年初</w:t>
            </w:r>
            <w:r>
              <w:rPr>
                <w:rFonts w:ascii="宋体" w:hAnsi="宋体" w:cs="宋体" w:eastAsia="宋体" w:hint="default"/>
                <w:sz w:val="18"/>
                <w:szCs w:val="18"/>
              </w:rPr>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82" w:right="0"/>
              <w:jc w:val="left"/>
              <w:rPr>
                <w:rFonts w:ascii="宋体" w:hAnsi="宋体" w:cs="宋体" w:eastAsia="宋体" w:hint="default"/>
                <w:sz w:val="18"/>
                <w:szCs w:val="18"/>
              </w:rPr>
            </w:pPr>
            <w:r>
              <w:rPr>
                <w:rFonts w:ascii="宋体" w:hAnsi="宋体" w:cs="宋体" w:eastAsia="宋体" w:hint="default"/>
                <w:b/>
                <w:bCs/>
                <w:sz w:val="18"/>
                <w:szCs w:val="18"/>
              </w:rPr>
              <w:t>年末比例</w:t>
            </w:r>
            <w:r>
              <w:rPr>
                <w:rFonts w:ascii="宋体" w:hAnsi="宋体" w:cs="宋体" w:eastAsia="宋体" w:hint="default"/>
                <w:sz w:val="18"/>
                <w:szCs w:val="18"/>
              </w:rPr>
            </w:r>
          </w:p>
        </w:tc>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39" w:right="0"/>
              <w:jc w:val="left"/>
              <w:rPr>
                <w:rFonts w:ascii="宋体" w:hAnsi="宋体" w:cs="宋体" w:eastAsia="宋体" w:hint="default"/>
                <w:sz w:val="18"/>
                <w:szCs w:val="18"/>
              </w:rPr>
            </w:pPr>
            <w:r>
              <w:rPr>
                <w:rFonts w:ascii="宋体" w:hAnsi="宋体" w:cs="宋体" w:eastAsia="宋体" w:hint="default"/>
                <w:b/>
                <w:bCs/>
                <w:sz w:val="18"/>
                <w:szCs w:val="18"/>
              </w:rPr>
              <w:t>年初比例</w:t>
            </w:r>
            <w:r>
              <w:rPr>
                <w:rFonts w:ascii="宋体" w:hAnsi="宋体" w:cs="宋体" w:eastAsia="宋体" w:hint="default"/>
                <w:sz w:val="18"/>
                <w:szCs w:val="18"/>
              </w:rPr>
            </w:r>
          </w:p>
        </w:tc>
      </w:tr>
      <w:tr>
        <w:trPr>
          <w:trHeight w:val="348" w:hRule="exact"/>
        </w:trPr>
        <w:tc>
          <w:tcPr>
            <w:tcW w:w="12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宝德控股</w:t>
            </w:r>
          </w:p>
        </w:tc>
        <w:tc>
          <w:tcPr>
            <w:tcW w:w="16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71,214,882.00</w:t>
            </w:r>
          </w:p>
        </w:tc>
        <w:tc>
          <w:tcPr>
            <w:tcW w:w="1722"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56"/>
              <w:ind w:left="670" w:right="0"/>
              <w:jc w:val="left"/>
              <w:rPr>
                <w:rFonts w:ascii="Times New Roman" w:hAnsi="Times New Roman" w:cs="Times New Roman" w:eastAsia="Times New Roman" w:hint="default"/>
                <w:sz w:val="18"/>
                <w:szCs w:val="18"/>
              </w:rPr>
            </w:pPr>
            <w:r>
              <w:rPr>
                <w:rFonts w:ascii="Times New Roman"/>
                <w:sz w:val="18"/>
              </w:rPr>
              <w:t>71,214,882.00</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27.28</w:t>
            </w:r>
          </w:p>
        </w:tc>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27.39</w:t>
            </w:r>
          </w:p>
        </w:tc>
      </w:tr>
      <w:tr>
        <w:trPr>
          <w:trHeight w:val="347" w:hRule="exact"/>
        </w:trPr>
        <w:tc>
          <w:tcPr>
            <w:tcW w:w="12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16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39,780,000.00</w:t>
            </w:r>
          </w:p>
        </w:tc>
        <w:tc>
          <w:tcPr>
            <w:tcW w:w="1722"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55"/>
              <w:ind w:left="670" w:right="0"/>
              <w:jc w:val="left"/>
              <w:rPr>
                <w:rFonts w:ascii="Times New Roman" w:hAnsi="Times New Roman" w:cs="Times New Roman" w:eastAsia="Times New Roman" w:hint="default"/>
                <w:sz w:val="18"/>
                <w:szCs w:val="18"/>
              </w:rPr>
            </w:pPr>
            <w:r>
              <w:rPr>
                <w:rFonts w:ascii="Times New Roman"/>
                <w:sz w:val="18"/>
              </w:rPr>
              <w:t>39,780,000.00</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15.24</w:t>
            </w:r>
          </w:p>
        </w:tc>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15.30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7"/>
        <w:spacing w:line="240" w:lineRule="auto" w:before="35"/>
        <w:ind w:right="0"/>
        <w:jc w:val="left"/>
        <w:rPr>
          <w:b w:val="0"/>
          <w:bCs w:val="0"/>
        </w:rPr>
      </w:pPr>
      <w:bookmarkStart w:name="2、本企业的子公司情况" w:id="445"/>
      <w:bookmarkEnd w:id="445"/>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本企业子公司的情况详见附注九、在其他主体中的权益 </w:t>
      </w:r>
      <w:r>
        <w:rPr>
          <w:rFonts w:ascii="Times New Roman" w:hAnsi="Times New Roman" w:cs="Times New Roman" w:eastAsia="Times New Roman" w:hint="default"/>
        </w:rPr>
        <w:t>1</w:t>
      </w:r>
      <w:r>
        <w:rPr/>
        <w:t>、在子公司中的权益 </w:t>
      </w:r>
      <w:r>
        <w:rPr>
          <w:rFonts w:ascii="Times New Roman" w:hAnsi="Times New Roman" w:cs="Times New Roman" w:eastAsia="Times New Roman" w:hint="default"/>
        </w:rPr>
        <w:t>(1)</w:t>
      </w:r>
      <w:r>
        <w:rPr/>
        <w:t>、企业集团的构成。</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40" w:lineRule="auto" w:before="35"/>
        <w:ind w:left="1133" w:right="0"/>
        <w:jc w:val="left"/>
        <w:rPr>
          <w:b w:val="0"/>
          <w:bCs w:val="0"/>
        </w:rPr>
      </w:pPr>
      <w:bookmarkStart w:name="3、本企业合营和联营企业情况" w:id="446"/>
      <w:bookmarkEnd w:id="446"/>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293"/>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上海顶势</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广州卓游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bl>
    <w:p>
      <w:pPr>
        <w:pStyle w:val="BodyText"/>
        <w:spacing w:line="240" w:lineRule="auto" w:before="68"/>
        <w:ind w:left="1134" w:right="0"/>
        <w:jc w:val="left"/>
      </w:pPr>
      <w:r>
        <w:rPr/>
        <w:t>其他说明</w:t>
      </w:r>
    </w:p>
    <w:p>
      <w:pPr>
        <w:spacing w:line="240" w:lineRule="auto" w:before="11"/>
        <w:rPr>
          <w:rFonts w:ascii="宋体" w:hAnsi="宋体" w:cs="宋体" w:eastAsia="宋体" w:hint="default"/>
          <w:sz w:val="26"/>
          <w:szCs w:val="26"/>
        </w:rPr>
      </w:pPr>
    </w:p>
    <w:p>
      <w:pPr>
        <w:pStyle w:val="Heading7"/>
        <w:spacing w:line="240" w:lineRule="auto"/>
        <w:ind w:left="1133" w:right="0"/>
        <w:jc w:val="left"/>
        <w:rPr>
          <w:b w:val="0"/>
          <w:bCs w:val="0"/>
        </w:rPr>
      </w:pPr>
      <w:bookmarkStart w:name="4、其他关联方情况" w:id="447"/>
      <w:bookmarkEnd w:id="447"/>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乌鲁木齐网诚股权投资管理合伙企业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非控股股东</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74"/>
              <w:jc w:val="left"/>
              <w:rPr>
                <w:rFonts w:ascii="Times New Roman" w:hAnsi="Times New Roman" w:cs="Times New Roman" w:eastAsia="Times New Roman" w:hint="default"/>
                <w:sz w:val="18"/>
                <w:szCs w:val="18"/>
              </w:rPr>
            </w:pPr>
            <w:r>
              <w:rPr>
                <w:rFonts w:ascii="宋体" w:hAnsi="宋体" w:cs="宋体" w:eastAsia="宋体" w:hint="default"/>
                <w:sz w:val="18"/>
                <w:szCs w:val="18"/>
              </w:rPr>
              <w:t>乌鲁木齐南博股权投资管理合伙企业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南博投资</w:t>
            </w:r>
            <w:r>
              <w:rPr>
                <w:rFonts w:ascii="Times New Roman" w:hAnsi="Times New Roman" w:cs="Times New Roman" w:eastAsia="Times New Roman"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非控股股东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乌鲁木齐众志和股权投资管理合伙企业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非控股股东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深圳市宝德计算机系统有限公司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母公司控制的企业</w:t>
            </w:r>
            <w:r>
              <w:rPr>
                <w:rFonts w:ascii="Times New Roman" w:hAnsi="Times New Roman" w:cs="Times New Roman" w:eastAsia="Times New Roman" w:hint="default"/>
                <w:sz w:val="18"/>
                <w:szCs w:val="18"/>
              </w:rPr>
              <w:t>(</w:t>
            </w:r>
            <w:r>
              <w:rPr>
                <w:rFonts w:ascii="宋体" w:hAnsi="宋体" w:cs="宋体" w:eastAsia="宋体" w:hint="default"/>
                <w:sz w:val="18"/>
                <w:szCs w:val="18"/>
              </w:rPr>
              <w:t>宝德科技占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深圳市速必拓网络科技有限公司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2"/>
              <w:ind w:left="22" w:right="491"/>
              <w:jc w:val="left"/>
              <w:rPr>
                <w:rFonts w:ascii="Times New Roman" w:hAnsi="Times New Roman" w:cs="Times New Roman" w:eastAsia="Times New Roman" w:hint="default"/>
                <w:sz w:val="18"/>
                <w:szCs w:val="18"/>
              </w:rPr>
            </w:pPr>
            <w:r>
              <w:rPr>
                <w:rFonts w:ascii="宋体" w:hAnsi="宋体" w:cs="宋体" w:eastAsia="宋体" w:hint="default"/>
                <w:sz w:val="18"/>
                <w:szCs w:val="18"/>
              </w:rPr>
              <w:t>实际控制人控制的企业</w:t>
            </w:r>
            <w:r>
              <w:rPr>
                <w:rFonts w:ascii="Times New Roman" w:hAnsi="Times New Roman" w:cs="Times New Roman" w:eastAsia="Times New Roman" w:hint="default"/>
                <w:sz w:val="18"/>
                <w:szCs w:val="18"/>
              </w:rPr>
              <w:t>(</w:t>
            </w:r>
            <w:r>
              <w:rPr>
                <w:rFonts w:ascii="宋体" w:hAnsi="宋体" w:cs="宋体" w:eastAsia="宋体" w:hint="default"/>
                <w:sz w:val="18"/>
                <w:szCs w:val="18"/>
              </w:rPr>
              <w:t>张云霞占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宋体" w:hAnsi="宋体" w:cs="宋体" w:eastAsia="宋体" w:hint="default"/>
                <w:sz w:val="18"/>
                <w:szCs w:val="18"/>
              </w:rPr>
              <w:t>，宝德控股占 </w:t>
            </w:r>
            <w:r>
              <w:rPr>
                <w:rFonts w:ascii="Times New Roman" w:hAnsi="Times New Roman" w:cs="Times New Roman" w:eastAsia="Times New Roman" w:hint="default"/>
                <w:sz w:val="18"/>
                <w:szCs w:val="18"/>
              </w:rPr>
              <w:t>50.00%)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深圳市宝德软件开发有限公司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母公司控制的企业</w:t>
            </w:r>
            <w:r>
              <w:rPr>
                <w:rFonts w:ascii="Times New Roman" w:hAnsi="Times New Roman" w:cs="Times New Roman" w:eastAsia="Times New Roman" w:hint="default"/>
                <w:sz w:val="18"/>
                <w:szCs w:val="18"/>
              </w:rPr>
              <w:t>(</w:t>
            </w:r>
            <w:r>
              <w:rPr>
                <w:rFonts w:ascii="宋体" w:hAnsi="宋体" w:cs="宋体" w:eastAsia="宋体" w:hint="default"/>
                <w:sz w:val="18"/>
                <w:szCs w:val="18"/>
              </w:rPr>
              <w:t>宝德科技占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深圳中付通电子商务有限公司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原全资子公司，现母公司控制的企业</w:t>
            </w:r>
            <w:r>
              <w:rPr>
                <w:rFonts w:ascii="Times New Roman" w:hAnsi="Times New Roman" w:cs="Times New Roman" w:eastAsia="Times New Roman" w:hint="default"/>
                <w:sz w:val="18"/>
                <w:szCs w:val="18"/>
              </w:rPr>
              <w:t>(</w:t>
            </w:r>
            <w:r>
              <w:rPr>
                <w:rFonts w:ascii="宋体" w:hAnsi="宋体" w:cs="宋体" w:eastAsia="宋体" w:hint="default"/>
                <w:sz w:val="18"/>
                <w:szCs w:val="18"/>
              </w:rPr>
              <w:t>宝德控股占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四川宝腾互联科技有限公司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宝德科技持股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，四川名冠天下持股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夏玄</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副总经理、运维总监，网诚科技的股东</w:t>
            </w:r>
            <w:r>
              <w:rPr>
                <w:rFonts w:ascii="Times New Roman" w:hAnsi="Times New Roman" w:cs="Times New Roman" w:eastAsia="Times New Roman" w:hint="default"/>
                <w:sz w:val="18"/>
                <w:szCs w:val="18"/>
              </w:rPr>
              <w:t>(</w:t>
            </w: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黎燕红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原副总经理，网诚科技的股东</w:t>
            </w:r>
            <w:r>
              <w:rPr>
                <w:rFonts w:ascii="Times New Roman" w:hAnsi="Times New Roman" w:cs="Times New Roman" w:eastAsia="Times New Roman" w:hint="default"/>
                <w:sz w:val="18"/>
                <w:szCs w:val="18"/>
              </w:rPr>
              <w:t>(</w:t>
            </w: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王瑞鹏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郑楠芳的配偶，南博投资的控股股东</w:t>
            </w:r>
            <w:r>
              <w:rPr>
                <w:rFonts w:ascii="Times New Roman" w:hAnsi="Times New Roman" w:cs="Times New Roman" w:eastAsia="Times New Roman" w:hint="default"/>
                <w:sz w:val="18"/>
                <w:szCs w:val="18"/>
              </w:rPr>
              <w:t>(</w:t>
            </w: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51.17%)</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控股子公司上海美峰的少数股东兼该公司高管</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7"/>
        <w:spacing w:line="506" w:lineRule="auto"/>
        <w:ind w:right="6923"/>
        <w:jc w:val="left"/>
        <w:rPr>
          <w:b w:val="0"/>
          <w:bCs w:val="0"/>
        </w:rPr>
      </w:pPr>
      <w:bookmarkStart w:name="5、关联交易情况" w:id="448"/>
      <w:bookmarkEnd w:id="448"/>
      <w:r>
        <w:rPr>
          <w:b w:val="0"/>
          <w:bCs w:val="0"/>
        </w:rPr>
      </w:r>
      <w:r>
        <w:rPr>
          <w:rFonts w:ascii="Times New Roman" w:hAnsi="Times New Roman" w:cs="Times New Roman" w:eastAsia="Times New Roman" w:hint="default"/>
        </w:rPr>
        <w:t>5</w:t>
      </w:r>
      <w:r>
        <w:rPr/>
        <w:t>、关联交易情况</w:t>
      </w:r>
      <w:r>
        <w:rPr>
          <w:w w:val="99"/>
        </w:rPr>
        <w:t> </w:t>
      </w:r>
      <w:bookmarkStart w:name="(1)购销商品、提供和接受劳务的关联交易" w:id="449"/>
      <w:bookmarkEnd w:id="449"/>
      <w:r>
        <w:rPr>
          <w:w w:val="99"/>
        </w:rPr>
      </w:r>
      <w:r>
        <w:rPr>
          <w:rFonts w:ascii="Times New Roman" w:hAnsi="Times New Roman" w:cs="Times New Roman" w:eastAsia="Times New Roman" w:hint="default"/>
        </w:rPr>
        <w:t>(1)</w:t>
      </w:r>
      <w:r>
        <w:rPr/>
        <w:t>购销商品、提供和接受劳务的关联交易</w:t>
      </w:r>
      <w:r>
        <w:rPr>
          <w:b w:val="0"/>
          <w:bCs w:val="0"/>
        </w:rPr>
      </w:r>
    </w:p>
    <w:p>
      <w:pPr>
        <w:pStyle w:val="BodyText"/>
        <w:spacing w:line="240" w:lineRule="auto" w:before="90"/>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深圳市宝德计算机 系统有限公司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6"/>
                <w:sz w:val="18"/>
                <w:szCs w:val="18"/>
              </w:rPr>
              <w:t>服务器、电脑及配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件</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1" w:right="0"/>
              <w:jc w:val="left"/>
              <w:rPr>
                <w:rFonts w:ascii="Times New Roman" w:hAnsi="Times New Roman" w:cs="Times New Roman" w:eastAsia="Times New Roman" w:hint="default"/>
                <w:sz w:val="18"/>
                <w:szCs w:val="18"/>
              </w:rPr>
            </w:pPr>
            <w:r>
              <w:rPr>
                <w:rFonts w:ascii="Times New Roman"/>
                <w:sz w:val="18"/>
              </w:rPr>
              <w:t>6,000.00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9" w:right="0"/>
              <w:jc w:val="left"/>
              <w:rPr>
                <w:rFonts w:ascii="Times New Roman" w:hAnsi="Times New Roman" w:cs="Times New Roman" w:eastAsia="Times New Roman" w:hint="default"/>
                <w:sz w:val="18"/>
                <w:szCs w:val="18"/>
              </w:rPr>
            </w:pPr>
            <w:r>
              <w:rPr>
                <w:rFonts w:ascii="Times New Roman"/>
                <w:sz w:val="18"/>
              </w:rPr>
              <w:t>21,000,000.00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3" w:right="0"/>
              <w:jc w:val="left"/>
              <w:rPr>
                <w:rFonts w:ascii="Times New Roman" w:hAnsi="Times New Roman" w:cs="Times New Roman" w:eastAsia="Times New Roman" w:hint="default"/>
                <w:sz w:val="18"/>
                <w:szCs w:val="18"/>
              </w:rPr>
            </w:pPr>
            <w:r>
              <w:rPr>
                <w:rFonts w:ascii="Times New Roman"/>
                <w:sz w:val="18"/>
              </w:rPr>
              <w:t>39,645.00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深圳市速必拓网络 科技有限公司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8"/>
              <w:jc w:val="left"/>
              <w:rPr>
                <w:rFonts w:ascii="宋体" w:hAnsi="宋体" w:cs="宋体" w:eastAsia="宋体" w:hint="default"/>
                <w:sz w:val="18"/>
                <w:szCs w:val="18"/>
              </w:rPr>
            </w:pPr>
            <w:r>
              <w:rPr>
                <w:rFonts w:ascii="宋体" w:hAnsi="宋体" w:cs="宋体" w:eastAsia="宋体" w:hint="default"/>
                <w:sz w:val="18"/>
                <w:szCs w:val="18"/>
              </w:rPr>
              <w:t>服务器托管服务 及宽带服务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3,178,833.68</w:t>
            </w:r>
          </w:p>
        </w:tc>
        <w:tc>
          <w:tcPr>
            <w:tcW w:w="1706" w:type="dxa"/>
            <w:vMerge w:val="restart"/>
            <w:tcBorders>
              <w:top w:val="single" w:sz="4" w:space="0" w:color="000000"/>
              <w:left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5,717,343.71</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深圳市宝德软件开 发有限公司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8"/>
              <w:jc w:val="left"/>
              <w:rPr>
                <w:rFonts w:ascii="宋体" w:hAnsi="宋体" w:cs="宋体" w:eastAsia="宋体" w:hint="default"/>
                <w:sz w:val="18"/>
                <w:szCs w:val="18"/>
              </w:rPr>
            </w:pPr>
            <w:r>
              <w:rPr>
                <w:rFonts w:ascii="宋体" w:hAnsi="宋体" w:cs="宋体" w:eastAsia="宋体" w:hint="default"/>
                <w:sz w:val="18"/>
                <w:szCs w:val="18"/>
              </w:rPr>
              <w:t>服务器托管服务 及宽带服务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861,336.13</w:t>
            </w:r>
          </w:p>
        </w:tc>
        <w:tc>
          <w:tcPr>
            <w:tcW w:w="1706" w:type="dxa"/>
            <w:vMerge/>
            <w:tcBorders>
              <w:left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155,365.00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6"/>
                <w:sz w:val="18"/>
                <w:szCs w:val="18"/>
              </w:rPr>
              <w:t>服务器、电脑及配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件</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362,700.00</w:t>
            </w:r>
          </w:p>
        </w:tc>
        <w:tc>
          <w:tcPr>
            <w:tcW w:w="1706" w:type="dxa"/>
            <w:vMerge/>
            <w:tcBorders>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9,546,040.00</w:t>
            </w: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4,408,869.81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9" w:right="0"/>
              <w:jc w:val="left"/>
              <w:rPr>
                <w:rFonts w:ascii="Times New Roman" w:hAnsi="Times New Roman" w:cs="Times New Roman" w:eastAsia="Times New Roman" w:hint="default"/>
                <w:sz w:val="18"/>
                <w:szCs w:val="18"/>
              </w:rPr>
            </w:pPr>
            <w:r>
              <w:rPr>
                <w:rFonts w:ascii="Times New Roman"/>
                <w:sz w:val="18"/>
              </w:rPr>
              <w:t>21,000,000.00</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15,458,393.71</w:t>
            </w:r>
          </w:p>
        </w:tc>
      </w:tr>
    </w:tbl>
    <w:p>
      <w:pPr>
        <w:pStyle w:val="BodyText"/>
        <w:spacing w:line="240" w:lineRule="auto" w:before="51"/>
        <w:ind w:left="113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上海跳跃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游戏著作权转让</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47,000,000.00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四川宝腾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机器设备转让</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16,630.00</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16,630.00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47,000,000.00</w:t>
            </w:r>
          </w:p>
        </w:tc>
      </w:tr>
    </w:tbl>
    <w:p>
      <w:pPr>
        <w:pStyle w:val="BodyText"/>
        <w:spacing w:line="240" w:lineRule="auto" w:before="51"/>
        <w:ind w:left="1134" w:right="0"/>
        <w:jc w:val="left"/>
      </w:pPr>
      <w:r>
        <w:rPr/>
        <w:t>购销商品、提供和接受劳务的关联交易说明</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2)关联受托管理/承包及委托管理/出包情况" w:id="450"/>
      <w:bookmarkEnd w:id="450"/>
      <w:r>
        <w:rPr>
          <w:b w:val="0"/>
          <w:bCs w:val="0"/>
        </w:rPr>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3)关联租赁情况" w:id="451"/>
      <w:bookmarkEnd w:id="451"/>
      <w:r>
        <w:rPr>
          <w:b w:val="0"/>
          <w:bCs w:val="0"/>
        </w:rPr>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1,994,050.00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宝德控股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1,926,150.00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3,920,200.00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39,600.00</w:t>
            </w:r>
          </w:p>
        </w:tc>
      </w:tr>
    </w:tbl>
    <w:p>
      <w:pPr>
        <w:pStyle w:val="BodyText"/>
        <w:spacing w:line="240" w:lineRule="auto" w:before="51"/>
        <w:ind w:left="1134" w:right="0"/>
        <w:jc w:val="left"/>
      </w:pPr>
      <w:r>
        <w:rPr/>
        <w:t>关联租赁情况说明</w:t>
      </w:r>
    </w:p>
    <w:p>
      <w:pPr>
        <w:pStyle w:val="BodyText"/>
        <w:spacing w:line="316" w:lineRule="auto" w:before="116"/>
        <w:ind w:right="1126" w:firstLine="420"/>
        <w:jc w:val="left"/>
      </w:pPr>
      <w:r>
        <w:rPr>
          <w:spacing w:val="-3"/>
        </w:rPr>
        <w:t>①本公司与宝德控股签订《房屋出租合同》，约定将本公司向深圳市福田区政府物业管理中心承租的位于深圳市福田区</w:t>
      </w:r>
      <w:r>
        <w:rPr/>
        <w:t> 深南大道</w:t>
      </w:r>
      <w:r>
        <w:rPr>
          <w:spacing w:val="-48"/>
        </w:rPr>
        <w:t> </w:t>
      </w:r>
      <w:r>
        <w:rPr>
          <w:rFonts w:ascii="Times New Roman" w:hAnsi="Times New Roman" w:cs="Times New Roman" w:eastAsia="Times New Roman" w:hint="default"/>
        </w:rPr>
        <w:t>1006</w:t>
      </w:r>
      <w:r>
        <w:rPr>
          <w:rFonts w:ascii="Times New Roman" w:hAnsi="Times New Roman" w:cs="Times New Roman" w:eastAsia="Times New Roman" w:hint="default"/>
          <w:spacing w:val="-2"/>
        </w:rPr>
        <w:t> </w:t>
      </w:r>
      <w:r>
        <w:rPr/>
        <w:t>号深圳国际创新中心</w:t>
      </w:r>
      <w:r>
        <w:rPr>
          <w:rFonts w:ascii="Times New Roman" w:hAnsi="Times New Roman" w:cs="Times New Roman" w:eastAsia="Times New Roman" w:hint="default"/>
        </w:rPr>
        <w:t>(</w:t>
      </w:r>
      <w:r>
        <w:rPr/>
        <w:t>福田科技广场</w:t>
      </w:r>
      <w:r>
        <w:rPr>
          <w:rFonts w:ascii="Times New Roman" w:hAnsi="Times New Roman" w:cs="Times New Roman" w:eastAsia="Times New Roman" w:hint="default"/>
        </w:rPr>
        <w:t>)C</w:t>
      </w:r>
      <w:r>
        <w:rPr>
          <w:rFonts w:ascii="Times New Roman" w:hAnsi="Times New Roman" w:cs="Times New Roman" w:eastAsia="Times New Roman" w:hint="default"/>
          <w:spacing w:val="-3"/>
        </w:rPr>
        <w:t> </w:t>
      </w:r>
      <w:r>
        <w:rPr/>
        <w:t>栋</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层，建筑面积</w:t>
      </w:r>
      <w:r>
        <w:rPr>
          <w:spacing w:val="-48"/>
        </w:rPr>
        <w:t> </w:t>
      </w:r>
      <w:r>
        <w:rPr>
          <w:rFonts w:ascii="Times New Roman" w:hAnsi="Times New Roman" w:cs="Times New Roman" w:eastAsia="Times New Roman" w:hint="default"/>
        </w:rPr>
        <w:t>1,395.02</w:t>
      </w:r>
      <w:r>
        <w:rPr>
          <w:rFonts w:ascii="Times New Roman" w:hAnsi="Times New Roman" w:cs="Times New Roman" w:eastAsia="Times New Roman" w:hint="default"/>
          <w:spacing w:val="-2"/>
        </w:rPr>
        <w:t> </w:t>
      </w:r>
      <w:r>
        <w:rPr/>
        <w:t>平方米的房屋租赁给宝德控股使用，月租</w:t>
      </w:r>
    </w:p>
    <w:p>
      <w:pPr>
        <w:pStyle w:val="BodyText"/>
        <w:spacing w:line="240" w:lineRule="auto"/>
        <w:ind w:left="1134" w:right="0"/>
        <w:jc w:val="left"/>
      </w:pPr>
      <w:r>
        <w:rPr/>
        <w:t>金为</w:t>
      </w:r>
      <w:r>
        <w:rPr>
          <w:spacing w:val="-46"/>
        </w:rPr>
        <w:t> </w:t>
      </w:r>
      <w:r>
        <w:rPr>
          <w:rFonts w:ascii="Times New Roman" w:hAnsi="Times New Roman" w:cs="Times New Roman" w:eastAsia="Times New Roman" w:hint="default"/>
        </w:rPr>
        <w:t>165,600.00 </w:t>
      </w:r>
      <w:r>
        <w:rPr/>
        <w:t>元，租赁期限为</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日，同时本公司给予</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个月免租期。</w:t>
      </w:r>
    </w:p>
    <w:p>
      <w:pPr>
        <w:pStyle w:val="BodyText"/>
        <w:spacing w:line="316" w:lineRule="auto" w:before="101"/>
        <w:ind w:left="1134" w:right="1125" w:firstLine="420"/>
        <w:jc w:val="left"/>
      </w:pPr>
      <w:r>
        <w:rPr>
          <w:spacing w:val="-3"/>
        </w:rPr>
        <w:t>②本公司与宝德科技签订《房屋出租合同》，约定将本公司向深圳市福田区政府物业管理中心承租的位于深圳市福田区</w:t>
      </w:r>
      <w:r>
        <w:rPr/>
        <w:t> 深南大道</w:t>
      </w:r>
      <w:r>
        <w:rPr>
          <w:spacing w:val="-47"/>
        </w:rPr>
        <w:t> </w:t>
      </w:r>
      <w:r>
        <w:rPr>
          <w:rFonts w:ascii="Times New Roman" w:hAnsi="Times New Roman" w:cs="Times New Roman" w:eastAsia="Times New Roman" w:hint="default"/>
        </w:rPr>
        <w:t>1006</w:t>
      </w:r>
      <w:r>
        <w:rPr>
          <w:rFonts w:ascii="Times New Roman" w:hAnsi="Times New Roman" w:cs="Times New Roman" w:eastAsia="Times New Roman" w:hint="default"/>
          <w:spacing w:val="-1"/>
        </w:rPr>
        <w:t> </w:t>
      </w:r>
      <w:r>
        <w:rPr/>
        <w:t>号深圳国际创新中心</w:t>
      </w:r>
      <w:r>
        <w:rPr>
          <w:rFonts w:ascii="Times New Roman" w:hAnsi="Times New Roman" w:cs="Times New Roman" w:eastAsia="Times New Roman" w:hint="default"/>
        </w:rPr>
        <w:t>(</w:t>
      </w:r>
      <w:r>
        <w:rPr/>
        <w:t>福田科技广场</w:t>
      </w:r>
      <w:r>
        <w:rPr>
          <w:rFonts w:ascii="Times New Roman" w:hAnsi="Times New Roman" w:cs="Times New Roman" w:eastAsia="Times New Roman" w:hint="default"/>
        </w:rPr>
        <w:t>)C</w:t>
      </w:r>
      <w:r>
        <w:rPr>
          <w:rFonts w:ascii="Times New Roman" w:hAnsi="Times New Roman" w:cs="Times New Roman" w:eastAsia="Times New Roman" w:hint="default"/>
          <w:spacing w:val="-2"/>
        </w:rPr>
        <w:t> </w:t>
      </w:r>
      <w:r>
        <w:rPr/>
        <w:t>栋</w:t>
      </w:r>
      <w:r>
        <w:rPr>
          <w:spacing w:val="-47"/>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层，建筑面积</w:t>
      </w:r>
      <w:r>
        <w:rPr>
          <w:spacing w:val="-47"/>
        </w:rPr>
        <w:t> </w:t>
      </w:r>
      <w:r>
        <w:rPr>
          <w:rFonts w:ascii="Times New Roman" w:hAnsi="Times New Roman" w:cs="Times New Roman" w:eastAsia="Times New Roman" w:hint="default"/>
        </w:rPr>
        <w:t>1,400.59</w:t>
      </w:r>
      <w:r>
        <w:rPr>
          <w:rFonts w:ascii="Times New Roman" w:hAnsi="Times New Roman" w:cs="Times New Roman" w:eastAsia="Times New Roman" w:hint="default"/>
          <w:spacing w:val="-2"/>
        </w:rPr>
        <w:t> </w:t>
      </w:r>
      <w:r>
        <w:rPr/>
        <w:t>平方米的房屋租赁给宝德科技使用，月租</w:t>
      </w:r>
    </w:p>
    <w:p>
      <w:pPr>
        <w:pStyle w:val="BodyText"/>
        <w:spacing w:line="240" w:lineRule="auto"/>
        <w:ind w:left="1134" w:right="0"/>
        <w:jc w:val="left"/>
      </w:pPr>
      <w:r>
        <w:rPr/>
        <w:t>金为</w:t>
      </w:r>
      <w:r>
        <w:rPr>
          <w:spacing w:val="-46"/>
        </w:rPr>
        <w:t> </w:t>
      </w:r>
      <w:r>
        <w:rPr>
          <w:rFonts w:ascii="Times New Roman" w:hAnsi="Times New Roman" w:cs="Times New Roman" w:eastAsia="Times New Roman" w:hint="default"/>
        </w:rPr>
        <w:t>171,500.00 </w:t>
      </w:r>
      <w:r>
        <w:rPr/>
        <w:t>元，租赁期限为</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日，同时本公司给予</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个月免租期。</w:t>
      </w:r>
    </w:p>
    <w:p>
      <w:pPr>
        <w:pStyle w:val="BodyText"/>
        <w:spacing w:line="240" w:lineRule="auto" w:before="102"/>
        <w:ind w:left="1554" w:right="0"/>
        <w:jc w:val="left"/>
      </w:pPr>
      <w:r>
        <w:rPr/>
        <w:t>③本公司与宝德控股签</w:t>
      </w:r>
      <w:r>
        <w:rPr>
          <w:spacing w:val="-27"/>
        </w:rPr>
        <w:t>订</w:t>
      </w:r>
      <w:r>
        <w:rPr/>
        <w:t>《房屋出租合同</w:t>
      </w:r>
      <w:r>
        <w:rPr>
          <w:spacing w:val="-90"/>
        </w:rPr>
        <w:t>》</w:t>
      </w:r>
      <w:r>
        <w:rPr>
          <w:spacing w:val="-27"/>
        </w:rPr>
        <w:t>，</w:t>
      </w:r>
      <w:r>
        <w:rPr/>
        <w:t>约定将本公司向深圳市福田区政府物业管理中心承租的位于深圳市福田区</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深南大道</w:t>
      </w:r>
      <w:r>
        <w:rPr>
          <w:spacing w:val="-48"/>
        </w:rPr>
        <w:t> </w:t>
      </w:r>
      <w:r>
        <w:rPr>
          <w:rFonts w:ascii="Times New Roman" w:hAnsi="Times New Roman" w:cs="Times New Roman" w:eastAsia="Times New Roman" w:hint="default"/>
        </w:rPr>
        <w:t>1006</w:t>
      </w:r>
      <w:r>
        <w:rPr>
          <w:rFonts w:ascii="Times New Roman" w:hAnsi="Times New Roman" w:cs="Times New Roman" w:eastAsia="Times New Roman" w:hint="default"/>
          <w:spacing w:val="-2"/>
        </w:rPr>
        <w:t> </w:t>
      </w:r>
      <w:r>
        <w:rPr/>
        <w:t>号深圳国际创新中心</w:t>
      </w:r>
      <w:r>
        <w:rPr>
          <w:rFonts w:ascii="Times New Roman" w:hAnsi="Times New Roman" w:cs="Times New Roman" w:eastAsia="Times New Roman" w:hint="default"/>
        </w:rPr>
        <w:t>(</w:t>
      </w:r>
      <w:r>
        <w:rPr/>
        <w:t>福田科技广场</w:t>
      </w:r>
      <w:r>
        <w:rPr>
          <w:rFonts w:ascii="Times New Roman" w:hAnsi="Times New Roman" w:cs="Times New Roman" w:eastAsia="Times New Roman" w:hint="default"/>
        </w:rPr>
        <w:t>)C</w:t>
      </w:r>
      <w:r>
        <w:rPr>
          <w:rFonts w:ascii="Times New Roman" w:hAnsi="Times New Roman" w:cs="Times New Roman" w:eastAsia="Times New Roman" w:hint="default"/>
          <w:spacing w:val="-3"/>
        </w:rPr>
        <w:t> </w:t>
      </w:r>
      <w:r>
        <w:rPr/>
        <w:t>栋</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层，建筑面积</w:t>
      </w:r>
      <w:r>
        <w:rPr>
          <w:spacing w:val="-48"/>
        </w:rPr>
        <w:t> </w:t>
      </w:r>
      <w:r>
        <w:rPr>
          <w:rFonts w:ascii="Times New Roman" w:hAnsi="Times New Roman" w:cs="Times New Roman" w:eastAsia="Times New Roman" w:hint="default"/>
        </w:rPr>
        <w:t>1,395.02</w:t>
      </w:r>
      <w:r>
        <w:rPr>
          <w:rFonts w:ascii="Times New Roman" w:hAnsi="Times New Roman" w:cs="Times New Roman" w:eastAsia="Times New Roman" w:hint="default"/>
          <w:spacing w:val="-2"/>
        </w:rPr>
        <w:t> </w:t>
      </w:r>
      <w:r>
        <w:rPr/>
        <w:t>平方米的房屋租赁给宝德控股使用，月租</w:t>
      </w:r>
    </w:p>
    <w:p>
      <w:pPr>
        <w:pStyle w:val="BodyText"/>
        <w:spacing w:line="240" w:lineRule="auto" w:before="64"/>
        <w:ind w:left="1134" w:right="0"/>
        <w:jc w:val="left"/>
      </w:pPr>
      <w:r>
        <w:rPr/>
        <w:t>金为</w:t>
      </w:r>
      <w:r>
        <w:rPr>
          <w:spacing w:val="-46"/>
        </w:rPr>
        <w:t> </w:t>
      </w:r>
      <w:r>
        <w:rPr>
          <w:rFonts w:ascii="Times New Roman" w:hAnsi="Times New Roman" w:cs="Times New Roman" w:eastAsia="Times New Roman" w:hint="default"/>
        </w:rPr>
        <w:t>170,700.00 </w:t>
      </w:r>
      <w:r>
        <w:rPr/>
        <w:t>元，租赁期限为</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w:t>
      </w:r>
    </w:p>
    <w:p>
      <w:pPr>
        <w:pStyle w:val="BodyText"/>
        <w:spacing w:line="316" w:lineRule="auto" w:before="101"/>
        <w:ind w:left="1134" w:right="1125" w:firstLine="420"/>
        <w:jc w:val="left"/>
      </w:pPr>
      <w:r>
        <w:rPr>
          <w:spacing w:val="-3"/>
        </w:rPr>
        <w:t>④本公司与宝德科技签订《房屋出租合同》，约定将本公司向深圳市福田区政府物业管理中心承租的位于深圳市福田区</w:t>
      </w:r>
      <w:r>
        <w:rPr/>
        <w:t> 深南大道</w:t>
      </w:r>
      <w:r>
        <w:rPr>
          <w:spacing w:val="-47"/>
        </w:rPr>
        <w:t> </w:t>
      </w:r>
      <w:r>
        <w:rPr>
          <w:rFonts w:ascii="Times New Roman" w:hAnsi="Times New Roman" w:cs="Times New Roman" w:eastAsia="Times New Roman" w:hint="default"/>
        </w:rPr>
        <w:t>1006</w:t>
      </w:r>
      <w:r>
        <w:rPr>
          <w:rFonts w:ascii="Times New Roman" w:hAnsi="Times New Roman" w:cs="Times New Roman" w:eastAsia="Times New Roman" w:hint="default"/>
          <w:spacing w:val="-1"/>
        </w:rPr>
        <w:t> </w:t>
      </w:r>
      <w:r>
        <w:rPr/>
        <w:t>号深圳国际创新中心</w:t>
      </w:r>
      <w:r>
        <w:rPr>
          <w:rFonts w:ascii="Times New Roman" w:hAnsi="Times New Roman" w:cs="Times New Roman" w:eastAsia="Times New Roman" w:hint="default"/>
        </w:rPr>
        <w:t>(</w:t>
      </w:r>
      <w:r>
        <w:rPr/>
        <w:t>福田科技广场</w:t>
      </w:r>
      <w:r>
        <w:rPr>
          <w:rFonts w:ascii="Times New Roman" w:hAnsi="Times New Roman" w:cs="Times New Roman" w:eastAsia="Times New Roman" w:hint="default"/>
        </w:rPr>
        <w:t>)C</w:t>
      </w:r>
      <w:r>
        <w:rPr>
          <w:rFonts w:ascii="Times New Roman" w:hAnsi="Times New Roman" w:cs="Times New Roman" w:eastAsia="Times New Roman" w:hint="default"/>
          <w:spacing w:val="-2"/>
        </w:rPr>
        <w:t> </w:t>
      </w:r>
      <w:r>
        <w:rPr/>
        <w:t>栋</w:t>
      </w:r>
      <w:r>
        <w:rPr>
          <w:spacing w:val="-47"/>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层，建筑面积</w:t>
      </w:r>
      <w:r>
        <w:rPr>
          <w:spacing w:val="-47"/>
        </w:rPr>
        <w:t> </w:t>
      </w:r>
      <w:r>
        <w:rPr>
          <w:rFonts w:ascii="Times New Roman" w:hAnsi="Times New Roman" w:cs="Times New Roman" w:eastAsia="Times New Roman" w:hint="default"/>
        </w:rPr>
        <w:t>1,400.59</w:t>
      </w:r>
      <w:r>
        <w:rPr>
          <w:rFonts w:ascii="Times New Roman" w:hAnsi="Times New Roman" w:cs="Times New Roman" w:eastAsia="Times New Roman" w:hint="default"/>
          <w:spacing w:val="-2"/>
        </w:rPr>
        <w:t> </w:t>
      </w:r>
      <w:r>
        <w:rPr/>
        <w:t>平方米的房屋租赁给宝德科技使用，月租</w:t>
      </w:r>
    </w:p>
    <w:p>
      <w:pPr>
        <w:pStyle w:val="BodyText"/>
        <w:spacing w:line="240" w:lineRule="auto"/>
        <w:ind w:left="1134" w:right="0"/>
        <w:jc w:val="left"/>
      </w:pPr>
      <w:r>
        <w:rPr/>
        <w:t>金为</w:t>
      </w:r>
      <w:r>
        <w:rPr>
          <w:spacing w:val="-46"/>
        </w:rPr>
        <w:t> </w:t>
      </w:r>
      <w:r>
        <w:rPr>
          <w:rFonts w:ascii="Times New Roman" w:hAnsi="Times New Roman" w:cs="Times New Roman" w:eastAsia="Times New Roman" w:hint="default"/>
        </w:rPr>
        <w:t>176,700.00 </w:t>
      </w:r>
      <w:r>
        <w:rPr/>
        <w:t>元，租赁期限为</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w:t>
      </w:r>
    </w:p>
    <w:p>
      <w:pPr>
        <w:pStyle w:val="BodyText"/>
        <w:spacing w:line="240" w:lineRule="auto" w:before="102"/>
        <w:ind w:left="1554" w:right="0"/>
        <w:jc w:val="left"/>
        <w:rPr>
          <w:rFonts w:ascii="Times New Roman" w:hAnsi="Times New Roman" w:cs="Times New Roman" w:eastAsia="Times New Roman" w:hint="default"/>
        </w:rPr>
      </w:pPr>
      <w:r>
        <w:rPr/>
        <w:t>本公司与母公司宝德科技于</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日签定房地产租赁合同：租用深圳市福田区深南路电子科技大厦</w:t>
      </w:r>
      <w:r>
        <w:rPr>
          <w:spacing w:val="-46"/>
        </w:rPr>
        <w:t> </w:t>
      </w:r>
      <w:r>
        <w:rPr>
          <w:rFonts w:ascii="Times New Roman" w:hAnsi="Times New Roman" w:cs="Times New Roman" w:eastAsia="Times New Roman" w:hint="default"/>
        </w:rPr>
        <w:t>C </w:t>
      </w:r>
      <w:r>
        <w:rPr/>
        <w:t>座</w:t>
      </w:r>
      <w:r>
        <w:rPr>
          <w:spacing w:val="-45"/>
        </w:rPr>
        <w:t> </w:t>
      </w:r>
      <w:r>
        <w:rPr>
          <w:rFonts w:ascii="Times New Roman" w:hAnsi="Times New Roman" w:cs="Times New Roman" w:eastAsia="Times New Roman" w:hint="default"/>
        </w:rPr>
        <w:t>43</w:t>
      </w:r>
    </w:p>
    <w:p>
      <w:pPr>
        <w:pStyle w:val="BodyText"/>
        <w:spacing w:line="240" w:lineRule="auto" w:before="63"/>
        <w:ind w:left="1134" w:right="0"/>
        <w:jc w:val="left"/>
        <w:rPr>
          <w:rFonts w:ascii="Times New Roman" w:hAnsi="Times New Roman" w:cs="Times New Roman" w:eastAsia="Times New Roman" w:hint="default"/>
        </w:rPr>
      </w:pPr>
      <w:r>
        <w:rPr/>
        <w:t>层</w:t>
      </w:r>
      <w:r>
        <w:rPr>
          <w:spacing w:val="-46"/>
        </w:rPr>
        <w:t> </w:t>
      </w:r>
      <w:r>
        <w:rPr>
          <w:rFonts w:ascii="Times New Roman" w:hAnsi="Times New Roman" w:cs="Times New Roman" w:eastAsia="Times New Roman" w:hint="default"/>
        </w:rPr>
        <w:t>A1</w:t>
      </w:r>
      <w:r>
        <w:rPr/>
        <w:t>，建筑面积</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平方米，合同约定租赁期限为</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日，月租金总额为人民币</w:t>
      </w:r>
      <w:r>
        <w:rPr>
          <w:spacing w:val="-46"/>
        </w:rPr>
        <w:t> </w:t>
      </w:r>
      <w:r>
        <w:rPr>
          <w:rFonts w:ascii="Times New Roman" w:hAnsi="Times New Roman" w:cs="Times New Roman" w:eastAsia="Times New Roman" w:hint="default"/>
        </w:rPr>
        <w:t>3,300.00</w:t>
      </w:r>
    </w:p>
    <w:p>
      <w:pPr>
        <w:pStyle w:val="BodyText"/>
        <w:spacing w:line="240" w:lineRule="auto" w:before="64"/>
        <w:ind w:left="1134" w:right="0"/>
        <w:jc w:val="left"/>
      </w:pPr>
      <w:r>
        <w:rPr/>
        <w:t>元。</w:t>
      </w:r>
    </w:p>
    <w:p>
      <w:pPr>
        <w:pStyle w:val="BodyText"/>
        <w:spacing w:line="240" w:lineRule="auto" w:before="115"/>
        <w:ind w:left="1554" w:right="0"/>
        <w:jc w:val="left"/>
        <w:rPr>
          <w:rFonts w:ascii="Times New Roman" w:hAnsi="Times New Roman" w:cs="Times New Roman" w:eastAsia="Times New Roman" w:hint="default"/>
        </w:rPr>
      </w:pPr>
      <w:r>
        <w:rPr/>
        <w:t>本公司与母公司宝德科技于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日签定房地产租赁合同：租用深圳市福田区深南路电子科技大厦</w:t>
      </w:r>
      <w:r>
        <w:rPr>
          <w:spacing w:val="-46"/>
        </w:rPr>
        <w:t> </w:t>
      </w:r>
      <w:r>
        <w:rPr>
          <w:rFonts w:ascii="Times New Roman" w:hAnsi="Times New Roman" w:cs="Times New Roman" w:eastAsia="Times New Roman" w:hint="default"/>
        </w:rPr>
        <w:t>C </w:t>
      </w:r>
      <w:r>
        <w:rPr/>
        <w:t>座</w:t>
      </w:r>
      <w:r>
        <w:rPr>
          <w:spacing w:val="-45"/>
        </w:rPr>
        <w:t> </w:t>
      </w:r>
      <w:r>
        <w:rPr>
          <w:rFonts w:ascii="Times New Roman" w:hAnsi="Times New Roman" w:cs="Times New Roman" w:eastAsia="Times New Roman" w:hint="default"/>
        </w:rPr>
        <w:t>43</w:t>
      </w:r>
    </w:p>
    <w:p>
      <w:pPr>
        <w:pStyle w:val="BodyText"/>
        <w:spacing w:line="240" w:lineRule="auto" w:before="63"/>
        <w:ind w:left="1134" w:right="0"/>
        <w:jc w:val="left"/>
        <w:rPr>
          <w:rFonts w:ascii="Times New Roman" w:hAnsi="Times New Roman" w:cs="Times New Roman" w:eastAsia="Times New Roman" w:hint="default"/>
        </w:rPr>
      </w:pPr>
      <w:r>
        <w:rPr/>
        <w:t>层</w:t>
      </w:r>
      <w:r>
        <w:rPr>
          <w:spacing w:val="-46"/>
        </w:rPr>
        <w:t> </w:t>
      </w:r>
      <w:r>
        <w:rPr>
          <w:rFonts w:ascii="Times New Roman" w:hAnsi="Times New Roman" w:cs="Times New Roman" w:eastAsia="Times New Roman" w:hint="default"/>
        </w:rPr>
        <w:t>A1</w:t>
      </w:r>
      <w:r>
        <w:rPr/>
        <w:t>，建筑面积</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平方米，合同约定租赁期限为</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日，月租金总额为人民币</w:t>
      </w:r>
      <w:r>
        <w:rPr>
          <w:spacing w:val="-46"/>
        </w:rPr>
        <w:t> </w:t>
      </w:r>
      <w:r>
        <w:rPr>
          <w:rFonts w:ascii="Times New Roman" w:hAnsi="Times New Roman" w:cs="Times New Roman" w:eastAsia="Times New Roman" w:hint="default"/>
        </w:rPr>
        <w:t>3,300.00</w:t>
      </w:r>
    </w:p>
    <w:p>
      <w:pPr>
        <w:pStyle w:val="BodyText"/>
        <w:spacing w:line="240" w:lineRule="auto" w:before="64"/>
        <w:ind w:left="1134" w:right="0"/>
        <w:jc w:val="left"/>
      </w:pPr>
      <w:r>
        <w:rPr/>
        <w:t>元。</w:t>
      </w:r>
    </w:p>
    <w:p>
      <w:pPr>
        <w:pStyle w:val="BodyText"/>
        <w:spacing w:line="240" w:lineRule="auto" w:before="115"/>
        <w:ind w:left="1554" w:right="0"/>
        <w:jc w:val="left"/>
        <w:rPr>
          <w:rFonts w:ascii="Times New Roman" w:hAnsi="Times New Roman" w:cs="Times New Roman" w:eastAsia="Times New Roman" w:hint="default"/>
        </w:rPr>
      </w:pPr>
      <w:r>
        <w:rPr/>
        <w:t>本公司与母公司宝德科技于</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51"/>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t>日签定房地产租赁合同：租用深圳市福田区深南中路电子科技大厦</w:t>
      </w:r>
      <w:r>
        <w:rPr>
          <w:spacing w:val="-51"/>
        </w:rPr>
        <w:t> </w:t>
      </w:r>
      <w:r>
        <w:rPr>
          <w:rFonts w:ascii="Times New Roman" w:hAnsi="Times New Roman" w:cs="Times New Roman" w:eastAsia="Times New Roman" w:hint="default"/>
        </w:rPr>
        <w:t>C</w:t>
      </w:r>
      <w:r>
        <w:rPr>
          <w:rFonts w:ascii="Times New Roman" w:hAnsi="Times New Roman" w:cs="Times New Roman" w:eastAsia="Times New Roman" w:hint="default"/>
          <w:spacing w:val="-5"/>
        </w:rPr>
        <w:t> </w:t>
      </w:r>
      <w:r>
        <w:rPr/>
        <w:t>座</w:t>
      </w:r>
      <w:r>
        <w:rPr>
          <w:spacing w:val="-50"/>
        </w:rPr>
        <w:t> </w:t>
      </w:r>
      <w:r>
        <w:rPr>
          <w:rFonts w:ascii="Times New Roman" w:hAnsi="Times New Roman" w:cs="Times New Roman" w:eastAsia="Times New Roman" w:hint="default"/>
        </w:rPr>
        <w:t>43</w:t>
      </w:r>
    </w:p>
    <w:p>
      <w:pPr>
        <w:pStyle w:val="BodyText"/>
        <w:spacing w:line="240" w:lineRule="auto" w:before="63"/>
        <w:ind w:right="0"/>
        <w:jc w:val="left"/>
        <w:rPr>
          <w:rFonts w:ascii="Times New Roman" w:hAnsi="Times New Roman" w:cs="Times New Roman" w:eastAsia="Times New Roman" w:hint="default"/>
        </w:rPr>
      </w:pPr>
      <w:r>
        <w:rPr/>
        <w:t>层</w:t>
      </w:r>
      <w:r>
        <w:rPr>
          <w:spacing w:val="-46"/>
        </w:rPr>
        <w:t> </w:t>
      </w:r>
      <w:r>
        <w:rPr>
          <w:rFonts w:ascii="Times New Roman" w:hAnsi="Times New Roman" w:cs="Times New Roman" w:eastAsia="Times New Roman" w:hint="default"/>
        </w:rPr>
        <w:t>A1</w:t>
      </w:r>
      <w:r>
        <w:rPr/>
        <w:t>，建筑面积</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平方米，合同约定租赁期限为</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日，月租金总额为人民币</w:t>
      </w:r>
      <w:r>
        <w:rPr>
          <w:spacing w:val="-46"/>
        </w:rPr>
        <w:t> </w:t>
      </w:r>
      <w:r>
        <w:rPr>
          <w:rFonts w:ascii="Times New Roman" w:hAnsi="Times New Roman" w:cs="Times New Roman" w:eastAsia="Times New Roman" w:hint="default"/>
        </w:rPr>
        <w:t>3,300.00</w:t>
      </w:r>
    </w:p>
    <w:p>
      <w:pPr>
        <w:pStyle w:val="BodyText"/>
        <w:spacing w:line="240" w:lineRule="auto" w:before="64"/>
        <w:ind w:left="1134" w:right="0"/>
        <w:jc w:val="left"/>
      </w:pPr>
      <w:r>
        <w:rPr/>
        <w:t>元。</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4)关联担保情况" w:id="452"/>
      <w:bookmarkEnd w:id="452"/>
      <w:r>
        <w:rPr>
          <w:b w:val="0"/>
          <w:bCs w:val="0"/>
        </w:rPr>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134" w:right="0"/>
        <w:jc w:val="left"/>
      </w:pPr>
      <w:r>
        <w:rPr/>
        <w:t>本公司作为被担保方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宝德控股、李瑞杰、张 云霞</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宝德控股、李瑞杰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宝德控股、李瑞杰、张 云霞</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宝德控股、李瑞杰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李瑞杰、张云霞</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22" w:right="81"/>
              <w:jc w:val="left"/>
              <w:rPr>
                <w:rFonts w:ascii="宋体" w:hAnsi="宋体" w:cs="宋体" w:eastAsia="宋体" w:hint="default"/>
                <w:sz w:val="18"/>
                <w:szCs w:val="18"/>
              </w:rPr>
            </w:pPr>
            <w:r>
              <w:rPr>
                <w:rFonts w:ascii="宋体" w:hAnsi="宋体" w:cs="宋体" w:eastAsia="宋体" w:hint="default"/>
                <w:sz w:val="18"/>
                <w:szCs w:val="18"/>
              </w:rPr>
              <w:t>债务履行期限届满之日 起两年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宝德控股、李瑞杰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vMerge/>
            <w:tcBorders>
              <w:left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宝德控股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vMerge/>
            <w:tcBorders>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宝德控股、李瑞杰、张 云霞</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李瑞杰、张云霞</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vMerge w:val="restart"/>
            <w:tcBorders>
              <w:top w:val="single" w:sz="4" w:space="0" w:color="000000"/>
              <w:left w:val="single" w:sz="4" w:space="0" w:color="000000"/>
              <w:right w:val="single" w:sz="4" w:space="0" w:color="000000"/>
            </w:tcBorders>
          </w:tcPr>
          <w:p>
            <w:pPr>
              <w:pStyle w:val="TableParagraph"/>
              <w:spacing w:line="319" w:lineRule="auto" w:before="97"/>
              <w:ind w:left="22" w:right="81"/>
              <w:jc w:val="left"/>
              <w:rPr>
                <w:rFonts w:ascii="宋体" w:hAnsi="宋体" w:cs="宋体" w:eastAsia="宋体" w:hint="default"/>
                <w:sz w:val="18"/>
                <w:szCs w:val="18"/>
              </w:rPr>
            </w:pPr>
            <w:r>
              <w:rPr>
                <w:rFonts w:ascii="宋体" w:hAnsi="宋体" w:cs="宋体" w:eastAsia="宋体" w:hint="default"/>
                <w:sz w:val="18"/>
                <w:szCs w:val="18"/>
              </w:rPr>
              <w:t>债务履行期限届满之日 起两年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vMerge/>
            <w:tcBorders>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关联担保情况说明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40" w:lineRule="auto" w:before="35"/>
        <w:ind w:left="1133" w:right="0"/>
        <w:jc w:val="left"/>
        <w:rPr>
          <w:b w:val="0"/>
          <w:bCs w:val="0"/>
        </w:rPr>
      </w:pPr>
      <w:bookmarkStart w:name="(5)关联方资金拆借" w:id="453"/>
      <w:bookmarkEnd w:id="453"/>
      <w:r>
        <w:rPr>
          <w:b w:val="0"/>
          <w:bCs w:val="0"/>
        </w:rPr>
      </w:r>
      <w:r>
        <w:rPr>
          <w:rFonts w:ascii="Times New Roman" w:hAnsi="Times New Roman" w:cs="Times New Roman" w:eastAsia="Times New Roman" w:hint="default"/>
        </w:rPr>
        <w:t>(5)</w:t>
      </w:r>
      <w:r>
        <w:rPr/>
        <w:t>关联方资金拆借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6)关联方资产转让、债务重组情况" w:id="454"/>
      <w:bookmarkEnd w:id="454"/>
      <w:r>
        <w:rPr>
          <w:b w:val="0"/>
          <w:bCs w:val="0"/>
        </w:rPr>
      </w:r>
      <w:r>
        <w:rPr>
          <w:rFonts w:ascii="Times New Roman" w:hAnsi="Times New Roman" w:cs="Times New Roman" w:eastAsia="Times New Roman" w:hint="default"/>
        </w:rPr>
        <w:t>(6)</w:t>
      </w:r>
      <w:r>
        <w:rPr/>
        <w:t>关联方资产转让、债务重组情况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7)关键管理人员报酬" w:id="455"/>
      <w:bookmarkEnd w:id="455"/>
      <w:r>
        <w:rPr>
          <w:b w:val="0"/>
          <w:bCs w:val="0"/>
        </w:rPr>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薪酬合计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2,528,688.49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3,481,202.39</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8)其他关联交易" w:id="456"/>
      <w:bookmarkEnd w:id="456"/>
      <w:r>
        <w:rPr>
          <w:b w:val="0"/>
          <w:bCs w:val="0"/>
        </w:rPr>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506" w:lineRule="auto"/>
        <w:ind w:right="8539"/>
        <w:jc w:val="left"/>
        <w:rPr>
          <w:b w:val="0"/>
          <w:bCs w:val="0"/>
        </w:rPr>
      </w:pPr>
      <w:bookmarkStart w:name="6、关联方应收应付款项" w:id="457"/>
      <w:bookmarkEnd w:id="457"/>
      <w:r>
        <w:rPr>
          <w:b w:val="0"/>
          <w:bCs w:val="0"/>
        </w:rPr>
      </w:r>
      <w:r>
        <w:rPr>
          <w:rFonts w:ascii="Times New Roman" w:hAnsi="Times New Roman" w:cs="Times New Roman" w:eastAsia="Times New Roman" w:hint="default"/>
        </w:rPr>
        <w:t>6</w:t>
      </w:r>
      <w:r>
        <w:rPr/>
        <w:t>、关联方应收应付款项</w:t>
      </w:r>
      <w:r>
        <w:rPr>
          <w:w w:val="99"/>
        </w:rPr>
        <w:t> </w:t>
      </w:r>
      <w:bookmarkStart w:name="(1)应收项目" w:id="458"/>
      <w:bookmarkEnd w:id="458"/>
      <w:r>
        <w:rPr>
          <w:w w:val="99"/>
        </w:rPr>
      </w:r>
      <w:r>
        <w:rPr>
          <w:rFonts w:ascii="Times New Roman" w:hAnsi="Times New Roman" w:cs="Times New Roman" w:eastAsia="Times New Roman" w:hint="default"/>
        </w:rPr>
        <w:t>(1)</w:t>
      </w:r>
      <w:r>
        <w:rPr/>
        <w:t>应收项目</w:t>
      </w:r>
      <w:r>
        <w:rPr>
          <w:b w:val="0"/>
          <w:bCs w:val="0"/>
        </w:rPr>
      </w:r>
    </w:p>
    <w:p>
      <w:pPr>
        <w:pStyle w:val="BodyText"/>
        <w:spacing w:line="240" w:lineRule="auto" w:before="9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深圳市速必拓网络 科技有限公司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67,200.00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3,360.00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上海跳跃</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47,053,560.51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2,352,678.03</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上海顶势</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766,311.77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766,311.77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766,311.77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366,753.64</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766,311.77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766,311.77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47,887,072.28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2,722,791.67</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广州卓游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2,697,427.56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2,697,427.56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2,697,427.56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2,697,427.56</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夏玄</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9,198.56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459.93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2,706,626.12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2,697,887.49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2,697,427.56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2,697,427.56</w:t>
            </w:r>
          </w:p>
        </w:tc>
      </w:tr>
    </w:tbl>
    <w:p>
      <w:pPr>
        <w:spacing w:line="240" w:lineRule="auto" w:before="3"/>
        <w:rPr>
          <w:rFonts w:ascii="宋体" w:hAnsi="宋体" w:cs="宋体" w:eastAsia="宋体" w:hint="default"/>
          <w:sz w:val="19"/>
          <w:szCs w:val="19"/>
        </w:rPr>
      </w:pPr>
    </w:p>
    <w:p>
      <w:pPr>
        <w:pStyle w:val="Heading7"/>
        <w:spacing w:line="240" w:lineRule="auto" w:before="35"/>
        <w:ind w:right="0"/>
        <w:jc w:val="left"/>
        <w:rPr>
          <w:b w:val="0"/>
          <w:bCs w:val="0"/>
        </w:rPr>
      </w:pPr>
      <w:bookmarkStart w:name="(2)应付项目" w:id="459"/>
      <w:bookmarkEnd w:id="459"/>
      <w:r>
        <w:rPr>
          <w:b w:val="0"/>
          <w:bCs w:val="0"/>
        </w:rPr>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深圳市速必拓网络科技有限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798,403.40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718,109.65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宝德软件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277,635.96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上海顶势</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1,754.69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1,754.69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1,117,394.05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799,064.34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469,352.02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477,194.70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宝德控股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461,269.24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461,406.40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深圳中付通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107,814.42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99,313.42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3,700.11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1,042,135.79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1,037,914.52</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7、关联方承诺" w:id="460"/>
      <w:bookmarkEnd w:id="460"/>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8、其他" w:id="461"/>
      <w:bookmarkEnd w:id="461"/>
      <w:r>
        <w:rPr>
          <w:b w:val="0"/>
          <w:bCs w:val="0"/>
        </w:rPr>
      </w:r>
      <w:r>
        <w:rPr>
          <w:rFonts w:ascii="Times New Roman" w:hAnsi="Times New Roman" w:cs="Times New Roman" w:eastAsia="Times New Roman" w:hint="default"/>
        </w:rPr>
        <w:t>8</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
        <w:rPr>
          <w:rFonts w:ascii="宋体" w:hAnsi="宋体" w:cs="宋体" w:eastAsia="宋体" w:hint="default"/>
          <w:sz w:val="25"/>
          <w:szCs w:val="25"/>
        </w:rPr>
      </w:pPr>
    </w:p>
    <w:p>
      <w:pPr>
        <w:pStyle w:val="Heading3"/>
        <w:spacing w:line="240" w:lineRule="auto"/>
        <w:ind w:left="1134" w:right="0"/>
        <w:jc w:val="left"/>
        <w:rPr>
          <w:b w:val="0"/>
          <w:bCs w:val="0"/>
        </w:rPr>
      </w:pPr>
      <w:bookmarkStart w:name="十三、股份支付" w:id="462"/>
      <w:bookmarkEnd w:id="462"/>
      <w:r>
        <w:rPr>
          <w:b w:val="0"/>
          <w:bCs w:val="0"/>
        </w:rPr>
      </w:r>
      <w:r>
        <w:rPr/>
        <w:t>十三、股份支付</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left="1133" w:right="0"/>
        <w:jc w:val="left"/>
        <w:rPr>
          <w:b w:val="0"/>
          <w:bCs w:val="0"/>
        </w:rPr>
      </w:pPr>
      <w:bookmarkStart w:name="1、股份支付总体情况" w:id="463"/>
      <w:bookmarkEnd w:id="463"/>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1,038,600.00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5,783,800.00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其中：首期股票期权</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预留股票期权</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以权益结算的股份支付情况" w:id="464"/>
      <w:bookmarkEnd w:id="464"/>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715"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59"/>
              <w:jc w:val="left"/>
              <w:rPr>
                <w:rFonts w:ascii="宋体" w:hAnsi="宋体" w:cs="宋体" w:eastAsia="宋体" w:hint="default"/>
                <w:sz w:val="18"/>
                <w:szCs w:val="18"/>
              </w:rPr>
            </w:pPr>
            <w:r>
              <w:rPr>
                <w:rFonts w:ascii="宋体" w:hAnsi="宋体" w:cs="宋体" w:eastAsia="宋体" w:hint="default"/>
                <w:sz w:val="18"/>
                <w:szCs w:val="18"/>
              </w:rPr>
              <w:t>采用</w:t>
            </w:r>
            <w:r>
              <w:rPr>
                <w:rFonts w:ascii="Times New Roman" w:hAnsi="Times New Roman" w:cs="Times New Roman" w:eastAsia="Times New Roman" w:hint="default"/>
                <w:sz w:val="18"/>
                <w:szCs w:val="18"/>
              </w:rPr>
              <w:t>"</w:t>
            </w:r>
            <w:r>
              <w:rPr>
                <w:rFonts w:ascii="宋体" w:hAnsi="宋体" w:cs="宋体" w:eastAsia="宋体" w:hint="default"/>
                <w:sz w:val="18"/>
                <w:szCs w:val="18"/>
              </w:rPr>
              <w:t>布莱克斯科尔斯默顿</w:t>
            </w:r>
            <w:r>
              <w:rPr>
                <w:rFonts w:ascii="Times New Roman" w:hAnsi="Times New Roman" w:cs="Times New Roman" w:eastAsia="Times New Roman" w:hint="default"/>
                <w:sz w:val="18"/>
                <w:szCs w:val="18"/>
              </w:rPr>
              <w:t>"</w:t>
            </w:r>
            <w:r>
              <w:rPr>
                <w:rFonts w:ascii="宋体" w:hAnsi="宋体" w:cs="宋体" w:eastAsia="宋体" w:hint="default"/>
                <w:sz w:val="18"/>
                <w:szCs w:val="18"/>
              </w:rPr>
              <w:t>期权定价公式</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r>
              <w:rPr>
                <w:rFonts w:ascii="Times New Roman" w:hAnsi="Times New Roman" w:cs="Times New Roman" w:eastAsia="Times New Roman" w:hint="default"/>
                <w:sz w:val="18"/>
                <w:szCs w:val="18"/>
              </w:rPr>
              <w:t>)</w:t>
            </w:r>
            <w:r>
              <w:rPr>
                <w:rFonts w:ascii="宋体" w:hAnsi="宋体" w:cs="宋体" w:eastAsia="宋体" w:hint="default"/>
                <w:sz w:val="18"/>
                <w:szCs w:val="18"/>
              </w:rPr>
              <w:t>确定授 予的期权的公允价值</w:t>
            </w:r>
          </w:p>
        </w:tc>
      </w:tr>
      <w:tr>
        <w:trPr>
          <w:trHeight w:val="102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51"/>
              <w:jc w:val="both"/>
              <w:rPr>
                <w:rFonts w:ascii="宋体" w:hAnsi="宋体" w:cs="宋体" w:eastAsia="宋体" w:hint="default"/>
                <w:sz w:val="18"/>
                <w:szCs w:val="18"/>
              </w:rPr>
            </w:pPr>
            <w:r>
              <w:rPr>
                <w:rFonts w:ascii="宋体" w:hAnsi="宋体" w:cs="宋体" w:eastAsia="宋体" w:hint="default"/>
                <w:sz w:val="18"/>
                <w:szCs w:val="18"/>
              </w:rPr>
              <w:t>被授予期权的职工均为公司高管及核心管理人员，本公司 根据实际离职情况以及公司未来发展状况合理估计未来将 离职的职工人数</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1,939,598.10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-8,303,213.22</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3、以现金结算的股份支付情况" w:id="465"/>
      <w:bookmarkEnd w:id="465"/>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240" w:lineRule="auto"/>
        <w:ind w:left="1133" w:right="0"/>
        <w:jc w:val="left"/>
        <w:rPr>
          <w:b w:val="0"/>
          <w:bCs w:val="0"/>
        </w:rPr>
      </w:pPr>
      <w:bookmarkStart w:name="4、股份支付的修改、终止情况" w:id="466"/>
      <w:bookmarkEnd w:id="466"/>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240" w:lineRule="auto"/>
        <w:ind w:left="1133" w:right="0"/>
        <w:jc w:val="left"/>
        <w:rPr>
          <w:b w:val="0"/>
          <w:bCs w:val="0"/>
        </w:rPr>
      </w:pPr>
      <w:bookmarkStart w:name="5、其他" w:id="467"/>
      <w:bookmarkEnd w:id="467"/>
      <w:r>
        <w:rPr>
          <w:b w:val="0"/>
          <w:bCs w:val="0"/>
        </w:rPr>
      </w:r>
      <w:r>
        <w:rPr>
          <w:rFonts w:ascii="Times New Roman" w:hAnsi="Times New Roman" w:cs="Times New Roman" w:eastAsia="Times New Roman" w:hint="default"/>
        </w:rPr>
        <w:t>5</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25"/>
          <w:szCs w:val="25"/>
        </w:rPr>
      </w:pPr>
    </w:p>
    <w:p>
      <w:pPr>
        <w:pStyle w:val="Heading3"/>
        <w:spacing w:line="240" w:lineRule="auto"/>
        <w:ind w:left="1134" w:right="0"/>
        <w:jc w:val="left"/>
        <w:rPr>
          <w:b w:val="0"/>
          <w:bCs w:val="0"/>
        </w:rPr>
      </w:pPr>
      <w:bookmarkStart w:name="十四、承诺及或有事项" w:id="468"/>
      <w:bookmarkEnd w:id="468"/>
      <w:r>
        <w:rPr>
          <w:b w:val="0"/>
          <w:bCs w:val="0"/>
        </w:rPr>
      </w:r>
      <w:r>
        <w:rPr/>
        <w:t>十四、承诺及或有事项</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left="1133" w:right="0"/>
        <w:jc w:val="left"/>
        <w:rPr>
          <w:b w:val="0"/>
          <w:bCs w:val="0"/>
        </w:rPr>
      </w:pPr>
      <w:bookmarkStart w:name="1、重要承诺事项" w:id="469"/>
      <w:bookmarkEnd w:id="469"/>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0"/>
        <w:rPr>
          <w:rFonts w:ascii="宋体" w:hAnsi="宋体" w:cs="宋体" w:eastAsia="宋体" w:hint="default"/>
          <w:sz w:val="26"/>
          <w:szCs w:val="26"/>
        </w:rPr>
      </w:pPr>
    </w:p>
    <w:p>
      <w:pPr>
        <w:pStyle w:val="Heading7"/>
        <w:spacing w:line="518" w:lineRule="auto"/>
        <w:ind w:left="1133" w:right="7346"/>
        <w:jc w:val="left"/>
        <w:rPr>
          <w:rFonts w:ascii="宋体" w:hAnsi="宋体" w:cs="宋体" w:eastAsia="宋体" w:hint="default"/>
          <w:b w:val="0"/>
          <w:bCs w:val="0"/>
          <w:sz w:val="18"/>
          <w:szCs w:val="18"/>
        </w:rPr>
      </w:pPr>
      <w:bookmarkStart w:name="2、或有事项" w:id="470"/>
      <w:bookmarkEnd w:id="470"/>
      <w:r>
        <w:rPr>
          <w:b w:val="0"/>
          <w:bCs w:val="0"/>
        </w:rPr>
      </w:r>
      <w:r>
        <w:rPr>
          <w:rFonts w:ascii="Times New Roman" w:hAnsi="Times New Roman" w:cs="Times New Roman" w:eastAsia="Times New Roman" w:hint="default"/>
        </w:rPr>
        <w:t>2</w:t>
      </w:r>
      <w:r>
        <w:rPr/>
        <w:t>、或有事项</w:t>
      </w:r>
      <w:r>
        <w:rPr>
          <w:w w:val="99"/>
        </w:rPr>
        <w:t> </w:t>
      </w:r>
      <w:bookmarkStart w:name="(1)资产负债表日存在的重要或有事项" w:id="471"/>
      <w:bookmarkEnd w:id="471"/>
      <w:r>
        <w:rPr>
          <w:w w:val="99"/>
        </w:rPr>
      </w:r>
      <w:r>
        <w:rPr>
          <w:rFonts w:ascii="Times New Roman" w:hAnsi="Times New Roman" w:cs="Times New Roman" w:eastAsia="Times New Roman" w:hint="default"/>
        </w:rPr>
        <w:t>(1)</w:t>
      </w:r>
      <w:r>
        <w:rPr/>
        <w:t>资产负债表日存在的重要或有事项</w:t>
      </w:r>
      <w:r>
        <w:rPr>
          <w:w w:val="99"/>
        </w:rPr>
        <w:t> </w:t>
      </w:r>
      <w:r>
        <w:rPr>
          <w:rFonts w:ascii="宋体" w:hAnsi="宋体" w:cs="宋体" w:eastAsia="宋体" w:hint="default"/>
          <w:b w:val="0"/>
          <w:bCs w:val="0"/>
          <w:sz w:val="18"/>
          <w:szCs w:val="18"/>
        </w:rPr>
        <w:t>无</w:t>
      </w:r>
    </w:p>
    <w:p>
      <w:pPr>
        <w:pStyle w:val="Heading7"/>
        <w:spacing w:line="240" w:lineRule="auto" w:before="142"/>
        <w:ind w:right="0"/>
        <w:jc w:val="left"/>
        <w:rPr>
          <w:b w:val="0"/>
          <w:bCs w:val="0"/>
        </w:rPr>
      </w:pPr>
      <w:bookmarkStart w:name="(2)公司没有需要披露的重要或有事项，也应予以说明" w:id="472"/>
      <w:bookmarkEnd w:id="472"/>
      <w:r>
        <w:rPr>
          <w:b w:val="0"/>
          <w:bCs w:val="0"/>
        </w:rPr>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line="487" w:lineRule="auto" w:before="35"/>
        <w:ind w:left="1133" w:right="7557" w:firstLine="0"/>
        <w:jc w:val="left"/>
        <w:rPr>
          <w:rFonts w:ascii="宋体" w:hAnsi="宋体" w:cs="宋体" w:eastAsia="宋体" w:hint="default"/>
          <w:sz w:val="21"/>
          <w:szCs w:val="21"/>
        </w:rPr>
      </w:pPr>
      <w:bookmarkStart w:name="3、其他" w:id="473"/>
      <w:bookmarkEnd w:id="47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74"/>
      <w:bookmarkEnd w:id="47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75"/>
      <w:bookmarkEnd w:id="475"/>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right="0"/>
        <w:jc w:val="left"/>
      </w:pPr>
      <w:r>
        <w:rPr/>
        <w:t>无</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2、利润分配情况" w:id="476"/>
      <w:bookmarkEnd w:id="476"/>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5,220,772.00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3、销售退回" w:id="477"/>
      <w:bookmarkEnd w:id="477"/>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4、其他资产负债表日后事项说明" w:id="478"/>
      <w:bookmarkEnd w:id="478"/>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0"/>
        <w:rPr>
          <w:rFonts w:ascii="宋体" w:hAnsi="宋体" w:cs="宋体" w:eastAsia="宋体" w:hint="default"/>
          <w:sz w:val="25"/>
          <w:szCs w:val="25"/>
        </w:rPr>
      </w:pPr>
    </w:p>
    <w:p>
      <w:pPr>
        <w:spacing w:line="496" w:lineRule="auto" w:before="0"/>
        <w:ind w:left="1133" w:right="8584" w:firstLine="0"/>
        <w:jc w:val="left"/>
        <w:rPr>
          <w:rFonts w:ascii="宋体" w:hAnsi="宋体" w:cs="宋体" w:eastAsia="宋体" w:hint="default"/>
          <w:sz w:val="21"/>
          <w:szCs w:val="21"/>
        </w:rPr>
      </w:pPr>
      <w:bookmarkStart w:name="十六、其他重要事项" w:id="479"/>
      <w:bookmarkEnd w:id="479"/>
      <w:r>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80"/>
      <w:bookmarkEnd w:id="48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b/>
          <w:bCs/>
          <w:w w:val="99"/>
          <w:sz w:val="21"/>
          <w:szCs w:val="21"/>
        </w:rPr>
        <w:t> </w:t>
      </w:r>
      <w:bookmarkStart w:name="(1)追溯重述法" w:id="481"/>
      <w:bookmarkEnd w:id="481"/>
      <w:r>
        <w:rPr>
          <w:rFonts w:ascii="宋体" w:hAnsi="宋体" w:cs="宋体" w:eastAsia="宋体" w:hint="default"/>
          <w:b/>
          <w:bCs/>
          <w:w w:val="99"/>
          <w:sz w:val="21"/>
          <w:szCs w:val="21"/>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sz w:val="21"/>
          <w:szCs w:val="21"/>
        </w:rPr>
      </w:r>
    </w:p>
    <w:p>
      <w:pPr>
        <w:pStyle w:val="BodyText"/>
        <w:spacing w:line="240" w:lineRule="auto" w:before="99"/>
        <w:ind w:right="0"/>
        <w:jc w:val="left"/>
      </w:pPr>
      <w:r>
        <w:rPr/>
        <w:t>无</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2)未来适用法" w:id="482"/>
      <w:bookmarkEnd w:id="482"/>
      <w:r>
        <w:rPr>
          <w:b w:val="0"/>
          <w:bCs w:val="0"/>
        </w:rPr>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2、债务重组" w:id="483"/>
      <w:bookmarkEnd w:id="483"/>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0"/>
        <w:rPr>
          <w:rFonts w:ascii="宋体" w:hAnsi="宋体" w:cs="宋体" w:eastAsia="宋体" w:hint="default"/>
          <w:sz w:val="26"/>
          <w:szCs w:val="26"/>
        </w:rPr>
      </w:pPr>
    </w:p>
    <w:p>
      <w:pPr>
        <w:pStyle w:val="Heading7"/>
        <w:spacing w:line="518" w:lineRule="auto"/>
        <w:ind w:left="1133" w:right="8821"/>
        <w:jc w:val="left"/>
        <w:rPr>
          <w:rFonts w:ascii="宋体" w:hAnsi="宋体" w:cs="宋体" w:eastAsia="宋体" w:hint="default"/>
          <w:b w:val="0"/>
          <w:bCs w:val="0"/>
          <w:sz w:val="18"/>
          <w:szCs w:val="18"/>
        </w:rPr>
      </w:pPr>
      <w:bookmarkStart w:name="3、资产置换" w:id="484"/>
      <w:bookmarkEnd w:id="484"/>
      <w:r>
        <w:rPr>
          <w:b w:val="0"/>
          <w:bCs w:val="0"/>
        </w:rPr>
      </w:r>
      <w:r>
        <w:rPr>
          <w:rFonts w:ascii="Times New Roman" w:hAnsi="Times New Roman" w:cs="Times New Roman" w:eastAsia="Times New Roman" w:hint="default"/>
        </w:rPr>
        <w:t>3</w:t>
      </w:r>
      <w:r>
        <w:rPr/>
        <w:t>、资产置换</w:t>
      </w:r>
      <w:r>
        <w:rPr>
          <w:w w:val="99"/>
        </w:rPr>
        <w:t> </w:t>
      </w:r>
      <w:bookmarkStart w:name="(1)非货币性资产交换" w:id="485"/>
      <w:bookmarkEnd w:id="485"/>
      <w:r>
        <w:rPr>
          <w:w w:val="99"/>
        </w:rPr>
      </w:r>
      <w:r>
        <w:rPr>
          <w:rFonts w:ascii="Times New Roman" w:hAnsi="Times New Roman" w:cs="Times New Roman" w:eastAsia="Times New Roman" w:hint="default"/>
        </w:rPr>
        <w:t>(1)</w:t>
      </w:r>
      <w:r>
        <w:rPr/>
        <w:t>非货币性资产交换</w:t>
      </w:r>
      <w:r>
        <w:rPr>
          <w:w w:val="99"/>
        </w:rPr>
        <w:t> </w:t>
      </w:r>
      <w:r>
        <w:rPr>
          <w:rFonts w:ascii="宋体" w:hAnsi="宋体" w:cs="宋体" w:eastAsia="宋体" w:hint="default"/>
          <w:b w:val="0"/>
          <w:bCs w:val="0"/>
          <w:sz w:val="18"/>
          <w:szCs w:val="18"/>
        </w:rPr>
        <w:t>无</w:t>
      </w:r>
    </w:p>
    <w:p>
      <w:pPr>
        <w:spacing w:after="0" w:line="51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7"/>
        <w:spacing w:line="240" w:lineRule="auto" w:before="35"/>
        <w:ind w:left="1133" w:right="0"/>
        <w:jc w:val="left"/>
        <w:rPr>
          <w:b w:val="0"/>
          <w:bCs w:val="0"/>
        </w:rPr>
      </w:pPr>
      <w:bookmarkStart w:name="(2)其他资产置换" w:id="486"/>
      <w:bookmarkEnd w:id="486"/>
      <w:r>
        <w:rPr>
          <w:b w:val="0"/>
          <w:bCs w:val="0"/>
        </w:rPr>
      </w:r>
      <w:r>
        <w:rPr>
          <w:rFonts w:ascii="Times New Roman" w:hAnsi="Times New Roman" w:cs="Times New Roman" w:eastAsia="Times New Roman" w:hint="default"/>
        </w:rPr>
        <w:t>(2)</w:t>
      </w:r>
      <w:r>
        <w:rPr/>
        <w:t>其他资产置换</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4、年金计划" w:id="487"/>
      <w:bookmarkEnd w:id="487"/>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5、终止经营" w:id="488"/>
      <w:bookmarkEnd w:id="488"/>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1"/>
        <w:rPr>
          <w:rFonts w:ascii="宋体" w:hAnsi="宋体" w:cs="宋体" w:eastAsia="宋体" w:hint="default"/>
          <w:sz w:val="26"/>
          <w:szCs w:val="26"/>
        </w:rPr>
      </w:pPr>
    </w:p>
    <w:p>
      <w:pPr>
        <w:pStyle w:val="Heading7"/>
        <w:spacing w:line="516" w:lineRule="auto"/>
        <w:ind w:left="1133" w:right="7557"/>
        <w:jc w:val="left"/>
        <w:rPr>
          <w:rFonts w:ascii="宋体" w:hAnsi="宋体" w:cs="宋体" w:eastAsia="宋体" w:hint="default"/>
          <w:b w:val="0"/>
          <w:bCs w:val="0"/>
          <w:sz w:val="18"/>
          <w:szCs w:val="18"/>
        </w:rPr>
      </w:pPr>
      <w:bookmarkStart w:name="6、分部信息" w:id="489"/>
      <w:bookmarkEnd w:id="489"/>
      <w:r>
        <w:rPr>
          <w:b w:val="0"/>
          <w:bCs w:val="0"/>
        </w:rPr>
      </w:r>
      <w:r>
        <w:rPr>
          <w:rFonts w:ascii="Times New Roman" w:hAnsi="Times New Roman" w:cs="Times New Roman" w:eastAsia="Times New Roman" w:hint="default"/>
        </w:rPr>
        <w:t>6</w:t>
      </w:r>
      <w:r>
        <w:rPr/>
        <w:t>、分部信息</w:t>
      </w:r>
      <w:r>
        <w:rPr>
          <w:w w:val="99"/>
        </w:rPr>
        <w:t> </w:t>
      </w:r>
      <w:bookmarkStart w:name="(1)报告分部的确定依据与会计政策" w:id="490"/>
      <w:bookmarkEnd w:id="490"/>
      <w:r>
        <w:rPr>
          <w:w w:val="99"/>
        </w:rPr>
      </w:r>
      <w:r>
        <w:rPr>
          <w:rFonts w:ascii="Times New Roman" w:hAnsi="Times New Roman" w:cs="Times New Roman" w:eastAsia="Times New Roman" w:hint="default"/>
        </w:rPr>
        <w:t>(1)</w:t>
      </w:r>
      <w:r>
        <w:rPr/>
        <w:t>报告分部的确定依据与会计政策</w:t>
      </w:r>
      <w:r>
        <w:rPr>
          <w:w w:val="99"/>
        </w:rPr>
        <w:t> </w:t>
      </w:r>
      <w:r>
        <w:rPr>
          <w:rFonts w:ascii="宋体" w:hAnsi="宋体" w:cs="宋体" w:eastAsia="宋体" w:hint="default"/>
          <w:b w:val="0"/>
          <w:bCs w:val="0"/>
          <w:sz w:val="18"/>
          <w:szCs w:val="18"/>
        </w:rPr>
        <w:t>无</w:t>
      </w:r>
    </w:p>
    <w:p>
      <w:pPr>
        <w:pStyle w:val="Heading7"/>
        <w:spacing w:line="240" w:lineRule="auto" w:before="144"/>
        <w:ind w:right="0"/>
        <w:jc w:val="left"/>
        <w:rPr>
          <w:b w:val="0"/>
          <w:bCs w:val="0"/>
        </w:rPr>
      </w:pPr>
      <w:bookmarkStart w:name="(2)报告分部的财务信息" w:id="491"/>
      <w:bookmarkEnd w:id="491"/>
      <w:r>
        <w:rPr>
          <w:b w:val="0"/>
          <w:bCs w:val="0"/>
        </w:rPr>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7"/>
        <w:spacing w:line="240" w:lineRule="auto"/>
        <w:ind w:left="1239" w:right="0"/>
        <w:jc w:val="left"/>
        <w:rPr>
          <w:b w:val="0"/>
          <w:bCs w:val="0"/>
        </w:rPr>
      </w:pPr>
      <w:bookmarkStart w:name="(3)公司无报告分部的，或者不能披露各报告分部的资产总额和负债总额的，应说明原因" w:id="492"/>
      <w:bookmarkEnd w:id="492"/>
      <w:r>
        <w:rPr>
          <w:b w:val="0"/>
          <w:bCs w:val="0"/>
        </w:rPr>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4)其他说明" w:id="493"/>
      <w:bookmarkEnd w:id="493"/>
      <w:r>
        <w:rPr>
          <w:b w:val="0"/>
          <w:bCs w:val="0"/>
        </w:rPr>
      </w:r>
      <w:r>
        <w:rPr>
          <w:rFonts w:ascii="Times New Roman" w:hAnsi="Times New Roman" w:cs="Times New Roman" w:eastAsia="Times New Roman" w:hint="default"/>
        </w:rPr>
        <w:t>(4)</w:t>
      </w:r>
      <w:r>
        <w:rPr/>
        <w:t>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7、其他对投资者决策有影响的重要交易和事项" w:id="494"/>
      <w:bookmarkEnd w:id="494"/>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8、其他" w:id="495"/>
      <w:bookmarkEnd w:id="495"/>
      <w:r>
        <w:rPr>
          <w:b w:val="0"/>
          <w:bCs w:val="0"/>
        </w:rPr>
      </w:r>
      <w:r>
        <w:rPr>
          <w:rFonts w:ascii="Times New Roman" w:hAnsi="Times New Roman" w:cs="Times New Roman" w:eastAsia="Times New Roman" w:hint="default"/>
        </w:rPr>
        <w:t>8</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654" w:right="111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重大资产重组进展 </w:t>
      </w:r>
      <w:r>
        <w:rPr>
          <w:spacing w:val="-3"/>
        </w:rPr>
        <w:t>由于并购标的所处行业的竞争环境及其实际业绩发生了较大变化，原有的并购方案已不符合目前的市场情况。</w:t>
      </w:r>
      <w:r>
        <w:rPr>
          <w:rFonts w:ascii="Times New Roman" w:hAnsi="Times New Roman" w:cs="Times New Roman" w:eastAsia="Times New Roman" w:hint="default"/>
          <w:spacing w:val="-3"/>
        </w:rPr>
        <w:t>2015 </w:t>
      </w:r>
      <w:r>
        <w:rPr>
          <w:rFonts w:ascii="Times New Roman" w:hAnsi="Times New Roman" w:cs="Times New Roman" w:eastAsia="Times New Roman" w:hint="default"/>
          <w:spacing w:val="7"/>
        </w:rPr>
        <w:t> </w:t>
      </w:r>
      <w:r>
        <w:rPr/>
        <w:t>年</w:t>
      </w:r>
    </w:p>
    <w:p>
      <w:pPr>
        <w:pStyle w:val="BodyText"/>
        <w:spacing w:line="300" w:lineRule="auto" w:before="13"/>
        <w:ind w:right="1130"/>
        <w:jc w:val="both"/>
      </w:pPr>
      <w:r>
        <w:rPr>
          <w:rFonts w:ascii="Times New Roman" w:hAnsi="Times New Roman" w:cs="Times New Roman" w:eastAsia="Times New Roman" w:hint="default"/>
        </w:rPr>
        <w:t>10 </w:t>
      </w:r>
      <w:r>
        <w:rPr/>
        <w:t>月 </w:t>
      </w:r>
      <w:r>
        <w:rPr>
          <w:rFonts w:ascii="Times New Roman" w:hAnsi="Times New Roman" w:cs="Times New Roman" w:eastAsia="Times New Roman" w:hint="default"/>
        </w:rPr>
        <w:t>21</w:t>
      </w:r>
      <w:r>
        <w:rPr>
          <w:rFonts w:ascii="Times New Roman" w:hAnsi="Times New Roman" w:cs="Times New Roman" w:eastAsia="Times New Roman" w:hint="default"/>
          <w:spacing w:val="-22"/>
        </w:rPr>
        <w:t> </w:t>
      </w:r>
      <w:r>
        <w:rPr/>
        <w:t>日，公司召开了第三届董事会第十九次</w:t>
      </w:r>
      <w:r>
        <w:rPr>
          <w:rFonts w:ascii="Times New Roman" w:hAnsi="Times New Roman" w:cs="Times New Roman" w:eastAsia="Times New Roman" w:hint="default"/>
        </w:rPr>
        <w:t>(</w:t>
      </w:r>
      <w:r>
        <w:rPr/>
        <w:t>临时</w:t>
      </w:r>
      <w:r>
        <w:rPr>
          <w:rFonts w:ascii="Times New Roman" w:hAnsi="Times New Roman" w:cs="Times New Roman" w:eastAsia="Times New Roman" w:hint="default"/>
        </w:rPr>
        <w:t>)</w:t>
      </w:r>
      <w:r>
        <w:rPr/>
        <w:t>会议，审议通过了《关于公司终止以发行股份及现金方式购买资产并 </w:t>
      </w:r>
      <w:r>
        <w:rPr>
          <w:spacing w:val="-2"/>
        </w:rPr>
        <w:t>募集配套资金事项的议案》。已在</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10</w:t>
      </w:r>
      <w:r>
        <w:rPr>
          <w:spacing w:val="-2"/>
        </w:rPr>
        <w:t>日经</w:t>
      </w:r>
      <w:r>
        <w:rPr>
          <w:rFonts w:ascii="Times New Roman" w:hAnsi="Times New Roman" w:cs="Times New Roman" w:eastAsia="Times New Roman" w:hint="default"/>
          <w:spacing w:val="-2"/>
        </w:rPr>
        <w:t>2015</w:t>
      </w:r>
      <w:r>
        <w:rPr>
          <w:spacing w:val="-2"/>
        </w:rPr>
        <w:t>年第一次临时股东大会审议通过并于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17</w:t>
      </w:r>
      <w:r>
        <w:rPr>
          <w:spacing w:val="-2"/>
        </w:rPr>
        <w:t>日收到中国证券</w:t>
      </w:r>
      <w:r>
        <w:rPr>
          <w:spacing w:val="-44"/>
        </w:rPr>
        <w:t> </w:t>
      </w:r>
      <w:r>
        <w:rPr/>
        <w:t>监督管理委员会《行政许可申请终止审查通知书》。</w:t>
      </w:r>
    </w:p>
    <w:p>
      <w:pPr>
        <w:pStyle w:val="BodyText"/>
        <w:spacing w:line="300" w:lineRule="auto" w:before="32"/>
        <w:ind w:left="1134" w:right="1187" w:firstLine="520"/>
        <w:jc w:val="left"/>
      </w:pPr>
      <w:r>
        <w:rPr/>
        <w:t>根据签订的相关终止协议，公司预付给北京中科奥科技有限公司股东的</w:t>
      </w:r>
      <w:r>
        <w:rPr>
          <w:rFonts w:ascii="Times New Roman" w:hAnsi="Times New Roman" w:cs="Times New Roman" w:eastAsia="Times New Roman" w:hint="default"/>
        </w:rPr>
        <w:t>8,480.00</w:t>
      </w:r>
      <w:r>
        <w:rPr/>
        <w:t>万元及利息</w:t>
      </w:r>
      <w:r>
        <w:rPr>
          <w:rFonts w:ascii="Times New Roman" w:hAnsi="Times New Roman" w:cs="Times New Roman" w:eastAsia="Times New Roman" w:hint="default"/>
        </w:rPr>
        <w:t>254.40</w:t>
      </w:r>
      <w:r>
        <w:rPr/>
        <w:t>万元已于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 </w:t>
      </w:r>
      <w:r>
        <w:rPr/>
        <w:t>月</w:t>
      </w:r>
      <w:r>
        <w:rPr>
          <w:rFonts w:ascii="Times New Roman" w:hAnsi="Times New Roman" w:cs="Times New Roman" w:eastAsia="Times New Roman" w:hint="default"/>
        </w:rPr>
        <w:t>12</w:t>
      </w:r>
      <w:r>
        <w:rPr/>
        <w:t>日全额收回，公司预付给江苏名通信息科技有限公司股东的</w:t>
      </w:r>
      <w:r>
        <w:rPr>
          <w:rFonts w:ascii="Times New Roman" w:hAnsi="Times New Roman" w:cs="Times New Roman" w:eastAsia="Times New Roman" w:hint="default"/>
        </w:rPr>
        <w:t>9,000.00</w:t>
      </w:r>
      <w:r>
        <w:rPr/>
        <w:t>万元已于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日全额收回。</w:t>
      </w:r>
    </w:p>
    <w:p>
      <w:pPr>
        <w:pStyle w:val="BodyText"/>
        <w:spacing w:line="240" w:lineRule="auto" w:before="13"/>
        <w:ind w:left="165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t>处置上海跳跃部分股权事项</w:t>
      </w:r>
    </w:p>
    <w:p>
      <w:pPr>
        <w:pStyle w:val="BodyText"/>
        <w:spacing w:line="240" w:lineRule="auto" w:before="63"/>
        <w:ind w:left="1574"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日本公司第三届董事会第九次</w:t>
      </w:r>
      <w:r>
        <w:rPr>
          <w:rFonts w:ascii="Times New Roman" w:hAnsi="Times New Roman" w:cs="Times New Roman" w:eastAsia="Times New Roman" w:hint="default"/>
        </w:rPr>
        <w:t>(</w:t>
      </w:r>
      <w:r>
        <w:rPr/>
        <w:t>临时</w:t>
      </w:r>
      <w:r>
        <w:rPr>
          <w:rFonts w:ascii="Times New Roman" w:hAnsi="Times New Roman" w:cs="Times New Roman" w:eastAsia="Times New Roman" w:hint="default"/>
        </w:rPr>
        <w:t>)</w:t>
      </w:r>
      <w:r>
        <w:rPr/>
        <w:t>会议审议通过了《转让控股子公司部分股权》的议案，公司以人民币</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4" w:lineRule="auto" w:before="44"/>
        <w:ind w:right="1132"/>
        <w:jc w:val="both"/>
      </w:pPr>
      <w:r>
        <w:rPr>
          <w:rFonts w:ascii="Times New Roman" w:hAnsi="Times New Roman" w:cs="Times New Roman" w:eastAsia="Times New Roman" w:hint="default"/>
        </w:rPr>
        <w:t>1,500.00</w:t>
      </w:r>
      <w:r>
        <w:rPr/>
        <w:t>万元将持有控股子公司上海跳跃网络科技有限公司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上海跳跃</w:t>
      </w:r>
      <w:r>
        <w:rPr>
          <w:rFonts w:ascii="Times New Roman" w:hAnsi="Times New Roman" w:cs="Times New Roman" w:eastAsia="Times New Roman" w:hint="default"/>
        </w:rPr>
        <w:t>”</w:t>
      </w:r>
      <w:r>
        <w:rPr>
          <w:rFonts w:ascii="Times New Roman" w:hAnsi="Times New Roman" w:cs="Times New Roman" w:eastAsia="Times New Roman" w:hint="default"/>
        </w:rPr>
        <w:t>)15%</w:t>
      </w:r>
      <w:r>
        <w:rPr/>
        <w:t>股权转让给赵增社，</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日办</w:t>
      </w:r>
      <w:r>
        <w:rPr>
          <w:w w:val="99"/>
        </w:rPr>
        <w:t> </w:t>
      </w:r>
      <w:r>
        <w:rPr/>
        <w:t>理完成股权转让的工商变更手续，本公司于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日收到第一笔股权转让款人民币</w:t>
      </w:r>
      <w:r>
        <w:rPr>
          <w:rFonts w:ascii="Times New Roman" w:hAnsi="Times New Roman" w:cs="Times New Roman" w:eastAsia="Times New Roman" w:hint="default"/>
        </w:rPr>
        <w:t>800.00</w:t>
      </w:r>
      <w:r>
        <w:rPr/>
        <w:t>万元，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日收到</w:t>
      </w:r>
      <w:r>
        <w:rPr>
          <w:w w:val="99"/>
        </w:rPr>
        <w:t> </w:t>
      </w:r>
      <w:r>
        <w:rPr>
          <w:spacing w:val="-1"/>
        </w:rPr>
        <w:t>第二笔股权转让款人民币</w:t>
      </w:r>
      <w:r>
        <w:rPr>
          <w:rFonts w:ascii="Times New Roman" w:hAnsi="Times New Roman" w:cs="Times New Roman" w:eastAsia="Times New Roman" w:hint="default"/>
          <w:spacing w:val="-1"/>
        </w:rPr>
        <w:t>700.00</w:t>
      </w:r>
      <w:r>
        <w:rPr>
          <w:spacing w:val="-1"/>
        </w:rPr>
        <w:t>万元。该项股权转让完成后本公司持有上海跳跃</w:t>
      </w:r>
      <w:r>
        <w:rPr>
          <w:rFonts w:ascii="Times New Roman" w:hAnsi="Times New Roman" w:cs="Times New Roman" w:eastAsia="Times New Roman" w:hint="default"/>
          <w:spacing w:val="-1"/>
        </w:rPr>
        <w:t>36%</w:t>
      </w:r>
      <w:r>
        <w:rPr>
          <w:spacing w:val="-1"/>
        </w:rPr>
        <w:t>股权，对上海跳跃不再具有控制权，上</w:t>
      </w:r>
      <w:r>
        <w:rPr>
          <w:spacing w:val="-43"/>
        </w:rPr>
        <w:t> </w:t>
      </w:r>
      <w:r>
        <w:rPr>
          <w:spacing w:val="-43"/>
        </w:rPr>
      </w:r>
      <w:r>
        <w:rPr>
          <w:spacing w:val="-2"/>
        </w:rPr>
        <w:t>海跳跃成为本公司的联营企业，本公司依据会计准则要求对上海跳跃长期股权投资改为权益法核算，同时按照准则要求对剩</w:t>
      </w:r>
      <w:r>
        <w:rPr>
          <w:spacing w:val="-65"/>
        </w:rPr>
        <w:t> </w:t>
      </w:r>
      <w:r>
        <w:rPr>
          <w:spacing w:val="-65"/>
        </w:rPr>
      </w:r>
      <w:r>
        <w:rPr/>
        <w:t>余</w:t>
      </w:r>
      <w:r>
        <w:rPr>
          <w:rFonts w:ascii="Times New Roman" w:hAnsi="Times New Roman" w:cs="Times New Roman" w:eastAsia="Times New Roman" w:hint="default"/>
        </w:rPr>
        <w:t>36%</w:t>
      </w:r>
      <w:r>
        <w:rPr/>
        <w:t>股权按照其在丧失控制权日的公允价值进行重新计量并调增长期股权投资和投资收益人民币</w:t>
      </w:r>
      <w:r>
        <w:rPr>
          <w:rFonts w:ascii="Times New Roman" w:hAnsi="Times New Roman" w:cs="Times New Roman" w:eastAsia="Times New Roman" w:hint="default"/>
        </w:rPr>
        <w:t>34,733,237.76</w:t>
      </w:r>
      <w:r>
        <w:rPr/>
        <w:t>元。</w:t>
      </w:r>
    </w:p>
    <w:p>
      <w:pPr>
        <w:pStyle w:val="BodyText"/>
        <w:spacing w:line="300" w:lineRule="auto" w:before="9"/>
        <w:ind w:right="1130" w:firstLine="440"/>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20</w:t>
      </w:r>
      <w:r>
        <w:rPr>
          <w:spacing w:val="-1"/>
        </w:rPr>
        <w:t>日本公司第三届董事会第十五次</w:t>
      </w:r>
      <w:r>
        <w:rPr>
          <w:rFonts w:ascii="Times New Roman" w:hAnsi="Times New Roman" w:cs="Times New Roman" w:eastAsia="Times New Roman" w:hint="default"/>
          <w:spacing w:val="-1"/>
        </w:rPr>
        <w:t>(</w:t>
      </w:r>
      <w:r>
        <w:rPr>
          <w:spacing w:val="-1"/>
        </w:rPr>
        <w:t>临时</w:t>
      </w:r>
      <w:r>
        <w:rPr>
          <w:rFonts w:ascii="Times New Roman" w:hAnsi="Times New Roman" w:cs="Times New Roman" w:eastAsia="Times New Roman" w:hint="default"/>
          <w:spacing w:val="-1"/>
        </w:rPr>
        <w:t>)</w:t>
      </w:r>
      <w:r>
        <w:rPr>
          <w:spacing w:val="-1"/>
        </w:rPr>
        <w:t>会议审议并通过了《关于转让参股公司部分股权的议案》，本公司</w:t>
      </w:r>
      <w:r>
        <w:rPr/>
        <w:t> </w:t>
      </w:r>
      <w:r>
        <w:rPr>
          <w:spacing w:val="-1"/>
        </w:rPr>
        <w:t>将其持有上海跳跃全部</w:t>
      </w:r>
      <w:r>
        <w:rPr>
          <w:rFonts w:ascii="Times New Roman" w:hAnsi="Times New Roman" w:cs="Times New Roman" w:eastAsia="Times New Roman" w:hint="default"/>
          <w:spacing w:val="-1"/>
        </w:rPr>
        <w:t>36%</w:t>
      </w:r>
      <w:r>
        <w:rPr>
          <w:spacing w:val="-1"/>
        </w:rPr>
        <w:t>股权中的</w:t>
      </w:r>
      <w:r>
        <w:rPr>
          <w:rFonts w:ascii="Times New Roman" w:hAnsi="Times New Roman" w:cs="Times New Roman" w:eastAsia="Times New Roman" w:hint="default"/>
          <w:spacing w:val="-1"/>
        </w:rPr>
        <w:t>6%</w:t>
      </w:r>
      <w:r>
        <w:rPr>
          <w:spacing w:val="-1"/>
        </w:rPr>
        <w:t>转让给深圳鹏资创业投资企业</w:t>
      </w:r>
      <w:r>
        <w:rPr>
          <w:rFonts w:ascii="Times New Roman" w:hAnsi="Times New Roman" w:cs="Times New Roman" w:eastAsia="Times New Roman" w:hint="default"/>
          <w:spacing w:val="-1"/>
        </w:rPr>
        <w:t>(</w:t>
      </w:r>
      <w:r>
        <w:rPr>
          <w:spacing w:val="-1"/>
        </w:rPr>
        <w:t>有限合伙</w:t>
      </w:r>
      <w:r>
        <w:rPr>
          <w:rFonts w:ascii="Times New Roman" w:hAnsi="Times New Roman" w:cs="Times New Roman" w:eastAsia="Times New Roman" w:hint="default"/>
          <w:spacing w:val="-1"/>
        </w:rPr>
        <w:t>)</w:t>
      </w:r>
      <w:r>
        <w:rPr>
          <w:spacing w:val="-1"/>
        </w:rPr>
        <w:t>，股权转让价款为</w:t>
      </w:r>
      <w:r>
        <w:rPr>
          <w:rFonts w:ascii="Times New Roman" w:hAnsi="Times New Roman" w:cs="Times New Roman" w:eastAsia="Times New Roman" w:hint="default"/>
          <w:spacing w:val="-1"/>
        </w:rPr>
        <w:t>600.00</w:t>
      </w:r>
      <w:r>
        <w:rPr>
          <w:spacing w:val="-1"/>
        </w:rPr>
        <w:t>万元，本公司确认</w:t>
      </w:r>
      <w:r>
        <w:rPr>
          <w:spacing w:val="-38"/>
        </w:rPr>
        <w:t> </w:t>
      </w:r>
      <w:r>
        <w:rPr>
          <w:spacing w:val="-38"/>
        </w:rPr>
      </w:r>
      <w:r>
        <w:rPr/>
        <w:t>投资收益</w:t>
      </w:r>
      <w:r>
        <w:rPr>
          <w:rFonts w:ascii="Times New Roman" w:hAnsi="Times New Roman" w:cs="Times New Roman" w:eastAsia="Times New Roman" w:hint="default"/>
        </w:rPr>
        <w:t>3,721,077.23</w:t>
      </w:r>
      <w:r>
        <w:rPr/>
        <w:t>元。本公司于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日收到第一笔股权转让款人民币</w:t>
      </w:r>
      <w:r>
        <w:rPr>
          <w:rFonts w:ascii="Times New Roman" w:hAnsi="Times New Roman" w:cs="Times New Roman" w:eastAsia="Times New Roman" w:hint="default"/>
        </w:rPr>
        <w:t>300.00</w:t>
      </w:r>
      <w:r>
        <w:rPr/>
        <w:t>万元，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日收到第二笔股 权转让款人民币</w:t>
      </w:r>
      <w:r>
        <w:rPr>
          <w:rFonts w:ascii="Times New Roman" w:hAnsi="Times New Roman" w:cs="Times New Roman" w:eastAsia="Times New Roman" w:hint="default"/>
        </w:rPr>
        <w:t>300.00</w:t>
      </w:r>
      <w:r>
        <w:rPr/>
        <w:t>万元。</w:t>
      </w:r>
    </w:p>
    <w:p>
      <w:pPr>
        <w:pStyle w:val="BodyText"/>
        <w:spacing w:line="300" w:lineRule="auto" w:before="13"/>
        <w:ind w:right="1035" w:firstLine="44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日本公司第三届董事会第二十一次</w:t>
      </w:r>
      <w:r>
        <w:rPr>
          <w:rFonts w:ascii="Times New Roman" w:hAnsi="Times New Roman" w:cs="Times New Roman" w:eastAsia="Times New Roman" w:hint="default"/>
        </w:rPr>
        <w:t>(</w:t>
      </w:r>
      <w:r>
        <w:rPr/>
        <w:t>临时</w:t>
      </w:r>
      <w:r>
        <w:rPr>
          <w:rFonts w:ascii="Times New Roman" w:hAnsi="Times New Roman" w:cs="Times New Roman" w:eastAsia="Times New Roman" w:hint="default"/>
        </w:rPr>
        <w:t>)</w:t>
      </w:r>
      <w:r>
        <w:rPr/>
        <w:t>会议审议并通过了《关于转让参股公司部分股权的议案》，本 </w:t>
      </w:r>
      <w:r>
        <w:rPr>
          <w:spacing w:val="-1"/>
        </w:rPr>
        <w:t>公司将其持有上海跳跃</w:t>
      </w:r>
      <w:r>
        <w:rPr>
          <w:rFonts w:ascii="Times New Roman" w:hAnsi="Times New Roman" w:cs="Times New Roman" w:eastAsia="Times New Roman" w:hint="default"/>
          <w:spacing w:val="-1"/>
        </w:rPr>
        <w:t>30%</w:t>
      </w:r>
      <w:r>
        <w:rPr>
          <w:spacing w:val="-1"/>
        </w:rPr>
        <w:t>股权中的</w:t>
      </w:r>
      <w:r>
        <w:rPr>
          <w:rFonts w:ascii="Times New Roman" w:hAnsi="Times New Roman" w:cs="Times New Roman" w:eastAsia="Times New Roman" w:hint="default"/>
          <w:spacing w:val="-1"/>
        </w:rPr>
        <w:t>10.1%</w:t>
      </w:r>
      <w:r>
        <w:rPr>
          <w:spacing w:val="-1"/>
        </w:rPr>
        <w:t>转让给共青城先行网游投资管理合伙企业</w:t>
      </w:r>
      <w:r>
        <w:rPr>
          <w:rFonts w:ascii="Times New Roman" w:hAnsi="Times New Roman" w:cs="Times New Roman" w:eastAsia="Times New Roman" w:hint="default"/>
          <w:spacing w:val="-1"/>
        </w:rPr>
        <w:t>(</w:t>
      </w:r>
      <w:r>
        <w:rPr>
          <w:spacing w:val="-1"/>
        </w:rPr>
        <w:t>有限合伙</w:t>
      </w:r>
      <w:r>
        <w:rPr>
          <w:rFonts w:ascii="Times New Roman" w:hAnsi="Times New Roman" w:cs="Times New Roman" w:eastAsia="Times New Roman" w:hint="default"/>
          <w:spacing w:val="-1"/>
        </w:rPr>
        <w:t>)</w:t>
      </w:r>
      <w:r>
        <w:rPr>
          <w:spacing w:val="-1"/>
        </w:rPr>
        <w:t>，股权转让价款为</w:t>
      </w:r>
      <w:r>
        <w:rPr>
          <w:rFonts w:ascii="Times New Roman" w:hAnsi="Times New Roman" w:cs="Times New Roman" w:eastAsia="Times New Roman" w:hint="default"/>
          <w:spacing w:val="-1"/>
        </w:rPr>
        <w:t>9,292</w:t>
      </w:r>
      <w:r>
        <w:rPr>
          <w:spacing w:val="-1"/>
        </w:rPr>
        <w:t>万元，</w:t>
      </w:r>
      <w:r>
        <w:rPr>
          <w:spacing w:val="-82"/>
        </w:rPr>
        <w:t> </w:t>
      </w:r>
      <w:r>
        <w:rPr>
          <w:spacing w:val="-3"/>
        </w:rPr>
        <w:t>本公司确认投资收益</w:t>
      </w:r>
      <w:r>
        <w:rPr>
          <w:rFonts w:ascii="Times New Roman" w:hAnsi="Times New Roman" w:cs="Times New Roman" w:eastAsia="Times New Roman" w:hint="default"/>
          <w:spacing w:val="-3"/>
        </w:rPr>
        <w:t>90,053,988.78</w:t>
      </w:r>
      <w:r>
        <w:rPr>
          <w:spacing w:val="-3"/>
        </w:rPr>
        <w:t>元。该项股权转让完成后本公司持有上海跳跃</w:t>
      </w:r>
      <w:r>
        <w:rPr>
          <w:rFonts w:ascii="Times New Roman" w:hAnsi="Times New Roman" w:cs="Times New Roman" w:eastAsia="Times New Roman" w:hint="default"/>
          <w:spacing w:val="-3"/>
        </w:rPr>
        <w:t>19.90%</w:t>
      </w:r>
      <w:r>
        <w:rPr>
          <w:spacing w:val="-3"/>
        </w:rPr>
        <w:t>股权，对上海跳跃不再具有重大影响，</w:t>
      </w:r>
      <w:r>
        <w:rPr>
          <w:spacing w:val="-43"/>
        </w:rPr>
        <w:t> </w:t>
      </w:r>
      <w:r>
        <w:rPr>
          <w:spacing w:val="-43"/>
        </w:rPr>
      </w:r>
      <w:r>
        <w:rPr/>
        <w:t>由权益法核算转为可供出售金融资产按公允价值重新计量，确认投资收益</w:t>
      </w:r>
      <w:r>
        <w:rPr>
          <w:rFonts w:ascii="Times New Roman" w:hAnsi="Times New Roman" w:cs="Times New Roman" w:eastAsia="Times New Roman" w:hint="default"/>
        </w:rPr>
        <w:t>141,592,095.55</w:t>
      </w:r>
      <w:r>
        <w:rPr/>
        <w:t>元。</w:t>
      </w:r>
    </w:p>
    <w:p>
      <w:pPr>
        <w:pStyle w:val="BodyText"/>
        <w:spacing w:line="240" w:lineRule="auto" w:before="13"/>
        <w:ind w:left="165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3"/>
        </w:rPr>
        <w:t> </w:t>
      </w:r>
      <w:r>
        <w:rPr/>
        <w:t>上海美峰和深圳苏摩商誉减值</w:t>
      </w:r>
    </w:p>
    <w:p>
      <w:pPr>
        <w:pStyle w:val="BodyText"/>
        <w:spacing w:line="300" w:lineRule="auto" w:before="63"/>
        <w:ind w:left="1574" w:right="1132" w:firstLine="79"/>
        <w:jc w:val="left"/>
      </w:pPr>
      <w:r>
        <w:rPr>
          <w:rFonts w:ascii="Times New Roman" w:hAnsi="Times New Roman" w:cs="Times New Roman" w:eastAsia="Times New Roman" w:hint="default"/>
        </w:rPr>
        <w:t>(1)</w:t>
      </w:r>
      <w:r>
        <w:rPr/>
        <w:t>上海美峰商誉减值</w:t>
      </w:r>
      <w:r>
        <w:rPr>
          <w:w w:val="99"/>
        </w:rPr>
        <w:t> </w:t>
      </w:r>
      <w:r>
        <w:rPr/>
        <w:t>北京中林资产评估有限公司根据企业的资产构成和主营业务特点，首先按受益途径采用现金流折现方法，估算企业的</w:t>
      </w:r>
    </w:p>
    <w:p>
      <w:pPr>
        <w:pStyle w:val="BodyText"/>
        <w:spacing w:line="316" w:lineRule="auto" w:before="31"/>
        <w:ind w:right="1133"/>
        <w:jc w:val="both"/>
      </w:pPr>
      <w:r>
        <w:rPr>
          <w:spacing w:val="-2"/>
        </w:rPr>
        <w:t>经营性资产的价值，再加上基准日的其他非经营性、溢余资产的价值得到企业的整体价值，最后由企业整体价值扣减付息债</w:t>
      </w:r>
      <w:r>
        <w:rPr>
          <w:spacing w:val="-66"/>
        </w:rPr>
        <w:t> </w:t>
      </w:r>
      <w:r>
        <w:rPr>
          <w:spacing w:val="-66"/>
        </w:rPr>
      </w:r>
      <w:r>
        <w:rPr/>
        <w:t>务价值后，得出企业的股东全部权益价值。</w:t>
      </w:r>
    </w:p>
    <w:p>
      <w:pPr>
        <w:pStyle w:val="BodyText"/>
        <w:spacing w:line="300" w:lineRule="auto" w:before="19"/>
        <w:ind w:right="1130" w:firstLine="440"/>
        <w:jc w:val="both"/>
      </w:pPr>
      <w:r>
        <w:rPr/>
        <w:t>经收益法评估，上海美峰股东全部权益价值的评估结果为</w:t>
      </w:r>
      <w:r>
        <w:rPr>
          <w:rFonts w:ascii="Times New Roman" w:hAnsi="Times New Roman" w:cs="Times New Roman" w:eastAsia="Times New Roman" w:hint="default"/>
        </w:rPr>
        <w:t>32,072.57</w:t>
      </w:r>
      <w:r>
        <w:rPr/>
        <w:t>万元，北京中林资产评估有限公司于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日出具了编号为</w:t>
      </w:r>
      <w:r>
        <w:rPr>
          <w:rFonts w:ascii="Times New Roman" w:hAnsi="Times New Roman" w:cs="Times New Roman" w:eastAsia="Times New Roman" w:hint="default"/>
        </w:rPr>
        <w:t>“</w:t>
      </w:r>
      <w:r>
        <w:rPr/>
        <w:t>中林评字</w:t>
      </w:r>
      <w:r>
        <w:rPr>
          <w:rFonts w:ascii="Times New Roman" w:hAnsi="Times New Roman" w:cs="Times New Roman" w:eastAsia="Times New Roman" w:hint="default"/>
        </w:rPr>
        <w:t>[2016]</w:t>
      </w:r>
      <w:r>
        <w:rPr>
          <w:rFonts w:ascii="Times New Roman" w:hAnsi="Times New Roman" w:cs="Times New Roman" w:eastAsia="Times New Roman" w:hint="default"/>
          <w:spacing w:val="39"/>
        </w:rPr>
        <w:t> </w:t>
      </w:r>
      <w:r>
        <w:rPr>
          <w:rFonts w:ascii="Times New Roman" w:hAnsi="Times New Roman" w:cs="Times New Roman" w:eastAsia="Times New Roman" w:hint="default"/>
        </w:rPr>
        <w:t>5</w:t>
      </w:r>
      <w:r>
        <w:rPr/>
        <w:t>号</w:t>
      </w:r>
      <w:r>
        <w:rPr>
          <w:rFonts w:ascii="Times New Roman" w:hAnsi="Times New Roman" w:cs="Times New Roman" w:eastAsia="Times New Roman" w:hint="default"/>
        </w:rPr>
        <w:t>”</w:t>
      </w:r>
      <w:r>
        <w:rPr/>
        <w:t>的评估报告。本公司董事会认为，基于上述评估，截至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日对上海美峰商 誉计提</w:t>
      </w:r>
      <w:r>
        <w:rPr>
          <w:rFonts w:ascii="Times New Roman" w:hAnsi="Times New Roman" w:cs="Times New Roman" w:eastAsia="Times New Roman" w:hint="default"/>
        </w:rPr>
        <w:t>159,107,532.00</w:t>
      </w:r>
      <w:r>
        <w:rPr/>
        <w:t>元减值准备。</w:t>
      </w:r>
    </w:p>
    <w:p>
      <w:pPr>
        <w:pStyle w:val="BodyText"/>
        <w:spacing w:line="300" w:lineRule="auto" w:before="13"/>
        <w:ind w:left="1574" w:right="1132" w:firstLine="79"/>
        <w:jc w:val="left"/>
      </w:pPr>
      <w:r>
        <w:rPr>
          <w:rFonts w:ascii="Times New Roman" w:hAnsi="Times New Roman" w:cs="Times New Roman" w:eastAsia="Times New Roman" w:hint="default"/>
        </w:rPr>
        <w:t>(2)</w:t>
      </w:r>
      <w:r>
        <w:rPr/>
        <w:t>深圳苏摩商誉减值</w:t>
      </w:r>
      <w:r>
        <w:rPr>
          <w:w w:val="99"/>
        </w:rPr>
        <w:t> </w:t>
      </w:r>
      <w:r>
        <w:rPr/>
        <w:t>北京中林资产评估有限公司根据企业的资产构成和主营业务特点，首先按受益途径采用现金流折现方法，估算企业的</w:t>
      </w:r>
    </w:p>
    <w:p>
      <w:pPr>
        <w:pStyle w:val="BodyText"/>
        <w:spacing w:line="316" w:lineRule="auto" w:before="31"/>
        <w:ind w:right="1133"/>
        <w:jc w:val="both"/>
      </w:pPr>
      <w:r>
        <w:rPr>
          <w:spacing w:val="-2"/>
        </w:rPr>
        <w:t>经营性资产的价值，再加上基准日的其他非经营性、溢余资产的价值得到企业的整体价值，最后由企业整体价值扣减付息债</w:t>
      </w:r>
      <w:r>
        <w:rPr>
          <w:spacing w:val="-66"/>
        </w:rPr>
        <w:t> </w:t>
      </w:r>
      <w:r>
        <w:rPr>
          <w:spacing w:val="-66"/>
        </w:rPr>
      </w:r>
      <w:r>
        <w:rPr/>
        <w:t>务价值后，得出企业的股东全部权益价值。</w:t>
      </w:r>
    </w:p>
    <w:p>
      <w:pPr>
        <w:pStyle w:val="BodyText"/>
        <w:spacing w:line="300" w:lineRule="auto" w:before="19"/>
        <w:ind w:right="1130" w:firstLine="440"/>
        <w:jc w:val="both"/>
      </w:pPr>
      <w:r>
        <w:rPr/>
        <w:t>经收益法评估，深圳苏摩股东全部权益价值的评估结果为</w:t>
      </w:r>
      <w:r>
        <w:rPr>
          <w:rFonts w:ascii="Times New Roman" w:hAnsi="Times New Roman" w:cs="Times New Roman" w:eastAsia="Times New Roman" w:hint="default"/>
        </w:rPr>
        <w:t>12,155.24</w:t>
      </w:r>
      <w:r>
        <w:rPr/>
        <w:t>万元，北京中林资产评估有限公司于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spacing w:val="-1"/>
        </w:rPr>
        <w:t>日出具了编号为</w:t>
      </w:r>
      <w:r>
        <w:rPr>
          <w:rFonts w:ascii="Times New Roman" w:hAnsi="Times New Roman" w:cs="Times New Roman" w:eastAsia="Times New Roman" w:hint="default"/>
          <w:spacing w:val="-1"/>
        </w:rPr>
        <w:t>“</w:t>
      </w:r>
      <w:r>
        <w:rPr>
          <w:spacing w:val="-1"/>
        </w:rPr>
        <w:t>中林评字</w:t>
      </w:r>
      <w:r>
        <w:rPr>
          <w:rFonts w:ascii="Times New Roman" w:hAnsi="Times New Roman" w:cs="Times New Roman" w:eastAsia="Times New Roman" w:hint="default"/>
          <w:spacing w:val="-1"/>
        </w:rPr>
        <w:t>[2016]</w:t>
      </w:r>
      <w:r>
        <w:rPr>
          <w:rFonts w:ascii="Times New Roman" w:hAnsi="Times New Roman" w:cs="Times New Roman" w:eastAsia="Times New Roman" w:hint="default"/>
        </w:rPr>
        <w:t> </w:t>
      </w:r>
      <w:r>
        <w:rPr>
          <w:rFonts w:ascii="Times New Roman" w:hAnsi="Times New Roman" w:cs="Times New Roman" w:eastAsia="Times New Roman" w:hint="default"/>
          <w:spacing w:val="-1"/>
        </w:rPr>
        <w:t>10</w:t>
      </w:r>
      <w:r>
        <w:rPr>
          <w:spacing w:val="-1"/>
        </w:rPr>
        <w:t>号</w:t>
      </w:r>
      <w:r>
        <w:rPr>
          <w:rFonts w:ascii="Times New Roman" w:hAnsi="Times New Roman" w:cs="Times New Roman" w:eastAsia="Times New Roman" w:hint="default"/>
          <w:spacing w:val="-1"/>
        </w:rPr>
        <w:t>”</w:t>
      </w:r>
      <w:r>
        <w:rPr>
          <w:spacing w:val="-1"/>
        </w:rPr>
        <w:t>的评估报告。本公司董事会认为，基于上述评估，截至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日对深圳苏摩商</w:t>
      </w:r>
      <w:r>
        <w:rPr>
          <w:spacing w:val="-81"/>
        </w:rPr>
        <w:t> </w:t>
      </w:r>
      <w:r>
        <w:rPr>
          <w:spacing w:val="-81"/>
        </w:rPr>
      </w:r>
      <w:r>
        <w:rPr/>
        <w:t>誉计提</w:t>
      </w:r>
      <w:r>
        <w:rPr>
          <w:rFonts w:ascii="Times New Roman" w:hAnsi="Times New Roman" w:cs="Times New Roman" w:eastAsia="Times New Roman" w:hint="default"/>
        </w:rPr>
        <w:t>26,095,400.00</w:t>
      </w:r>
      <w:r>
        <w:rPr/>
        <w:t>元减值准备。</w:t>
      </w:r>
    </w:p>
    <w:p>
      <w:pPr>
        <w:pStyle w:val="BodyText"/>
        <w:spacing w:line="240" w:lineRule="auto" w:before="13"/>
        <w:ind w:left="1654"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3"/>
        </w:rPr>
        <w:t> </w:t>
      </w:r>
      <w:r>
        <w:rPr/>
        <w:t>除上述重要事项外，截至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日，本公司无需披露的其他重要事项。</w:t>
      </w:r>
    </w:p>
    <w:p>
      <w:pPr>
        <w:pStyle w:val="Heading3"/>
        <w:spacing w:line="240" w:lineRule="auto" w:before="15"/>
        <w:ind w:right="0"/>
        <w:jc w:val="both"/>
        <w:rPr>
          <w:b w:val="0"/>
          <w:bCs w:val="0"/>
        </w:rPr>
      </w:pPr>
      <w:bookmarkStart w:name="十七、母公司财务报表主要项目注释" w:id="496"/>
      <w:bookmarkEnd w:id="496"/>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7"/>
        <w:spacing w:line="506" w:lineRule="auto"/>
        <w:ind w:left="1133" w:right="8821"/>
        <w:jc w:val="left"/>
        <w:rPr>
          <w:b w:val="0"/>
          <w:bCs w:val="0"/>
        </w:rPr>
      </w:pPr>
      <w:bookmarkStart w:name="1、应收账款" w:id="497"/>
      <w:bookmarkEnd w:id="497"/>
      <w:r>
        <w:rPr>
          <w:b w:val="0"/>
          <w:bCs w:val="0"/>
        </w:rPr>
      </w:r>
      <w:r>
        <w:rPr>
          <w:rFonts w:ascii="Times New Roman" w:hAnsi="Times New Roman" w:cs="Times New Roman" w:eastAsia="Times New Roman" w:hint="default"/>
        </w:rPr>
        <w:t>1</w:t>
      </w:r>
      <w:r>
        <w:rPr/>
        <w:t>、应收账款</w:t>
      </w:r>
      <w:r>
        <w:rPr>
          <w:w w:val="99"/>
        </w:rPr>
        <w:t> </w:t>
      </w:r>
      <w:bookmarkStart w:name="(1)应收账款分类披露" w:id="498"/>
      <w:bookmarkEnd w:id="498"/>
      <w:r>
        <w:rPr>
          <w:w w:val="99"/>
        </w:rPr>
      </w:r>
      <w:r>
        <w:rPr>
          <w:rFonts w:ascii="Times New Roman" w:hAnsi="Times New Roman" w:cs="Times New Roman" w:eastAsia="Times New Roman" w:hint="default"/>
        </w:rPr>
        <w:t>(1)</w:t>
      </w:r>
      <w:r>
        <w:rPr/>
        <w:t>应收账款分类披露</w:t>
      </w:r>
      <w:r>
        <w:rPr>
          <w:b w:val="0"/>
          <w:bCs w:val="0"/>
        </w:rPr>
      </w:r>
    </w:p>
    <w:p>
      <w:pPr>
        <w:pStyle w:val="BodyText"/>
        <w:spacing w:line="240" w:lineRule="auto" w:before="9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1"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56,998,4</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97.52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6,091,58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10.69%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50,906,90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7.96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98,070,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636.64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4,522,967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93,547,668.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56,998,4</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97.52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6,091,58</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9.56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10.69%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50,906,90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7.96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98,070,</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636.64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4,522,967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93,547,668.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71"/>
        <w:gridCol w:w="2307"/>
        <w:gridCol w:w="2391"/>
        <w:gridCol w:w="2389"/>
      </w:tblGrid>
      <w:tr>
        <w:trPr>
          <w:trHeight w:val="206" w:hRule="exact"/>
        </w:trPr>
        <w:tc>
          <w:tcPr>
            <w:tcW w:w="2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8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1" w:type="dxa"/>
            <w:vMerge/>
            <w:tcBorders>
              <w:left w:val="single" w:sz="4" w:space="0" w:color="000000"/>
              <w:bottom w:val="nil" w:sz="6" w:space="0" w:color="auto"/>
              <w:right w:val="single" w:sz="4" w:space="0" w:color="000000"/>
            </w:tcBorders>
            <w:shd w:val="clear" w:color="auto" w:fill="D2D2D2"/>
          </w:tcPr>
          <w:p>
            <w:pPr/>
          </w:p>
        </w:tc>
        <w:tc>
          <w:tcPr>
            <w:tcW w:w="23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5" w:hRule="exact"/>
        </w:trPr>
        <w:tc>
          <w:tcPr>
            <w:tcW w:w="2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7"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21,496,448.93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1,074,822.45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18,192,740.30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1,819,274.03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167,869.05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33,573.81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3,163,919.27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3,163,919.27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43,020,977.55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6,091,589.56</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组合中，采用余额百分比法计提坏账准备的应收账款：</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7"/>
        <w:spacing w:line="240" w:lineRule="auto"/>
        <w:ind w:left="1239" w:right="0"/>
        <w:jc w:val="left"/>
        <w:rPr>
          <w:b w:val="0"/>
          <w:bCs w:val="0"/>
        </w:rPr>
      </w:pPr>
      <w:bookmarkStart w:name="(2)本期计提、收回或转回的坏账准备情况" w:id="499"/>
      <w:bookmarkEnd w:id="499"/>
      <w:r>
        <w:rPr>
          <w:b w:val="0"/>
          <w:bCs w:val="0"/>
        </w:rPr>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7"/>
        </w:rPr>
        <w:t> </w:t>
      </w:r>
      <w:r>
        <w:rPr>
          <w:rFonts w:ascii="Times New Roman" w:hAnsi="Times New Roman" w:cs="Times New Roman" w:eastAsia="Times New Roman" w:hint="default"/>
        </w:rPr>
        <w:t>1,568,621.73</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7"/>
        <w:spacing w:line="240" w:lineRule="auto"/>
        <w:ind w:left="1239" w:right="0"/>
        <w:jc w:val="left"/>
        <w:rPr>
          <w:b w:val="0"/>
          <w:bCs w:val="0"/>
        </w:rPr>
      </w:pPr>
      <w:bookmarkStart w:name="(3)本期实际核销的应收账款情况" w:id="500"/>
      <w:bookmarkEnd w:id="500"/>
      <w:r>
        <w:rPr>
          <w:b w:val="0"/>
          <w:bCs w:val="0"/>
        </w:rPr>
      </w:r>
      <w:r>
        <w:rPr>
          <w:rFonts w:ascii="Times New Roman" w:hAnsi="Times New Roman" w:cs="Times New Roman" w:eastAsia="Times New Roman" w:hint="default"/>
        </w:rPr>
        <w:t>(3)</w:t>
      </w:r>
      <w:r>
        <w:rPr/>
        <w:t>本期实际核销的应收账款情况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7"/>
        <w:spacing w:line="240" w:lineRule="auto"/>
        <w:ind w:left="1239" w:right="0"/>
        <w:jc w:val="left"/>
        <w:rPr>
          <w:b w:val="0"/>
          <w:bCs w:val="0"/>
        </w:rPr>
      </w:pPr>
      <w:bookmarkStart w:name="(4)按欠款方归集的期末余额前五名的应收账款情况" w:id="501"/>
      <w:bookmarkEnd w:id="501"/>
      <w:r>
        <w:rPr>
          <w:b w:val="0"/>
          <w:bCs w:val="0"/>
        </w:rPr>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010"/>
        <w:gridCol w:w="1610"/>
        <w:gridCol w:w="1037"/>
        <w:gridCol w:w="1446"/>
        <w:gridCol w:w="1432"/>
      </w:tblGrid>
      <w:tr>
        <w:trPr>
          <w:trHeight w:val="966"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98"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11" w:right="0"/>
              <w:jc w:val="left"/>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14" w:right="15"/>
              <w:jc w:val="center"/>
              <w:rPr>
                <w:rFonts w:ascii="Times New Roman" w:hAnsi="Times New Roman" w:cs="Times New Roman" w:eastAsia="Times New Roman" w:hint="default"/>
                <w:sz w:val="20"/>
                <w:szCs w:val="20"/>
              </w:rPr>
            </w:pPr>
            <w:r>
              <w:rPr>
                <w:rFonts w:ascii="宋体" w:hAnsi="宋体" w:cs="宋体" w:eastAsia="宋体" w:hint="default"/>
                <w:b/>
                <w:bCs/>
                <w:sz w:val="20"/>
                <w:szCs w:val="20"/>
              </w:rPr>
              <w:t>占应收账款年末</w:t>
            </w:r>
            <w:r>
              <w:rPr>
                <w:rFonts w:ascii="宋体" w:hAnsi="宋体" w:cs="宋体" w:eastAsia="宋体" w:hint="default"/>
                <w:b/>
                <w:bCs/>
                <w:w w:val="99"/>
                <w:sz w:val="20"/>
                <w:szCs w:val="20"/>
              </w:rPr>
              <w:t> </w:t>
            </w:r>
            <w:r>
              <w:rPr>
                <w:rFonts w:ascii="宋体" w:hAnsi="宋体" w:cs="宋体" w:eastAsia="宋体" w:hint="default"/>
                <w:b/>
                <w:bCs/>
                <w:sz w:val="20"/>
                <w:szCs w:val="20"/>
              </w:rPr>
              <w:t>余额合计数的比</w:t>
            </w:r>
            <w:r>
              <w:rPr>
                <w:rFonts w:ascii="宋体" w:hAnsi="宋体" w:cs="宋体" w:eastAsia="宋体" w:hint="default"/>
                <w:b/>
                <w:bCs/>
                <w:w w:val="99"/>
                <w:sz w:val="20"/>
                <w:szCs w:val="20"/>
              </w:rPr>
              <w:t> </w:t>
            </w:r>
            <w:r>
              <w:rPr>
                <w:rFonts w:ascii="宋体" w:hAnsi="宋体" w:cs="宋体" w:eastAsia="宋体" w:hint="default"/>
                <w:b/>
                <w:bCs/>
                <w:sz w:val="20"/>
                <w:szCs w:val="20"/>
              </w:rPr>
              <w:t>例</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610" w:right="6" w:hanging="603"/>
              <w:jc w:val="left"/>
              <w:rPr>
                <w:rFonts w:ascii="宋体" w:hAnsi="宋体" w:cs="宋体" w:eastAsia="宋体" w:hint="default"/>
                <w:sz w:val="20"/>
                <w:szCs w:val="20"/>
              </w:rPr>
            </w:pPr>
            <w:r>
              <w:rPr>
                <w:rFonts w:ascii="宋体" w:hAnsi="宋体" w:cs="宋体" w:eastAsia="宋体" w:hint="default"/>
                <w:b/>
                <w:bCs/>
                <w:sz w:val="20"/>
                <w:szCs w:val="20"/>
              </w:rPr>
              <w:t>坏账准备年末余</w:t>
            </w:r>
            <w:r>
              <w:rPr>
                <w:rFonts w:ascii="宋体" w:hAnsi="宋体" w:cs="宋体" w:eastAsia="宋体" w:hint="default"/>
                <w:b/>
                <w:bCs/>
                <w:w w:val="99"/>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r>
      <w:tr>
        <w:trPr>
          <w:trHeight w:val="34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杭州烈焰网络技术有限公司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19,195,423.78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年以内</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33.68</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959,771.19</w:t>
            </w:r>
          </w:p>
        </w:tc>
      </w:tr>
      <w:tr>
        <w:trPr>
          <w:trHeight w:val="34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上海跳跃</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17,900,000.00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1-2</w:t>
            </w:r>
            <w:r>
              <w:rPr>
                <w:rFonts w:ascii="宋体" w:hAnsi="宋体" w:cs="宋体" w:eastAsia="宋体" w:hint="default"/>
                <w:spacing w:val="-1"/>
                <w:sz w:val="20"/>
                <w:szCs w:val="20"/>
              </w:rPr>
              <w:t>年</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right"/>
              <w:rPr>
                <w:rFonts w:ascii="Times New Roman" w:hAnsi="Times New Roman" w:cs="Times New Roman" w:eastAsia="Times New Roman" w:hint="default"/>
                <w:sz w:val="20"/>
                <w:szCs w:val="20"/>
              </w:rPr>
            </w:pPr>
            <w:r>
              <w:rPr>
                <w:rFonts w:ascii="Times New Roman"/>
                <w:spacing w:val="-1"/>
                <w:sz w:val="20"/>
              </w:rPr>
              <w:t>31.40</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1,790,000.00</w:t>
            </w:r>
          </w:p>
        </w:tc>
      </w:tr>
      <w:tr>
        <w:trPr>
          <w:trHeight w:val="34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Times New Roman" w:hAnsi="Times New Roman" w:cs="Times New Roman" w:eastAsia="Times New Roman" w:hint="default"/>
                <w:sz w:val="20"/>
                <w:szCs w:val="20"/>
              </w:rPr>
            </w:pPr>
            <w:r>
              <w:rPr>
                <w:rFonts w:ascii="Times New Roman"/>
                <w:sz w:val="20"/>
              </w:rPr>
              <w:t>CUPLAY</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13,968,219.97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年以内</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right"/>
              <w:rPr>
                <w:rFonts w:ascii="Times New Roman" w:hAnsi="Times New Roman" w:cs="Times New Roman" w:eastAsia="Times New Roman" w:hint="default"/>
                <w:sz w:val="20"/>
                <w:szCs w:val="20"/>
              </w:rPr>
            </w:pPr>
            <w:r>
              <w:rPr>
                <w:rFonts w:ascii="Times New Roman"/>
                <w:spacing w:val="-1"/>
                <w:sz w:val="20"/>
              </w:rPr>
              <w:t>24.51</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w w:val="100"/>
                <w:sz w:val="20"/>
              </w:rPr>
              <w:t>-</w:t>
            </w:r>
          </w:p>
        </w:tc>
      </w:tr>
      <w:tr>
        <w:trPr>
          <w:trHeight w:val="342" w:hRule="exact"/>
        </w:trPr>
        <w:tc>
          <w:tcPr>
            <w:tcW w:w="3010" w:type="dxa"/>
            <w:vMerge w:val="restart"/>
            <w:tcBorders>
              <w:top w:val="single" w:sz="4" w:space="0" w:color="000000"/>
              <w:left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上海布帆网络科技有限公司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8,662.93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年以内</w:t>
            </w:r>
          </w:p>
        </w:tc>
        <w:tc>
          <w:tcPr>
            <w:tcW w:w="1446" w:type="dxa"/>
            <w:vMerge w:val="restart"/>
            <w:tcBorders>
              <w:top w:val="single" w:sz="4" w:space="0" w:color="000000"/>
              <w:left w:val="single" w:sz="4" w:space="0" w:color="000000"/>
              <w:right w:val="single" w:sz="4" w:space="0" w:color="000000"/>
            </w:tcBorders>
          </w:tcPr>
          <w:p>
            <w:pPr>
              <w:pStyle w:val="TableParagraph"/>
              <w:spacing w:line="240" w:lineRule="auto" w:before="49"/>
              <w:ind w:right="4"/>
              <w:jc w:val="right"/>
              <w:rPr>
                <w:rFonts w:ascii="Times New Roman" w:hAnsi="Times New Roman" w:cs="Times New Roman" w:eastAsia="Times New Roman" w:hint="default"/>
                <w:sz w:val="20"/>
                <w:szCs w:val="20"/>
              </w:rPr>
            </w:pPr>
            <w:r>
              <w:rPr>
                <w:rFonts w:ascii="Times New Roman"/>
                <w:sz w:val="20"/>
              </w:rPr>
              <w:t>4.38</w:t>
            </w:r>
          </w:p>
        </w:tc>
        <w:tc>
          <w:tcPr>
            <w:tcW w:w="1432" w:type="dxa"/>
            <w:vMerge w:val="restart"/>
            <w:tcBorders>
              <w:top w:val="single" w:sz="4" w:space="0" w:color="000000"/>
              <w:left w:val="single" w:sz="4" w:space="0" w:color="000000"/>
              <w:right w:val="single" w:sz="4" w:space="0" w:color="000000"/>
            </w:tcBorders>
          </w:tcPr>
          <w:p>
            <w:pPr>
              <w:pStyle w:val="TableParagraph"/>
              <w:spacing w:line="240" w:lineRule="auto" w:before="49"/>
              <w:ind w:left="517" w:right="0"/>
              <w:jc w:val="left"/>
              <w:rPr>
                <w:rFonts w:ascii="Times New Roman" w:hAnsi="Times New Roman" w:cs="Times New Roman" w:eastAsia="Times New Roman" w:hint="default"/>
                <w:sz w:val="20"/>
                <w:szCs w:val="20"/>
              </w:rPr>
            </w:pPr>
            <w:r>
              <w:rPr>
                <w:rFonts w:ascii="Times New Roman"/>
                <w:sz w:val="20"/>
              </w:rPr>
              <w:t>481,089.15</w:t>
            </w:r>
          </w:p>
        </w:tc>
      </w:tr>
      <w:tr>
        <w:trPr>
          <w:trHeight w:val="342" w:hRule="exact"/>
        </w:trPr>
        <w:tc>
          <w:tcPr>
            <w:tcW w:w="3010" w:type="dxa"/>
            <w:vMerge/>
            <w:tcBorders>
              <w:left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164,223.87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1-2</w:t>
            </w:r>
            <w:r>
              <w:rPr>
                <w:rFonts w:ascii="宋体" w:hAnsi="宋体" w:cs="宋体" w:eastAsia="宋体" w:hint="default"/>
                <w:spacing w:val="-1"/>
                <w:sz w:val="20"/>
                <w:szCs w:val="20"/>
              </w:rPr>
              <w:t>年</w:t>
            </w:r>
          </w:p>
        </w:tc>
        <w:tc>
          <w:tcPr>
            <w:tcW w:w="1446" w:type="dxa"/>
            <w:vMerge/>
            <w:tcBorders>
              <w:left w:val="single" w:sz="4" w:space="0" w:color="000000"/>
              <w:right w:val="single" w:sz="4" w:space="0" w:color="000000"/>
            </w:tcBorders>
          </w:tcPr>
          <w:p>
            <w:pPr/>
          </w:p>
        </w:tc>
        <w:tc>
          <w:tcPr>
            <w:tcW w:w="1432" w:type="dxa"/>
            <w:vMerge/>
            <w:tcBorders>
              <w:left w:val="single" w:sz="4" w:space="0" w:color="000000"/>
              <w:right w:val="single" w:sz="4" w:space="0" w:color="000000"/>
            </w:tcBorders>
          </w:tcPr>
          <w:p>
            <w:pPr/>
          </w:p>
        </w:tc>
      </w:tr>
      <w:tr>
        <w:trPr>
          <w:trHeight w:val="342" w:hRule="exact"/>
        </w:trPr>
        <w:tc>
          <w:tcPr>
            <w:tcW w:w="3010" w:type="dxa"/>
            <w:vMerge/>
            <w:tcBorders>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2,321,168.07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2-3</w:t>
            </w:r>
            <w:r>
              <w:rPr>
                <w:rFonts w:ascii="宋体" w:hAnsi="宋体" w:cs="宋体" w:eastAsia="宋体" w:hint="default"/>
                <w:spacing w:val="-1"/>
                <w:sz w:val="20"/>
                <w:szCs w:val="20"/>
              </w:rPr>
              <w:t>年</w:t>
            </w:r>
          </w:p>
        </w:tc>
        <w:tc>
          <w:tcPr>
            <w:tcW w:w="1446" w:type="dxa"/>
            <w:vMerge/>
            <w:tcBorders>
              <w:left w:val="single" w:sz="4" w:space="0" w:color="000000"/>
              <w:bottom w:val="single" w:sz="4" w:space="0" w:color="000000"/>
              <w:right w:val="single" w:sz="4" w:space="0" w:color="000000"/>
            </w:tcBorders>
          </w:tcPr>
          <w:p>
            <w:pPr/>
          </w:p>
        </w:tc>
        <w:tc>
          <w:tcPr>
            <w:tcW w:w="1432" w:type="dxa"/>
            <w:vMerge/>
            <w:tcBorders>
              <w:left w:val="single" w:sz="4" w:space="0" w:color="000000"/>
              <w:bottom w:val="single" w:sz="4" w:space="0" w:color="000000"/>
              <w:right w:val="single" w:sz="4" w:space="0" w:color="000000"/>
            </w:tcBorders>
          </w:tcPr>
          <w:p>
            <w:pPr/>
          </w:p>
        </w:tc>
      </w:tr>
      <w:tr>
        <w:trPr>
          <w:trHeight w:val="342" w:hRule="exact"/>
        </w:trPr>
        <w:tc>
          <w:tcPr>
            <w:tcW w:w="3010" w:type="dxa"/>
            <w:vMerge w:val="restart"/>
            <w:tcBorders>
              <w:top w:val="single" w:sz="4" w:space="0" w:color="000000"/>
              <w:left w:val="single" w:sz="4" w:space="0" w:color="000000"/>
              <w:right w:val="single" w:sz="4" w:space="0" w:color="000000"/>
            </w:tcBorders>
          </w:tcPr>
          <w:p>
            <w:pPr>
              <w:pStyle w:val="TableParagraph"/>
              <w:spacing w:line="240" w:lineRule="auto" w:before="50"/>
              <w:ind w:left="4" w:right="0"/>
              <w:jc w:val="left"/>
              <w:rPr>
                <w:rFonts w:ascii="Times New Roman" w:hAnsi="Times New Roman" w:cs="Times New Roman" w:eastAsia="Times New Roman" w:hint="default"/>
                <w:sz w:val="20"/>
                <w:szCs w:val="20"/>
              </w:rPr>
            </w:pPr>
            <w:r>
              <w:rPr>
                <w:rFonts w:ascii="Times New Roman"/>
                <w:sz w:val="20"/>
              </w:rPr>
              <w:t>Winner online</w:t>
            </w:r>
            <w:r>
              <w:rPr>
                <w:rFonts w:ascii="Times New Roman"/>
                <w:spacing w:val="-3"/>
                <w:sz w:val="20"/>
              </w:rPr>
              <w:t> </w:t>
            </w:r>
            <w:r>
              <w:rPr>
                <w:rFonts w:ascii="Times New Roman"/>
                <w:sz w:val="20"/>
              </w:rPr>
              <w:t>CO.LTD</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20"/>
                <w:szCs w:val="20"/>
              </w:rPr>
            </w:pPr>
            <w:r>
              <w:rPr>
                <w:rFonts w:ascii="Times New Roman"/>
                <w:spacing w:val="-1"/>
                <w:sz w:val="20"/>
              </w:rPr>
              <w:t>74,920.00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年以内</w:t>
            </w:r>
          </w:p>
        </w:tc>
        <w:tc>
          <w:tcPr>
            <w:tcW w:w="1446" w:type="dxa"/>
            <w:vMerge w:val="restart"/>
            <w:tcBorders>
              <w:top w:val="single" w:sz="4" w:space="0" w:color="000000"/>
              <w:left w:val="single" w:sz="4" w:space="0" w:color="000000"/>
              <w:right w:val="single" w:sz="4" w:space="0" w:color="000000"/>
            </w:tcBorders>
          </w:tcPr>
          <w:p>
            <w:pPr>
              <w:pStyle w:val="TableParagraph"/>
              <w:spacing w:line="240" w:lineRule="auto" w:before="50"/>
              <w:ind w:right="4"/>
              <w:jc w:val="right"/>
              <w:rPr>
                <w:rFonts w:ascii="Times New Roman" w:hAnsi="Times New Roman" w:cs="Times New Roman" w:eastAsia="Times New Roman" w:hint="default"/>
                <w:sz w:val="20"/>
                <w:szCs w:val="20"/>
              </w:rPr>
            </w:pPr>
            <w:r>
              <w:rPr>
                <w:rFonts w:ascii="Times New Roman"/>
                <w:spacing w:val="-1"/>
                <w:sz w:val="20"/>
              </w:rPr>
              <w:t>1.62</w:t>
            </w:r>
          </w:p>
        </w:tc>
        <w:tc>
          <w:tcPr>
            <w:tcW w:w="1432" w:type="dxa"/>
            <w:vMerge w:val="restart"/>
            <w:tcBorders>
              <w:top w:val="single" w:sz="4" w:space="0" w:color="000000"/>
              <w:left w:val="single" w:sz="4" w:space="0" w:color="000000"/>
              <w:right w:val="single" w:sz="4" w:space="0" w:color="000000"/>
            </w:tcBorders>
          </w:tcPr>
          <w:p>
            <w:pPr>
              <w:pStyle w:val="TableParagraph"/>
              <w:spacing w:line="240" w:lineRule="auto" w:before="50"/>
              <w:ind w:left="616" w:right="0"/>
              <w:jc w:val="left"/>
              <w:rPr>
                <w:rFonts w:ascii="Times New Roman" w:hAnsi="Times New Roman" w:cs="Times New Roman" w:eastAsia="Times New Roman" w:hint="default"/>
                <w:sz w:val="20"/>
                <w:szCs w:val="20"/>
              </w:rPr>
            </w:pPr>
            <w:r>
              <w:rPr>
                <w:rFonts w:ascii="Times New Roman"/>
                <w:sz w:val="20"/>
              </w:rPr>
              <w:t>88,463.12</w:t>
            </w:r>
          </w:p>
        </w:tc>
      </w:tr>
      <w:tr>
        <w:trPr>
          <w:trHeight w:val="342" w:hRule="exact"/>
        </w:trPr>
        <w:tc>
          <w:tcPr>
            <w:tcW w:w="3010" w:type="dxa"/>
            <w:vMerge/>
            <w:tcBorders>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847,171.20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1-2</w:t>
            </w:r>
            <w:r>
              <w:rPr>
                <w:rFonts w:ascii="宋体" w:hAnsi="宋体" w:cs="宋体" w:eastAsia="宋体" w:hint="default"/>
                <w:spacing w:val="-1"/>
                <w:sz w:val="20"/>
                <w:szCs w:val="20"/>
              </w:rPr>
              <w:t>年</w:t>
            </w:r>
          </w:p>
        </w:tc>
        <w:tc>
          <w:tcPr>
            <w:tcW w:w="1446" w:type="dxa"/>
            <w:vMerge/>
            <w:tcBorders>
              <w:left w:val="single" w:sz="4" w:space="0" w:color="000000"/>
              <w:bottom w:val="single" w:sz="4" w:space="0" w:color="000000"/>
              <w:right w:val="single" w:sz="4" w:space="0" w:color="000000"/>
            </w:tcBorders>
          </w:tcPr>
          <w:p>
            <w:pPr/>
          </w:p>
        </w:tc>
        <w:tc>
          <w:tcPr>
            <w:tcW w:w="1432" w:type="dxa"/>
            <w:vMerge/>
            <w:tcBorders>
              <w:left w:val="single" w:sz="4" w:space="0" w:color="000000"/>
              <w:bottom w:val="single" w:sz="4" w:space="0" w:color="000000"/>
              <w:right w:val="single" w:sz="4" w:space="0" w:color="000000"/>
            </w:tcBorders>
          </w:tcPr>
          <w:p>
            <w:pPr/>
          </w:p>
        </w:tc>
      </w:tr>
      <w:tr>
        <w:trPr>
          <w:trHeight w:val="34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20"/>
                <w:szCs w:val="20"/>
              </w:rPr>
            </w:pPr>
            <w:r>
              <w:rPr>
                <w:rFonts w:ascii="Times New Roman"/>
                <w:b/>
                <w:spacing w:val="-1"/>
                <w:sz w:val="20"/>
              </w:rPr>
              <w:t>54,479,789.82</w:t>
            </w:r>
            <w:r>
              <w:rPr>
                <w:rFonts w:ascii="Times New Roman"/>
                <w:spacing w:val="-1"/>
                <w:sz w:val="20"/>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right"/>
              <w:rPr>
                <w:rFonts w:ascii="Times New Roman" w:hAnsi="Times New Roman" w:cs="Times New Roman" w:eastAsia="Times New Roman" w:hint="default"/>
                <w:sz w:val="20"/>
                <w:szCs w:val="20"/>
              </w:rPr>
            </w:pPr>
            <w:r>
              <w:rPr>
                <w:rFonts w:ascii="Times New Roman"/>
                <w:b/>
                <w:sz w:val="20"/>
              </w:rPr>
              <w:t>95.59</w:t>
            </w:r>
            <w:r>
              <w:rPr>
                <w:rFonts w:ascii="Times New Roman"/>
                <w:sz w:val="20"/>
              </w:rPr>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b/>
                <w:spacing w:val="-1"/>
                <w:sz w:val="20"/>
              </w:rPr>
              <w:t>3,319,323.46</w:t>
            </w:r>
            <w:r>
              <w:rPr>
                <w:rFonts w:ascii="Times New Roman"/>
                <w:spacing w:val="-1"/>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060" w:bottom="1160" w:left="0" w:right="0"/>
        </w:sectPr>
      </w:pPr>
    </w:p>
    <w:p>
      <w:pPr>
        <w:spacing w:line="240" w:lineRule="auto" w:before="10"/>
        <w:rPr>
          <w:rFonts w:ascii="宋体" w:hAnsi="宋体" w:cs="宋体" w:eastAsia="宋体" w:hint="default"/>
          <w:b/>
          <w:bCs/>
          <w:sz w:val="24"/>
          <w:szCs w:val="24"/>
        </w:rPr>
      </w:pPr>
    </w:p>
    <w:p>
      <w:pPr>
        <w:pStyle w:val="Heading7"/>
        <w:spacing w:line="240" w:lineRule="auto" w:before="35"/>
        <w:ind w:left="1133" w:right="0"/>
        <w:jc w:val="left"/>
        <w:rPr>
          <w:b w:val="0"/>
          <w:bCs w:val="0"/>
        </w:rPr>
      </w:pPr>
      <w:bookmarkStart w:name="(5)因金融资产转移而终止确认的应收账款" w:id="502"/>
      <w:bookmarkEnd w:id="502"/>
      <w:r>
        <w:rPr>
          <w:b w:val="0"/>
          <w:bCs w:val="0"/>
        </w:rPr>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6)转移应收账款且继续涉入形成的资产、负债金额" w:id="503"/>
      <w:bookmarkEnd w:id="503"/>
      <w:r>
        <w:rPr>
          <w:b w:val="0"/>
          <w:bCs w:val="0"/>
        </w:rPr>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506" w:lineRule="auto"/>
        <w:ind w:right="8610"/>
        <w:jc w:val="left"/>
        <w:rPr>
          <w:b w:val="0"/>
          <w:bCs w:val="0"/>
        </w:rPr>
      </w:pPr>
      <w:bookmarkStart w:name="2、其他应收款" w:id="504"/>
      <w:bookmarkEnd w:id="504"/>
      <w:r>
        <w:rPr>
          <w:b w:val="0"/>
          <w:bCs w:val="0"/>
        </w:rPr>
      </w:r>
      <w:r>
        <w:rPr>
          <w:rFonts w:ascii="Times New Roman" w:hAnsi="Times New Roman" w:cs="Times New Roman" w:eastAsia="Times New Roman" w:hint="default"/>
        </w:rPr>
        <w:t>2</w:t>
      </w:r>
      <w:r>
        <w:rPr/>
        <w:t>、其他应收款</w:t>
      </w:r>
      <w:r>
        <w:rPr>
          <w:w w:val="99"/>
        </w:rPr>
        <w:t> </w:t>
      </w:r>
      <w:bookmarkStart w:name="(1)其他应收款分类披露" w:id="505"/>
      <w:bookmarkEnd w:id="505"/>
      <w:r>
        <w:rPr>
          <w:w w:val="99"/>
        </w:rPr>
      </w:r>
      <w:r>
        <w:rPr>
          <w:rFonts w:ascii="Times New Roman" w:hAnsi="Times New Roman" w:cs="Times New Roman" w:eastAsia="Times New Roman" w:hint="default"/>
        </w:rPr>
        <w:t>(1)</w:t>
      </w:r>
      <w:r>
        <w:rPr/>
        <w:t>其他应收款分类披露</w:t>
      </w:r>
      <w:r>
        <w:rPr>
          <w:b w:val="0"/>
          <w:bCs w:val="0"/>
        </w:rPr>
      </w:r>
    </w:p>
    <w:p>
      <w:pPr>
        <w:pStyle w:val="BodyText"/>
        <w:spacing w:line="240" w:lineRule="auto" w:before="9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3,233,35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3,233,35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3,233,3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3,233,350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193,103,</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970.34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5,958,95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187,145,0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16.40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199,862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,456.93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98.41%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173,810.9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199,688,64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5.94</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196,337,</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320.34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9,192,30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3.94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4.68%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187,145,0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16.40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203,095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,806.93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3,407,160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1.68%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199,688,64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5.94</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240" w:lineRule="auto" w:before="117"/>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按单位</w:t>
            </w:r>
            <w:r>
              <w:rPr>
                <w:rFonts w:ascii="Times New Roman" w:hAnsi="Times New Roman" w:cs="Times New Roman" w:eastAsia="Times New Roman" w:hint="default"/>
                <w:sz w:val="18"/>
                <w:szCs w:val="18"/>
              </w:rPr>
              <w:t>)</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北京创世奇迹广告有限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3,233,350.00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3,233,350.00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该公司业务缩减，预计 款项无法收回</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3,233,350.00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3,233,350.00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0" w:right="0"/>
        </w:sectPr>
      </w:pPr>
    </w:p>
    <w:p>
      <w:pPr>
        <w:pStyle w:val="BodyText"/>
        <w:spacing w:line="240" w:lineRule="auto" w:before="51"/>
        <w:ind w:left="1134" w:right="-20"/>
        <w:jc w:val="left"/>
      </w:pPr>
      <w:r>
        <w:rPr/>
        <w:t>组合中，按账龄分析法计提坏账准备的其他应收款：</w:t>
      </w:r>
    </w:p>
    <w:p>
      <w:pPr>
        <w:pStyle w:val="BodyText"/>
        <w:spacing w:line="240" w:lineRule="auto" w:before="116"/>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494"/>
        <w:gridCol w:w="2283"/>
        <w:gridCol w:w="2391"/>
        <w:gridCol w:w="2378"/>
      </w:tblGrid>
      <w:tr>
        <w:trPr>
          <w:trHeight w:val="207"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5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账龄</w:t>
            </w:r>
          </w:p>
        </w:tc>
        <w:tc>
          <w:tcPr>
            <w:tcW w:w="705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94" w:type="dxa"/>
            <w:vMerge/>
            <w:tcBorders>
              <w:left w:val="single" w:sz="4" w:space="0" w:color="000000"/>
              <w:bottom w:val="nil" w:sz="6" w:space="0" w:color="auto"/>
              <w:right w:val="single" w:sz="4" w:space="0" w:color="000000"/>
            </w:tcBorders>
            <w:shd w:val="clear" w:color="auto" w:fill="D2D2D2"/>
          </w:tcPr>
          <w:p>
            <w:pPr/>
          </w:p>
        </w:tc>
        <w:tc>
          <w:tcPr>
            <w:tcW w:w="22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8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83"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7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04" w:right="0"/>
              <w:jc w:val="left"/>
              <w:rPr>
                <w:rFonts w:ascii="Times New Roman" w:hAnsi="Times New Roman" w:cs="Times New Roman" w:eastAsia="Times New Roman" w:hint="default"/>
                <w:sz w:val="18"/>
                <w:szCs w:val="18"/>
              </w:rPr>
            </w:pPr>
            <w:r>
              <w:rPr>
                <w:rFonts w:ascii="Times New Roman"/>
                <w:sz w:val="18"/>
              </w:rPr>
              <w:t>95,635,587.67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2" w:right="0"/>
              <w:jc w:val="left"/>
              <w:rPr>
                <w:rFonts w:ascii="Times New Roman" w:hAnsi="Times New Roman" w:cs="Times New Roman" w:eastAsia="Times New Roman" w:hint="default"/>
                <w:sz w:val="18"/>
                <w:szCs w:val="18"/>
              </w:rPr>
            </w:pPr>
            <w:r>
              <w:rPr>
                <w:rFonts w:ascii="Times New Roman"/>
                <w:sz w:val="18"/>
              </w:rPr>
              <w:t>4,781,779.38</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11,358,781.78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1,135,878.18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11,231.04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2,246.21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39,050.17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39,050.17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107,044,650.66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5,958,953.94</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组合中，采用余额百分比法计提坏账准备的其他应收款：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240" w:lineRule="auto"/>
        <w:ind w:left="1133" w:right="0"/>
        <w:jc w:val="left"/>
        <w:rPr>
          <w:b w:val="0"/>
          <w:bCs w:val="0"/>
        </w:rPr>
      </w:pPr>
      <w:bookmarkStart w:name="(2)本期计提、收回或转回的坏账准备情况" w:id="506"/>
      <w:bookmarkEnd w:id="506"/>
      <w:r>
        <w:rPr>
          <w:b w:val="0"/>
          <w:bCs w:val="0"/>
        </w:rPr>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7"/>
        </w:rPr>
        <w:t> </w:t>
      </w:r>
      <w:r>
        <w:rPr>
          <w:rFonts w:ascii="Times New Roman" w:hAnsi="Times New Roman" w:cs="Times New Roman" w:eastAsia="Times New Roman" w:hint="default"/>
        </w:rPr>
        <w:t>5,785,142.95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7"/>
        <w:spacing w:line="240" w:lineRule="auto"/>
        <w:ind w:left="1239" w:right="0"/>
        <w:jc w:val="left"/>
        <w:rPr>
          <w:b w:val="0"/>
          <w:bCs w:val="0"/>
        </w:rPr>
      </w:pPr>
      <w:bookmarkStart w:name="(3)本期实际核销的其他应收款情况" w:id="507"/>
      <w:bookmarkEnd w:id="507"/>
      <w:r>
        <w:rPr>
          <w:b w:val="0"/>
          <w:bCs w:val="0"/>
        </w:rPr>
      </w:r>
      <w:r>
        <w:rPr>
          <w:rFonts w:ascii="Times New Roman" w:hAnsi="Times New Roman" w:cs="Times New Roman" w:eastAsia="Times New Roman" w:hint="default"/>
        </w:rPr>
        <w:t>(3)</w:t>
      </w:r>
      <w:r>
        <w:rPr/>
        <w:t>本期实际核销的其他应收款情况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4)其他应收款按款项性质分类情况" w:id="508"/>
      <w:bookmarkEnd w:id="508"/>
      <w:r>
        <w:rPr>
          <w:b w:val="0"/>
          <w:bCs w:val="0"/>
        </w:rPr>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内部资金往来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86,059,319.68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196,543,418.61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1,617,247.76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1,715,625.33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广告框架押金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14,133,350.00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3,233,350.00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93,920,000.00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239,627.96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1,176,234.99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367,774.94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427,178.00</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196,337,320.34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203,095,806.93</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5)按欠款方归集的期末余额前五名的其他应收款情况" w:id="509"/>
      <w:bookmarkEnd w:id="509"/>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班菁华</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秦谦</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2,205,000.00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深圳时代首游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内部资金往来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43,654,249.33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深圳卓页</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内部资金往来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23,957,716.62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12.20%</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深圳中青聚宝</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内部资金往来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10,210,553.43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167,822,519.38</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85.47%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8" w:right="0"/>
              <w:jc w:val="left"/>
              <w:rPr>
                <w:rFonts w:ascii="Times New Roman" w:hAnsi="Times New Roman" w:cs="Times New Roman" w:eastAsia="Times New Roman" w:hint="default"/>
                <w:sz w:val="18"/>
                <w:szCs w:val="18"/>
              </w:rPr>
            </w:pPr>
            <w:r>
              <w:rPr>
                <w:rFonts w:ascii="Times New Roman"/>
                <w:sz w:val="18"/>
              </w:rPr>
              <w:t>4,500,000.00</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6)涉及政府补助的应收款项" w:id="510"/>
      <w:bookmarkEnd w:id="510"/>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7)因金融资产转移而终止确认的其他应收款" w:id="511"/>
      <w:bookmarkEnd w:id="511"/>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8)转移其他应收款且继续涉入形成的资产、负债金额" w:id="512"/>
      <w:bookmarkEnd w:id="512"/>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3、长期股权投资" w:id="513"/>
      <w:bookmarkEnd w:id="51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628,622,665.20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628,622,665.20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628,694,965.20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628,694,965.20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7,834,948.70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7,834,948.70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636,457,613.90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636,457,613.90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628,694,965.20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628,694,965.20</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1)对子公司投资" w:id="514"/>
      <w:bookmarkEnd w:id="514"/>
      <w:r>
        <w:rPr>
          <w:b w:val="0"/>
          <w:bCs w:val="0"/>
        </w:rPr>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深圳卓页</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苏州华娱</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苏州中青宝</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北京乐乐堂</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深圳中青聚宝</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CUPLAY</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5,989,965.20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5,989,965.20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深圳雪羽</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北京幻龙</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1" w:right="0"/>
              <w:jc w:val="left"/>
              <w:rPr>
                <w:rFonts w:ascii="Times New Roman" w:hAnsi="Times New Roman" w:cs="Times New Roman" w:eastAsia="Times New Roman" w:hint="default"/>
                <w:sz w:val="18"/>
                <w:szCs w:val="18"/>
              </w:rPr>
            </w:pPr>
            <w:r>
              <w:rPr>
                <w:rFonts w:ascii="Times New Roman"/>
                <w:sz w:val="18"/>
              </w:rPr>
              <w:t>150,000.00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福州卓越</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上海美峰</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87,465,000.00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87,465,000.00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深圳五秒</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628,694,965.20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1" w:right="0"/>
              <w:jc w:val="left"/>
              <w:rPr>
                <w:rFonts w:ascii="Times New Roman" w:hAnsi="Times New Roman" w:cs="Times New Roman" w:eastAsia="Times New Roman" w:hint="default"/>
                <w:sz w:val="18"/>
                <w:szCs w:val="18"/>
              </w:rPr>
            </w:pPr>
            <w:r>
              <w:rPr>
                <w:rFonts w:ascii="Times New Roman"/>
                <w:sz w:val="18"/>
              </w:rPr>
              <w:t>150,000.00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628,622,665.20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对联营、合营企业投资" w:id="515"/>
      <w:bookmarkEnd w:id="515"/>
      <w:r>
        <w:rPr>
          <w:b w:val="0"/>
          <w:bCs w:val="0"/>
        </w:rPr>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贵州国信 通</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-165,051.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7,834,948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-165,051.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7,834,948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-165,051.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7,834,948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3)其他说明" w:id="516"/>
      <w:bookmarkEnd w:id="516"/>
      <w:r>
        <w:rPr>
          <w:b w:val="0"/>
          <w:bCs w:val="0"/>
        </w:rPr>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4、营业收入和营业成本" w:id="517"/>
      <w:bookmarkEnd w:id="51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5"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122,891,424.76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101,320,264.07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223,165,942.64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130,261,585.23</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4,671,591.48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4,069,989.75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168,274.93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154,149.88</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127,563,016.24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105,390,253.82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223,334,217.57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130,415,735.11</w:t>
            </w:r>
          </w:p>
        </w:tc>
      </w:tr>
    </w:tbl>
    <w:p>
      <w:pPr>
        <w:pStyle w:val="BodyText"/>
        <w:spacing w:line="240" w:lineRule="auto" w:before="51"/>
        <w:ind w:left="1134" w:right="0"/>
        <w:jc w:val="left"/>
      </w:pPr>
      <w:r>
        <w:rPr/>
        <w:t>其他说明：</w:t>
      </w:r>
    </w:p>
    <w:p>
      <w:pPr>
        <w:pStyle w:val="BodyText"/>
        <w:spacing w:line="240" w:lineRule="auto" w:before="117"/>
        <w:ind w:left="1554"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主营业务</w:t>
      </w:r>
      <w:r>
        <w:rPr>
          <w:rFonts w:ascii="Times New Roman" w:hAnsi="Times New Roman" w:cs="Times New Roman" w:eastAsia="Times New Roman" w:hint="default"/>
        </w:rPr>
        <w:t>(</w:t>
      </w:r>
      <w:r>
        <w:rPr/>
        <w:t>分运营模式</w:t>
      </w:r>
      <w:r>
        <w:rPr>
          <w:rFonts w:ascii="Times New Roman" w:hAnsi="Times New Roman" w:cs="Times New Roman" w:eastAsia="Times New Roman" w:hint="default"/>
        </w:rPr>
        <w:t>)</w:t>
      </w:r>
    </w:p>
    <w:p>
      <w:pPr>
        <w:spacing w:line="240" w:lineRule="auto" w:before="10"/>
        <w:rPr>
          <w:rFonts w:ascii="Times New Roman" w:hAnsi="Times New Roman" w:cs="Times New Roman" w:eastAsia="Times New Roman"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2075"/>
        <w:gridCol w:w="1640"/>
        <w:gridCol w:w="1678"/>
        <w:gridCol w:w="1704"/>
        <w:gridCol w:w="1626"/>
      </w:tblGrid>
      <w:tr>
        <w:trPr>
          <w:trHeight w:val="350" w:hRule="exact"/>
        </w:trPr>
        <w:tc>
          <w:tcPr>
            <w:tcW w:w="2075" w:type="dxa"/>
            <w:vMerge w:val="restart"/>
            <w:tcBorders>
              <w:top w:val="single" w:sz="6" w:space="0" w:color="000000"/>
              <w:left w:val="single" w:sz="6" w:space="0" w:color="000000"/>
              <w:right w:val="single" w:sz="6" w:space="0" w:color="000000"/>
            </w:tcBorders>
          </w:tcPr>
          <w:p>
            <w:pPr>
              <w:pStyle w:val="TableParagraph"/>
              <w:spacing w:line="240" w:lineRule="auto" w:before="5"/>
              <w:ind w:left="629" w:right="0"/>
              <w:jc w:val="left"/>
              <w:rPr>
                <w:rFonts w:ascii="宋体" w:hAnsi="宋体" w:cs="宋体" w:eastAsia="宋体" w:hint="default"/>
                <w:sz w:val="20"/>
                <w:szCs w:val="20"/>
              </w:rPr>
            </w:pPr>
            <w:r>
              <w:rPr>
                <w:rFonts w:ascii="宋体" w:hAnsi="宋体" w:cs="宋体" w:eastAsia="宋体" w:hint="default"/>
                <w:b/>
                <w:bCs/>
                <w:sz w:val="20"/>
                <w:szCs w:val="20"/>
              </w:rPr>
              <w:t>行业名称</w:t>
            </w:r>
            <w:r>
              <w:rPr>
                <w:rFonts w:ascii="宋体" w:hAnsi="宋体" w:cs="宋体" w:eastAsia="宋体" w:hint="default"/>
                <w:sz w:val="20"/>
                <w:szCs w:val="20"/>
              </w:rPr>
            </w:r>
          </w:p>
        </w:tc>
        <w:tc>
          <w:tcPr>
            <w:tcW w:w="3318" w:type="dxa"/>
            <w:gridSpan w:val="2"/>
            <w:tcBorders>
              <w:top w:val="single" w:sz="6" w:space="0" w:color="000000"/>
              <w:left w:val="single" w:sz="6" w:space="0" w:color="000000"/>
              <w:bottom w:val="single" w:sz="8" w:space="0" w:color="000000"/>
              <w:right w:val="single" w:sz="4" w:space="0" w:color="000000"/>
            </w:tcBorders>
          </w:tcPr>
          <w:p>
            <w:pPr>
              <w:pStyle w:val="TableParagraph"/>
              <w:spacing w:line="240" w:lineRule="auto" w:before="5"/>
              <w:ind w:right="3"/>
              <w:jc w:val="center"/>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3330" w:type="dxa"/>
            <w:gridSpan w:val="2"/>
            <w:tcBorders>
              <w:top w:val="single" w:sz="4" w:space="0" w:color="000000"/>
              <w:left w:val="single" w:sz="4" w:space="0" w:color="000000"/>
              <w:bottom w:val="single" w:sz="6"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7" w:hRule="exact"/>
        </w:trPr>
        <w:tc>
          <w:tcPr>
            <w:tcW w:w="2075" w:type="dxa"/>
            <w:vMerge/>
            <w:tcBorders>
              <w:left w:val="single" w:sz="6" w:space="0" w:color="000000"/>
              <w:bottom w:val="single" w:sz="8" w:space="0" w:color="000000"/>
              <w:right w:val="single" w:sz="6" w:space="0" w:color="000000"/>
            </w:tcBorders>
          </w:tcPr>
          <w:p>
            <w:pPr/>
          </w:p>
        </w:tc>
        <w:tc>
          <w:tcPr>
            <w:tcW w:w="164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410"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67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429"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704" w:type="dxa"/>
            <w:tcBorders>
              <w:top w:val="single" w:sz="6" w:space="0" w:color="000000"/>
              <w:left w:val="single" w:sz="6" w:space="0" w:color="000000"/>
              <w:bottom w:val="single" w:sz="8" w:space="0" w:color="000000"/>
              <w:right w:val="single" w:sz="4" w:space="0" w:color="000000"/>
            </w:tcBorders>
          </w:tcPr>
          <w:p>
            <w:pPr>
              <w:pStyle w:val="TableParagraph"/>
              <w:spacing w:line="240" w:lineRule="auto" w:before="3"/>
              <w:ind w:left="442"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6"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342" w:hRule="exact"/>
        </w:trPr>
        <w:tc>
          <w:tcPr>
            <w:tcW w:w="2075" w:type="dxa"/>
            <w:tcBorders>
              <w:top w:val="single" w:sz="8" w:space="0" w:color="000000"/>
              <w:left w:val="single" w:sz="6" w:space="0" w:color="000000"/>
              <w:bottom w:val="single" w:sz="4"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官方运营</w:t>
            </w:r>
          </w:p>
        </w:tc>
        <w:tc>
          <w:tcPr>
            <w:tcW w:w="1640" w:type="dxa"/>
            <w:tcBorders>
              <w:top w:val="single" w:sz="8" w:space="0" w:color="000000"/>
              <w:left w:val="single" w:sz="6" w:space="0" w:color="000000"/>
              <w:bottom w:val="single" w:sz="4"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67,195,152.57</w:t>
            </w:r>
          </w:p>
        </w:tc>
        <w:tc>
          <w:tcPr>
            <w:tcW w:w="1678" w:type="dxa"/>
            <w:tcBorders>
              <w:top w:val="single" w:sz="8" w:space="0" w:color="000000"/>
              <w:left w:val="single" w:sz="6" w:space="0" w:color="000000"/>
              <w:bottom w:val="single" w:sz="4"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61,035,754.99</w:t>
            </w:r>
          </w:p>
        </w:tc>
        <w:tc>
          <w:tcPr>
            <w:tcW w:w="1704"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46"/>
              <w:ind w:right="3"/>
              <w:jc w:val="right"/>
              <w:rPr>
                <w:rFonts w:ascii="Times New Roman" w:hAnsi="Times New Roman" w:cs="Times New Roman" w:eastAsia="Times New Roman" w:hint="default"/>
                <w:sz w:val="20"/>
                <w:szCs w:val="20"/>
              </w:rPr>
            </w:pPr>
            <w:r>
              <w:rPr>
                <w:rFonts w:ascii="Times New Roman"/>
                <w:spacing w:val="-1"/>
                <w:sz w:val="20"/>
              </w:rPr>
              <w:t>113,441,590.23</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1" w:right="0"/>
              <w:jc w:val="left"/>
              <w:rPr>
                <w:rFonts w:ascii="Times New Roman" w:hAnsi="Times New Roman" w:cs="Times New Roman" w:eastAsia="Times New Roman" w:hint="default"/>
                <w:sz w:val="20"/>
                <w:szCs w:val="20"/>
              </w:rPr>
            </w:pPr>
            <w:r>
              <w:rPr>
                <w:rFonts w:ascii="Times New Roman"/>
                <w:sz w:val="20"/>
              </w:rPr>
              <w:t>78,676,057.12</w:t>
            </w:r>
          </w:p>
        </w:tc>
      </w:tr>
      <w:tr>
        <w:trPr>
          <w:trHeight w:val="343" w:hRule="exact"/>
        </w:trPr>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其中：公司自主运营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61,693,691.69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47,717,465.42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86,670,859.48</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1" w:right="0"/>
              <w:jc w:val="left"/>
              <w:rPr>
                <w:rFonts w:ascii="Times New Roman" w:hAnsi="Times New Roman" w:cs="Times New Roman" w:eastAsia="Times New Roman" w:hint="default"/>
                <w:sz w:val="20"/>
                <w:szCs w:val="20"/>
              </w:rPr>
            </w:pPr>
            <w:r>
              <w:rPr>
                <w:rFonts w:ascii="Times New Roman"/>
                <w:sz w:val="20"/>
              </w:rPr>
              <w:t>55,765,237.14</w:t>
            </w:r>
          </w:p>
        </w:tc>
      </w:tr>
    </w:tbl>
    <w:p>
      <w:pPr>
        <w:spacing w:after="0" w:line="240" w:lineRule="auto"/>
        <w:jc w:val="left"/>
        <w:rPr>
          <w:rFonts w:ascii="Times New Roman" w:hAnsi="Times New Roman" w:cs="Times New Roman" w:eastAsia="Times New Roman" w:hint="default"/>
          <w:sz w:val="20"/>
          <w:szCs w:val="20"/>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075"/>
        <w:gridCol w:w="1640"/>
        <w:gridCol w:w="1678"/>
        <w:gridCol w:w="1704"/>
        <w:gridCol w:w="1626"/>
      </w:tblGrid>
      <w:tr>
        <w:trPr>
          <w:trHeight w:val="342" w:hRule="exact"/>
        </w:trPr>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与平台联合运营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5,501,460.88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13,318,289.57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26,770,730.75</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22,910,819.98</w:t>
            </w:r>
          </w:p>
        </w:tc>
      </w:tr>
      <w:tr>
        <w:trPr>
          <w:trHeight w:val="342" w:hRule="exact"/>
        </w:trPr>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分服运营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6,325,508.04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3,729,254.60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40,724,352.41</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32,771,583.32</w:t>
            </w:r>
          </w:p>
        </w:tc>
      </w:tr>
      <w:tr>
        <w:trPr>
          <w:trHeight w:val="342" w:hRule="exact"/>
        </w:trPr>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著作权转让</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12,941,400.00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5,817,665.21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47,000,000.00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18,333,333.31</w:t>
            </w:r>
          </w:p>
        </w:tc>
      </w:tr>
      <w:tr>
        <w:trPr>
          <w:trHeight w:val="342" w:hRule="exact"/>
        </w:trPr>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运营权转让</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34,000,000.00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30,174,382.88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22,000,000.00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480,611.48</w:t>
            </w:r>
          </w:p>
        </w:tc>
      </w:tr>
      <w:tr>
        <w:trPr>
          <w:trHeight w:val="342" w:hRule="exact"/>
        </w:trPr>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2,429,364.15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563,206.39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20"/>
                <w:szCs w:val="20"/>
              </w:rPr>
            </w:pPr>
            <w:r>
              <w:rPr>
                <w:rFonts w:ascii="Times New Roman"/>
                <w:b/>
                <w:w w:val="100"/>
                <w:sz w:val="20"/>
              </w:rPr>
              <w:t>-</w:t>
            </w:r>
            <w:r>
              <w:rPr>
                <w:rFonts w:ascii="Times New Roman"/>
                <w:w w:val="100"/>
                <w:sz w:val="20"/>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20"/>
                <w:szCs w:val="20"/>
              </w:rPr>
            </w:pPr>
            <w:r>
              <w:rPr>
                <w:rFonts w:ascii="Times New Roman"/>
                <w:b/>
                <w:w w:val="100"/>
                <w:sz w:val="20"/>
              </w:rPr>
              <w:t>-</w:t>
            </w:r>
            <w:r>
              <w:rPr>
                <w:rFonts w:ascii="Times New Roman"/>
                <w:w w:val="100"/>
                <w:sz w:val="20"/>
              </w:rPr>
            </w:r>
          </w:p>
        </w:tc>
      </w:tr>
      <w:tr>
        <w:trPr>
          <w:trHeight w:val="342" w:hRule="exact"/>
        </w:trPr>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
              <w:jc w:val="right"/>
              <w:rPr>
                <w:rFonts w:ascii="Times New Roman" w:hAnsi="Times New Roman" w:cs="Times New Roman" w:eastAsia="Times New Roman" w:hint="default"/>
                <w:sz w:val="20"/>
                <w:szCs w:val="20"/>
              </w:rPr>
            </w:pPr>
            <w:r>
              <w:rPr>
                <w:rFonts w:ascii="Times New Roman"/>
                <w:b/>
                <w:spacing w:val="-1"/>
                <w:sz w:val="20"/>
              </w:rPr>
              <w:t>122,891,424.76</w:t>
            </w:r>
            <w:r>
              <w:rPr>
                <w:rFonts w:ascii="Times New Roman"/>
                <w:spacing w:val="-1"/>
                <w:sz w:val="20"/>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20"/>
                <w:szCs w:val="20"/>
              </w:rPr>
            </w:pPr>
            <w:r>
              <w:rPr>
                <w:rFonts w:ascii="Times New Roman"/>
                <w:b/>
                <w:spacing w:val="-1"/>
                <w:sz w:val="20"/>
              </w:rPr>
              <w:t>101,320,264.07</w:t>
            </w:r>
            <w:r>
              <w:rPr>
                <w:rFonts w:ascii="Times New Roman"/>
                <w:spacing w:val="-1"/>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20"/>
                <w:szCs w:val="20"/>
              </w:rPr>
            </w:pPr>
            <w:r>
              <w:rPr>
                <w:rFonts w:ascii="Times New Roman"/>
                <w:b/>
                <w:spacing w:val="-1"/>
                <w:sz w:val="20"/>
              </w:rPr>
              <w:t>223,165,942.64</w:t>
            </w:r>
            <w:r>
              <w:rPr>
                <w:rFonts w:ascii="Times New Roman"/>
                <w:spacing w:val="-1"/>
                <w:sz w:val="20"/>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b/>
                <w:spacing w:val="-1"/>
                <w:sz w:val="20"/>
              </w:rPr>
              <w:t>130,261,585.23</w:t>
            </w:r>
            <w:r>
              <w:rPr>
                <w:rFonts w:ascii="Times New Roman"/>
                <w:spacing w:val="-1"/>
                <w:sz w:val="20"/>
              </w:rPr>
            </w:r>
          </w:p>
        </w:tc>
      </w:tr>
    </w:tbl>
    <w:p>
      <w:pPr>
        <w:spacing w:line="240" w:lineRule="auto" w:before="8"/>
        <w:rPr>
          <w:rFonts w:ascii="Times New Roman" w:hAnsi="Times New Roman" w:cs="Times New Roman" w:eastAsia="Times New Roman" w:hint="default"/>
          <w:sz w:val="5"/>
          <w:szCs w:val="5"/>
        </w:rPr>
      </w:pPr>
    </w:p>
    <w:p>
      <w:pPr>
        <w:pStyle w:val="Heading6"/>
        <w:spacing w:line="240" w:lineRule="auto" w:before="31"/>
        <w:ind w:left="1554"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w:t>
      </w:r>
      <w:r>
        <w:rPr/>
        <w:t>主营业务</w:t>
      </w:r>
      <w:r>
        <w:rPr>
          <w:rFonts w:ascii="宋体" w:hAnsi="宋体" w:cs="宋体" w:eastAsia="宋体" w:hint="default"/>
        </w:rPr>
        <w:t>(</w:t>
      </w:r>
      <w:r>
        <w:rPr/>
        <w:t>分游戏类型</w:t>
      </w:r>
      <w:r>
        <w:rPr>
          <w:rFonts w:ascii="宋体" w:hAnsi="宋体" w:cs="宋体" w:eastAsia="宋体" w:hint="default"/>
        </w:rPr>
        <w:t>)</w:t>
      </w:r>
    </w:p>
    <w:p>
      <w:pPr>
        <w:spacing w:line="240" w:lineRule="auto" w:before="6"/>
        <w:rPr>
          <w:rFonts w:ascii="宋体" w:hAnsi="宋体" w:cs="宋体" w:eastAsia="宋体" w:hint="default"/>
          <w:sz w:val="11"/>
          <w:szCs w:val="11"/>
        </w:rPr>
      </w:pPr>
    </w:p>
    <w:tbl>
      <w:tblPr>
        <w:tblW w:w="0" w:type="auto"/>
        <w:jc w:val="left"/>
        <w:tblInd w:w="1126" w:type="dxa"/>
        <w:tblLayout w:type="fixed"/>
        <w:tblCellMar>
          <w:top w:w="0" w:type="dxa"/>
          <w:left w:w="0" w:type="dxa"/>
          <w:bottom w:w="0" w:type="dxa"/>
          <w:right w:w="0" w:type="dxa"/>
        </w:tblCellMar>
        <w:tblLook w:val="01E0"/>
      </w:tblPr>
      <w:tblGrid>
        <w:gridCol w:w="2032"/>
        <w:gridCol w:w="1619"/>
        <w:gridCol w:w="1658"/>
        <w:gridCol w:w="1671"/>
        <w:gridCol w:w="1745"/>
      </w:tblGrid>
      <w:tr>
        <w:trPr>
          <w:trHeight w:val="346" w:hRule="exact"/>
        </w:trPr>
        <w:tc>
          <w:tcPr>
            <w:tcW w:w="2032" w:type="dxa"/>
            <w:vMerge w:val="restart"/>
            <w:tcBorders>
              <w:top w:val="single" w:sz="6" w:space="0" w:color="000000"/>
              <w:left w:val="single" w:sz="6" w:space="0" w:color="000000"/>
              <w:right w:val="single" w:sz="4" w:space="0" w:color="000000"/>
            </w:tcBorders>
          </w:tcPr>
          <w:p>
            <w:pPr>
              <w:pStyle w:val="TableParagraph"/>
              <w:spacing w:line="240" w:lineRule="auto" w:before="5"/>
              <w:ind w:left="606" w:right="0"/>
              <w:jc w:val="left"/>
              <w:rPr>
                <w:rFonts w:ascii="宋体" w:hAnsi="宋体" w:cs="宋体" w:eastAsia="宋体" w:hint="default"/>
                <w:sz w:val="20"/>
                <w:szCs w:val="20"/>
              </w:rPr>
            </w:pPr>
            <w:r>
              <w:rPr>
                <w:rFonts w:ascii="宋体" w:hAnsi="宋体" w:cs="宋体" w:eastAsia="宋体" w:hint="default"/>
                <w:b/>
                <w:bCs/>
                <w:sz w:val="20"/>
                <w:szCs w:val="20"/>
              </w:rPr>
              <w:t>产品名称</w:t>
            </w:r>
            <w:r>
              <w:rPr>
                <w:rFonts w:ascii="宋体" w:hAnsi="宋体" w:cs="宋体" w:eastAsia="宋体" w:hint="default"/>
                <w:sz w:val="20"/>
                <w:szCs w:val="20"/>
              </w:rPr>
            </w:r>
          </w:p>
        </w:tc>
        <w:tc>
          <w:tcPr>
            <w:tcW w:w="3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52" w:hRule="exact"/>
        </w:trPr>
        <w:tc>
          <w:tcPr>
            <w:tcW w:w="2032" w:type="dxa"/>
            <w:vMerge/>
            <w:tcBorders>
              <w:left w:val="single" w:sz="6" w:space="0" w:color="000000"/>
              <w:bottom w:val="single" w:sz="8"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01"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21"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28"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65"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347" w:hRule="exact"/>
        </w:trPr>
        <w:tc>
          <w:tcPr>
            <w:tcW w:w="2032"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MMO</w:t>
            </w:r>
            <w:r>
              <w:rPr>
                <w:rFonts w:ascii="宋体" w:hAnsi="宋体" w:cs="宋体" w:eastAsia="宋体" w:hint="default"/>
                <w:sz w:val="20"/>
                <w:szCs w:val="20"/>
              </w:rPr>
              <w:t>游戏</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99,652,137.58</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74,206,246.15</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189,055,297.65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99,142,623.43</w:t>
            </w:r>
          </w:p>
        </w:tc>
      </w:tr>
      <w:tr>
        <w:trPr>
          <w:trHeight w:val="347" w:hRule="exact"/>
        </w:trPr>
        <w:tc>
          <w:tcPr>
            <w:tcW w:w="2032"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网页游戏</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12,947,676.42</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3,959,076.58</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3,384,133.40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5,747,006.65</w:t>
            </w:r>
          </w:p>
        </w:tc>
      </w:tr>
      <w:tr>
        <w:trPr>
          <w:trHeight w:val="347" w:hRule="exact"/>
        </w:trPr>
        <w:tc>
          <w:tcPr>
            <w:tcW w:w="2032"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手机游戏</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10,291,610.76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23,154,941.34</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30,726,511.59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25,371,955.15</w:t>
            </w:r>
          </w:p>
        </w:tc>
      </w:tr>
      <w:tr>
        <w:trPr>
          <w:trHeight w:val="348" w:hRule="exact"/>
        </w:trPr>
        <w:tc>
          <w:tcPr>
            <w:tcW w:w="2032"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
              <w:jc w:val="right"/>
              <w:rPr>
                <w:rFonts w:ascii="Times New Roman" w:hAnsi="Times New Roman" w:cs="Times New Roman" w:eastAsia="Times New Roman" w:hint="default"/>
                <w:sz w:val="20"/>
                <w:szCs w:val="20"/>
              </w:rPr>
            </w:pPr>
            <w:r>
              <w:rPr>
                <w:rFonts w:ascii="Times New Roman"/>
                <w:b/>
                <w:spacing w:val="-1"/>
                <w:sz w:val="20"/>
              </w:rPr>
              <w:t>122,891,424.76</w:t>
            </w:r>
            <w:r>
              <w:rPr>
                <w:rFonts w:ascii="Times New Roman"/>
                <w:spacing w:val="-1"/>
                <w:sz w:val="20"/>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
              <w:jc w:val="right"/>
              <w:rPr>
                <w:rFonts w:ascii="Times New Roman" w:hAnsi="Times New Roman" w:cs="Times New Roman" w:eastAsia="Times New Roman" w:hint="default"/>
                <w:sz w:val="20"/>
                <w:szCs w:val="20"/>
              </w:rPr>
            </w:pPr>
            <w:r>
              <w:rPr>
                <w:rFonts w:ascii="Times New Roman"/>
                <w:b/>
                <w:spacing w:val="-1"/>
                <w:sz w:val="20"/>
              </w:rPr>
              <w:t>101,320,264.07</w:t>
            </w:r>
            <w:r>
              <w:rPr>
                <w:rFonts w:ascii="Times New Roman"/>
                <w:spacing w:val="-1"/>
                <w:sz w:val="20"/>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b/>
                <w:spacing w:val="-1"/>
                <w:sz w:val="20"/>
              </w:rPr>
              <w:t>223,165,942.64</w:t>
            </w:r>
            <w:r>
              <w:rPr>
                <w:rFonts w:ascii="Times New Roman"/>
                <w:spacing w:val="-1"/>
                <w:sz w:val="20"/>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b/>
                <w:spacing w:val="-1"/>
                <w:sz w:val="20"/>
              </w:rPr>
              <w:t>130,261,585.23</w:t>
            </w:r>
            <w:r>
              <w:rPr>
                <w:rFonts w:ascii="Times New Roman"/>
                <w:spacing w:val="-1"/>
                <w:sz w:val="20"/>
              </w:rPr>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5、投资收益" w:id="518"/>
      <w:bookmarkEnd w:id="51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29,835,000.00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17,630,807.86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-7,145,905.51</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93,625,145.51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14,595,000.00</w:t>
            </w: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1"/>
              <w:jc w:val="left"/>
              <w:rPr>
                <w:rFonts w:ascii="宋体" w:hAnsi="宋体" w:cs="宋体" w:eastAsia="宋体" w:hint="default"/>
                <w:sz w:val="18"/>
                <w:szCs w:val="18"/>
              </w:rPr>
            </w:pPr>
            <w:r>
              <w:rPr>
                <w:rFonts w:ascii="宋体" w:hAnsi="宋体" w:cs="宋体" w:eastAsia="宋体" w:hint="default"/>
                <w:sz w:val="18"/>
                <w:szCs w:val="18"/>
              </w:rPr>
              <w:t>长期股权投资转可供出售金融资产的投资 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176,325,333.31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317,416,286.68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7,449,094.49</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6、其他" w:id="519"/>
      <w:bookmarkEnd w:id="519"/>
      <w:r>
        <w:rPr>
          <w:b w:val="0"/>
          <w:bCs w:val="0"/>
        </w:rPr>
      </w: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3"/>
        <w:rPr>
          <w:rFonts w:ascii="宋体" w:hAnsi="宋体" w:cs="宋体" w:eastAsia="宋体" w:hint="default"/>
          <w:sz w:val="24"/>
          <w:szCs w:val="24"/>
        </w:rPr>
      </w:pPr>
    </w:p>
    <w:p>
      <w:pPr>
        <w:pStyle w:val="Heading3"/>
        <w:spacing w:line="240" w:lineRule="auto"/>
        <w:ind w:left="1134" w:right="0"/>
        <w:jc w:val="left"/>
        <w:rPr>
          <w:b w:val="0"/>
          <w:bCs w:val="0"/>
        </w:rPr>
      </w:pPr>
      <w:bookmarkStart w:name="十八、补充资料" w:id="520"/>
      <w:bookmarkEnd w:id="520"/>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left="1133" w:right="0"/>
        <w:jc w:val="left"/>
        <w:rPr>
          <w:b w:val="0"/>
          <w:bCs w:val="0"/>
        </w:rPr>
      </w:pPr>
      <w:bookmarkStart w:name="1、当期非经常性损益明细表" w:id="521"/>
      <w:bookmarkEnd w:id="521"/>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-476,863.32</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与企业业务密 切相关，按照国家统一标准定额或定量享</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11,982,333.27</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3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受的政府补助除外</w:t>
            </w:r>
            <w:r>
              <w:rPr>
                <w:rFonts w:ascii="Times New Roman" w:hAnsi="Times New Roman" w:cs="Times New Roman" w:eastAsia="Times New Roman" w:hint="default"/>
                <w:sz w:val="18"/>
                <w:szCs w:val="18"/>
              </w:rPr>
              <w:t>)</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165,414,277.82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236,262,326.69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银行理财产品实现的收益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丧失子公司控制权后对剩余股权成本按照</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37,746,941.06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265,049.25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375,170,084.15</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240" w:lineRule="auto"/>
        <w:ind w:left="1133" w:right="0"/>
        <w:jc w:val="left"/>
        <w:rPr>
          <w:b w:val="0"/>
          <w:bCs w:val="0"/>
        </w:rPr>
      </w:pPr>
      <w:bookmarkStart w:name="2、净资产收益率及每股收益" w:id="522"/>
      <w:bookmarkEnd w:id="522"/>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基本每股收益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稀释每股收益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-1.19</w:t>
            </w:r>
            <w:r>
              <w:rPr>
                <w:rFonts w:ascii="Times New Roman"/>
                <w:sz w:val="18"/>
              </w:rPr>
            </w:r>
          </w:p>
        </w:tc>
      </w:tr>
    </w:tbl>
    <w:p>
      <w:pPr>
        <w:spacing w:line="240" w:lineRule="auto" w:before="2"/>
        <w:rPr>
          <w:rFonts w:ascii="宋体" w:hAnsi="宋体" w:cs="宋体" w:eastAsia="宋体" w:hint="default"/>
          <w:b/>
          <w:bCs/>
          <w:sz w:val="19"/>
          <w:szCs w:val="19"/>
        </w:rPr>
      </w:pPr>
    </w:p>
    <w:p>
      <w:pPr>
        <w:pStyle w:val="Heading7"/>
        <w:spacing w:line="506" w:lineRule="auto" w:before="35"/>
        <w:ind w:right="0"/>
        <w:jc w:val="left"/>
        <w:rPr>
          <w:b w:val="0"/>
          <w:bCs w:val="0"/>
        </w:rPr>
      </w:pPr>
      <w:bookmarkStart w:name="3、境内外会计准则下会计数据差异" w:id="523"/>
      <w:bookmarkEnd w:id="523"/>
      <w:r>
        <w:rPr>
          <w:b w:val="0"/>
          <w:bCs w:val="0"/>
        </w:rPr>
      </w:r>
      <w:r>
        <w:rPr>
          <w:rFonts w:ascii="Times New Roman" w:hAnsi="Times New Roman" w:cs="Times New Roman" w:eastAsia="Times New Roman" w:hint="default"/>
        </w:rPr>
        <w:t>3</w:t>
      </w:r>
      <w:r>
        <w:rPr/>
        <w:t>、境内外会计准则下会计数据差异</w:t>
      </w:r>
      <w:r>
        <w:rPr>
          <w:w w:val="99"/>
        </w:rPr>
        <w:t> </w:t>
      </w:r>
      <w:bookmarkStart w:name="(1)同时按照国际会计准则与按中国会计准则披露的财务报告中净利润和净资产差异情况" w:id="524"/>
      <w:bookmarkEnd w:id="524"/>
      <w:r>
        <w:rPr>
          <w:w w:val="99"/>
        </w:rPr>
      </w:r>
      <w:r>
        <w:rPr>
          <w:rFonts w:ascii="Times New Roman" w:hAnsi="Times New Roman" w:cs="Times New Roman" w:eastAsia="Times New Roman" w:hint="default"/>
          <w:w w:val="95"/>
        </w:rPr>
        <w:t>(1)</w:t>
      </w:r>
      <w:r>
        <w:rPr>
          <w:w w:val="95"/>
        </w:rPr>
        <w:t>同时按照国际会计准则与按中国会计准则披露的财务报告中净利润和净资产差异情况</w:t>
      </w:r>
      <w:r>
        <w:rPr>
          <w:b w:val="0"/>
          <w:bCs w:val="0"/>
        </w:rPr>
      </w:r>
    </w:p>
    <w:p>
      <w:pPr>
        <w:pStyle w:val="BodyText"/>
        <w:spacing w:line="240" w:lineRule="auto" w:before="9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7"/>
        <w:spacing w:line="240" w:lineRule="auto"/>
        <w:ind w:left="1133" w:right="0"/>
        <w:jc w:val="left"/>
        <w:rPr>
          <w:b w:val="0"/>
          <w:bCs w:val="0"/>
        </w:rPr>
      </w:pPr>
      <w:bookmarkStart w:name="(2)同时按照境外会计准则与按中国会计准则披露的财务报告中净利润和净资产差异情况" w:id="525"/>
      <w:bookmarkEnd w:id="525"/>
      <w:r>
        <w:rPr>
          <w:b w:val="0"/>
          <w:bCs w:val="0"/>
        </w:rPr>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7"/>
        <w:spacing w:line="259" w:lineRule="auto"/>
        <w:ind w:left="1133" w:right="1117"/>
        <w:jc w:val="left"/>
        <w:rPr>
          <w:b w:val="0"/>
          <w:bCs w:val="0"/>
        </w:rPr>
      </w:pPr>
      <w:bookmarkStart w:name="(3)境内外会计准则下会计数据差异原因说明，对已经境外审计机构审计的数据进行差异" w:id="526"/>
      <w:bookmarkEnd w:id="526"/>
      <w:r>
        <w:rPr>
          <w:b w:val="0"/>
          <w:bCs w:val="0"/>
        </w:rPr>
      </w:r>
      <w:r>
        <w:rPr>
          <w:rFonts w:ascii="Times New Roman" w:hAnsi="Times New Roman" w:cs="Times New Roman" w:eastAsia="Times New Roman" w:hint="default"/>
          <w:spacing w:val="-2"/>
        </w:rPr>
        <w:t>(3)</w:t>
      </w:r>
      <w:r>
        <w:rPr>
          <w:spacing w:val="-2"/>
        </w:rPr>
        <w:t>境内外会计准则下会计数据差异原因说明，对已经境外审计机构审计的数据进行差异调节的，应注明该</w:t>
      </w:r>
      <w:r>
        <w:rPr>
          <w:w w:val="99"/>
        </w:rPr>
        <w:t> </w:t>
      </w:r>
      <w:r>
        <w:rPr/>
        <w:t>境外机构的名称</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7"/>
        <w:spacing w:line="240" w:lineRule="auto"/>
        <w:ind w:left="1133" w:right="0"/>
        <w:jc w:val="left"/>
        <w:rPr>
          <w:b w:val="0"/>
          <w:bCs w:val="0"/>
        </w:rPr>
      </w:pPr>
      <w:bookmarkStart w:name="4、其他" w:id="527"/>
      <w:bookmarkEnd w:id="527"/>
      <w:r>
        <w:rPr>
          <w:b w:val="0"/>
          <w:bCs w:val="0"/>
        </w:rPr>
      </w:r>
      <w:r>
        <w:rPr>
          <w:rFonts w:ascii="Times New Roman" w:hAnsi="Times New Roman" w:cs="Times New Roman" w:eastAsia="Times New Roman" w:hint="default"/>
        </w:rPr>
        <w:t>4</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112" w:right="1113"/>
        <w:jc w:val="center"/>
        <w:rPr>
          <w:b w:val="0"/>
          <w:bCs w:val="0"/>
        </w:rPr>
      </w:pPr>
      <w:bookmarkStart w:name="第十一节 备查文件目录" w:id="528"/>
      <w:bookmarkEnd w:id="528"/>
      <w:r>
        <w:rPr>
          <w:b w:val="0"/>
          <w:bCs w:val="0"/>
        </w:rPr>
      </w:r>
      <w:bookmarkStart w:name="_bookmark9" w:id="529"/>
      <w:bookmarkEnd w:id="529"/>
      <w:r>
        <w:rPr>
          <w:b w:val="0"/>
          <w:bCs w:val="0"/>
        </w:rPr>
      </w:r>
      <w:r>
        <w:rPr/>
        <w:t>第十一节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316" w:lineRule="auto"/>
        <w:ind w:left="1334" w:right="2992"/>
        <w:jc w:val="left"/>
      </w:pPr>
      <w:r>
        <w:rPr/>
        <w:t>一、载有公司盖章、法定代表人、主管会计工作负责人、会计主管人员签名并盖章的财务报表。 二、载有会计师事务所盖章、注册会计师签名并盖章的审计报告原件。 三、报告期内在中国证监会指定网站上公开披露过的所有公司文件的正本及公告的原稿。 四、载有董事长签名的</w:t>
      </w:r>
      <w:r>
        <w:rPr>
          <w:rFonts w:ascii="Times New Roman" w:hAnsi="Times New Roman" w:cs="Times New Roman" w:eastAsia="Times New Roman" w:hint="default"/>
        </w:rPr>
        <w:t>2015</w:t>
      </w:r>
      <w:r>
        <w:rPr/>
        <w:t>年年度报告文本原件。</w:t>
      </w:r>
    </w:p>
    <w:p>
      <w:pPr>
        <w:spacing w:line="240" w:lineRule="auto" w:before="10"/>
        <w:rPr>
          <w:rFonts w:ascii="宋体" w:hAnsi="宋体" w:cs="宋体" w:eastAsia="宋体" w:hint="default"/>
          <w:sz w:val="23"/>
          <w:szCs w:val="23"/>
        </w:rPr>
      </w:pPr>
    </w:p>
    <w:p>
      <w:pPr>
        <w:pStyle w:val="BodyText"/>
        <w:spacing w:line="240" w:lineRule="auto"/>
        <w:ind w:left="1334" w:right="0"/>
        <w:jc w:val="left"/>
      </w:pPr>
      <w:r>
        <w:rPr/>
        <w:t>以上备查文件的备置地点：公司董事会秘书办公室</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13160" type="#_x0000_t75" stroked="false">
          <v:imagedata r:id="rId1" o:title=""/>
        </v:shape>
      </w:pict>
    </w:r>
    <w:r>
      <w:rPr/>
      <w:pict>
        <v:shape style="position:absolute;margin-left:533.179993pt;margin-top:795.517944pt;width:6.5pt;height:11pt;mso-position-horizontal-relative:page;mso-position-vertical-relative:page;z-index:-11131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13112" type="#_x0000_t75" stroked="false">
          <v:imagedata r:id="rId1" o:title=""/>
        </v:shape>
      </w:pict>
    </w:r>
    <w:r>
      <w:rPr/>
      <w:pict>
        <v:shape style="position:absolute;margin-left:527.679993pt;margin-top:781.957947pt;width:13pt;height:11pt;mso-position-horizontal-relative:page;mso-position-vertical-relative:page;z-index:-11130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13064" type="#_x0000_t75" stroked="false">
          <v:imagedata r:id="rId1" o:title=""/>
        </v:shape>
      </w:pict>
    </w:r>
    <w:r>
      <w:rPr/>
      <w:pict>
        <v:shape style="position:absolute;margin-left:524.179993pt;margin-top:781.957947pt;width:15.5pt;height:11pt;mso-position-horizontal-relative:page;mso-position-vertical-relative:page;z-index:-111304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13016" type="#_x0000_t75" stroked="false">
          <v:imagedata r:id="rId1" o:title=""/>
        </v:shape>
      </w:pict>
    </w:r>
    <w:r>
      <w:rPr/>
      <w:pict>
        <v:shape style="position:absolute;margin-left:523.179993pt;margin-top:781.957947pt;width:17.5pt;height:11pt;mso-position-horizontal-relative:page;mso-position-vertical-relative:page;z-index:-11129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160004pt;margin-top:36.325607pt;width:222.55pt;height:11.5pt;mso-position-horizontal-relative:page;mso-position-vertical-relative:page;z-index:-1113184" type="#_x0000_t202" filled="false" stroked="false">
          <v:textbox inset="0,0,0,0">
            <w:txbxContent>
              <w:p>
                <w:pPr>
                  <w:pStyle w:val="BodyText"/>
                  <w:spacing w:line="214" w:lineRule="exact"/>
                  <w:ind w:left="20" w:right="0"/>
                  <w:jc w:val="left"/>
                </w:pPr>
                <w:r>
                  <w:rPr/>
                  <w:t>深圳中青宝互动网络股份有限公司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ind w:left="1113"/>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8"/>
      <w:szCs w:val="28"/>
    </w:rPr>
  </w:style>
  <w:style w:styleId="Heading3" w:type="paragraph">
    <w:name w:val="Heading 3"/>
    <w:basedOn w:val="Normal"/>
    <w:uiPriority w:val="1"/>
    <w:qFormat/>
    <w:pPr>
      <w:ind w:left="1133"/>
      <w:outlineLvl w:val="3"/>
    </w:pPr>
    <w:rPr>
      <w:rFonts w:ascii="宋体" w:hAnsi="宋体" w:eastAsia="宋体"/>
      <w:b/>
      <w:bCs/>
      <w:sz w:val="24"/>
      <w:szCs w:val="24"/>
    </w:rPr>
  </w:style>
  <w:style w:styleId="Heading4" w:type="paragraph">
    <w:name w:val="Heading 4"/>
    <w:basedOn w:val="Normal"/>
    <w:uiPriority w:val="1"/>
    <w:qFormat/>
    <w:pPr>
      <w:ind w:left="1133" w:firstLine="420"/>
      <w:outlineLvl w:val="4"/>
    </w:pPr>
    <w:rPr>
      <w:rFonts w:ascii="宋体" w:hAnsi="宋体" w:eastAsia="宋体"/>
      <w:sz w:val="24"/>
      <w:szCs w:val="24"/>
    </w:rPr>
  </w:style>
  <w:style w:styleId="Heading5" w:type="paragraph">
    <w:name w:val="Heading 5"/>
    <w:basedOn w:val="Normal"/>
    <w:uiPriority w:val="1"/>
    <w:qFormat/>
    <w:pPr>
      <w:ind w:left="1133"/>
      <w:outlineLvl w:val="5"/>
    </w:pPr>
    <w:rPr>
      <w:rFonts w:ascii="宋体" w:hAnsi="宋体" w:eastAsia="宋体"/>
      <w:b/>
      <w:bCs/>
      <w:sz w:val="22"/>
      <w:szCs w:val="22"/>
    </w:rPr>
  </w:style>
  <w:style w:styleId="Heading6" w:type="paragraph">
    <w:name w:val="Heading 6"/>
    <w:basedOn w:val="Normal"/>
    <w:uiPriority w:val="1"/>
    <w:qFormat/>
    <w:pPr>
      <w:outlineLvl w:val="6"/>
    </w:pPr>
    <w:rPr>
      <w:rFonts w:ascii="宋体" w:hAnsi="宋体" w:eastAsia="宋体"/>
      <w:sz w:val="22"/>
      <w:szCs w:val="22"/>
    </w:rPr>
  </w:style>
  <w:style w:styleId="Heading7" w:type="paragraph">
    <w:name w:val="Heading 7"/>
    <w:basedOn w:val="Normal"/>
    <w:uiPriority w:val="1"/>
    <w:qFormat/>
    <w:pPr>
      <w:ind w:left="1134"/>
      <w:outlineLvl w:val="7"/>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zqgame.com/" TargetMode="External"/><Relationship Id="rId10" Type="http://schemas.openxmlformats.org/officeDocument/2006/relationships/hyperlink" Target="mailto:ir@zqgame.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深圳中青宝互动网络股份有限公司</dc:creator>
  <dc:title>深圳中青宝互动网络股份有限公司2015年年度报告全文</dc:title>
  <dcterms:created xsi:type="dcterms:W3CDTF">2020-05-04T15:42:07Z</dcterms:created>
  <dcterms:modified xsi:type="dcterms:W3CDTF">2020-05-04T15:42:07Z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2016-03-24T00:00:00Z</vt:filetime>
  </property>
  <property fmtid="{D5CDD505-2E9C-101B-9397-08002B2CF9AE}" pid="3" name="Creator">
    <vt:lpwstr>Microsoft® Office Word 2007</vt:lpwstr>
  </property>
  <property fmtid="{D5CDD505-2E9C-101B-9397-08002B2CF9AE}" pid="4" name="LastSaved">
    <vt:filetime>2020-05-04T00:00:00Z</vt:filetime>
  </property>
</Properties>
</file>