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60" w:line="240" w:lineRule="auto"/>
        <w:ind w:left="0" w:right="0" w:firstLine="0"/>
        <w:jc w:val="center"/>
        <w:rPr>
          <w:sz w:val="36"/>
          <w:szCs w:val="36"/>
        </w:rPr>
      </w:pPr>
      <w:r>
        <w:rPr>
          <w:b/>
          <w:bCs/>
          <w:color w:val="000000"/>
          <w:spacing w:val="0"/>
          <w:w w:val="100"/>
          <w:position w:val="0"/>
          <w:sz w:val="36"/>
          <w:szCs w:val="36"/>
        </w:rPr>
        <w:t>深圳中青宝互动网络股份有限公司</w:t>
      </w:r>
    </w:p>
    <w:p>
      <w:pPr>
        <w:pStyle w:val="Style2"/>
        <w:keepNext w:val="0"/>
        <w:keepLines w:val="0"/>
        <w:widowControl w:val="0"/>
        <w:shd w:val="clear" w:color="auto" w:fill="auto"/>
        <w:bidi w:val="0"/>
        <w:spacing w:before="0" w:after="13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年度报告</w:t>
      </w:r>
    </w:p>
    <w:p>
      <w:pPr>
        <w:pStyle w:val="Style2"/>
        <w:keepNext w:val="0"/>
        <w:keepLines w:val="0"/>
        <w:widowControl w:val="0"/>
        <w:shd w:val="clear" w:color="auto" w:fill="auto"/>
        <w:bidi w:val="0"/>
        <w:spacing w:before="0" w:after="0" w:line="240" w:lineRule="auto"/>
        <w:ind w:left="0" w:right="0" w:firstLine="0"/>
        <w:jc w:val="center"/>
        <w:rPr>
          <w:sz w:val="88"/>
          <w:szCs w:val="88"/>
        </w:rPr>
      </w:pPr>
      <w:r>
        <w:rPr>
          <w:rFonts w:ascii="Times New Roman" w:eastAsia="Times New Roman" w:hAnsi="Times New Roman" w:cs="Times New Roman"/>
          <w:i/>
          <w:iCs/>
          <w:color w:val="204E7D"/>
          <w:spacing w:val="0"/>
          <w:w w:val="100"/>
          <w:position w:val="0"/>
          <w:sz w:val="116"/>
          <w:szCs w:val="116"/>
        </w:rPr>
        <w:t>@10</w:t>
      </w:r>
      <w:r>
        <w:rPr>
          <w:rFonts w:ascii="SimHei" w:eastAsia="SimHei" w:hAnsi="SimHei" w:cs="SimHei"/>
          <w:i/>
          <w:iCs/>
          <w:color w:val="3F3B3A"/>
          <w:spacing w:val="0"/>
          <w:w w:val="100"/>
          <w:position w:val="0"/>
          <w:sz w:val="88"/>
          <w:szCs w:val="88"/>
        </w:rPr>
        <w:t>青宝</w:t>
      </w:r>
    </w:p>
    <w:p>
      <w:pPr>
        <w:pStyle w:val="Style2"/>
        <w:keepNext w:val="0"/>
        <w:keepLines w:val="0"/>
        <w:widowControl w:val="0"/>
        <w:shd w:val="clear" w:color="auto" w:fill="auto"/>
        <w:bidi w:val="0"/>
        <w:spacing w:before="0" w:after="6000" w:line="180" w:lineRule="auto"/>
        <w:ind w:left="0" w:right="0" w:firstLine="0"/>
        <w:jc w:val="center"/>
        <w:rPr>
          <w:sz w:val="32"/>
          <w:szCs w:val="32"/>
        </w:rPr>
      </w:pPr>
      <w:r>
        <w:rPr>
          <w:rFonts w:ascii="Arial" w:eastAsia="Arial" w:hAnsi="Arial" w:cs="Arial"/>
          <w:i/>
          <w:iCs/>
          <w:color w:val="B5B5B5"/>
          <w:spacing w:val="0"/>
          <w:w w:val="100"/>
          <w:position w:val="0"/>
          <w:sz w:val="32"/>
          <w:szCs w:val="32"/>
        </w:rPr>
        <w:t>zqgame.com.cn</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66" w:right="975" w:bottom="2866"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5"/>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公司负责人李瑞杰、主管会计工作负责人许岳明及会计机构负责人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朱丹平声明：保证年度报告中财务报告的真实、准确、完整。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4" w:right="975"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261,038,600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8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p>
    <w:p>
      <w:pPr>
        <w:pStyle w:val="Style20"/>
        <w:keepNext w:val="0"/>
        <w:keepLines w:val="0"/>
        <w:widowControl w:val="0"/>
        <w:shd w:val="clear" w:color="auto" w:fill="auto"/>
        <w:tabs>
          <w:tab w:pos="910" w:val="left"/>
          <w:tab w:leader="dot" w:pos="9608" w:val="right"/>
        </w:tabs>
        <w:bidi w:val="0"/>
        <w:spacing w:before="0" w:line="240" w:lineRule="auto"/>
        <w:ind w:left="0" w:right="0" w:firstLine="0"/>
        <w:jc w:val="left"/>
      </w:pPr>
      <w:hyperlink w:anchor="bookmark265"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2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7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81"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23"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11"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15"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1540"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181</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本公司、公司、中青宝、中青宝网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深圳中青宝互动网络股份有限公司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母公司、宝德控股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深圳市宝德投资控股有限公司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李瑞杰、张云霞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宝德科技集团股份有限公司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深圳证券交易所《创业板股票上市规则》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深圳中青宝互动网络股份有限公司章程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MMO</w:t>
            </w:r>
            <w:r>
              <w:rPr>
                <w:color w:val="000000"/>
                <w:spacing w:val="0"/>
                <w:w w:val="100"/>
                <w:position w:val="0"/>
              </w:rPr>
              <w:t>游戏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大型多人在线游戏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客户端游戏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客户端，是指与游戏服务器相对应，为客户提供本地服务的程式。一 般安装在普通的用户电脑上，需要与游戏伺服端互相配合运行。客户 端游戏是指需下载客户端，在电脑上进行的网络游戏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网页游戏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页游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又称无端网游，基于网站开发技术，以标准协议为基础传输形式，无 客户端或基于浏览器内核的微客户端游戏，游戏用户可以直接通过互 联网浏览器玩网页游戏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通过移动网络下载，并运行于手机或其他移动终端上的游戏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多人在线战术竞技游戏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ARPG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互动角色扮演类游戏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虚拟现实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知识产权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、安卓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是一种基于</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的自由及开放源代码的操作系统，主要使用于移动 设备，如智能手机和平板电脑，由</w:t>
            </w:r>
            <w:r>
              <w:rPr>
                <w:rFonts w:ascii="Times New Roman" w:eastAsia="Times New Roman" w:hAnsi="Times New Roman" w:cs="Times New Roman"/>
                <w:color w:val="000000"/>
                <w:spacing w:val="0"/>
                <w:w w:val="100"/>
                <w:position w:val="0"/>
                <w:sz w:val="18"/>
                <w:szCs w:val="18"/>
              </w:rPr>
              <w:t>Google</w:t>
            </w:r>
            <w:r>
              <w:rPr>
                <w:color w:val="000000"/>
                <w:spacing w:val="0"/>
                <w:w w:val="100"/>
                <w:position w:val="0"/>
              </w:rPr>
              <w:t>公司和开放手机联盟领导 及开发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 Store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由美国苹果公司开发的在线应用程序商店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凤凰县政府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湖南省湘西土家族苗族自治州凤凰县人民政府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主题公园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凤凰科技旅游主题公园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上海美峰数码科技有限公司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深圳市苏摩科技有限公司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上海跳跃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上海跳跃网络科技有限公司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《深圳中青宝互动网络股份有限公司股票期权激励计划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 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深圳宝腾互联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深圳市宝腾互联科技有限公司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42" w:bottom="1619" w:left="1090" w:header="0" w:footer="3" w:gutter="0"/>
          <w:cols w:space="720"/>
          <w:noEndnote/>
          <w:rtlGutter w:val="0"/>
          <w:docGrid w:linePitch="360"/>
        </w:sectPr>
      </w:pPr>
    </w:p>
    <w:p>
      <w:pPr>
        <w:pStyle w:val="Style15"/>
        <w:keepNext/>
        <w:keepLines/>
        <w:widowControl w:val="0"/>
        <w:shd w:val="clear" w:color="auto" w:fill="auto"/>
        <w:bidi w:val="0"/>
        <w:spacing w:before="52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4"/>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ZQGAME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ZQGAME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广东省深圳市福田区深南中路电子科技大厦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A1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深圳市南山区科技园南区高新南四道</w:t>
            </w:r>
            <w:r>
              <w:rPr>
                <w:rFonts w:ascii="Times New Roman" w:eastAsia="Times New Roman" w:hAnsi="Times New Roman" w:cs="Times New Roman"/>
                <w:color w:val="000000"/>
                <w:spacing w:val="0"/>
                <w:w w:val="100"/>
                <w:position w:val="0"/>
                <w:sz w:val="18"/>
                <w:szCs w:val="18"/>
              </w:rPr>
              <w:t>W1-B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"http://www.zqgame" </w:instrText>
            </w:r>
            <w:r>
              <w:fldChar w:fldCharType="separate"/>
            </w:r>
            <w:r>
              <w:rPr>
                <w:rFonts w:ascii="Times New Roman" w:eastAsia="Times New Roman" w:hAnsi="Times New Roman" w:cs="Times New Roman"/>
                <w:color w:val="000000"/>
                <w:spacing w:val="0"/>
                <w:w w:val="100"/>
                <w:position w:val="0"/>
                <w:sz w:val="18"/>
                <w:szCs w:val="18"/>
              </w:rPr>
              <w:t>http://www.zqgame</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"mailto:ir@zqgame.com" </w:instrText>
            </w:r>
            <w:r>
              <w:fldChar w:fldCharType="separate"/>
            </w:r>
            <w:r>
              <w:rPr>
                <w:rFonts w:ascii="Times New Roman" w:eastAsia="Times New Roman" w:hAnsi="Times New Roman" w:cs="Times New Roman"/>
                <w:color w:val="000000"/>
                <w:spacing w:val="0"/>
                <w:w w:val="100"/>
                <w:position w:val="0"/>
                <w:sz w:val="18"/>
                <w:szCs w:val="18"/>
              </w:rPr>
              <w:t>ir@zqgame.com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周旻昊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深圳市南山区科技园南区高新南四道</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W1-B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深圳市南山区科技园南区高新南四道</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W1-B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0755-26733925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0755-26733925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0755-26000524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0755-26000524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"mailto:ir@zqgame.com" </w:instrText>
            </w:r>
            <w:r>
              <w:fldChar w:fldCharType="separate"/>
            </w:r>
            <w:r>
              <w:rPr>
                <w:rFonts w:ascii="Times New Roman" w:eastAsia="Times New Roman" w:hAnsi="Times New Roman" w:cs="Times New Roman"/>
                <w:color w:val="000000"/>
                <w:spacing w:val="0"/>
                <w:w w:val="100"/>
                <w:position w:val="0"/>
                <w:sz w:val="18"/>
                <w:szCs w:val="18"/>
              </w:rPr>
              <w:t>ir@zqgame.com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"mailto:ir@zqgame.com" </w:instrText>
            </w:r>
            <w:r>
              <w:fldChar w:fldCharType="separate"/>
            </w:r>
            <w:r>
              <w:rPr>
                <w:rFonts w:ascii="Times New Roman" w:eastAsia="Times New Roman" w:hAnsi="Times New Roman" w:cs="Times New Roman"/>
                <w:color w:val="000000"/>
                <w:spacing w:val="0"/>
                <w:w w:val="100"/>
                <w:position w:val="0"/>
                <w:sz w:val="18"/>
                <w:szCs w:val="18"/>
              </w:rPr>
              <w:t>ir@zqgame.com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深圳市南山区科技园南区高新南四道</w:t>
            </w:r>
            <w:r>
              <w:rPr>
                <w:rFonts w:ascii="Times New Roman" w:eastAsia="Times New Roman" w:hAnsi="Times New Roman" w:cs="Times New Roman"/>
                <w:color w:val="000000"/>
                <w:spacing w:val="0"/>
                <w:w w:val="100"/>
                <w:position w:val="0"/>
                <w:sz w:val="18"/>
                <w:szCs w:val="18"/>
              </w:rPr>
              <w:t>W1-B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楼董事会秘书办公室</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、其他有关资料</w:t>
      </w:r>
      <w:bookmarkEnd w:id="19"/>
      <w:bookmarkEnd w:id="20"/>
      <w:bookmarkEnd w:id="22"/>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深圳市福田区联合广场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郭晋龙、邱乐群</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、主要会计数据和财务指标</w:t>
      </w:r>
      <w:bookmarkEnd w:id="23"/>
      <w:bookmarkEnd w:id="24"/>
      <w:bookmarkEnd w:id="26"/>
    </w:p>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321,348,057.16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343,090,937.31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489,527,552.74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-49,729,289.85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65,202,765.48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-22,035,893.48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-127,741,901.92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-309,967,318.67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-79,163,460.25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92,282,870.38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171,142,603.73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-26,048,839.69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1,104,819,898.46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1,255,858,292.04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1,535,173,495.66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949,795,089.70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1,001,998,427.41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922,328,642.32</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、分季度主要财务指标</w:t>
      </w:r>
      <w:bookmarkEnd w:id="27"/>
      <w:bookmarkEnd w:id="28"/>
      <w:bookmarkEnd w:id="30"/>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62,387,905.85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56,405,195.59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78,073,427.10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124,481,528.62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3,460,286.36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4,271,895.44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-58,145,754.77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-3,309,030.85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-7,243,700.43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4,252,001.18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-121,441,171.82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-6,028,428.71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27,619,229.53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11,068,636.95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59,623,432.61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17" w:val="left"/>
        </w:tabs>
        <w:bidi w:val="0"/>
        <w:spacing w:before="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2"/>
        <w:keepNext/>
        <w:keepLines/>
        <w:widowControl w:val="0"/>
        <w:shd w:val="clear" w:color="auto" w:fill="auto"/>
        <w:tabs>
          <w:tab w:pos="402"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2"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17" w:val="left"/>
        </w:tabs>
        <w:bidi w:val="0"/>
        <w:spacing w:before="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非经常性损益项目及金额</w:t>
      </w:r>
      <w:bookmarkEnd w:id="43"/>
      <w:bookmarkEnd w:id="44"/>
      <w:bookmarkEnd w:id="46"/>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79,112.89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21,788,680.01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14,948,889.99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11,982,333.27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13,842,639.83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67,088,572.08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165,414,277.82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-5,874,225.70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54,857.91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236,262,326.69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34,839,100.66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3,308,576.44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37,746,941.06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7,350,273.17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265,049.25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118,354.86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78,012,612.07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375,170,084.15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57,127,566.77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4"/>
        <w:keepNext/>
        <w:keepLines/>
        <w:widowControl w:val="0"/>
        <w:shd w:val="clear" w:color="auto" w:fill="auto"/>
        <w:bidi w:val="0"/>
        <w:spacing w:before="0" w:after="260" w:line="240" w:lineRule="auto"/>
        <w:ind w:left="0" w:right="0" w:firstLine="0"/>
        <w:jc w:val="both"/>
      </w:pPr>
      <w:bookmarkStart w:id="50" w:name="bookmark50"/>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、报告期内公司从事的主要业务</w:t>
      </w:r>
      <w:bookmarkEnd w:id="51"/>
      <w:bookmarkEnd w:id="52"/>
      <w:bookmarkEnd w:id="54"/>
      <w:bookmarkEnd w:id="50"/>
    </w:p>
    <w:p>
      <w:pPr>
        <w:pStyle w:val="Style26"/>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40" w:line="313" w:lineRule="exact"/>
        <w:ind w:left="0" w:right="0" w:firstLine="0"/>
        <w:jc w:val="both"/>
      </w:pPr>
      <w:r>
        <w:rPr>
          <w:color w:val="000000"/>
          <w:spacing w:val="0"/>
          <w:w w:val="100"/>
          <w:position w:val="0"/>
        </w:rPr>
        <w:t>是</w:t>
      </w:r>
    </w:p>
    <w:p>
      <w:pPr>
        <w:pStyle w:val="Style26"/>
        <w:keepNext w:val="0"/>
        <w:keepLines w:val="0"/>
        <w:widowControl w:val="0"/>
        <w:shd w:val="clear" w:color="auto" w:fill="auto"/>
        <w:bidi w:val="0"/>
        <w:spacing w:before="0" w:after="40" w:line="313" w:lineRule="exact"/>
        <w:ind w:left="0" w:right="0" w:firstLine="0"/>
        <w:jc w:val="both"/>
      </w:pPr>
      <w:r>
        <w:rPr>
          <w:color w:val="000000"/>
          <w:spacing w:val="0"/>
          <w:w w:val="100"/>
          <w:position w:val="0"/>
        </w:rPr>
        <w:t>互联网游戏业</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中青宝目前主营业务为网页网络游戏、移动网络游戏的研发和运营。经过多年的砺炼，公司研发和发行运营人员积累 了丰富的研发和运营经验，公司游戏业务保持了稳定的盈利能力，已成为国内领先的集研发和运营于一体的网络游戏厂商之 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年度，公司尝试以原有的游戏业务的技术作为支撑，以发展新业务、拓展新的稳定盈利点为目标，开启公司从游戏 行业到泛娱乐平台的战略转型升级。报告期内，公司紧跟互联网发展的大趋势，为改变公司单一游戏业务的结构，主动布局 产业链的上下游，于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日发布《关于以现金收购宝腾互联股权暨关联交易公告》，以纯现金方式收购云服务公司深 圳市宝腾互联股份有限公司，以期完善公司整体产业结构的构成。报告期末，中青宝股东大会已审议通过该收购事项，需待 宝德科技集团股份有限公司召开股东大会审议通过后继续推进该项收购。</w:t>
      </w:r>
    </w:p>
    <w:p>
      <w:pPr>
        <w:pStyle w:val="Style2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报告期内，公司依靠多年在游戏和文化行业的技术沉淀，向文化旅游行业进行延展，紧密结合互联网的发展趋势，将 如今互联网行业中主流的新兴技术</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rPr>
        <w:t>融入到文化旅游中，走科技文旅路线，打造科技与文化相结合的主题公园。以上 工作完成后，公司计划将主营业务发展为游戏、云服务、科技文旅三大支柱业务，具体描述如下：</w:t>
      </w:r>
    </w:p>
    <w:p>
      <w:pPr>
        <w:pStyle w:val="Style26"/>
        <w:keepNext w:val="0"/>
        <w:keepLines w:val="0"/>
        <w:widowControl w:val="0"/>
        <w:shd w:val="clear" w:color="auto" w:fill="auto"/>
        <w:tabs>
          <w:tab w:pos="274" w:val="left"/>
        </w:tabs>
        <w:bidi w:val="0"/>
        <w:spacing w:before="0" w:after="0" w:line="360" w:lineRule="auto"/>
        <w:ind w:left="0" w:right="0" w:firstLine="0"/>
        <w:jc w:val="both"/>
      </w:pPr>
      <w:bookmarkStart w:id="55" w:name="bookmark55"/>
      <w:r>
        <w:rPr>
          <w:rFonts w:ascii="Times New Roman" w:eastAsia="Times New Roman" w:hAnsi="Times New Roman" w:cs="Times New Roman"/>
          <w:color w:val="000000"/>
          <w:spacing w:val="0"/>
          <w:w w:val="100"/>
          <w:position w:val="0"/>
          <w:sz w:val="18"/>
          <w:szCs w:val="18"/>
        </w:rPr>
        <w:t>1</w:t>
      </w:r>
      <w:bookmarkEnd w:id="55"/>
      <w:r>
        <w:rPr>
          <w:color w:val="000000"/>
          <w:spacing w:val="0"/>
          <w:w w:val="100"/>
          <w:position w:val="0"/>
        </w:rPr>
        <w:t>、</w:t>
        <w:tab/>
        <w:t>游戏业务</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公司专注于网络游戏尤其是移动游戏产品的开发、发行与运营。近年来，随着快速发展的行业大环境以及游戏行业的 竞争加剧，公司寻求自身业务的突破创新，不断加强对新游戏的研究与开发，集中精力打造符合未来市场需求的精品游戏。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年公司在手游和端游方面都研发了多款产品：</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手游方面，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年手游方面上线的产品系列包括音乐休闲类游戏《梦中旅人》、</w:t>
      </w:r>
      <w:r>
        <w:rPr>
          <w:rFonts w:ascii="Times New Roman" w:eastAsia="Times New Roman" w:hAnsi="Times New Roman" w:cs="Times New Roman"/>
          <w:color w:val="000000"/>
          <w:spacing w:val="0"/>
          <w:w w:val="100"/>
          <w:position w:val="0"/>
          <w:sz w:val="18"/>
          <w:szCs w:val="18"/>
        </w:rPr>
        <w:t>ARPG</w:t>
      </w:r>
      <w:r>
        <w:rPr>
          <w:color w:val="000000"/>
          <w:spacing w:val="0"/>
          <w:w w:val="100"/>
          <w:position w:val="0"/>
        </w:rPr>
        <w:t>类游戏《战神传奇》、</w:t>
      </w:r>
      <w:r>
        <w:rPr>
          <w:rFonts w:ascii="Times New Roman" w:eastAsia="Times New Roman" w:hAnsi="Times New Roman" w:cs="Times New Roman"/>
          <w:color w:val="000000"/>
          <w:spacing w:val="0"/>
          <w:w w:val="100"/>
          <w:position w:val="0"/>
          <w:sz w:val="18"/>
          <w:szCs w:val="18"/>
        </w:rPr>
        <w:t>ARPG</w:t>
      </w:r>
      <w:r>
        <w:rPr>
          <w:color w:val="000000"/>
          <w:spacing w:val="0"/>
          <w:w w:val="100"/>
          <w:position w:val="0"/>
        </w:rPr>
        <w:t>类游 戏《冒险战记》等产品，反响热烈，储备产品水墨风武侠</w:t>
      </w:r>
      <w:r>
        <w:rPr>
          <w:rFonts w:ascii="Times New Roman" w:eastAsia="Times New Roman" w:hAnsi="Times New Roman" w:cs="Times New Roman"/>
          <w:color w:val="000000"/>
          <w:spacing w:val="0"/>
          <w:w w:val="100"/>
          <w:position w:val="0"/>
          <w:sz w:val="18"/>
          <w:szCs w:val="18"/>
        </w:rPr>
        <w:t>ARPG</w:t>
      </w:r>
      <w:r>
        <w:rPr>
          <w:color w:val="000000"/>
          <w:spacing w:val="0"/>
          <w:w w:val="100"/>
          <w:position w:val="0"/>
        </w:rPr>
        <w:t>《武当剑》及公司首款</w:t>
      </w:r>
      <w:r>
        <w:rPr>
          <w:rFonts w:ascii="Times New Roman" w:eastAsia="Times New Roman" w:hAnsi="Times New Roman" w:cs="Times New Roman"/>
          <w:color w:val="000000"/>
          <w:spacing w:val="0"/>
          <w:w w:val="100"/>
          <w:position w:val="0"/>
          <w:sz w:val="18"/>
          <w:szCs w:val="18"/>
        </w:rPr>
        <w:t>3DMMORPG</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BMT</w:t>
      </w:r>
      <w:r>
        <w:rPr>
          <w:color w:val="000000"/>
          <w:spacing w:val="0"/>
          <w:w w:val="100"/>
          <w:position w:val="0"/>
          <w:sz w:val="18"/>
          <w:szCs w:val="18"/>
        </w:rPr>
        <w:t>S</w:t>
      </w:r>
      <w:r>
        <w:rPr>
          <w:color w:val="000000"/>
          <w:spacing w:val="0"/>
          <w:w w:val="100"/>
          <w:position w:val="0"/>
        </w:rPr>
        <w:t>在最后研发 阶段预计在明年上半年度推向市场；</w:t>
      </w:r>
    </w:p>
    <w:p>
      <w:pPr>
        <w:pStyle w:val="Style2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端游方面，公司在传统的</w:t>
      </w:r>
      <w:r>
        <w:rPr>
          <w:rFonts w:ascii="Times New Roman" w:eastAsia="Times New Roman" w:hAnsi="Times New Roman" w:cs="Times New Roman"/>
          <w:color w:val="000000"/>
          <w:spacing w:val="0"/>
          <w:w w:val="100"/>
          <w:position w:val="0"/>
          <w:sz w:val="18"/>
          <w:szCs w:val="18"/>
        </w:rPr>
        <w:t>MMORPG</w:t>
      </w:r>
      <w:r>
        <w:rPr>
          <w:color w:val="000000"/>
          <w:spacing w:val="0"/>
          <w:w w:val="100"/>
          <w:position w:val="0"/>
        </w:rPr>
        <w:t>市场有两款产品《天道》《抗战》，两款产品均保持良好的盈利能力。近年来，电竞 赛事与主播行业发展迅猛。公司瞄准此契机，为《最后一炮》以适应未来竞技游戏与游戏直播的特点设计了精细化运营方案， 将电竞赛事与主播深度结合，开辟了主播与电竞赛事的双线运营模式。在过去一年，中青宝投入大量资源筹备和举办精英联 赛，希望通过长期举行的赛事，将装甲竞技这一个新颖的游戏概念带给国人。而赛事与人气主播的结合的方式，也为游戏吸 引了更多关注，在游戏公测阶段，让《最后一炮》的人气有了明显提升。《最后一炮》</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版本正在测试阶段，预计将于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年内推出。</w:t>
      </w:r>
    </w:p>
    <w:p>
      <w:pPr>
        <w:pStyle w:val="Style26"/>
        <w:keepNext w:val="0"/>
        <w:keepLines w:val="0"/>
        <w:widowControl w:val="0"/>
        <w:shd w:val="clear" w:color="auto" w:fill="auto"/>
        <w:tabs>
          <w:tab w:pos="294" w:val="left"/>
        </w:tabs>
        <w:bidi w:val="0"/>
        <w:spacing w:before="0" w:after="0" w:line="360" w:lineRule="auto"/>
        <w:ind w:left="0" w:right="0" w:firstLine="0"/>
        <w:jc w:val="both"/>
      </w:pPr>
      <w:bookmarkStart w:id="56" w:name="bookmark56"/>
      <w:r>
        <w:rPr>
          <w:rFonts w:ascii="Times New Roman" w:eastAsia="Times New Roman" w:hAnsi="Times New Roman" w:cs="Times New Roman"/>
          <w:color w:val="000000"/>
          <w:spacing w:val="0"/>
          <w:w w:val="100"/>
          <w:position w:val="0"/>
          <w:sz w:val="18"/>
          <w:szCs w:val="18"/>
        </w:rPr>
        <w:t>2</w:t>
      </w:r>
      <w:bookmarkEnd w:id="56"/>
      <w:r>
        <w:rPr>
          <w:color w:val="000000"/>
          <w:spacing w:val="0"/>
          <w:w w:val="100"/>
          <w:position w:val="0"/>
        </w:rPr>
        <w:t>、</w:t>
        <w:tab/>
        <w:t>云服务业务</w:t>
      </w:r>
    </w:p>
    <w:p>
      <w:pPr>
        <w:pStyle w:val="Style2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报告期内，公司基于公司发展战略及实际经营需要，进一步深化公司云服务业务的发展，公司决定收购云服务公司深 圳宝腾互联，达到公司布局产业链上下游、完善整体产业结构的战略规划。公司于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日第三届第二十八次（临时） 董事会审议并通过《关于以现金收购宝腾互联股权暨关联交易的议案》，按照《公司章程》应提交股东大会审议，于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年第一次临时股东大会审议《关于以现金收购宝腾互联股权暨关联交易的议案》。深圳宝腾互联股权收购完成 后，预期为公司带来的稳定的利润来源，公司的盈利能力将进一步提升，公司的核心竞争力将得到补强。目前，中青宝股东 大会已审议通过该收购事项，需待宝德科技集团股份有限公司召开股东大会审议通过后继续推进该项收购。</w:t>
      </w:r>
    </w:p>
    <w:p>
      <w:pPr>
        <w:pStyle w:val="Style26"/>
        <w:keepNext w:val="0"/>
        <w:keepLines w:val="0"/>
        <w:widowControl w:val="0"/>
        <w:shd w:val="clear" w:color="auto" w:fill="auto"/>
        <w:tabs>
          <w:tab w:pos="294" w:val="left"/>
        </w:tabs>
        <w:bidi w:val="0"/>
        <w:spacing w:before="0" w:after="0" w:line="360" w:lineRule="auto"/>
        <w:ind w:left="0" w:right="0" w:firstLine="0"/>
        <w:jc w:val="both"/>
      </w:pPr>
      <w:bookmarkStart w:id="57" w:name="bookmark57"/>
      <w:r>
        <w:rPr>
          <w:rFonts w:ascii="Times New Roman" w:eastAsia="Times New Roman" w:hAnsi="Times New Roman" w:cs="Times New Roman"/>
          <w:color w:val="000000"/>
          <w:spacing w:val="0"/>
          <w:w w:val="100"/>
          <w:position w:val="0"/>
          <w:sz w:val="18"/>
          <w:szCs w:val="18"/>
        </w:rPr>
        <w:t>3</w:t>
      </w:r>
      <w:bookmarkEnd w:id="57"/>
      <w:r>
        <w:rPr>
          <w:color w:val="000000"/>
          <w:spacing w:val="0"/>
          <w:w w:val="100"/>
          <w:position w:val="0"/>
        </w:rPr>
        <w:t>、</w:t>
        <w:tab/>
        <w:t>科技文旅业务</w:t>
      </w:r>
    </w:p>
    <w:p>
      <w:pPr>
        <w:pStyle w:val="Style2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报告期内，中青宝依托于游戏行业多年的积累，紧密结合互联网的发展趋势，以打造区域特色民俗文化高科技旅游产 品为目标，走科技文化之路。中青宝于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年设立多家子公司开展对文化创意、文化旅游、新技术应用等方面的探索。目前 公司与湖南省湘西土家族苗族自治州凤凰县人民政府进行合作，共同打造凤凰主题公园项目，目前已完成项目签约及政府投 资项目的前期概念设计、体验剧情创意、美术概念设计等工作。</w:t>
      </w:r>
    </w:p>
    <w:p>
      <w:pPr>
        <w:pStyle w:val="Style24"/>
        <w:keepNext/>
        <w:keepLines/>
        <w:widowControl w:val="0"/>
        <w:shd w:val="clear" w:color="auto" w:fill="auto"/>
        <w:bidi w:val="0"/>
        <w:spacing w:before="0" w:after="34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二</w:t>
      </w:r>
      <w:bookmarkEnd w:id="60"/>
      <w:r>
        <w:rPr>
          <w:color w:val="000000"/>
          <w:spacing w:val="0"/>
          <w:w w:val="100"/>
          <w:position w:val="0"/>
          <w:sz w:val="24"/>
          <w:szCs w:val="24"/>
        </w:rPr>
        <w:t>、主要资产重大变化情况</w:t>
      </w:r>
      <w:bookmarkEnd w:id="58"/>
      <w:bookmarkEnd w:id="59"/>
      <w:bookmarkEnd w:id="61"/>
    </w:p>
    <w:p>
      <w:pPr>
        <w:pStyle w:val="Style32"/>
        <w:keepNext/>
        <w:keepLines/>
        <w:widowControl w:val="0"/>
        <w:shd w:val="clear" w:color="auto" w:fill="auto"/>
        <w:bidi w:val="0"/>
        <w:spacing w:before="0" w:after="34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、主要资产重大变化情况</w:t>
      </w:r>
      <w:bookmarkEnd w:id="62"/>
      <w:bookmarkEnd w:id="63"/>
      <w:bookmarkEnd w:id="65"/>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较年初减少</w:t>
            </w:r>
            <w:r>
              <w:rPr>
                <w:rFonts w:ascii="Times New Roman" w:eastAsia="Times New Roman" w:hAnsi="Times New Roman" w:cs="Times New Roman"/>
                <w:color w:val="000000"/>
                <w:spacing w:val="0"/>
                <w:w w:val="100"/>
                <w:position w:val="0"/>
                <w:sz w:val="18"/>
                <w:szCs w:val="18"/>
              </w:rPr>
              <w:t>36.70%</w:t>
            </w:r>
            <w:r>
              <w:rPr>
                <w:color w:val="000000"/>
                <w:spacing w:val="0"/>
                <w:w w:val="100"/>
                <w:position w:val="0"/>
              </w:rPr>
              <w:t>，主要系本期折旧所致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较年初减少</w:t>
            </w:r>
            <w:r>
              <w:rPr>
                <w:rFonts w:ascii="Times New Roman" w:eastAsia="Times New Roman" w:hAnsi="Times New Roman" w:cs="Times New Roman"/>
                <w:color w:val="000000"/>
                <w:spacing w:val="0"/>
                <w:w w:val="100"/>
                <w:position w:val="0"/>
                <w:sz w:val="18"/>
                <w:szCs w:val="18"/>
              </w:rPr>
              <w:t>43.97%</w:t>
            </w:r>
            <w:r>
              <w:rPr>
                <w:color w:val="000000"/>
                <w:spacing w:val="0"/>
                <w:w w:val="100"/>
                <w:position w:val="0"/>
              </w:rPr>
              <w:t>，主要系本期摊销及计提减值准备所致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较年初减少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，主要系本期基于谨慎性原则计提减值准备所致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较年初减少</w:t>
            </w:r>
            <w:r>
              <w:rPr>
                <w:rFonts w:ascii="Times New Roman" w:eastAsia="Times New Roman" w:hAnsi="Times New Roman" w:cs="Times New Roman"/>
                <w:color w:val="000000"/>
                <w:spacing w:val="0"/>
                <w:w w:val="100"/>
                <w:position w:val="0"/>
                <w:sz w:val="18"/>
                <w:szCs w:val="18"/>
              </w:rPr>
              <w:t>58.58%</w:t>
            </w:r>
            <w:r>
              <w:rPr>
                <w:color w:val="000000"/>
                <w:spacing w:val="0"/>
                <w:w w:val="100"/>
                <w:position w:val="0"/>
              </w:rPr>
              <w:t>，主要系本期加大对外投资所致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较年初减少</w:t>
            </w:r>
            <w:r>
              <w:rPr>
                <w:rFonts w:ascii="Times New Roman" w:eastAsia="Times New Roman" w:hAnsi="Times New Roman" w:cs="Times New Roman"/>
                <w:color w:val="000000"/>
                <w:spacing w:val="0"/>
                <w:w w:val="100"/>
                <w:position w:val="0"/>
                <w:sz w:val="18"/>
                <w:szCs w:val="18"/>
              </w:rPr>
              <w:t>22.86%</w:t>
            </w:r>
            <w:r>
              <w:rPr>
                <w:color w:val="000000"/>
                <w:spacing w:val="0"/>
                <w:w w:val="100"/>
                <w:position w:val="0"/>
              </w:rPr>
              <w:t>,主要系本期销售收入下降、联运对账缓慢及计提子公司坏账所 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较年初减少</w:t>
            </w:r>
            <w:r>
              <w:rPr>
                <w:rFonts w:ascii="Times New Roman" w:eastAsia="Times New Roman" w:hAnsi="Times New Roman" w:cs="Times New Roman"/>
                <w:color w:val="000000"/>
                <w:spacing w:val="0"/>
                <w:w w:val="100"/>
                <w:position w:val="0"/>
                <w:sz w:val="18"/>
                <w:szCs w:val="18"/>
              </w:rPr>
              <w:t>47.62%</w:t>
            </w:r>
            <w:r>
              <w:rPr>
                <w:color w:val="000000"/>
                <w:spacing w:val="0"/>
                <w:w w:val="100"/>
                <w:position w:val="0"/>
              </w:rPr>
              <w:t>，主要系本期预付版金等转出所致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较年初减少</w:t>
            </w:r>
            <w:r>
              <w:rPr>
                <w:rFonts w:ascii="Times New Roman" w:eastAsia="Times New Roman" w:hAnsi="Times New Roman" w:cs="Times New Roman"/>
                <w:color w:val="000000"/>
                <w:spacing w:val="0"/>
                <w:w w:val="100"/>
                <w:position w:val="0"/>
                <w:sz w:val="18"/>
                <w:szCs w:val="18"/>
              </w:rPr>
              <w:t>9.40%</w:t>
            </w:r>
            <w:r>
              <w:rPr>
                <w:color w:val="000000"/>
                <w:spacing w:val="0"/>
                <w:w w:val="100"/>
                <w:position w:val="0"/>
              </w:rPr>
              <w:t>，主要系本期收回终止重组预付股权款及应收业绩补偿款所致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16.82%</w:t>
            </w:r>
            <w:r>
              <w:rPr>
                <w:color w:val="000000"/>
                <w:spacing w:val="0"/>
                <w:w w:val="100"/>
                <w:position w:val="0"/>
              </w:rPr>
              <w:t>，主要系公司对外投资所致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57.93%</w:t>
            </w:r>
            <w:r>
              <w:rPr>
                <w:color w:val="000000"/>
                <w:spacing w:val="0"/>
                <w:w w:val="100"/>
                <w:position w:val="0"/>
              </w:rPr>
              <w:t>，主要系公司对外投资所致</w:t>
            </w:r>
          </w:p>
        </w:tc>
      </w:tr>
    </w:tbl>
    <w:p>
      <w:pPr>
        <w:widowControl w:val="0"/>
        <w:spacing w:after="339" w:line="1" w:lineRule="exact"/>
      </w:pPr>
    </w:p>
    <w:p>
      <w:pPr>
        <w:pStyle w:val="Style32"/>
        <w:keepNext/>
        <w:keepLines/>
        <w:widowControl w:val="0"/>
        <w:shd w:val="clear" w:color="auto" w:fill="auto"/>
        <w:bidi w:val="0"/>
        <w:spacing w:before="0" w:after="26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、主要境外资产情况</w:t>
      </w:r>
      <w:bookmarkEnd w:id="66"/>
      <w:bookmarkEnd w:id="67"/>
      <w:bookmarkEnd w:id="69"/>
    </w:p>
    <w:p>
      <w:pPr>
        <w:pStyle w:val="Style26"/>
        <w:keepNext w:val="0"/>
        <w:keepLines w:val="0"/>
        <w:widowControl w:val="0"/>
        <w:shd w:val="clear" w:color="auto" w:fill="auto"/>
        <w:bidi w:val="0"/>
        <w:spacing w:before="0" w:after="34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三</w:t>
      </w:r>
      <w:bookmarkEnd w:id="72"/>
      <w:r>
        <w:rPr>
          <w:color w:val="000000"/>
          <w:spacing w:val="0"/>
          <w:w w:val="100"/>
          <w:position w:val="0"/>
          <w:sz w:val="24"/>
          <w:szCs w:val="24"/>
        </w:rPr>
        <w:t>、核心竞争力分析</w:t>
      </w:r>
      <w:bookmarkEnd w:id="70"/>
      <w:bookmarkEnd w:id="71"/>
      <w:bookmarkEnd w:id="73"/>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互联网游戏业</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公司的核心竞争力体现在多年来对所处游戏行业的深度探索，对自主研发、运营、代理能力的不断提升，对产业链上 下游的广泛布局。在建立游戏业务平稳运营的基础上，中青宝于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年开启从游戏到泛娱乐平台的战略升级，公司坚持以提 升各项业务盈利能力为目标，优化提升自身业务，多点布局构建企业生态系统，最终实现重要战略转型升级。目前公司的主 要经营方向由单一的游戏业务升级为游戏、云服务、科技文旅三大板块，各个业务之间互为支撑，相互协同，通过拓宽公司 发展方向，提升公司在行业内的综合竞争力。</w:t>
      </w:r>
    </w:p>
    <w:p>
      <w:pPr>
        <w:pStyle w:val="Style26"/>
        <w:keepNext w:val="0"/>
        <w:keepLines w:val="0"/>
        <w:widowControl w:val="0"/>
        <w:shd w:val="clear" w:color="auto" w:fill="auto"/>
        <w:bidi w:val="0"/>
        <w:spacing w:before="0" w:after="0" w:line="311" w:lineRule="exact"/>
        <w:ind w:left="0" w:right="0" w:firstLine="0"/>
        <w:jc w:val="left"/>
      </w:pPr>
      <w:bookmarkStart w:id="74" w:name="bookmark74"/>
      <w:r>
        <w:rPr>
          <w:rFonts w:ascii="Times New Roman" w:eastAsia="Times New Roman" w:hAnsi="Times New Roman" w:cs="Times New Roman"/>
          <w:color w:val="000000"/>
          <w:spacing w:val="0"/>
          <w:w w:val="100"/>
          <w:position w:val="0"/>
          <w:sz w:val="18"/>
          <w:szCs w:val="18"/>
        </w:rPr>
        <w:t>1</w:t>
      </w:r>
      <w:bookmarkEnd w:id="74"/>
      <w:r>
        <w:rPr>
          <w:color w:val="000000"/>
          <w:spacing w:val="0"/>
          <w:w w:val="100"/>
          <w:position w:val="0"/>
        </w:rPr>
        <w:t>、游戏业务：</w:t>
      </w:r>
    </w:p>
    <w:p>
      <w:pPr>
        <w:pStyle w:val="Style26"/>
        <w:keepNext w:val="0"/>
        <w:keepLines w:val="0"/>
        <w:widowControl w:val="0"/>
        <w:numPr>
          <w:ilvl w:val="0"/>
          <w:numId w:val="1"/>
        </w:numPr>
        <w:shd w:val="clear" w:color="auto" w:fill="auto"/>
        <w:tabs>
          <w:tab w:pos="440" w:val="left"/>
        </w:tabs>
        <w:bidi w:val="0"/>
        <w:spacing w:before="0" w:after="0" w:line="311" w:lineRule="exact"/>
        <w:ind w:left="0" w:right="0" w:firstLine="0"/>
        <w:jc w:val="left"/>
      </w:pPr>
      <w:bookmarkStart w:id="75" w:name="bookmark75"/>
      <w:bookmarkEnd w:id="75"/>
      <w:r>
        <w:rPr>
          <w:color w:val="000000"/>
          <w:spacing w:val="0"/>
          <w:w w:val="100"/>
          <w:position w:val="0"/>
        </w:rPr>
        <w:t>市场经验丰富</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作为多年的游戏研发商和发行商，研发和发行运营人员具有丰富的研发和运营经验，以及推出精品游戏的成功经验， 通过积累的经验和技术，能够较好的把握市场需求、玩家心理和游戏行业动向，持续推出精品游戏。凭借多年来在资本市场 的积累以及对行业和市场的深入挖掘，公司已投资布局多家有潜力的中早期公司，并持续加强公司在行业上下游的部署，以 期在未来不确定的市场中保持战略优势。</w:t>
      </w:r>
    </w:p>
    <w:p>
      <w:pPr>
        <w:pStyle w:val="Style26"/>
        <w:keepNext w:val="0"/>
        <w:keepLines w:val="0"/>
        <w:widowControl w:val="0"/>
        <w:numPr>
          <w:ilvl w:val="0"/>
          <w:numId w:val="1"/>
        </w:numPr>
        <w:shd w:val="clear" w:color="auto" w:fill="auto"/>
        <w:tabs>
          <w:tab w:pos="440" w:val="left"/>
        </w:tabs>
        <w:bidi w:val="0"/>
        <w:spacing w:before="0" w:after="0" w:line="311" w:lineRule="exact"/>
        <w:ind w:left="0" w:right="0" w:firstLine="0"/>
        <w:jc w:val="left"/>
      </w:pPr>
      <w:bookmarkStart w:id="76" w:name="bookmark76"/>
      <w:bookmarkEnd w:id="76"/>
      <w:r>
        <w:rPr>
          <w:color w:val="000000"/>
          <w:spacing w:val="0"/>
          <w:w w:val="100"/>
          <w:position w:val="0"/>
        </w:rPr>
        <w:t>紧跟行业趋势，推进新技术</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公司注重优秀产品的引进与开发，发行和代理了多款热门游戏。在新游戏的研发、新技术的应用上积极参与，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公司的主打游戏产品《最后一炮》研究策划加入</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技术，测试完成后将推出《最后一炮》的</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 xml:space="preserve">版本。此外，公司的游戏不 仅积极推进新技术的应用，同时，与游戏行业未来的重要发展方向一一电子竞技相结合，组织公司游戏的线上与线下比赛， </w:t>
      </w:r>
      <w:r>
        <w:rPr>
          <w:color w:val="000000"/>
          <w:spacing w:val="0"/>
          <w:w w:val="100"/>
          <w:position w:val="0"/>
        </w:rPr>
        <w:t>游戏的知名度显著提高。</w:t>
      </w:r>
    </w:p>
    <w:p>
      <w:pPr>
        <w:pStyle w:val="Style26"/>
        <w:keepNext w:val="0"/>
        <w:keepLines w:val="0"/>
        <w:widowControl w:val="0"/>
        <w:numPr>
          <w:ilvl w:val="0"/>
          <w:numId w:val="1"/>
        </w:numPr>
        <w:shd w:val="clear" w:color="auto" w:fill="auto"/>
        <w:bidi w:val="0"/>
        <w:spacing w:before="0" w:after="0" w:line="313" w:lineRule="exact"/>
        <w:ind w:left="0" w:right="0" w:firstLine="0"/>
        <w:jc w:val="left"/>
      </w:pPr>
      <w:bookmarkStart w:id="77" w:name="bookmark77"/>
      <w:bookmarkEnd w:id="77"/>
      <w:r>
        <w:rPr>
          <w:color w:val="000000"/>
          <w:spacing w:val="0"/>
          <w:w w:val="100"/>
          <w:position w:val="0"/>
        </w:rPr>
        <w:t>人员结构优化</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公司通过持续外部引进与内部培养相结合的方式组建了一支强大的管理团队，以适应公司业务快速增长的需要。公司 通过不断完善、优化用人机制，特别是强化激励机制来吸纳优秀经营管理人才、营销人才和科技人才，建立科学的人力资源 管理体系，进一步增强公司持续发展能力。同时，公司根据发展战略，确定薪酬与激励水平，实施公司股权激励计划，以吸 引更多的优秀人才，不断增强企业的核心竞争优势。</w:t>
      </w:r>
    </w:p>
    <w:p>
      <w:pPr>
        <w:pStyle w:val="Style26"/>
        <w:keepNext w:val="0"/>
        <w:keepLines w:val="0"/>
        <w:widowControl w:val="0"/>
        <w:shd w:val="clear" w:color="auto" w:fill="auto"/>
        <w:tabs>
          <w:tab w:pos="316" w:val="left"/>
        </w:tabs>
        <w:bidi w:val="0"/>
        <w:spacing w:before="0" w:after="0" w:line="313" w:lineRule="exact"/>
        <w:ind w:left="0" w:right="0" w:firstLine="0"/>
        <w:jc w:val="left"/>
      </w:pPr>
      <w:bookmarkStart w:id="78" w:name="bookmark78"/>
      <w:r>
        <w:rPr>
          <w:rFonts w:ascii="Times New Roman" w:eastAsia="Times New Roman" w:hAnsi="Times New Roman" w:cs="Times New Roman"/>
          <w:color w:val="000000"/>
          <w:spacing w:val="0"/>
          <w:w w:val="100"/>
          <w:position w:val="0"/>
          <w:sz w:val="18"/>
          <w:szCs w:val="18"/>
        </w:rPr>
        <w:t>2</w:t>
      </w:r>
      <w:bookmarkEnd w:id="78"/>
      <w:r>
        <w:rPr>
          <w:color w:val="000000"/>
          <w:spacing w:val="0"/>
          <w:w w:val="100"/>
          <w:position w:val="0"/>
        </w:rPr>
        <w:t>、</w:t>
        <w:tab/>
        <w:t>云服务业务：资源整合，完善产业链布局</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报告期内，公司基于公司发展战略及实际经营需要，进一步深化公司云服务业务的发展，公司计划收购深圳宝腾互联， 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日第三届第二十八次(临时)董事会审议并通过《关于以现金收购宝腾互联股权暨关联交易的议案》，于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年第一次临时股东大会审议并通过《关于以现金收购宝腾互联股权暨关联交易的议案》。待本次收购完成， 深圳宝腾互联会向公司注入服务器业务资产和数据中心业务资产，有助于公司完善整体产业链，增加新的稳定盈利点，提升 公司综合能力，有助于公司长远的发展。</w:t>
      </w:r>
    </w:p>
    <w:p>
      <w:pPr>
        <w:pStyle w:val="Style26"/>
        <w:keepNext w:val="0"/>
        <w:keepLines w:val="0"/>
        <w:widowControl w:val="0"/>
        <w:shd w:val="clear" w:color="auto" w:fill="auto"/>
        <w:tabs>
          <w:tab w:pos="306" w:val="left"/>
        </w:tabs>
        <w:bidi w:val="0"/>
        <w:spacing w:before="0" w:after="0" w:line="313" w:lineRule="exact"/>
        <w:ind w:left="0" w:right="0" w:firstLine="0"/>
        <w:jc w:val="left"/>
      </w:pPr>
      <w:bookmarkStart w:id="79" w:name="bookmark79"/>
      <w:r>
        <w:rPr>
          <w:rFonts w:ascii="Times New Roman" w:eastAsia="Times New Roman" w:hAnsi="Times New Roman" w:cs="Times New Roman"/>
          <w:color w:val="000000"/>
          <w:spacing w:val="0"/>
          <w:w w:val="100"/>
          <w:position w:val="0"/>
          <w:sz w:val="18"/>
          <w:szCs w:val="18"/>
        </w:rPr>
        <w:t>3</w:t>
      </w:r>
      <w:bookmarkEnd w:id="79"/>
      <w:r>
        <w:rPr>
          <w:color w:val="000000"/>
          <w:spacing w:val="0"/>
          <w:w w:val="100"/>
          <w:position w:val="0"/>
        </w:rPr>
        <w:t>、</w:t>
        <w:tab/>
        <w:t>科技文旅业务：紧跟趋势，多元发展</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公司近年来，紧密结合市场发展趋势，延伸泛娱乐领域的投资布局，有效整合产业资源，优化公司的业务结构，增强 公司的市场竞争力。报告期内，中青宝设立子公司对文化创意、文化旅游、新技术应用持续关注。依托在游戏行业多年的积 累，对新业务的开发与加强是实现中青宝全面提升各项业务盈利能力、满足快速发展的市场需求、开发新的增长点的重要手 段。</w:t>
      </w:r>
    </w:p>
    <w:p>
      <w:pPr>
        <w:pStyle w:val="Style26"/>
        <w:keepNext w:val="0"/>
        <w:keepLines w:val="0"/>
        <w:widowControl w:val="0"/>
        <w:shd w:val="clear" w:color="auto" w:fill="auto"/>
        <w:tabs>
          <w:tab w:pos="316" w:val="left"/>
        </w:tabs>
        <w:bidi w:val="0"/>
        <w:spacing w:before="0" w:after="0" w:line="313" w:lineRule="exact"/>
        <w:ind w:left="0" w:right="0" w:firstLine="0"/>
        <w:jc w:val="left"/>
      </w:pPr>
      <w:bookmarkStart w:id="80" w:name="bookmark80"/>
      <w:r>
        <w:rPr>
          <w:rFonts w:ascii="Times New Roman" w:eastAsia="Times New Roman" w:hAnsi="Times New Roman" w:cs="Times New Roman"/>
          <w:color w:val="000000"/>
          <w:spacing w:val="0"/>
          <w:w w:val="100"/>
          <w:position w:val="0"/>
          <w:sz w:val="18"/>
          <w:szCs w:val="18"/>
        </w:rPr>
        <w:t>4</w:t>
      </w:r>
      <w:bookmarkEnd w:id="80"/>
      <w:r>
        <w:rPr>
          <w:color w:val="000000"/>
          <w:spacing w:val="0"/>
          <w:w w:val="100"/>
          <w:position w:val="0"/>
        </w:rPr>
        <w:t>、</w:t>
        <w:tab/>
        <w:t>业绩波动：卸下包袱，轻装上阵</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报告期内，公司同比去年的业绩有所下滑，具体原因如下：</w:t>
      </w:r>
    </w:p>
    <w:p>
      <w:pPr>
        <w:pStyle w:val="Style26"/>
        <w:keepNext w:val="0"/>
        <w:keepLines w:val="0"/>
        <w:widowControl w:val="0"/>
        <w:numPr>
          <w:ilvl w:val="0"/>
          <w:numId w:val="3"/>
        </w:numPr>
        <w:shd w:val="clear" w:color="auto" w:fill="auto"/>
        <w:tabs>
          <w:tab w:pos="602" w:val="left"/>
        </w:tabs>
        <w:bidi w:val="0"/>
        <w:spacing w:before="0" w:after="0" w:line="313" w:lineRule="exact"/>
        <w:ind w:left="0" w:right="0" w:firstLine="200"/>
        <w:jc w:val="both"/>
      </w:pPr>
      <w:bookmarkStart w:id="81" w:name="bookmark81"/>
      <w:bookmarkEnd w:id="81"/>
      <w:r>
        <w:rPr>
          <w:color w:val="000000"/>
          <w:spacing w:val="0"/>
          <w:w w:val="100"/>
          <w:position w:val="0"/>
        </w:rPr>
        <w:t>游戏市场竞争白热化，公司及控股子公司新游戏推广受到市场压力，数款新游戏尚未开始产生效益；</w:t>
      </w:r>
    </w:p>
    <w:p>
      <w:pPr>
        <w:pStyle w:val="Style26"/>
        <w:keepNext w:val="0"/>
        <w:keepLines w:val="0"/>
        <w:widowControl w:val="0"/>
        <w:numPr>
          <w:ilvl w:val="0"/>
          <w:numId w:val="3"/>
        </w:numPr>
        <w:shd w:val="clear" w:color="auto" w:fill="auto"/>
        <w:tabs>
          <w:tab w:pos="602" w:val="left"/>
        </w:tabs>
        <w:bidi w:val="0"/>
        <w:spacing w:before="0" w:after="0" w:line="313" w:lineRule="exact"/>
        <w:ind w:left="0" w:right="0" w:firstLine="200"/>
        <w:jc w:val="both"/>
      </w:pPr>
      <w:bookmarkStart w:id="82" w:name="bookmark82"/>
      <w:bookmarkEnd w:id="82"/>
      <w:r>
        <w:rPr>
          <w:color w:val="000000"/>
          <w:spacing w:val="0"/>
          <w:w w:val="100"/>
          <w:position w:val="0"/>
        </w:rPr>
        <w:t>公司处于内部优化、战略转型的升级阶段，对新业务领域投资建设投入成本，项目达成阶段性目标，但尚未盈利；</w:t>
      </w:r>
    </w:p>
    <w:p>
      <w:pPr>
        <w:pStyle w:val="Style26"/>
        <w:keepNext w:val="0"/>
        <w:keepLines w:val="0"/>
        <w:widowControl w:val="0"/>
        <w:numPr>
          <w:ilvl w:val="0"/>
          <w:numId w:val="3"/>
        </w:numPr>
        <w:shd w:val="clear" w:color="auto" w:fill="auto"/>
        <w:tabs>
          <w:tab w:pos="602" w:val="left"/>
        </w:tabs>
        <w:bidi w:val="0"/>
        <w:spacing w:before="0" w:after="0" w:line="313" w:lineRule="exact"/>
        <w:ind w:left="0" w:right="0" w:firstLine="200"/>
        <w:jc w:val="both"/>
      </w:pPr>
      <w:bookmarkStart w:id="83" w:name="bookmark83"/>
      <w:bookmarkEnd w:id="83"/>
      <w:r>
        <w:rPr>
          <w:color w:val="000000"/>
          <w:spacing w:val="0"/>
          <w:w w:val="100"/>
          <w:position w:val="0"/>
        </w:rPr>
        <w:t>公司对持有的长期资产及商誉等进行减值测试，计提减值准备，导致公司报告期内业绩大幅波动。</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公司对长期资产及子公司商誉计提减值准备，虽对业绩有所影响，但从公司整体的角度而言，本次对子公司商誉计提 减值准备后，公司商誉占净资产比重进一步下降，远低于行业平均水平。</w:t>
      </w:r>
    </w:p>
    <w:p>
      <w:pPr>
        <w:pStyle w:val="Style26"/>
        <w:keepNext w:val="0"/>
        <w:keepLines w:val="0"/>
        <w:widowControl w:val="0"/>
        <w:shd w:val="clear" w:color="auto" w:fill="auto"/>
        <w:bidi w:val="0"/>
        <w:spacing w:before="0" w:after="0" w:line="313" w:lineRule="exact"/>
        <w:ind w:left="0" w:right="0" w:firstLine="440"/>
        <w:jc w:val="both"/>
        <w:sectPr>
          <w:footnotePr>
            <w:pos w:val="pageBottom"/>
            <w:numFmt w:val="decimal"/>
            <w:numRestart w:val="continuous"/>
          </w:footnotePr>
          <w:pgSz w:w="11900" w:h="16840"/>
          <w:pgMar w:top="1388" w:right="1056" w:bottom="1460" w:left="1066" w:header="0" w:footer="3" w:gutter="0"/>
          <w:cols w:space="720"/>
          <w:noEndnote/>
          <w:rtlGutter w:val="0"/>
          <w:docGrid w:linePitch="360"/>
        </w:sectPr>
      </w:pPr>
      <w:r>
        <w:rPr>
          <w:color w:val="000000"/>
          <w:spacing w:val="0"/>
          <w:w w:val="100"/>
          <w:position w:val="0"/>
        </w:rPr>
        <w:t>报告期内，公司游戏业务在平稳运营基础上，紧跟互联网整体趋势，积极推进新技术的应用，优化人员结构，集中力 量打造满足玩家的精品游戏。同时，在游戏业务的基础上，对上下游行业延伸，收购深圳宝腾互联，将为公司涉足云服务, 为公司拓宽新的业务发展方向。公司依托经验技术积累，大胆尝试，将科技与文化旅游相结合，优化公司业务结构，多元化 发展，增加公司的核心竞争力。</w:t>
      </w:r>
    </w:p>
    <w:p>
      <w:pPr>
        <w:pStyle w:val="Style15"/>
        <w:keepNext/>
        <w:keepLines/>
        <w:widowControl w:val="0"/>
        <w:shd w:val="clear" w:color="auto" w:fill="auto"/>
        <w:bidi w:val="0"/>
        <w:spacing w:before="580" w:line="240" w:lineRule="auto"/>
        <w:ind w:left="0" w:right="0" w:firstLine="0"/>
        <w:jc w:val="center"/>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24"/>
        <w:keepNext/>
        <w:keepLines/>
        <w:widowControl w:val="0"/>
        <w:shd w:val="clear" w:color="auto" w:fill="auto"/>
        <w:bidi w:val="0"/>
        <w:spacing w:before="0" w:after="260" w:line="240" w:lineRule="auto"/>
        <w:ind w:left="0" w:right="0" w:firstLine="0"/>
        <w:jc w:val="left"/>
      </w:pPr>
      <w:bookmarkStart w:id="87" w:name="bookmark87"/>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、概述</w:t>
      </w:r>
      <w:bookmarkEnd w:id="88"/>
      <w:bookmarkEnd w:id="89"/>
      <w:bookmarkEnd w:id="91"/>
      <w:bookmarkEnd w:id="87"/>
    </w:p>
    <w:p>
      <w:pPr>
        <w:pStyle w:val="Style26"/>
        <w:keepNext w:val="0"/>
        <w:keepLines w:val="0"/>
        <w:widowControl w:val="0"/>
        <w:shd w:val="clear" w:color="auto" w:fill="auto"/>
        <w:bidi w:val="0"/>
        <w:spacing w:before="0" w:after="100" w:line="313" w:lineRule="exact"/>
        <w:ind w:left="0" w:right="0" w:firstLine="0"/>
        <w:jc w:val="left"/>
      </w:pPr>
      <w:bookmarkStart w:id="92" w:name="bookmark92"/>
      <w:r>
        <w:rPr>
          <w:rFonts w:ascii="Times New Roman" w:eastAsia="Times New Roman" w:hAnsi="Times New Roman" w:cs="Times New Roman"/>
          <w:color w:val="000000"/>
          <w:spacing w:val="0"/>
          <w:w w:val="100"/>
          <w:position w:val="0"/>
          <w:sz w:val="18"/>
          <w:szCs w:val="18"/>
        </w:rPr>
        <w:t>（</w:t>
      </w:r>
      <w:bookmarkEnd w:id="92"/>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公司总体经营情况概述</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报告期内，公司整体业务情况，分为三大板块：一、公司继续在网页网络游戏、移动网络游戏产品的研发、发行与运 营传统主营业务之基础上，不断加强对新游戏的研究与开发，集中精力打造符合市场需求的精品游戏产品，稳定提升网络游 戏市场份额和盈利水平；二、公司紧跟互联网发展趋势，主动改变公司传统单一的主营业务现状，布局产业链的上下游产品， 开展对深圳宝腾互联的并购，形成较为完善的互联网整体产业链上下游布局;三、公司推进以公司现有游戏业务技术为支撑、 当今互联网行业中主流</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rPr>
        <w:t>新兴发展技术与旅游产业相融合的现代文化旅游产业发展，走科技文旅发展之路，打造互联 网娱乐与传统旅游产业有机相结合的新型科技文化主题公园，开启公司从传统游戏行业向泛娱乐平台的战略转型升级平台。 经过报告期内主要业务转型发展，目前，公司已形互为支撑、相互融合的网络游戏、云服务、科技文旅三大主营业务，拓展 公司业务途径，提升公司盈利潜力。</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在报告期内，公司实现营业收入</w:t>
      </w:r>
      <w:r>
        <w:rPr>
          <w:rFonts w:ascii="Times New Roman" w:eastAsia="Times New Roman" w:hAnsi="Times New Roman" w:cs="Times New Roman"/>
          <w:color w:val="000000"/>
          <w:spacing w:val="0"/>
          <w:w w:val="100"/>
          <w:position w:val="0"/>
          <w:sz w:val="18"/>
          <w:szCs w:val="18"/>
        </w:rPr>
        <w:t>32,134.81</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6.34%</w:t>
      </w:r>
      <w:r>
        <w:rPr>
          <w:color w:val="000000"/>
          <w:spacing w:val="0"/>
          <w:w w:val="100"/>
          <w:position w:val="0"/>
        </w:rPr>
        <w:t>；实现利润总额</w:t>
      </w:r>
      <w:r>
        <w:rPr>
          <w:rFonts w:ascii="Times New Roman" w:eastAsia="Times New Roman" w:hAnsi="Times New Roman" w:cs="Times New Roman"/>
          <w:color w:val="000000"/>
          <w:spacing w:val="0"/>
          <w:w w:val="100"/>
          <w:position w:val="0"/>
          <w:sz w:val="18"/>
          <w:szCs w:val="18"/>
        </w:rPr>
        <w:t>-4,747.77</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154.25%</w:t>
      </w:r>
      <w:r>
        <w:rPr>
          <w:color w:val="000000"/>
          <w:spacing w:val="0"/>
          <w:w w:val="100"/>
          <w:position w:val="0"/>
        </w:rPr>
        <w:t>；实 现归属于上市公司普通股股东的净利润</w:t>
      </w:r>
      <w:r>
        <w:rPr>
          <w:rFonts w:ascii="Times New Roman" w:eastAsia="Times New Roman" w:hAnsi="Times New Roman" w:cs="Times New Roman"/>
          <w:color w:val="000000"/>
          <w:spacing w:val="0"/>
          <w:w w:val="100"/>
          <w:position w:val="0"/>
          <w:sz w:val="18"/>
          <w:szCs w:val="18"/>
        </w:rPr>
        <w:t>-4,972.93</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176.27%</w:t>
      </w:r>
      <w:r>
        <w:rPr>
          <w:color w:val="000000"/>
          <w:spacing w:val="0"/>
          <w:w w:val="100"/>
          <w:position w:val="0"/>
        </w:rPr>
        <w:t>。报告期内，公司同比去年的业绩有所下滑，具体 原因描述如下：一是公司对控股子公司上海美峰对环球互动数码科技有限公司应收账款全额计提减值准备；二是公司对持有 的长期资产进行减值测试，计提减值准备；三是公司根据第三方评估公司对控股子公司上海美峰和深圳苏摩的估值对合并商 誉计提减值准备；四是由于公司处于内部业务优化关键时期并进行新业务领域布局建设和投资，虽取得阶段性成果，但尚未 盈利，从而对公司经营利润产生影响。报告期内，公司对自身持有长期资产及控股子公司的应收账款、商誉等计提减值准备， 虽对归属于公司的净利润造成影响，但降低了商誉占净资产的比率，释放了部分风险。</w:t>
      </w:r>
    </w:p>
    <w:p>
      <w:pPr>
        <w:pStyle w:val="Style26"/>
        <w:keepNext w:val="0"/>
        <w:keepLines w:val="0"/>
        <w:widowControl w:val="0"/>
        <w:shd w:val="clear" w:color="auto" w:fill="auto"/>
        <w:bidi w:val="0"/>
        <w:spacing w:before="0" w:after="100" w:line="313" w:lineRule="exact"/>
        <w:ind w:left="0" w:right="0" w:firstLine="0"/>
        <w:jc w:val="left"/>
      </w:pPr>
      <w:bookmarkStart w:id="93" w:name="bookmark93"/>
      <w:r>
        <w:rPr>
          <w:rFonts w:ascii="Times New Roman" w:eastAsia="Times New Roman" w:hAnsi="Times New Roman" w:cs="Times New Roman"/>
          <w:color w:val="000000"/>
          <w:spacing w:val="0"/>
          <w:w w:val="100"/>
          <w:position w:val="0"/>
          <w:sz w:val="18"/>
          <w:szCs w:val="18"/>
        </w:rPr>
        <w:t>（</w:t>
      </w:r>
      <w:bookmarkEnd w:id="93"/>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报告期内公司业务回顾</w:t>
      </w:r>
    </w:p>
    <w:p>
      <w:pPr>
        <w:pStyle w:val="Style26"/>
        <w:keepNext w:val="0"/>
        <w:keepLines w:val="0"/>
        <w:widowControl w:val="0"/>
        <w:shd w:val="clear" w:color="auto" w:fill="auto"/>
        <w:tabs>
          <w:tab w:pos="274" w:val="left"/>
        </w:tabs>
        <w:bidi w:val="0"/>
        <w:spacing w:before="0" w:after="0" w:line="360" w:lineRule="auto"/>
        <w:ind w:left="0" w:right="0" w:firstLine="0"/>
        <w:jc w:val="both"/>
      </w:pPr>
      <w:bookmarkStart w:id="94" w:name="bookmark94"/>
      <w:r>
        <w:rPr>
          <w:rFonts w:ascii="Times New Roman" w:eastAsia="Times New Roman" w:hAnsi="Times New Roman" w:cs="Times New Roman"/>
          <w:color w:val="000000"/>
          <w:spacing w:val="0"/>
          <w:w w:val="100"/>
          <w:position w:val="0"/>
          <w:sz w:val="18"/>
          <w:szCs w:val="18"/>
        </w:rPr>
        <w:t>1</w:t>
      </w:r>
      <w:bookmarkEnd w:id="94"/>
      <w:r>
        <w:rPr>
          <w:color w:val="000000"/>
          <w:spacing w:val="0"/>
          <w:w w:val="100"/>
          <w:position w:val="0"/>
        </w:rPr>
        <w:t>、</w:t>
        <w:tab/>
        <w:t>业务情况</w:t>
      </w:r>
    </w:p>
    <w:p>
      <w:pPr>
        <w:pStyle w:val="Style2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报告期内，公司主营业务持续完善和优化，面对快速发展的行业大环境以及游戏行业的竞争加剧，公司寻求自身业务 的突破创新，不断加强对新游戏的研究与新技术的开发，集中精力打造符合市场需求的精品游戏。年内公司重点产品《战神 传奇》《冒险战绩》《最后一炮》在国内及海外市场均取得了较好成绩，《最后一炮》</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版本正在紧密研发中，公司仍会坚持 以产品为核心的业务发展策略，不断提升产品研发精品化，深耕产品运营精细化，稳步坚实推动公司业绩发展。公司面对快 速发展的行业大环境以及游戏行业竞争加剧的现状，深耕产业链上下游，为完善公司业务结构，开始并购云服务公司深圳宝 腾互联的程序，为公司注入数据中心业务及服务器业务，积极推进公司战略转型的进程。公司为完成向泛娱乐平台的转型， 于报告期内设立多家子公司开展对科技文旅方面研究与探索，目前已与湖南省湘西土家苗族自治州凤凰人民政府达成合作， 并签订了《关于打造凤凰县中青宝文化创意科技产业园项目及新凤凰文化科技旅游主题公园的合作协议》，该项目在积极推 进中。</w:t>
      </w:r>
    </w:p>
    <w:p>
      <w:pPr>
        <w:pStyle w:val="Style26"/>
        <w:keepNext w:val="0"/>
        <w:keepLines w:val="0"/>
        <w:widowControl w:val="0"/>
        <w:shd w:val="clear" w:color="auto" w:fill="auto"/>
        <w:tabs>
          <w:tab w:pos="294" w:val="left"/>
        </w:tabs>
        <w:bidi w:val="0"/>
        <w:spacing w:before="0" w:after="0" w:line="360" w:lineRule="auto"/>
        <w:ind w:left="0" w:right="0" w:firstLine="0"/>
        <w:jc w:val="both"/>
      </w:pPr>
      <w:bookmarkStart w:id="95" w:name="bookmark95"/>
      <w:r>
        <w:rPr>
          <w:rFonts w:ascii="Times New Roman" w:eastAsia="Times New Roman" w:hAnsi="Times New Roman" w:cs="Times New Roman"/>
          <w:color w:val="000000"/>
          <w:spacing w:val="0"/>
          <w:w w:val="100"/>
          <w:position w:val="0"/>
          <w:sz w:val="18"/>
          <w:szCs w:val="18"/>
        </w:rPr>
        <w:t>2</w:t>
      </w:r>
      <w:bookmarkEnd w:id="95"/>
      <w:r>
        <w:rPr>
          <w:color w:val="000000"/>
          <w:spacing w:val="0"/>
          <w:w w:val="100"/>
          <w:position w:val="0"/>
        </w:rPr>
        <w:t>、</w:t>
        <w:tab/>
        <w:t>投资情况</w:t>
      </w:r>
    </w:p>
    <w:p>
      <w:pPr>
        <w:pStyle w:val="Style2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报告期内，公司于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日起筹划重大收购事项停牌，停牌期间公司以及聘请的独立财务顾问、审计、评估、律 师事务所等中介机构对标的公司开展尽职调查并召开项目协调会就交易方案、价格、利润承诺进行协商和论证。期间，公司 及时履行了信息披露义务，在综合考虑市场环境并对方案的设计充分沟通后，公司对交易方案进行了重大调整，调整后的方 案不再构成《上市公司重大资产重组管理办法》所规定的重大资产重组，因此公司决定终止该次重大资产重组并于</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日复 牌。调整后的交易方案考虑到各方利益，经过协商达成一致，确认支付现金购买资产。标的公司深圳宝腾互联经评估机构 按照市场通行的评估方法评估值为</w:t>
      </w:r>
      <w:r>
        <w:rPr>
          <w:rFonts w:ascii="Times New Roman" w:eastAsia="Times New Roman" w:hAnsi="Times New Roman" w:cs="Times New Roman"/>
          <w:color w:val="000000"/>
          <w:spacing w:val="0"/>
          <w:w w:val="100"/>
          <w:position w:val="0"/>
          <w:sz w:val="18"/>
          <w:szCs w:val="18"/>
        </w:rPr>
        <w:t>50,166.01</w:t>
      </w:r>
      <w:r>
        <w:rPr>
          <w:color w:val="000000"/>
          <w:spacing w:val="0"/>
          <w:w w:val="100"/>
          <w:position w:val="0"/>
        </w:rPr>
        <w:t>万元，最终双方确认交易价格为人民</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 xml:space="preserve">万元。由于本次交易构成关联交易， 因此关联董事在董事会相关议案表决时已回避表决，且根据《公司章程》等规定，本次交易需提交公司股东大会审议批准。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年第一次临时股东大会审议通过《关于以现金收购宝腾互联股权暨关联交易的议案》，与上述交易 有利害关系的关联人及关联法人对相关议案回避表决。截至报告期末，宝德科技相关审批程序仍在进行中。</w:t>
      </w:r>
    </w:p>
    <w:p>
      <w:pPr>
        <w:pStyle w:val="Style26"/>
        <w:keepNext w:val="0"/>
        <w:keepLines w:val="0"/>
        <w:widowControl w:val="0"/>
        <w:shd w:val="clear" w:color="auto" w:fill="auto"/>
        <w:tabs>
          <w:tab w:pos="344" w:val="left"/>
        </w:tabs>
        <w:bidi w:val="0"/>
        <w:spacing w:before="0" w:after="0" w:line="318" w:lineRule="exact"/>
        <w:ind w:left="0" w:right="0" w:firstLine="0"/>
        <w:jc w:val="left"/>
      </w:pPr>
      <w:bookmarkStart w:id="96" w:name="bookmark96"/>
      <w:r>
        <w:rPr>
          <w:rFonts w:ascii="Times New Roman" w:eastAsia="Times New Roman" w:hAnsi="Times New Roman" w:cs="Times New Roman"/>
          <w:color w:val="000000"/>
          <w:spacing w:val="0"/>
          <w:w w:val="100"/>
          <w:position w:val="0"/>
          <w:sz w:val="18"/>
          <w:szCs w:val="18"/>
        </w:rPr>
        <w:t>3</w:t>
      </w:r>
      <w:bookmarkEnd w:id="96"/>
      <w:r>
        <w:rPr>
          <w:color w:val="000000"/>
          <w:spacing w:val="0"/>
          <w:w w:val="100"/>
          <w:position w:val="0"/>
        </w:rPr>
        <w:t>、</w:t>
        <w:tab/>
        <w:t>公开谴责事项</w:t>
      </w:r>
    </w:p>
    <w:p>
      <w:pPr>
        <w:pStyle w:val="Style2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报告期内，公司因《君王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》游戏著作权转让事项受到深圳交易所公开谴责处分，公司及相关当事人已召开公开致歉会 就此次违规行为诚恳地向全体投资者致歉。为杜绝此类情况再次发生，已开展如下工作：</w:t>
      </w:r>
    </w:p>
    <w:p>
      <w:pPr>
        <w:pStyle w:val="Style26"/>
        <w:keepNext w:val="0"/>
        <w:keepLines w:val="0"/>
        <w:widowControl w:val="0"/>
        <w:shd w:val="clear" w:color="auto" w:fill="auto"/>
        <w:tabs>
          <w:tab w:pos="781" w:val="left"/>
        </w:tabs>
        <w:bidi w:val="0"/>
        <w:spacing w:before="0" w:after="0" w:line="318" w:lineRule="exact"/>
        <w:ind w:left="0" w:right="0" w:firstLine="440"/>
        <w:jc w:val="both"/>
      </w:pPr>
      <w:bookmarkStart w:id="97" w:name="bookmark97"/>
      <w:r>
        <w:rPr>
          <w:rFonts w:ascii="Times New Roman" w:eastAsia="Times New Roman" w:hAnsi="Times New Roman" w:cs="Times New Roman"/>
          <w:color w:val="000000"/>
          <w:spacing w:val="0"/>
          <w:w w:val="100"/>
          <w:position w:val="0"/>
          <w:sz w:val="18"/>
          <w:szCs w:val="18"/>
        </w:rPr>
        <w:t>1</w:t>
      </w:r>
      <w:bookmarkEnd w:id="97"/>
      <w:r>
        <w:rPr>
          <w:color w:val="000000"/>
          <w:spacing w:val="0"/>
          <w:w w:val="100"/>
          <w:position w:val="0"/>
        </w:rPr>
        <w:t>）</w:t>
        <w:tab/>
        <w:t>制定方案改正错误、弥补影响，公司将重点跟踪上海美峰回款情况，指定高管直接负责追踪，并及时与监管员沟通 披露任何深交所认为有必要披露的信息；</w:t>
      </w:r>
    </w:p>
    <w:p>
      <w:pPr>
        <w:pStyle w:val="Style26"/>
        <w:keepNext w:val="0"/>
        <w:keepLines w:val="0"/>
        <w:widowControl w:val="0"/>
        <w:shd w:val="clear" w:color="auto" w:fill="auto"/>
        <w:tabs>
          <w:tab w:pos="781" w:val="left"/>
        </w:tabs>
        <w:bidi w:val="0"/>
        <w:spacing w:before="0" w:after="0" w:line="318" w:lineRule="exact"/>
        <w:ind w:left="0" w:right="0" w:firstLine="440"/>
        <w:jc w:val="both"/>
      </w:pPr>
      <w:bookmarkStart w:id="98" w:name="bookmark98"/>
      <w:r>
        <w:rPr>
          <w:rFonts w:ascii="Times New Roman" w:eastAsia="Times New Roman" w:hAnsi="Times New Roman" w:cs="Times New Roman"/>
          <w:color w:val="000000"/>
          <w:spacing w:val="0"/>
          <w:w w:val="100"/>
          <w:position w:val="0"/>
          <w:sz w:val="18"/>
          <w:szCs w:val="18"/>
        </w:rPr>
        <w:t>2</w:t>
      </w:r>
      <w:bookmarkEnd w:id="98"/>
      <w:r>
        <w:rPr>
          <w:color w:val="000000"/>
          <w:spacing w:val="0"/>
          <w:w w:val="100"/>
          <w:position w:val="0"/>
        </w:rPr>
        <w:t>）</w:t>
        <w:tab/>
        <w:t>整改信息披露审批流程，整改后，行政、财务、总裁办、投资部等涉及信息披露的部门审核流程需要通过证券部审 核判断；</w:t>
      </w:r>
    </w:p>
    <w:p>
      <w:pPr>
        <w:pStyle w:val="Style26"/>
        <w:keepNext w:val="0"/>
        <w:keepLines w:val="0"/>
        <w:widowControl w:val="0"/>
        <w:shd w:val="clear" w:color="auto" w:fill="auto"/>
        <w:tabs>
          <w:tab w:pos="790" w:val="left"/>
        </w:tabs>
        <w:bidi w:val="0"/>
        <w:spacing w:before="0" w:after="0" w:line="318" w:lineRule="exact"/>
        <w:ind w:left="0" w:right="0" w:firstLine="440"/>
        <w:jc w:val="both"/>
      </w:pPr>
      <w:bookmarkStart w:id="99" w:name="bookmark99"/>
      <w:r>
        <w:rPr>
          <w:rFonts w:ascii="Times New Roman" w:eastAsia="Times New Roman" w:hAnsi="Times New Roman" w:cs="Times New Roman"/>
          <w:color w:val="000000"/>
          <w:spacing w:val="0"/>
          <w:w w:val="100"/>
          <w:position w:val="0"/>
          <w:sz w:val="18"/>
          <w:szCs w:val="18"/>
        </w:rPr>
        <w:t>3</w:t>
      </w:r>
      <w:bookmarkEnd w:id="99"/>
      <w:r>
        <w:rPr>
          <w:color w:val="000000"/>
          <w:spacing w:val="0"/>
          <w:w w:val="100"/>
          <w:position w:val="0"/>
        </w:rPr>
        <w:t>）</w:t>
        <w:tab/>
        <w:t>公司内部组织信息披露和公司治理培训，加强全公司信批意识和规范治理知识储备，公司已小范围在董事、高管层 面集中学习信息披露制度。</w:t>
      </w:r>
    </w:p>
    <w:p>
      <w:pPr>
        <w:pStyle w:val="Style26"/>
        <w:keepNext w:val="0"/>
        <w:keepLines w:val="0"/>
        <w:widowControl w:val="0"/>
        <w:shd w:val="clear" w:color="auto" w:fill="auto"/>
        <w:tabs>
          <w:tab w:pos="354" w:val="left"/>
        </w:tabs>
        <w:bidi w:val="0"/>
        <w:spacing w:before="0" w:after="0" w:line="318" w:lineRule="exact"/>
        <w:ind w:left="0" w:right="0" w:firstLine="0"/>
        <w:jc w:val="left"/>
      </w:pPr>
      <w:bookmarkStart w:id="100" w:name="bookmark100"/>
      <w:r>
        <w:rPr>
          <w:rFonts w:ascii="Times New Roman" w:eastAsia="Times New Roman" w:hAnsi="Times New Roman" w:cs="Times New Roman"/>
          <w:color w:val="000000"/>
          <w:spacing w:val="0"/>
          <w:w w:val="100"/>
          <w:position w:val="0"/>
          <w:sz w:val="18"/>
          <w:szCs w:val="18"/>
        </w:rPr>
        <w:t>4</w:t>
      </w:r>
      <w:bookmarkEnd w:id="100"/>
      <w:r>
        <w:rPr>
          <w:color w:val="000000"/>
          <w:spacing w:val="0"/>
          <w:w w:val="100"/>
          <w:position w:val="0"/>
        </w:rPr>
        <w:t>、</w:t>
        <w:tab/>
        <w:t>公司派投资部门负责人至上海美峰驻地监管，协助控股子公司梳理公司业务，完善整体合规流程，把控投资及运营风险， 另一方面，安排审计、合规人员等定期走访各地所投项目、公司，梳理汇总最新情况并完善定期沟通汇报机制，避免出现类 似事件。</w:t>
      </w:r>
    </w:p>
    <w:p>
      <w:pPr>
        <w:pStyle w:val="Style26"/>
        <w:keepNext w:val="0"/>
        <w:keepLines w:val="0"/>
        <w:widowControl w:val="0"/>
        <w:shd w:val="clear" w:color="auto" w:fill="auto"/>
        <w:bidi w:val="0"/>
        <w:spacing w:before="0" w:after="0" w:line="318" w:lineRule="exact"/>
        <w:ind w:left="0" w:right="0" w:firstLine="0"/>
        <w:jc w:val="left"/>
      </w:pPr>
      <w:bookmarkStart w:id="101" w:name="bookmark101"/>
      <w:r>
        <w:rPr>
          <w:rFonts w:ascii="Times New Roman" w:eastAsia="Times New Roman" w:hAnsi="Times New Roman" w:cs="Times New Roman"/>
          <w:color w:val="000000"/>
          <w:spacing w:val="0"/>
          <w:w w:val="100"/>
          <w:position w:val="0"/>
          <w:sz w:val="18"/>
          <w:szCs w:val="18"/>
        </w:rPr>
        <w:t>（</w:t>
      </w:r>
      <w:bookmarkEnd w:id="101"/>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公司整体发展概述</w:t>
      </w:r>
    </w:p>
    <w:p>
      <w:pPr>
        <w:pStyle w:val="Style2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目前游戏市场竞争白热化，公司游戏业务市场推广受到压力，面对高速发展的互联网环境，公司必须跟上行业发展的 脚步，在未来的发展中，需加强自身游戏业务的研究与开发，积极应用先进技术，集中精力打造符合市场需求的精品游戏， 提升行业竞争力。公司将持续推进由游戏到泛娱乐平台的战略转型，依托多年游戏行业经验，开发与加强云服务业务、科技 文旅业务，持续增强公司的盈利能力，积极拓展新的盈利点，提升公司竞争力。</w:t>
      </w:r>
    </w:p>
    <w:p>
      <w:pPr>
        <w:pStyle w:val="Style26"/>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公司应持续提升内控管理水平，加强对控股子公司经营情况的实时跟进，建立完善内部治理结构及投后管理团队，保 障公司经营管理及控股子公司经营活动的有序进行，避免类似上海美峰事项再次发生，提高经营效率和效果。</w:t>
      </w:r>
    </w:p>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 报告期内公司游戏平台新增运营的游戏有</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款，报告期末运营的游戏总计</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款。</w:t>
      </w:r>
    </w:p>
    <w:p>
      <w:pPr>
        <w:pStyle w:val="Style24"/>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、主营业务分析</w:t>
      </w:r>
      <w:bookmarkEnd w:id="102"/>
      <w:bookmarkEnd w:id="103"/>
      <w:bookmarkEnd w:id="105"/>
    </w:p>
    <w:p>
      <w:pPr>
        <w:pStyle w:val="Style32"/>
        <w:keepNext/>
        <w:keepLines/>
        <w:widowControl w:val="0"/>
        <w:shd w:val="clear" w:color="auto" w:fill="auto"/>
        <w:tabs>
          <w:tab w:pos="368" w:val="left"/>
        </w:tabs>
        <w:bidi w:val="0"/>
        <w:spacing w:before="0" w:after="26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概述</w:t>
      </w:r>
      <w:bookmarkEnd w:id="106"/>
      <w:bookmarkEnd w:id="107"/>
      <w:bookmarkEnd w:id="109"/>
    </w:p>
    <w:p>
      <w:pPr>
        <w:pStyle w:val="Style26"/>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收入与成本</w:t>
      </w:r>
      <w:bookmarkEnd w:id="110"/>
      <w:bookmarkEnd w:id="111"/>
      <w:bookmarkEnd w:id="113"/>
    </w:p>
    <w:p>
      <w:pPr>
        <w:pStyle w:val="Style36"/>
        <w:keepNext/>
        <w:keepLines/>
        <w:widowControl w:val="0"/>
        <w:shd w:val="clear" w:color="auto" w:fill="auto"/>
        <w:bidi w:val="0"/>
        <w:spacing w:before="0" w:after="26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p>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公司是否需要遵守光伏产业链相关业的披露要求</w:t>
      </w:r>
    </w:p>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主要游戏基本情况</w:t>
      </w:r>
    </w:p>
    <w:p>
      <w:pPr>
        <w:pStyle w:val="Style26"/>
        <w:keepNext w:val="0"/>
        <w:keepLines w:val="0"/>
        <w:widowControl w:val="0"/>
        <w:shd w:val="clear" w:color="auto" w:fill="auto"/>
        <w:bidi w:val="0"/>
        <w:spacing w:before="0" w:line="318" w:lineRule="exact"/>
        <w:ind w:left="0" w:right="0" w:firstLine="0"/>
        <w:jc w:val="right"/>
      </w:pPr>
      <w:r>
        <w:rPr>
          <w:color w:val="000000"/>
          <w:spacing w:val="0"/>
          <w:w w:val="100"/>
          <w:position w:val="0"/>
        </w:rPr>
        <w:t>单位：元</w:t>
      </w:r>
    </w:p>
    <w:tbl>
      <w:tblPr>
        <w:tblOverlap w:val="never"/>
        <w:jc w:val="center"/>
        <w:tblLayout w:type="fixed"/>
      </w:tblPr>
      <w:tblGrid>
        <w:gridCol w:w="1090"/>
        <w:gridCol w:w="1090"/>
        <w:gridCol w:w="1090"/>
        <w:gridCol w:w="1090"/>
        <w:gridCol w:w="1085"/>
        <w:gridCol w:w="1090"/>
        <w:gridCol w:w="1013"/>
        <w:gridCol w:w="1013"/>
        <w:gridCol w:w="1022"/>
      </w:tblGrid>
      <w:tr>
        <w:trPr>
          <w:trHeight w:val="69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收费方式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收入占游戏 业务收入的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推广营销费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推广营销费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用占游戏推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推广营销费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用占主要游</w:t>
            </w:r>
          </w:p>
        </w:tc>
      </w:tr>
    </w:tbl>
    <w:p>
      <w:pPr>
        <w:spacing w:lineRule="exact" w:line="1"/>
        <w:rPr>
          <w:sz w:val="2"/>
          <w:szCs w:val="2"/>
        </w:rPr>
      </w:pPr>
      <w:r>
        <w:br w:type="page"/>
      </w:r>
    </w:p>
    <w:tbl>
      <w:tblPr>
        <w:tblOverlap w:val="never"/>
        <w:jc w:val="center"/>
        <w:tblLayout w:type="fixed"/>
      </w:tblPr>
      <w:tblGrid>
        <w:gridCol w:w="1090"/>
        <w:gridCol w:w="1090"/>
        <w:gridCol w:w="1090"/>
        <w:gridCol w:w="1090"/>
        <w:gridCol w:w="1085"/>
        <w:gridCol w:w="1090"/>
        <w:gridCol w:w="1013"/>
        <w:gridCol w:w="1013"/>
        <w:gridCol w:w="102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广营销费用 总额的比例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戏收入总额 的比例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游戏</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端游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道具收费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62,455,690.2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4,044,025.94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游戏</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端游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道具收费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33,515,912.2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游戏</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自主运营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 合运营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道具收费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27,932,548.0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2,776,852.86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游戏</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端游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道具收费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23,436,700.6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游戏</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端游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道具收费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21,807,598.7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主要游戏分季度运营数据</w:t>
      </w:r>
    </w:p>
    <w:p>
      <w:pPr>
        <w:widowControl w:val="0"/>
        <w:spacing w:after="99"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游戏名称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活跃用户数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付费用户数量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 xml:space="preserve">ARPU </w:t>
            </w:r>
            <w:r>
              <w:rPr>
                <w:color w:val="000000"/>
                <w:spacing w:val="0"/>
                <w:w w:val="100"/>
                <w:position w:val="0"/>
              </w:rPr>
              <w:t>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充值流水</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游戏</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11,837,135.00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9,564,535.00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1,570,679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25,990,696.00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1,651,869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23,586,133.00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游戏</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4,262,575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6,756,094.00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4,271,644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6,882,229.00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4,279,975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10,924,372.00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4,285,096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10,545,705.00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游戏</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4,044,061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34,939,485.00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4,474,041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26,193,820.00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4,769,879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12,620,346.00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4,962,283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9,084,439.00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游戏</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2,190,398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4,635,551.00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5,816,925.00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2,210,867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8,890,833.00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2,220,682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7,569,838.00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游戏</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5,413,966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5,901,184.00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5,430,947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3,717,262.00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5,467,938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8,258,737.00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第四季度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5,495,357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6,379,395.00</w:t>
            </w:r>
          </w:p>
        </w:tc>
      </w:tr>
    </w:tbl>
    <w:p>
      <w:pPr>
        <w:spacing w:lineRule="exact" w:line="1"/>
        <w:rPr>
          <w:sz w:val="2"/>
          <w:szCs w:val="2"/>
        </w:rPr>
      </w:pPr>
      <w:r>
        <w:br w:type="page"/>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321,348,057.16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343,090,937.31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分行业（分运营模式）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188,600,209.02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85,900,510.49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与平台联合运营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93,084,963.84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165,225,751.38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2,933,650.76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6,512,471.09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23,273,400.00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40,941,400.00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运营权转让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34,805,037.21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7,533,031.61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4,269,107.66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5,922,801.93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5,436,659.48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分产品（分游戏类型）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MMO</w:t>
            </w:r>
            <w:r>
              <w:rPr>
                <w:color w:val="000000"/>
                <w:spacing w:val="0"/>
                <w:w w:val="100"/>
                <w:position w:val="0"/>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177,006,124.98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99,652,137.58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14,498,532.87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59,233,972.44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117,150,537.46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171,966,743.69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6,770,059.92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6,801,424.12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5,922,801.93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5,436,659.48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各地游戏收入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315,425,255.23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337,654,277.83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5,922,801.93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5,436,659.48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r>
    </w:tbl>
    <w:p>
      <w:pPr>
        <w:pStyle w:val="Style36"/>
        <w:keepNext/>
        <w:keepLines/>
        <w:widowControl w:val="0"/>
        <w:shd w:val="clear" w:color="auto" w:fill="auto"/>
        <w:bidi w:val="0"/>
        <w:spacing w:before="0" w:after="160" w:line="614" w:lineRule="exact"/>
        <w:ind w:left="0" w:right="0" w:firstLine="0"/>
        <w:jc w:val="left"/>
        <w:rPr>
          <w:sz w:val="17"/>
          <w:szCs w:val="17"/>
        </w:rPr>
      </w:pPr>
      <w:bookmarkStart w:id="118" w:name="bookmark118"/>
      <w:bookmarkStart w:id="119" w:name="bookmark119"/>
      <w:bookmarkStart w:id="120" w:name="bookmark120"/>
      <w:bookmarkStart w:id="121" w:name="bookmark121"/>
      <w:r>
        <w:rPr>
          <w:color w:val="000000"/>
          <w:spacing w:val="0"/>
          <w:w w:val="100"/>
          <w:position w:val="0"/>
          <w:sz w:val="20"/>
          <w:szCs w:val="20"/>
        </w:rPr>
        <w:t>（</w:t>
      </w:r>
      <w:bookmarkEnd w:id="12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）占公司营业收入或营业利润</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以上的行业、产品或地区情况 </w:t>
      </w:r>
      <w:r>
        <w:rPr>
          <w:b w:val="0"/>
          <w:bCs w:val="0"/>
          <w:color w:val="000000"/>
          <w:spacing w:val="0"/>
          <w:w w:val="100"/>
          <w:position w:val="0"/>
          <w:sz w:val="18"/>
          <w:szCs w:val="18"/>
        </w:rPr>
        <w:t>寸</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bookmarkEnd w:id="118"/>
      <w:bookmarkEnd w:id="119"/>
      <w:bookmarkEnd w:id="121"/>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互联网游戏业</w:t>
      </w:r>
    </w:p>
    <w:p>
      <w:pPr>
        <w:pStyle w:val="Style30"/>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分行业（分运营模式）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188,600,209.02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48,482,605.55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与平台联合运营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93,084,963.84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59,003,556.77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2,933,650.76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1,174,293.29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23,273,400.00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3,815,371.59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分产品（分游戏类型）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MMO</w:t>
            </w:r>
            <w:r>
              <w:rPr>
                <w:color w:val="000000"/>
                <w:spacing w:val="0"/>
                <w:w w:val="100"/>
                <w:position w:val="0"/>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177,006,124.98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39,540,296.16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14,498,532.87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8,215,534.08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117,150,537.46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64,911,438.49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各地游戏收入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315,425,255.23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117,172,971.90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r>
    </w:tbl>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2"/>
      <w:bookmarkEnd w:id="123"/>
      <w:bookmarkEnd w:id="125"/>
    </w:p>
    <w:p>
      <w:pPr>
        <w:pStyle w:val="Style26"/>
        <w:keepNext w:val="0"/>
        <w:keepLines w:val="0"/>
        <w:widowControl w:val="0"/>
        <w:shd w:val="clear" w:color="auto" w:fill="auto"/>
        <w:bidi w:val="0"/>
        <w:spacing w:before="0" w:after="240" w:line="39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6"/>
        <w:keepNext/>
        <w:keepLines/>
        <w:widowControl w:val="0"/>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6"/>
      <w:bookmarkEnd w:id="127"/>
      <w:bookmarkEnd w:id="129"/>
    </w:p>
    <w:p>
      <w:pPr>
        <w:pStyle w:val="Style26"/>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40" w:line="240" w:lineRule="auto"/>
        <w:ind w:left="0" w:right="0" w:firstLine="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26"/>
        <w:keepNext w:val="0"/>
        <w:keepLines w:val="0"/>
        <w:widowControl w:val="0"/>
        <w:shd w:val="clear" w:color="auto" w:fill="auto"/>
        <w:bidi w:val="0"/>
        <w:spacing w:before="0" w:after="120" w:line="341" w:lineRule="exact"/>
        <w:ind w:left="0" w:right="0" w:firstLine="0"/>
        <w:jc w:val="both"/>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416"/>
        <w:gridCol w:w="1416"/>
        <w:gridCol w:w="1560"/>
        <w:gridCol w:w="1704"/>
        <w:gridCol w:w="170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行业分类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48,482,605.55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61,220,675.46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与平台联合运营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59,003,556.77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87,324,201.10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1,174,293.29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3,729,859.60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3,815,371.59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6,162,944.68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运营权转让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30,267,809.65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4,697,144.70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1,649,055.78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5,913,124.81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4,944,459.31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416"/>
        <w:gridCol w:w="1416"/>
        <w:gridCol w:w="1560"/>
        <w:gridCol w:w="1704"/>
        <w:gridCol w:w="170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产品分类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MMO</w:t>
            </w:r>
            <w:r>
              <w:rPr>
                <w:color w:val="000000"/>
                <w:spacing w:val="0"/>
                <w:w w:val="100"/>
                <w:position w:val="0"/>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39,540,296.16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74,208,062.42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网页游戏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8,215,534.08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20,390,819.14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w:t>
            </w:r>
          </w:p>
        </w:tc>
      </w:tr>
    </w:tbl>
    <w:p>
      <w:pPr>
        <w:spacing w:lineRule="exact" w:line="1"/>
        <w:rPr>
          <w:sz w:val="2"/>
          <w:szCs w:val="2"/>
        </w:rPr>
      </w:pPr>
      <w:r>
        <w:br w:type="page"/>
      </w:r>
    </w:p>
    <w:tbl>
      <w:tblPr>
        <w:tblOverlap w:val="never"/>
        <w:jc w:val="center"/>
        <w:tblLayout w:type="fixed"/>
      </w:tblPr>
      <w:tblGrid>
        <w:gridCol w:w="1848"/>
        <w:gridCol w:w="1416"/>
        <w:gridCol w:w="1416"/>
        <w:gridCol w:w="1560"/>
        <w:gridCol w:w="1704"/>
        <w:gridCol w:w="170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64,911,438.49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92,105,759.40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4,505,703.17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3,649,905.31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5,913,124.81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4,944,459.31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r>
    </w:tbl>
    <w:p>
      <w:pPr>
        <w:widowControl w:val="0"/>
        <w:spacing w:after="67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460"/>
        <w:jc w:val="left"/>
      </w:pPr>
      <w:r>
        <w:rPr>
          <w:color w:val="000000"/>
          <w:spacing w:val="0"/>
          <w:w w:val="100"/>
          <w:position w:val="0"/>
        </w:rPr>
        <w:t>与上年相比，因新设增加深圳中青宝文化科技有限公司、深圳前海今古时代文化传媒有限公司、深圳市天地间文化传</w:t>
      </w:r>
    </w:p>
    <w:p>
      <w:pPr>
        <w:pStyle w:val="Style26"/>
        <w:keepNext w:val="0"/>
        <w:keepLines w:val="0"/>
        <w:widowControl w:val="0"/>
        <w:shd w:val="clear" w:color="auto" w:fill="auto"/>
        <w:bidi w:val="0"/>
        <w:spacing w:before="0" w:after="680" w:line="240" w:lineRule="auto"/>
        <w:ind w:left="0" w:right="0" w:firstLine="0"/>
        <w:jc w:val="left"/>
      </w:pPr>
      <w:r>
        <w:rPr>
          <w:color w:val="000000"/>
          <w:spacing w:val="0"/>
          <w:w w:val="100"/>
          <w:position w:val="0"/>
        </w:rPr>
        <w:t>媒有限公司和北京中青宝长城文化科技有限公司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家子公司，因注销减少北京乐乐堂科技有限责任公司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家子公司。</w:t>
      </w:r>
    </w:p>
    <w:p>
      <w:pPr>
        <w:pStyle w:val="Style36"/>
        <w:keepNext/>
        <w:keepLines/>
        <w:widowControl w:val="0"/>
        <w:shd w:val="clear" w:color="auto" w:fill="auto"/>
        <w:tabs>
          <w:tab w:pos="49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210,538,673.81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88,800,523.58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66,193,539.62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31,741,829.84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16,865,780.77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210,538,673.81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65.52%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34,918,333.07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bl>
    <w:p>
      <w:pPr>
        <w:spacing w:lineRule="exact" w:line="1"/>
        <w:rPr>
          <w:sz w:val="2"/>
          <w:szCs w:val="2"/>
        </w:rPr>
      </w:pPr>
      <w:r>
        <w:br w:type="page"/>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20,862,887.31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6,787,603.75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2,578,824.73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2,370,679.28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2,318,338.00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34,918,333.07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67,133,959.04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89,467,758.31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主要系报告期内对游戏产品投入的 广告推广减少所致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128,380,884.98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105,117,374.38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主要系报告期内研发支出费用化增 大所致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-5,294,810.55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9,487,346.72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主要系报告期内贷款利息支出减少 所致</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报告期内，公司在研项目主要以手机游戏为主。</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94,980,077.76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131,245,337.72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135,754,022.89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59,700,379.12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74,291,252.05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研发投入总额占营业收入的比重较上年发生显著变化的原因</w:t>
      </w:r>
      <w:r>
        <w:br w:type="page"/>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本期基于谨慎性原则将商业化程度低的研究开发支出计入费用化。</w:t>
      </w:r>
    </w:p>
    <w:p>
      <w:pPr>
        <w:pStyle w:val="Style32"/>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353,000,501.96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434,538,999.91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260,717,631.58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263,396,396.18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92,282,870.38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171,142,603.73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263,078,030.55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214,982,566.55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435,873,846.64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113,668,572.92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-172,795,816.09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101,313,993.63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393,814,744.00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106,330,783.11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587,505,039.57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-90,980,783.11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-193,690,295.57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-170,561,194.88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79,793,108.31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-313.75%</w:t>
            </w:r>
          </w:p>
        </w:tc>
      </w:tr>
    </w:tbl>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经营活动产生的现金流量净额较上年同期减少</w:t>
      </w:r>
      <w:r>
        <w:rPr>
          <w:rFonts w:ascii="Times New Roman" w:eastAsia="Times New Roman" w:hAnsi="Times New Roman" w:cs="Times New Roman"/>
          <w:color w:val="000000"/>
          <w:spacing w:val="0"/>
          <w:w w:val="100"/>
          <w:position w:val="0"/>
          <w:sz w:val="18"/>
          <w:szCs w:val="18"/>
        </w:rPr>
        <w:t>46.08%</w:t>
      </w:r>
      <w:r>
        <w:rPr>
          <w:color w:val="000000"/>
          <w:spacing w:val="0"/>
          <w:w w:val="100"/>
          <w:position w:val="0"/>
        </w:rPr>
        <w:t>，主要系本期销售收入下降及联运对账缓慢所致; 投资活动产生的现金流量净额较上年同期减少</w:t>
      </w:r>
      <w:r>
        <w:rPr>
          <w:rFonts w:ascii="Times New Roman" w:eastAsia="Times New Roman" w:hAnsi="Times New Roman" w:cs="Times New Roman"/>
          <w:color w:val="000000"/>
          <w:spacing w:val="0"/>
          <w:w w:val="100"/>
          <w:position w:val="0"/>
          <w:sz w:val="18"/>
          <w:szCs w:val="18"/>
        </w:rPr>
        <w:t>270.55%</w:t>
      </w:r>
      <w:r>
        <w:rPr>
          <w:color w:val="000000"/>
          <w:spacing w:val="0"/>
          <w:w w:val="100"/>
          <w:position w:val="0"/>
        </w:rPr>
        <w:t>,主要系本期加大对外投资力度所致；</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筹资活动产生的现金流量净额较上年同期增加</w:t>
      </w:r>
      <w:r>
        <w:rPr>
          <w:rFonts w:ascii="Times New Roman" w:eastAsia="Times New Roman" w:hAnsi="Times New Roman" w:cs="Times New Roman"/>
          <w:color w:val="000000"/>
          <w:spacing w:val="0"/>
          <w:w w:val="100"/>
          <w:position w:val="0"/>
          <w:sz w:val="18"/>
          <w:szCs w:val="18"/>
        </w:rPr>
        <w:t>53.03%</w:t>
      </w:r>
      <w:r>
        <w:rPr>
          <w:color w:val="000000"/>
          <w:spacing w:val="0"/>
          <w:w w:val="100"/>
          <w:position w:val="0"/>
        </w:rPr>
        <w:t>,主要系本期减少流动资金借款所致。</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三</w:t>
      </w:r>
      <w:bookmarkEnd w:id="160"/>
      <w:r>
        <w:rPr>
          <w:color w:val="000000"/>
          <w:spacing w:val="0"/>
          <w:w w:val="100"/>
          <w:position w:val="0"/>
          <w:sz w:val="24"/>
          <w:szCs w:val="24"/>
        </w:rPr>
        <w:t>、非主营业务情况</w:t>
      </w:r>
      <w:bookmarkEnd w:id="158"/>
      <w:bookmarkEnd w:id="159"/>
      <w:bookmarkEnd w:id="161"/>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-4,306,175.72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 xml:space="preserve">本期确认权益法核算的长 期股权投资投资收益 </w:t>
            </w:r>
            <w:r>
              <w:rPr>
                <w:rFonts w:ascii="Times New Roman" w:eastAsia="Times New Roman" w:hAnsi="Times New Roman" w:cs="Times New Roman"/>
                <w:color w:val="000000"/>
                <w:spacing w:val="0"/>
                <w:w w:val="100"/>
                <w:position w:val="0"/>
                <w:sz w:val="18"/>
                <w:szCs w:val="18"/>
              </w:rPr>
              <w:t>-4,361,033.63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26"/>
        <w:gridCol w:w="1915"/>
        <w:gridCol w:w="1622"/>
        <w:gridCol w:w="2170"/>
        <w:gridCol w:w="234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134,359,946.27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本期计提应收款项减值</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40,803,280.69</w:t>
            </w:r>
            <w:r>
              <w:rPr>
                <w:color w:val="000000"/>
                <w:spacing w:val="0"/>
                <w:w w:val="100"/>
                <w:position w:val="0"/>
                <w:sz w:val="17"/>
                <w:szCs w:val="17"/>
              </w:rPr>
              <w:t>、无形资产减 值</w:t>
            </w:r>
            <w:r>
              <w:rPr>
                <w:rFonts w:ascii="Times New Roman" w:eastAsia="Times New Roman" w:hAnsi="Times New Roman" w:cs="Times New Roman"/>
                <w:color w:val="000000"/>
                <w:spacing w:val="0"/>
                <w:w w:val="100"/>
                <w:position w:val="0"/>
                <w:sz w:val="18"/>
                <w:szCs w:val="18"/>
              </w:rPr>
              <w:t>10,609,167.54</w:t>
            </w:r>
            <w:r>
              <w:rPr>
                <w:color w:val="000000"/>
                <w:spacing w:val="0"/>
                <w:w w:val="100"/>
                <w:position w:val="0"/>
                <w:sz w:val="17"/>
                <w:szCs w:val="17"/>
              </w:rPr>
              <w:t>、开发支出 减值</w:t>
            </w:r>
            <w:r>
              <w:rPr>
                <w:rFonts w:ascii="Times New Roman" w:eastAsia="Times New Roman" w:hAnsi="Times New Roman" w:cs="Times New Roman"/>
                <w:color w:val="000000"/>
                <w:spacing w:val="0"/>
                <w:w w:val="100"/>
                <w:position w:val="0"/>
                <w:sz w:val="18"/>
                <w:szCs w:val="18"/>
              </w:rPr>
              <w:t>7,457,335.79</w:t>
            </w:r>
            <w:r>
              <w:rPr>
                <w:color w:val="000000"/>
                <w:spacing w:val="0"/>
                <w:w w:val="100"/>
                <w:position w:val="0"/>
                <w:sz w:val="17"/>
                <w:szCs w:val="17"/>
              </w:rPr>
              <w:t xml:space="preserve">、商誉减 值 </w:t>
            </w:r>
            <w:r>
              <w:rPr>
                <w:rFonts w:ascii="Times New Roman" w:eastAsia="Times New Roman" w:hAnsi="Times New Roman" w:cs="Times New Roman"/>
                <w:color w:val="000000"/>
                <w:spacing w:val="0"/>
                <w:w w:val="100"/>
                <w:position w:val="0"/>
                <w:sz w:val="18"/>
                <w:szCs w:val="18"/>
              </w:rPr>
              <w:t>74,146,023.69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86,461,478.82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本期确认业绩补偿</w:t>
            </w:r>
          </w:p>
          <w:p>
            <w:pPr>
              <w:pStyle w:val="Style2"/>
              <w:keepNext w:val="0"/>
              <w:keepLines w:val="0"/>
              <w:widowControl w:val="0"/>
              <w:shd w:val="clear" w:color="auto" w:fill="auto"/>
              <w:bidi w:val="0"/>
              <w:spacing w:before="0" w:after="100" w:line="319" w:lineRule="exact"/>
              <w:ind w:left="0" w:right="0" w:firstLine="0"/>
              <w:jc w:val="left"/>
            </w:pPr>
            <w:r>
              <w:rPr>
                <w:rFonts w:ascii="Times New Roman" w:eastAsia="Times New Roman" w:hAnsi="Times New Roman" w:cs="Times New Roman"/>
                <w:color w:val="000000"/>
                <w:spacing w:val="0"/>
                <w:w w:val="100"/>
                <w:position w:val="0"/>
                <w:sz w:val="18"/>
                <w:szCs w:val="18"/>
              </w:rPr>
              <w:t>60,030,248.11</w:t>
            </w:r>
            <w:r>
              <w:rPr>
                <w:color w:val="000000"/>
                <w:spacing w:val="0"/>
                <w:w w:val="100"/>
                <w:position w:val="0"/>
              </w:rPr>
              <w:t xml:space="preserve">、政府补贴 </w:t>
            </w:r>
            <w:r>
              <w:rPr>
                <w:rFonts w:ascii="Times New Roman" w:eastAsia="Times New Roman" w:hAnsi="Times New Roman" w:cs="Times New Roman"/>
                <w:color w:val="000000"/>
                <w:spacing w:val="0"/>
                <w:w w:val="100"/>
                <w:position w:val="0"/>
                <w:sz w:val="18"/>
                <w:szCs w:val="18"/>
              </w:rPr>
              <w:t>17,022,925.74</w:t>
            </w:r>
            <w:r>
              <w:rPr>
                <w:color w:val="000000"/>
                <w:spacing w:val="0"/>
                <w:w w:val="100"/>
                <w:position w:val="0"/>
              </w:rPr>
              <w:t>、核销无需支 付的应付款项</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4,338,821.56</w:t>
            </w:r>
            <w:r>
              <w:rPr>
                <w:color w:val="000000"/>
                <w:spacing w:val="0"/>
                <w:w w:val="100"/>
                <w:position w:val="0"/>
              </w:rPr>
              <w:t>、违约金</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3,302,178.08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2,270,868.11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本期确认诉讼赔偿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2,199,055.00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四</w:t>
      </w:r>
      <w:bookmarkEnd w:id="164"/>
      <w:r>
        <w:rPr>
          <w:color w:val="000000"/>
          <w:spacing w:val="0"/>
          <w:w w:val="100"/>
          <w:position w:val="0"/>
          <w:sz w:val="24"/>
          <w:szCs w:val="24"/>
        </w:rPr>
        <w:t>、资产及负债状况</w:t>
      </w:r>
      <w:bookmarkEnd w:id="162"/>
      <w:bookmarkEnd w:id="163"/>
      <w:bookmarkEnd w:id="165"/>
    </w:p>
    <w:p>
      <w:pPr>
        <w:pStyle w:val="Style32"/>
        <w:keepNext/>
        <w:keepLines/>
        <w:widowControl w:val="0"/>
        <w:shd w:val="clear" w:color="auto" w:fill="auto"/>
        <w:bidi w:val="0"/>
        <w:spacing w:before="0" w:after="34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120,578,134.2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291,139,329.09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95,997,372.89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124,449,022.41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69,200,056.22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43,816,222.33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17,130,378.95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27,061,318.59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4,718,818.59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tabs>
          <w:tab w:pos="378" w:val="left"/>
        </w:tabs>
        <w:bidi w:val="0"/>
        <w:spacing w:before="0" w:after="34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以公允价值计量的资产和负债</w:t>
      </w:r>
      <w:bookmarkEnd w:id="170"/>
      <w:bookmarkEnd w:id="171"/>
      <w:bookmarkEnd w:id="173"/>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4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截至报告期末的资产权利受限情况</w:t>
      </w:r>
      <w:bookmarkEnd w:id="174"/>
      <w:bookmarkEnd w:id="175"/>
      <w:bookmarkEnd w:id="177"/>
    </w:p>
    <w:tbl>
      <w:tblPr>
        <w:tblOverlap w:val="never"/>
        <w:jc w:val="center"/>
        <w:tblLayout w:type="fixed"/>
      </w:tblPr>
      <w:tblGrid>
        <w:gridCol w:w="1848"/>
        <w:gridCol w:w="2990"/>
        <w:gridCol w:w="4675"/>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受限原因</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1,402,518.20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深圳人才住房，只有使用权没有处置权</w:t>
            </w:r>
          </w:p>
        </w:tc>
      </w:tr>
    </w:tbl>
    <w:p>
      <w:pPr>
        <w:pStyle w:val="Style24"/>
        <w:keepNext/>
        <w:keepLines/>
        <w:widowControl w:val="0"/>
        <w:shd w:val="clear" w:color="auto" w:fill="auto"/>
        <w:bidi w:val="0"/>
        <w:spacing w:before="0" w:after="38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、投资状况分析</w:t>
      </w:r>
      <w:bookmarkEnd w:id="178"/>
      <w:bookmarkEnd w:id="179"/>
      <w:bookmarkEnd w:id="181"/>
    </w:p>
    <w:p>
      <w:pPr>
        <w:pStyle w:val="Style32"/>
        <w:keepNext/>
        <w:keepLines/>
        <w:widowControl w:val="0"/>
        <w:shd w:val="clear" w:color="auto" w:fill="auto"/>
        <w:tabs>
          <w:tab w:pos="368" w:val="left"/>
        </w:tabs>
        <w:bidi w:val="0"/>
        <w:spacing w:before="0" w:after="3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w:t>
        <w:tab/>
        <w:t>总体情况</w:t>
      </w:r>
      <w:bookmarkEnd w:id="182"/>
      <w:bookmarkEnd w:id="183"/>
      <w:bookmarkEnd w:id="185"/>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w:t>
        <w:tab/>
        <w:t>报告期内获取的重大的股权投资情况</w:t>
      </w:r>
      <w:bookmarkEnd w:id="186"/>
      <w:bookmarkEnd w:id="187"/>
      <w:bookmarkEnd w:id="189"/>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w:t>
        <w:tab/>
        <w:t>报告期内正在进行的重大的非股权投资情况</w:t>
      </w:r>
      <w:bookmarkEnd w:id="190"/>
      <w:bookmarkEnd w:id="191"/>
      <w:bookmarkEnd w:id="19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w:t>
        <w:tab/>
        <w:t>以公允价值计量的金融资产</w:t>
      </w:r>
      <w:bookmarkEnd w:id="194"/>
      <w:bookmarkEnd w:id="195"/>
      <w:bookmarkEnd w:id="19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w:t>
        <w:tab/>
        <w:t>募集资金使用情况</w:t>
      </w:r>
      <w:bookmarkEnd w:id="198"/>
      <w:bookmarkEnd w:id="199"/>
      <w:bookmarkEnd w:id="201"/>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2"/>
      <w:bookmarkEnd w:id="203"/>
      <w:bookmarkEnd w:id="205"/>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71,736.96</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专户存放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87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[2010]94</w:t>
            </w:r>
            <w:r>
              <w:rPr>
                <w:color w:val="000000"/>
                <w:spacing w:val="0"/>
                <w:w w:val="100"/>
                <w:position w:val="0"/>
              </w:rPr>
              <w:t>号文核准，并经深圳证券交易所同意，深圳中青宝互动网络股份有限公司（以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日向社会公众公开发行普通股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日止，本公司共募集资金人民币</w:t>
            </w:r>
            <w:r>
              <w:rPr>
                <w:rFonts w:ascii="Times New Roman" w:eastAsia="Times New Roman" w:hAnsi="Times New Roman" w:cs="Times New Roman"/>
                <w:color w:val="000000"/>
                <w:spacing w:val="0"/>
                <w:w w:val="100"/>
                <w:position w:val="0"/>
                <w:sz w:val="18"/>
                <w:szCs w:val="18"/>
              </w:rPr>
              <w:t>750,000,000.00</w:t>
            </w:r>
            <w:r>
              <w:rPr>
                <w:color w:val="000000"/>
                <w:spacing w:val="0"/>
                <w:w w:val="100"/>
                <w:position w:val="0"/>
              </w:rPr>
              <w:t>元，扣除发行费用人 民币</w:t>
            </w:r>
            <w:r>
              <w:rPr>
                <w:rFonts w:ascii="Times New Roman" w:eastAsia="Times New Roman" w:hAnsi="Times New Roman" w:cs="Times New Roman"/>
                <w:color w:val="000000"/>
                <w:spacing w:val="0"/>
                <w:w w:val="100"/>
                <w:position w:val="0"/>
                <w:sz w:val="18"/>
                <w:szCs w:val="18"/>
              </w:rPr>
              <w:t>45,754,350.28</w:t>
            </w:r>
            <w:r>
              <w:rPr>
                <w:color w:val="000000"/>
                <w:spacing w:val="0"/>
                <w:w w:val="100"/>
                <w:position w:val="0"/>
              </w:rPr>
              <w:t>元，募集资金净额人民币</w:t>
            </w:r>
            <w:r>
              <w:rPr>
                <w:rFonts w:ascii="Times New Roman" w:eastAsia="Times New Roman" w:hAnsi="Times New Roman" w:cs="Times New Roman"/>
                <w:color w:val="000000"/>
                <w:spacing w:val="0"/>
                <w:w w:val="100"/>
                <w:position w:val="0"/>
                <w:sz w:val="18"/>
                <w:szCs w:val="18"/>
              </w:rPr>
              <w:t>704,245,649.72</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日，本公司上述发行募集的资金已全 部到位，业经深圳市鹏城会计师事务所有限公司审验并出具深鹏所验字【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049</w:t>
            </w:r>
            <w:r>
              <w:rPr>
                <w:color w:val="000000"/>
                <w:spacing w:val="0"/>
                <w:w w:val="100"/>
                <w:position w:val="0"/>
              </w:rPr>
              <w:t>号《验资报告》。本公司依据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日财政部颁布的财会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2010]25</w:t>
            </w:r>
            <w:r>
              <w:rPr>
                <w:color w:val="000000"/>
                <w:spacing w:val="0"/>
                <w:w w:val="100"/>
                <w:position w:val="0"/>
              </w:rPr>
              <w:t>号《财政部关于执行企业会计准则的上市公司和非上市企业做好</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年年报工作的 通知》的要求，将不符合发行费要求的费用合计人民币</w:t>
            </w:r>
            <w:r>
              <w:rPr>
                <w:rFonts w:ascii="Times New Roman" w:eastAsia="Times New Roman" w:hAnsi="Times New Roman" w:cs="Times New Roman"/>
                <w:color w:val="000000"/>
                <w:spacing w:val="0"/>
                <w:w w:val="100"/>
                <w:position w:val="0"/>
                <w:sz w:val="18"/>
                <w:szCs w:val="18"/>
              </w:rPr>
              <w:t>6,509,350.28</w:t>
            </w:r>
            <w:r>
              <w:rPr>
                <w:color w:val="000000"/>
                <w:spacing w:val="0"/>
                <w:w w:val="100"/>
                <w:position w:val="0"/>
              </w:rPr>
              <w:t xml:space="preserve">元进行了调整，调整后募集资金净额为人民币 </w:t>
            </w:r>
            <w:r>
              <w:rPr>
                <w:rFonts w:ascii="Times New Roman" w:eastAsia="Times New Roman" w:hAnsi="Times New Roman" w:cs="Times New Roman"/>
                <w:color w:val="000000"/>
                <w:spacing w:val="0"/>
                <w:w w:val="100"/>
                <w:position w:val="0"/>
                <w:sz w:val="18"/>
                <w:szCs w:val="18"/>
              </w:rPr>
              <w:t>710,755,000.00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日，公司对募集资金项目累计投入人民币</w:t>
            </w:r>
            <w:r>
              <w:rPr>
                <w:rFonts w:ascii="Times New Roman" w:eastAsia="Times New Roman" w:hAnsi="Times New Roman" w:cs="Times New Roman"/>
                <w:color w:val="000000"/>
                <w:spacing w:val="0"/>
                <w:w w:val="100"/>
                <w:position w:val="0"/>
                <w:sz w:val="18"/>
                <w:szCs w:val="18"/>
              </w:rPr>
              <w:t>717,369,557.35</w:t>
            </w:r>
            <w:r>
              <w:rPr>
                <w:color w:val="000000"/>
                <w:spacing w:val="0"/>
                <w:w w:val="100"/>
                <w:position w:val="0"/>
              </w:rPr>
              <w:t>元，其中：公司于募集 资金到位之前利用自有资金先期投入募集资金项目人民币</w:t>
            </w:r>
            <w:r>
              <w:rPr>
                <w:rFonts w:ascii="Times New Roman" w:eastAsia="Times New Roman" w:hAnsi="Times New Roman" w:cs="Times New Roman"/>
                <w:color w:val="000000"/>
                <w:spacing w:val="0"/>
                <w:w w:val="100"/>
                <w:position w:val="0"/>
                <w:sz w:val="18"/>
                <w:szCs w:val="18"/>
              </w:rPr>
              <w:t>27,161,557.50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r>
    </w:tbl>
    <w:p>
      <w:pPr>
        <w:spacing w:lineRule="exact" w:line="1"/>
        <w:rPr>
          <w:sz w:val="2"/>
          <w:szCs w:val="2"/>
        </w:rPr>
      </w:pPr>
      <w:r>
        <w:br w:type="page"/>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both"/>
      </w:pPr>
      <w:r>
        <w:rPr>
          <w:color w:val="000000"/>
          <w:spacing w:val="0"/>
          <w:w w:val="100"/>
          <w:position w:val="0"/>
        </w:rPr>
        <w:t>已使用募集资金人民币</w:t>
      </w:r>
      <w:r>
        <w:rPr>
          <w:rFonts w:ascii="Times New Roman" w:eastAsia="Times New Roman" w:hAnsi="Times New Roman" w:cs="Times New Roman"/>
          <w:color w:val="000000"/>
          <w:spacing w:val="0"/>
          <w:w w:val="100"/>
          <w:position w:val="0"/>
          <w:sz w:val="18"/>
          <w:szCs w:val="18"/>
        </w:rPr>
        <w:t>690,207,999.85</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年使用募集资金人民币</w:t>
      </w:r>
      <w:r>
        <w:rPr>
          <w:rFonts w:ascii="Times New Roman" w:eastAsia="Times New Roman" w:hAnsi="Times New Roman" w:cs="Times New Roman"/>
          <w:color w:val="000000"/>
          <w:spacing w:val="0"/>
          <w:w w:val="100"/>
          <w:position w:val="0"/>
          <w:sz w:val="18"/>
          <w:szCs w:val="18"/>
        </w:rPr>
        <w:t>2,274,368.91</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 金存放期间产生专用账户利息收入净额为人民币</w:t>
      </w:r>
      <w:r>
        <w:rPr>
          <w:rFonts w:ascii="Times New Roman" w:eastAsia="Times New Roman" w:hAnsi="Times New Roman" w:cs="Times New Roman"/>
          <w:color w:val="000000"/>
          <w:spacing w:val="0"/>
          <w:w w:val="100"/>
          <w:position w:val="0"/>
          <w:sz w:val="18"/>
          <w:szCs w:val="18"/>
        </w:rPr>
        <w:t>49,824,042.29</w:t>
      </w:r>
      <w:r>
        <w:rPr>
          <w:color w:val="000000"/>
          <w:spacing w:val="0"/>
          <w:w w:val="100"/>
          <w:position w:val="0"/>
        </w:rPr>
        <w:t>元（已扣除相关手续费和账户维护费）。截止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43,209,484.94</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6"/>
      <w:bookmarkEnd w:id="207"/>
      <w:bookmarkEnd w:id="209"/>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2"/>
              <w:keepNext w:val="0"/>
              <w:keepLines w:val="0"/>
              <w:widowControl w:val="0"/>
              <w:shd w:val="clear" w:color="auto" w:fill="auto"/>
              <w:bidi w:val="0"/>
              <w:spacing w:before="0" w:after="0" w:line="302" w:lineRule="exact"/>
              <w:ind w:left="0" w:right="28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1.3D</w:t>
            </w:r>
            <w:r>
              <w:rPr>
                <w:color w:val="000000"/>
                <w:spacing w:val="0"/>
                <w:w w:val="100"/>
                <w:position w:val="0"/>
              </w:rPr>
              <w:t>游戏《盟军》开 发项目（暂定名）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2.2.5D</w:t>
            </w:r>
            <w:r>
              <w:rPr>
                <w:color w:val="000000"/>
                <w:spacing w:val="0"/>
                <w:w w:val="100"/>
                <w:position w:val="0"/>
              </w:rPr>
              <w:t>游戏《三国游 侠》开发项目（暂定名）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3.2.5D</w:t>
            </w:r>
            <w:r>
              <w:rPr>
                <w:color w:val="000000"/>
                <w:spacing w:val="0"/>
                <w:w w:val="100"/>
                <w:position w:val="0"/>
              </w:rPr>
              <w:t>游戏《新宋演 义》开发项目（暂定名）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4.3D</w:t>
            </w:r>
            <w:r>
              <w:rPr>
                <w:color w:val="000000"/>
                <w:spacing w:val="0"/>
                <w:w w:val="100"/>
                <w:position w:val="0"/>
              </w:rPr>
              <w:t>游戏《寻梦园》 开发项目（暂定名）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网络游戏研发技术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苏州研发中心建设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上海美峰数码科技 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股权收 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深圳市苏摩科技有 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股权收购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永久补充流动资金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永久补充流动资金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33,758.43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以游戏产品（非募投 项目产品）推广为目的 的营运投入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增资卓页互动用于 网页游戏产品业务发 展投入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中青聚宝项目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第三方支付平台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聚宝计划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的网络游戏研发项目 的投入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增资卓页网页游戏 的运营和研发投资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永久补充流动资金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39,370.72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5,304.91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73,129.15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626" w:hRule="exact"/>
        </w:trPr>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已累计投入募集资金总额人民币</w:t>
            </w:r>
            <w:r>
              <w:rPr>
                <w:color w:val="000000"/>
                <w:spacing w:val="0"/>
                <w:w w:val="100"/>
                <w:position w:val="0"/>
                <w:sz w:val="18"/>
                <w:szCs w:val="18"/>
              </w:rPr>
              <w:t>71,736.96</w:t>
            </w:r>
            <w:r>
              <w:rPr>
                <w:color w:val="000000"/>
                <w:spacing w:val="0"/>
                <w:w w:val="100"/>
                <w:position w:val="0"/>
              </w:rPr>
              <w:t>万元与下表合计数中的截至期末累计投入金额人民币</w:t>
            </w:r>
            <w:r>
              <w:rPr>
                <w:color w:val="000000"/>
                <w:spacing w:val="0"/>
                <w:w w:val="100"/>
                <w:position w:val="0"/>
                <w:sz w:val="18"/>
                <w:szCs w:val="18"/>
              </w:rPr>
              <w:t>73,129.15</w:t>
            </w:r>
            <w:r>
              <w:rPr>
                <w:color w:val="000000"/>
                <w:spacing w:val="0"/>
                <w:w w:val="100"/>
                <w:position w:val="0"/>
              </w:rPr>
              <w:t>万元存 在差异人民币</w:t>
            </w:r>
            <w:r>
              <w:rPr>
                <w:color w:val="000000"/>
                <w:spacing w:val="0"/>
                <w:w w:val="100"/>
                <w:position w:val="0"/>
                <w:sz w:val="18"/>
                <w:szCs w:val="18"/>
              </w:rPr>
              <w:t>1,392.19</w:t>
            </w:r>
            <w:r>
              <w:rPr>
                <w:color w:val="000000"/>
                <w:spacing w:val="0"/>
                <w:w w:val="100"/>
                <w:position w:val="0"/>
              </w:rPr>
              <w:t>万元，原因系根据公司第二届董事会第二十八次会议决议和</w:t>
            </w:r>
            <w:r>
              <w:rPr>
                <w:color w:val="000000"/>
                <w:spacing w:val="0"/>
                <w:w w:val="100"/>
                <w:position w:val="0"/>
                <w:sz w:val="18"/>
                <w:szCs w:val="18"/>
              </w:rPr>
              <w:t>2013</w:t>
            </w:r>
            <w:r>
              <w:rPr>
                <w:color w:val="000000"/>
                <w:spacing w:val="0"/>
                <w:w w:val="100"/>
                <w:position w:val="0"/>
              </w:rPr>
              <w:t>年度股东大会决议，本公司将全 资子公司深圳中付通</w:t>
            </w:r>
            <w:r>
              <w:rPr>
                <w:color w:val="000000"/>
                <w:spacing w:val="0"/>
                <w:w w:val="100"/>
                <w:position w:val="0"/>
                <w:sz w:val="18"/>
                <w:szCs w:val="18"/>
              </w:rPr>
              <w:t>100%</w:t>
            </w:r>
            <w:r>
              <w:rPr>
                <w:color w:val="000000"/>
                <w:spacing w:val="0"/>
                <w:w w:val="100"/>
                <w:position w:val="0"/>
              </w:rPr>
              <w:t>的股权以人民币</w:t>
            </w:r>
            <w:r>
              <w:rPr>
                <w:color w:val="000000"/>
                <w:spacing w:val="0"/>
                <w:w w:val="100"/>
                <w:position w:val="0"/>
                <w:sz w:val="18"/>
                <w:szCs w:val="18"/>
              </w:rPr>
              <w:t>10,000.00</w:t>
            </w:r>
            <w:r>
              <w:rPr>
                <w:color w:val="000000"/>
                <w:spacing w:val="0"/>
                <w:w w:val="100"/>
                <w:position w:val="0"/>
              </w:rPr>
              <w:t>万元的价格出售给控股股东深圳市宝德投资控股有限公司（以下简称</w:t>
            </w:r>
          </w:p>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 xml:space="preserve">“宝德控股”），同时将收回的股权转让款变更为永久补充流动资金，转让日深圳中付通募集资金账户余额为人民币 </w:t>
            </w:r>
            <w:r>
              <w:rPr>
                <w:color w:val="000000"/>
                <w:spacing w:val="0"/>
                <w:w w:val="100"/>
                <w:position w:val="0"/>
                <w:sz w:val="18"/>
                <w:szCs w:val="18"/>
              </w:rPr>
              <w:t>86,078,055.37</w:t>
            </w:r>
            <w:r>
              <w:rPr>
                <w:color w:val="000000"/>
                <w:spacing w:val="0"/>
                <w:w w:val="100"/>
                <w:position w:val="0"/>
              </w:rPr>
              <w:t>元（含利息收入）；</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报告期内公司召开第三届董事会第十五次会议，审议通过了《关于终止募投项目并将剩余募集资金永久补充流动资 金的议案》，同意终止实施募投项目中“苏州华娱创新投资发展有限公司研发用房项目”，并将该项目剩余募集资金永久 补充流动资金，议案已经公司</w:t>
            </w:r>
            <w:r>
              <w:rPr>
                <w:color w:val="000000"/>
                <w:spacing w:val="0"/>
                <w:w w:val="100"/>
                <w:position w:val="0"/>
                <w:sz w:val="18"/>
                <w:szCs w:val="18"/>
              </w:rPr>
              <w:t>2014</w:t>
            </w:r>
            <w:r>
              <w:rPr>
                <w:color w:val="000000"/>
                <w:spacing w:val="0"/>
                <w:w w:val="100"/>
                <w:position w:val="0"/>
              </w:rPr>
              <w:t>年年度股东大会审议通过。</w:t>
            </w:r>
          </w:p>
        </w:tc>
      </w:tr>
      <w:tr>
        <w:trPr>
          <w:trHeight w:val="22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 xml:space="preserve">游戏《盟军》开发项目（暂定名），未按照计划时间达到项目预计使用状态的原因 是公司为适应市场需求，提升用户游戏体验，延长了产品研发周期。原预计达到使用状态的时间为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日，后续经对该项目进行重新评估，并进行持续不断地优化和完善，已于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日正式进行大规模上线运营。上线后对游戏的稳定性、可玩性一直在做进一步的完善与优化， 暂未达到预计效益。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2.5D</w:t>
            </w:r>
            <w:r>
              <w:rPr>
                <w:color w:val="000000"/>
                <w:spacing w:val="0"/>
                <w:w w:val="100"/>
                <w:position w:val="0"/>
              </w:rPr>
              <w:t>游戏《三国游侠》开发项目（暂定名）和</w:t>
            </w:r>
            <w:r>
              <w:rPr>
                <w:rFonts w:ascii="Times New Roman" w:eastAsia="Times New Roman" w:hAnsi="Times New Roman" w:cs="Times New Roman"/>
                <w:color w:val="000000"/>
                <w:spacing w:val="0"/>
                <w:w w:val="100"/>
                <w:position w:val="0"/>
                <w:sz w:val="18"/>
                <w:szCs w:val="18"/>
              </w:rPr>
              <w:t>2.5D</w:t>
            </w:r>
            <w:r>
              <w:rPr>
                <w:color w:val="000000"/>
                <w:spacing w:val="0"/>
                <w:w w:val="100"/>
                <w:position w:val="0"/>
              </w:rPr>
              <w:t>游戏《新宋演义》开发 项目（暂定名），产品分别于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月进行上线测试运营，因测试过程中发现存在一些问 题，游戏的稳定性、可玩性一直在做进一步的完善与优化。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年改版后，受玩家习惯、偏好以及</w:t>
            </w:r>
          </w:p>
        </w:tc>
      </w:tr>
    </w:tbl>
    <w:p>
      <w:pPr>
        <w:spacing w:lineRule="exact" w:line="1"/>
        <w:rPr>
          <w:sz w:val="2"/>
          <w:szCs w:val="2"/>
        </w:rPr>
      </w:pPr>
      <w:r>
        <w:br w:type="page"/>
      </w:r>
    </w:p>
    <w:tbl>
      <w:tblPr>
        <w:tblOverlap w:val="never"/>
        <w:jc w:val="center"/>
        <w:tblLayout w:type="fixed"/>
      </w:tblPr>
      <w:tblGrid>
        <w:gridCol w:w="1776"/>
        <w:gridCol w:w="7805"/>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市场等因素影响，暂未达到预计效益。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游戏《寻梦园》开发项目（暂定名），由于海外运营收 入缩减及受国内网络游戏行业的转型影响，国内运营效益未实现。另外公司根据产品减值测试办法 计提了该产品的减值准备，暂未达到预计效益。超募项目：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、中青聚宝项目：公司投资的多项游戏 项目标的，暂未达到经济效应。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、增资卓页互动用于网页游戏产品业务发展投入项目与增资卓页网 页游戏的运营和研发投资项目：该两个项目公司实际使用和管理中视作一个项目，我们将效益金额 统计填列在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增资卓页互动用于网页游戏产品业务发展投入</w:t>
            </w:r>
            <w:r>
              <w:rPr>
                <w:color w:val="000000"/>
                <w:spacing w:val="0"/>
                <w:w w:val="100"/>
                <w:position w:val="0"/>
              </w:rPr>
              <w:t>''</w:t>
            </w:r>
            <w:r>
              <w:rPr>
                <w:color w:val="000000"/>
                <w:spacing w:val="0"/>
                <w:w w:val="100"/>
                <w:position w:val="0"/>
              </w:rPr>
              <w:t>项目中，故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增资卓页网页游戏的运营和 研发投资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项目实现的效益填列金额为零。因受所投资子公司经营亏损拖累，加上自身前期积累的无 形资产摊销成本较高，未能达到预计效益。</w:t>
            </w:r>
          </w:p>
        </w:tc>
      </w:tr>
      <w:tr>
        <w:trPr>
          <w:trHeight w:val="32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、苏州研发中心建设项目：因市场发生较大的变化公司一直未对取得的土地进行开发，目前取得的 土地已经被苏州工业园区国土房产局通知收回，苏州工业园区国土房产局将对本公司进行合理补偿。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日，本公司尚未与苏州工业园区国土房产局办妥相关土地补偿手续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年第二次临时股东大会审议通过变更苏州研发中心建设项目的募集资金</w:t>
            </w:r>
            <w:r>
              <w:rPr>
                <w:rFonts w:ascii="Times New Roman" w:eastAsia="Times New Roman" w:hAnsi="Times New Roman" w:cs="Times New Roman"/>
                <w:color w:val="000000"/>
                <w:spacing w:val="0"/>
                <w:w w:val="100"/>
                <w:position w:val="0"/>
                <w:sz w:val="18"/>
                <w:szCs w:val="18"/>
              </w:rPr>
              <w:t xml:space="preserve">8,280.00 </w:t>
            </w:r>
            <w:r>
              <w:rPr>
                <w:color w:val="000000"/>
                <w:spacing w:val="0"/>
                <w:w w:val="100"/>
                <w:position w:val="0"/>
              </w:rPr>
              <w:t>万元用于收购上海美峰数码科技有限公司</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 xml:space="preserve">股权，变更后该项目剩余募集资金为人民币 </w:t>
            </w:r>
            <w:r>
              <w:rPr>
                <w:rFonts w:ascii="Times New Roman" w:eastAsia="Times New Roman" w:hAnsi="Times New Roman" w:cs="Times New Roman"/>
                <w:color w:val="000000"/>
                <w:spacing w:val="0"/>
                <w:w w:val="100"/>
                <w:position w:val="0"/>
                <w:sz w:val="18"/>
                <w:szCs w:val="18"/>
              </w:rPr>
              <w:t>3,220.00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年年度股东大会审议通过，公司终止实施该募投项 目，并将该项目剩余募集资金永久补充流动资金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、第三方支付平台：因支付牌照未能申请下来， 深圳中付通一直未能开展相关业务，经公司第二届董事会第二十八次会议决议和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 决议，本公司将深圳中付通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万元的价格出售给宝德控股，同时将收 回股权转让款变更为永久补充流动资金-</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89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公司募集资金净额为人民币</w:t>
            </w:r>
            <w:r>
              <w:rPr>
                <w:rFonts w:ascii="Times New Roman" w:eastAsia="Times New Roman" w:hAnsi="Times New Roman" w:cs="Times New Roman"/>
                <w:color w:val="000000"/>
                <w:spacing w:val="0"/>
                <w:w w:val="100"/>
                <w:position w:val="0"/>
                <w:sz w:val="18"/>
                <w:szCs w:val="18"/>
              </w:rPr>
              <w:t>71,075.50</w:t>
            </w:r>
            <w:r>
              <w:rPr>
                <w:color w:val="000000"/>
                <w:spacing w:val="0"/>
                <w:w w:val="100"/>
                <w:position w:val="0"/>
              </w:rPr>
              <w:t>万元，承诺投资项目合计使用人民币</w:t>
            </w:r>
            <w:r>
              <w:rPr>
                <w:rFonts w:ascii="Times New Roman" w:eastAsia="Times New Roman" w:hAnsi="Times New Roman" w:cs="Times New Roman"/>
                <w:color w:val="000000"/>
                <w:spacing w:val="0"/>
                <w:w w:val="100"/>
                <w:position w:val="0"/>
                <w:sz w:val="18"/>
                <w:szCs w:val="18"/>
              </w:rPr>
              <w:t>34,951.00</w:t>
            </w:r>
            <w:r>
              <w:rPr>
                <w:color w:val="000000"/>
                <w:spacing w:val="0"/>
                <w:w w:val="100"/>
                <w:position w:val="0"/>
              </w:rPr>
              <w:t>万元，超募资 金人民币</w:t>
            </w:r>
            <w:r>
              <w:rPr>
                <w:rFonts w:ascii="Times New Roman" w:eastAsia="Times New Roman" w:hAnsi="Times New Roman" w:cs="Times New Roman"/>
                <w:color w:val="000000"/>
                <w:spacing w:val="0"/>
                <w:w w:val="100"/>
                <w:position w:val="0"/>
                <w:sz w:val="18"/>
                <w:szCs w:val="18"/>
              </w:rPr>
              <w:t>36,124.50</w:t>
            </w:r>
            <w:r>
              <w:rPr>
                <w:color w:val="000000"/>
                <w:spacing w:val="0"/>
                <w:w w:val="100"/>
                <w:position w:val="0"/>
              </w:rPr>
              <w:t>万元，公司将该部分超募资金作为与主营业务相关的营运资金，并根据需要进行 投入使用-截止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日公司已将超募资金作如下安排：</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、经公司第一届董事会第十七 次会议和</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年度股东大会审议通过，同意将其中的人民币</w:t>
            </w:r>
            <w:r>
              <w:rPr>
                <w:rFonts w:ascii="Times New Roman" w:eastAsia="Times New Roman" w:hAnsi="Times New Roman" w:cs="Times New Roman"/>
                <w:color w:val="000000"/>
                <w:spacing w:val="0"/>
                <w:w w:val="100"/>
                <w:position w:val="0"/>
                <w:sz w:val="18"/>
                <w:szCs w:val="18"/>
              </w:rPr>
              <w:t>19,750.00</w:t>
            </w:r>
            <w:r>
              <w:rPr>
                <w:color w:val="000000"/>
                <w:spacing w:val="0"/>
                <w:w w:val="100"/>
                <w:position w:val="0"/>
              </w:rPr>
              <w:t>万元分别用于三个项目，其 中以游戏产品（非募投项目产品）推广为目的的营运投入人民币</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万元、增资卓页互动用于 网页游戏产品业务发展投入人民币</w:t>
            </w:r>
            <w:r>
              <w:rPr>
                <w:rFonts w:ascii="Times New Roman" w:eastAsia="Times New Roman" w:hAnsi="Times New Roman" w:cs="Times New Roman"/>
                <w:color w:val="000000"/>
                <w:spacing w:val="0"/>
                <w:w w:val="100"/>
                <w:position w:val="0"/>
                <w:sz w:val="18"/>
                <w:szCs w:val="18"/>
              </w:rPr>
              <w:t>1,750.00</w:t>
            </w:r>
            <w:r>
              <w:rPr>
                <w:color w:val="000000"/>
                <w:spacing w:val="0"/>
                <w:w w:val="100"/>
                <w:position w:val="0"/>
              </w:rPr>
              <w:t>万元、中青聚宝项目人民币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、经公司 第一届董事会第二十三次会议和</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年度股东大会审议通过，同意将剩余的超募资金人民币 </w:t>
            </w:r>
            <w:r>
              <w:rPr>
                <w:rFonts w:ascii="Times New Roman" w:eastAsia="Times New Roman" w:hAnsi="Times New Roman" w:cs="Times New Roman"/>
                <w:color w:val="000000"/>
                <w:spacing w:val="0"/>
                <w:w w:val="100"/>
                <w:position w:val="0"/>
                <w:sz w:val="18"/>
                <w:szCs w:val="18"/>
              </w:rPr>
              <w:t>16,374.50</w:t>
            </w:r>
            <w:r>
              <w:rPr>
                <w:color w:val="000000"/>
                <w:spacing w:val="0"/>
                <w:w w:val="100"/>
                <w:position w:val="0"/>
              </w:rPr>
              <w:t>万元分别用于两个项目，其中第三方支付平台人民币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聚宝计划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的网络游戏研发项目的投入人民币</w:t>
            </w:r>
            <w:r>
              <w:rPr>
                <w:rFonts w:ascii="Times New Roman" w:eastAsia="Times New Roman" w:hAnsi="Times New Roman" w:cs="Times New Roman"/>
                <w:color w:val="000000"/>
                <w:spacing w:val="0"/>
                <w:w w:val="100"/>
                <w:position w:val="0"/>
                <w:sz w:val="18"/>
                <w:szCs w:val="18"/>
              </w:rPr>
              <w:t>6,374.50</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2870"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66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、经本公司第二届董事会第九次会议和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年年度股东大会审议通过，为加快募集资金使用效率 和提高资金投资回报，公司对中青聚宝项目的部分募集资金进行变更，将人民币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万元用于 增资卓页网页游戏的运营和研发投资项目等方面，投资形式以深圳中青聚宝信息技术有限公司增资 深圳市卓页互动网络科技有限公司。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、经本公司第二届董事会第十七次会议审议通过，公司使用募 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网络游戏研发技术平台项目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结余资金</w:t>
            </w:r>
            <w:r>
              <w:rPr>
                <w:rFonts w:ascii="Times New Roman" w:eastAsia="Times New Roman" w:hAnsi="Times New Roman" w:cs="Times New Roman"/>
                <w:color w:val="000000"/>
                <w:spacing w:val="0"/>
                <w:w w:val="100"/>
                <w:position w:val="0"/>
                <w:sz w:val="18"/>
                <w:szCs w:val="18"/>
              </w:rPr>
              <w:t>821.10</w:t>
            </w:r>
            <w:r>
              <w:rPr>
                <w:color w:val="000000"/>
                <w:spacing w:val="0"/>
                <w:w w:val="100"/>
                <w:position w:val="0"/>
              </w:rPr>
              <w:t>万元（含利息收入）用于永久补充流 动资金-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、经本公司第二届董事会第二十三次（临时）会议和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年度第二次临时股东大会审议 通过，公司变更部分募集资金投资项目及用募集资金和自有资金收购上海美峰数码科技有限公司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股权和深圳市苏摩科技有限公司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股权：本公司将原计划募投项目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苏州研发中心建设项目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8,280.00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“2.5D</w:t>
            </w:r>
            <w:r>
              <w:rPr>
                <w:color w:val="000000"/>
                <w:spacing w:val="0"/>
                <w:w w:val="100"/>
                <w:position w:val="0"/>
              </w:rPr>
              <w:t>游戏《新宋演义》开发项目（暂定名）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游戏《盟</w:t>
            </w:r>
          </w:p>
        </w:tc>
      </w:tr>
    </w:tbl>
    <w:p>
      <w:pPr>
        <w:spacing w:lineRule="exact" w:line="1"/>
        <w:rPr>
          <w:sz w:val="2"/>
          <w:szCs w:val="2"/>
        </w:rPr>
      </w:pPr>
      <w:r>
        <w:br w:type="page"/>
      </w:r>
    </w:p>
    <w:tbl>
      <w:tblPr>
        <w:tblOverlap w:val="never"/>
        <w:jc w:val="center"/>
        <w:tblLayout w:type="fixed"/>
      </w:tblPr>
      <w:tblGrid>
        <w:gridCol w:w="1776"/>
        <w:gridCol w:w="7805"/>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军》开发项目（暂定名）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游戏《寻梦园》开发项目（暂定名）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rPr>
              <w:t>万元共计募集资金</w:t>
            </w:r>
            <w:r>
              <w:rPr>
                <w:rFonts w:ascii="Times New Roman" w:eastAsia="Times New Roman" w:hAnsi="Times New Roman" w:cs="Times New Roman"/>
                <w:color w:val="000000"/>
                <w:spacing w:val="0"/>
                <w:w w:val="100"/>
                <w:position w:val="0"/>
                <w:sz w:val="18"/>
                <w:szCs w:val="18"/>
              </w:rPr>
              <w:t>14,280.00</w:t>
            </w:r>
            <w:r>
              <w:rPr>
                <w:color w:val="000000"/>
                <w:spacing w:val="0"/>
                <w:w w:val="100"/>
                <w:position w:val="0"/>
              </w:rPr>
              <w:t>万元用于收购上海美峰数码科技有限公司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股权收购项目中；将原 计划募投项目</w:t>
            </w:r>
            <w:r>
              <w:rPr>
                <w:rFonts w:ascii="Times New Roman" w:eastAsia="Times New Roman" w:hAnsi="Times New Roman" w:cs="Times New Roman"/>
                <w:color w:val="000000"/>
                <w:spacing w:val="0"/>
                <w:w w:val="100"/>
                <w:position w:val="0"/>
                <w:sz w:val="18"/>
                <w:szCs w:val="18"/>
              </w:rPr>
              <w:t>“2.5D</w:t>
            </w:r>
            <w:r>
              <w:rPr>
                <w:color w:val="000000"/>
                <w:spacing w:val="0"/>
                <w:w w:val="100"/>
                <w:position w:val="0"/>
              </w:rPr>
              <w:t>游戏《三国游侠》开发项目（暂定名）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中募集资金</w:t>
            </w:r>
            <w:r>
              <w:rPr>
                <w:rFonts w:ascii="Times New Roman" w:eastAsia="Times New Roman" w:hAnsi="Times New Roman" w:cs="Times New Roman"/>
                <w:color w:val="000000"/>
                <w:spacing w:val="0"/>
                <w:w w:val="100"/>
                <w:position w:val="0"/>
                <w:sz w:val="18"/>
                <w:szCs w:val="18"/>
              </w:rPr>
              <w:t>2,186.63</w:t>
            </w:r>
            <w:r>
              <w:rPr>
                <w:color w:val="000000"/>
                <w:spacing w:val="0"/>
                <w:w w:val="100"/>
                <w:position w:val="0"/>
              </w:rPr>
              <w:t>万元用于收购深圳 市苏摩科技有限公司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股权收购项目中。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、根据公司第一届董事会第二十三次会议和</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 股东大会决议，本公司将超募资金人民币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万元设立全资子公司深圳中付通用于建立第三方 支付平台，后因支付牌照未能申请下来，深圳中付通一直未能开展相关业务，经公司第二届董事会 第二十八次会议决议和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年度股东大会决议，本公司将深圳中付通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的股权以人民币 </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万元的价格出售给宝德控股，同时将收回的股权转让款变更为永久补充流动资金，转让日 深圳中付通募集资金账户余额为人民币</w:t>
            </w:r>
            <w:r>
              <w:rPr>
                <w:rFonts w:ascii="Times New Roman" w:eastAsia="Times New Roman" w:hAnsi="Times New Roman" w:cs="Times New Roman"/>
                <w:color w:val="000000"/>
                <w:spacing w:val="0"/>
                <w:w w:val="100"/>
                <w:position w:val="0"/>
                <w:sz w:val="18"/>
                <w:szCs w:val="18"/>
              </w:rPr>
              <w:t>86,078,055.37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 度股东大会审议通过，公司终止实施苏州研发中心建设项目，并将该项目剩余募集资金永久补充流 动资金。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日，公司预先已投入募集资金项目的自筹资金合计人民币</w:t>
            </w:r>
            <w:r>
              <w:rPr>
                <w:rFonts w:ascii="Times New Roman" w:eastAsia="Times New Roman" w:hAnsi="Times New Roman" w:cs="Times New Roman"/>
                <w:color w:val="000000"/>
                <w:spacing w:val="0"/>
                <w:w w:val="100"/>
                <w:position w:val="0"/>
                <w:sz w:val="18"/>
                <w:szCs w:val="18"/>
              </w:rPr>
              <w:t>58,193,208.64</w:t>
            </w:r>
            <w:r>
              <w:rPr>
                <w:color w:val="000000"/>
                <w:spacing w:val="0"/>
                <w:w w:val="100"/>
                <w:position w:val="0"/>
              </w:rPr>
              <w:t>元（含 预先投入人民币</w:t>
            </w:r>
            <w:r>
              <w:rPr>
                <w:rFonts w:ascii="Times New Roman" w:eastAsia="Times New Roman" w:hAnsi="Times New Roman" w:cs="Times New Roman"/>
                <w:color w:val="000000"/>
                <w:spacing w:val="0"/>
                <w:w w:val="100"/>
                <w:position w:val="0"/>
                <w:sz w:val="18"/>
                <w:szCs w:val="18"/>
              </w:rPr>
              <w:t>3,750.00</w:t>
            </w:r>
            <w:r>
              <w:rPr>
                <w:color w:val="000000"/>
                <w:spacing w:val="0"/>
                <w:w w:val="100"/>
                <w:position w:val="0"/>
              </w:rPr>
              <w:t>万元投资设立全资子公司苏州华娱创新投资发展有限公司，苏州华娱创新 投资发展有限公司苏州研发中心建设项目实际支出为人民币</w:t>
            </w:r>
            <w:r>
              <w:rPr>
                <w:rFonts w:ascii="Times New Roman" w:eastAsia="Times New Roman" w:hAnsi="Times New Roman" w:cs="Times New Roman"/>
                <w:color w:val="000000"/>
                <w:spacing w:val="0"/>
                <w:w w:val="100"/>
                <w:position w:val="0"/>
                <w:sz w:val="18"/>
                <w:szCs w:val="18"/>
              </w:rPr>
              <w:t>6,468,348.86</w:t>
            </w:r>
            <w:r>
              <w:rPr>
                <w:color w:val="000000"/>
                <w:spacing w:val="0"/>
                <w:w w:val="100"/>
                <w:position w:val="0"/>
              </w:rPr>
              <w:t xml:space="preserve">元，剩余人民币 </w:t>
            </w:r>
            <w:r>
              <w:rPr>
                <w:rFonts w:ascii="Times New Roman" w:eastAsia="Times New Roman" w:hAnsi="Times New Roman" w:cs="Times New Roman"/>
                <w:color w:val="000000"/>
                <w:spacing w:val="0"/>
                <w:w w:val="100"/>
                <w:position w:val="0"/>
                <w:sz w:val="18"/>
                <w:szCs w:val="18"/>
              </w:rPr>
              <w:t>31,031,651.14</w:t>
            </w:r>
            <w:r>
              <w:rPr>
                <w:color w:val="000000"/>
                <w:spacing w:val="0"/>
                <w:w w:val="100"/>
                <w:position w:val="0"/>
              </w:rPr>
              <w:t>元尚未使用），实际置换的预先已投入募集资金项目的自筹资金为人民币</w:t>
            </w:r>
            <w:r>
              <w:rPr>
                <w:rFonts w:ascii="Times New Roman" w:eastAsia="Times New Roman" w:hAnsi="Times New Roman" w:cs="Times New Roman"/>
                <w:color w:val="000000"/>
                <w:spacing w:val="0"/>
                <w:w w:val="100"/>
                <w:position w:val="0"/>
                <w:sz w:val="18"/>
                <w:szCs w:val="18"/>
              </w:rPr>
              <w:t xml:space="preserve">27,161,557.50 </w:t>
            </w:r>
            <w:r>
              <w:rPr>
                <w:color w:val="000000"/>
                <w:spacing w:val="0"/>
                <w:w w:val="100"/>
                <w:position w:val="0"/>
              </w:rPr>
              <w:t>元。本次置换事项已经公司第一届董事会第十八次会议审议通过，且与深圳市鹏城会计师事务所有 限公司于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日出具的《关于深圳市中青宝网网络科技股份有限公司以自筹资金预先投 入募投项目的鉴证报告》（深鹏所股专字</w:t>
            </w:r>
            <w:r>
              <w:rPr>
                <w:rFonts w:ascii="Times New Roman" w:eastAsia="Times New Roman" w:hAnsi="Times New Roman" w:cs="Times New Roman"/>
                <w:color w:val="000000"/>
                <w:spacing w:val="0"/>
                <w:w w:val="100"/>
                <w:position w:val="0"/>
                <w:sz w:val="18"/>
                <w:szCs w:val="18"/>
              </w:rPr>
              <w:t>[2010]327</w:t>
            </w:r>
            <w:r>
              <w:rPr>
                <w:color w:val="000000"/>
                <w:spacing w:val="0"/>
                <w:w w:val="100"/>
                <w:position w:val="0"/>
              </w:rPr>
              <w:t>号）相一致。</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238"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日，根据公司第二届董事会第二十二次会议审议通过了公司《关于使用部分闲置 募集资金暂时补充公司流动资金的议案》，同意使用部分闲置募集资金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万元补充公司流动资 金，使用期限为自董事会审议通过之日起不超过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日，公司已将人民币</w:t>
            </w:r>
            <w:r>
              <w:rPr>
                <w:rFonts w:ascii="Times New Roman" w:eastAsia="Times New Roman" w:hAnsi="Times New Roman" w:cs="Times New Roman"/>
                <w:color w:val="000000"/>
                <w:spacing w:val="0"/>
                <w:w w:val="100"/>
                <w:position w:val="0"/>
                <w:sz w:val="18"/>
                <w:szCs w:val="18"/>
              </w:rPr>
              <w:t xml:space="preserve">4,000.00 </w:t>
            </w:r>
            <w:r>
              <w:rPr>
                <w:color w:val="000000"/>
                <w:spacing w:val="0"/>
                <w:w w:val="100"/>
                <w:position w:val="0"/>
              </w:rPr>
              <w:t>万元归还至公司募集资金专户，同时将上述募集资金的归还情况通知了保荐机构及保荐代表人。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日，根据公司第二届董事会第二十七次（临时）会议审议通过了公司《关于使用部 分闲置募集资金暂时补充公司流动资金的议案》，同意使用部分闲置募集资金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万元补充公 司流动资金，使用期限为自董事会审议通过之日起不超过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日止，公司 已提前归还</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万元至募集资金专用账户，同时将上述募集资金的归还情况通知了保荐机构及 保荐代表人。截至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日止，公司已提前归还</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万元至募集资金专用账户，同时将 上述募集资金的归还情况通知了保荐机构及保荐代表人。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日，根据公司第三届董 事会第二次（临时）会议审议通过了《关于公司使用部分闲置募集资金暂时补充流动资金的议案》， 同意使用公司部分闲置募集资金</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万元，及公司之全资子公司部分闲置募集资金</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 元补充流动资金，使用期限为自董事会审议通过之日起不超过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color w:val="000000"/>
                <w:spacing w:val="0"/>
                <w:w w:val="100"/>
                <w:position w:val="0"/>
                <w:sz w:val="18"/>
                <w:szCs w:val="18"/>
              </w:rPr>
              <w:t>，</w:t>
            </w:r>
            <w:r>
              <w:rPr>
                <w:color w:val="000000"/>
                <w:spacing w:val="0"/>
                <w:w w:val="100"/>
                <w:position w:val="0"/>
              </w:rPr>
              <w:t>以上情况均已知会保荐机构及 保荐代表。截至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日止，公司已归还此款至募集资金专用账户，同时将上述募集资金 的归还情况通知了保荐机构及保荐代表人。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日，公司第三届董事会第八次会议审 议通过了《关于使用部分闲置募集资金暂时补充流动资金的议案》，同意使用公司部分闲置募集资金 </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万元，及公司之全资子公司部分闲置募集资金</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万元补充流动资金，使用期限为自 董事会审议通过之日起不超过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日止，公司已归还此款至募集资金专用账 户，同时将上述募集资金的归还情况通知了保荐机构及保荐代表人。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 三届董事会第十三次（临时）会议审议通过了《关于使用部分闲置募集资金暂时补充流动资金的议 案》，同意使用公司部分闲置募集资金</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万元，及公司之全资子公司部分闲置募集资金</w:t>
            </w: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rPr>
              <w:t>万元补充流动资金，使用期限为自董事会审议通过之日起不超过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 公司已提前归还</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万元至募集资金专用账户，同时将上述募集资金的归还情况通知了保荐机</w:t>
            </w:r>
          </w:p>
        </w:tc>
      </w:tr>
    </w:tbl>
    <w:p>
      <w:pPr>
        <w:spacing w:lineRule="exact" w:line="1"/>
        <w:rPr>
          <w:sz w:val="2"/>
          <w:szCs w:val="2"/>
        </w:rPr>
      </w:pPr>
      <w:r>
        <w:br w:type="page"/>
      </w:r>
    </w:p>
    <w:tbl>
      <w:tblPr>
        <w:tblOverlap w:val="never"/>
        <w:jc w:val="center"/>
        <w:tblLayout w:type="fixed"/>
      </w:tblPr>
      <w:tblGrid>
        <w:gridCol w:w="1776"/>
        <w:gridCol w:w="7805"/>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构及保荐代表人。截至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日止，公司已归还剩余</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万元至募集资金专用账户，同 时将上述募集资金的归还情况通知了保荐机构及保荐代表人。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日，公司第三届董 事会第二十二次（临时）会议审议通过了《关于使用部分闲置募集资金暂时补充流动资金的议案》， 同意使用公司部分闲置募集资金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万元补充流动资金，使用期限为自董事会审议通过之日起不 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日止，公司已提前归还此款至募集资金专用账户，同时将上述 募集资金的归还情况通知了保荐机构及保荐代表人。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日，公司第三届董事会第 三十次（临时）会议审议通过了公司《关于使用部分闲置募集资金暂时补充流动资金的议案》，同意 使用公司部分闲置募集资金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万元补充公司流动资金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使用期限为自董事会审议通过之日起不超 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日尚未归还。</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1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网络游戏研发技术平台项目已于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月底验收完成，该项目原由网络游戏通用引擎、</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 动作捕捉系统及游戏测试系统组成，现验收的项目包括网络游戏通用引擎和游戏测试系统，该项目 完成后，项目资金结余为人民币</w:t>
            </w:r>
            <w:r>
              <w:rPr>
                <w:rFonts w:ascii="Times New Roman" w:eastAsia="Times New Roman" w:hAnsi="Times New Roman" w:cs="Times New Roman"/>
                <w:color w:val="000000"/>
                <w:spacing w:val="0"/>
                <w:w w:val="100"/>
                <w:position w:val="0"/>
                <w:sz w:val="18"/>
                <w:szCs w:val="18"/>
              </w:rPr>
              <w:t>821.10</w:t>
            </w:r>
            <w:r>
              <w:rPr>
                <w:color w:val="000000"/>
                <w:spacing w:val="0"/>
                <w:w w:val="100"/>
                <w:position w:val="0"/>
              </w:rPr>
              <w:t>万元（含利息收入</w:t>
            </w:r>
            <w:r>
              <w:rPr>
                <w:rFonts w:ascii="Times New Roman" w:eastAsia="Times New Roman" w:hAnsi="Times New Roman" w:cs="Times New Roman"/>
                <w:color w:val="000000"/>
                <w:spacing w:val="0"/>
                <w:w w:val="100"/>
                <w:position w:val="0"/>
                <w:sz w:val="18"/>
                <w:szCs w:val="18"/>
              </w:rPr>
              <w:t>158.78</w:t>
            </w:r>
            <w:r>
              <w:rPr>
                <w:color w:val="000000"/>
                <w:spacing w:val="0"/>
                <w:w w:val="100"/>
                <w:position w:val="0"/>
              </w:rPr>
              <w:t xml:space="preserve">万元），结余的原因系原计划购买 </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游戏动作捕捉系统（原计划需人民币</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w:t>
            </w:r>
            <w:r>
              <w:rPr>
                <w:color w:val="000000"/>
                <w:spacing w:val="0"/>
                <w:w w:val="100"/>
                <w:position w:val="0"/>
                <w:sz w:val="18"/>
                <w:szCs w:val="18"/>
              </w:rPr>
              <w:t>，</w:t>
            </w:r>
            <w:r>
              <w:rPr>
                <w:color w:val="000000"/>
                <w:spacing w:val="0"/>
                <w:w w:val="100"/>
                <w:position w:val="0"/>
              </w:rPr>
              <w:t>因行业情况变化等原因导致购置必要性降低， 且公司已储备由美术中心内部培养的专业人才，其已经具备非常强的专业素养与效率，内部经验分 享与沟通有效快捷，在效果与效率上都达到了动作捕捉系统的成效，因此未实施购置该系统，造成 项目资金结余，此结余资金计划转入永久补充流动资金。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日，公司第二届董事会第 十七次会议审核通过《关于将募集资金投资项目结余资金永久补充流动资金的议案》，同意公司使用 募集资金投资项目结余资金</w:t>
            </w:r>
            <w:r>
              <w:rPr>
                <w:rFonts w:ascii="Times New Roman" w:eastAsia="Times New Roman" w:hAnsi="Times New Roman" w:cs="Times New Roman"/>
                <w:color w:val="000000"/>
                <w:spacing w:val="0"/>
                <w:w w:val="100"/>
                <w:position w:val="0"/>
                <w:sz w:val="18"/>
                <w:szCs w:val="18"/>
              </w:rPr>
              <w:t>821.10</w:t>
            </w:r>
            <w:r>
              <w:rPr>
                <w:color w:val="000000"/>
                <w:spacing w:val="0"/>
                <w:w w:val="100"/>
                <w:position w:val="0"/>
              </w:rPr>
              <w:t>万（含利息收入</w:t>
            </w:r>
            <w:r>
              <w:rPr>
                <w:rFonts w:ascii="Times New Roman" w:eastAsia="Times New Roman" w:hAnsi="Times New Roman" w:cs="Times New Roman"/>
                <w:color w:val="000000"/>
                <w:spacing w:val="0"/>
                <w:w w:val="100"/>
                <w:position w:val="0"/>
                <w:sz w:val="18"/>
                <w:szCs w:val="18"/>
              </w:rPr>
              <w:t>158.78</w:t>
            </w:r>
            <w:r>
              <w:rPr>
                <w:color w:val="000000"/>
                <w:spacing w:val="0"/>
                <w:w w:val="100"/>
                <w:position w:val="0"/>
              </w:rPr>
              <w:t xml:space="preserve">万元）永久补充流动资金，该事项已经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尚未使用的超募资金目前存放于募集资金专户中。</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0"/>
      <w:bookmarkEnd w:id="211"/>
      <w:bookmarkEnd w:id="213"/>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截至期末实 际累计投入</w:t>
            </w:r>
          </w:p>
          <w:p>
            <w:pPr>
              <w:pStyle w:val="Style2"/>
              <w:keepNext w:val="0"/>
              <w:keepLines w:val="0"/>
              <w:widowControl w:val="0"/>
              <w:shd w:val="clear" w:color="auto" w:fill="auto"/>
              <w:bidi w:val="0"/>
              <w:spacing w:before="0" w:after="0" w:line="307"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增资卓页 网页游戏的 运营和研发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中青聚宝项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上海美峰 数码科技有 限公司</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股权收购项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苏州研发中 心建设项 目、</w:t>
            </w:r>
            <w:r>
              <w:rPr>
                <w:rFonts w:ascii="Times New Roman" w:eastAsia="Times New Roman" w:hAnsi="Times New Roman" w:cs="Times New Roman"/>
                <w:color w:val="000000"/>
                <w:spacing w:val="0"/>
                <w:w w:val="100"/>
                <w:position w:val="0"/>
                <w:sz w:val="18"/>
                <w:szCs w:val="18"/>
              </w:rPr>
              <w:t>2.5D</w:t>
            </w:r>
            <w:r>
              <w:rPr>
                <w:color w:val="000000"/>
                <w:spacing w:val="0"/>
                <w:w w:val="100"/>
                <w:position w:val="0"/>
              </w:rPr>
              <w:t>游 戏《新宋演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31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义》开发项 目（暂定 名）、</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 戏《盟军》 开发项目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（暂定名）、 </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游戏《寻 梦园》开发 项目（暂定 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深圳市苏 摩科技有限 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 权收购项目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2.5D</w:t>
            </w:r>
            <w:r>
              <w:rPr>
                <w:color w:val="000000"/>
                <w:spacing w:val="0"/>
                <w:w w:val="100"/>
                <w:position w:val="0"/>
              </w:rPr>
              <w:t>游戏</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《三国游 侠》开发项 目（暂定名）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超募资金 项目：永久 补充流动资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第三方支付</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永久补充 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苏州研发中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33,090.85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65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、经本公司第二届董事会第九次会议和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年年度股东大会审议通过，为加快募集 资金使用效率和提高资金投资回报，公司对中青聚宝项目的部分募集资金进行变更， 将人民币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万元用于增资卓页网页游戏的运营和研发投资项目等方面，投资形 式以深圳中青聚宝信息技术有限公司增资深圳市卓页互动网络科技有限公司。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 本公司第二届董事会第二十三次（临时）会议和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年度第二次临时股东大会审议 通过，公司变更部分募集资金投资项目及用募集资金和自有资金收购上海美峰数码科 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股权和深圳市苏摩科技有限公司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股权：本公司将原计划募投项目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8,280.00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“2.5D</w:t>
            </w:r>
            <w:r>
              <w:rPr>
                <w:color w:val="000000"/>
                <w:spacing w:val="0"/>
                <w:w w:val="100"/>
                <w:position w:val="0"/>
              </w:rPr>
              <w:t>游戏《新宋演义》开发项目（暂 定名）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游戏《盟军》开发项目（暂定名）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 元和</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游戏《寻梦园》开发项目（暂定名）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万元共计募集资金</w:t>
            </w:r>
            <w:r>
              <w:rPr>
                <w:rFonts w:ascii="Times New Roman" w:eastAsia="Times New Roman" w:hAnsi="Times New Roman" w:cs="Times New Roman"/>
                <w:color w:val="000000"/>
                <w:spacing w:val="0"/>
                <w:w w:val="100"/>
                <w:position w:val="0"/>
                <w:sz w:val="18"/>
                <w:szCs w:val="18"/>
              </w:rPr>
              <w:t xml:space="preserve">14,280.00 </w:t>
            </w:r>
            <w:r>
              <w:rPr>
                <w:color w:val="000000"/>
                <w:spacing w:val="0"/>
                <w:w w:val="100"/>
                <w:position w:val="0"/>
              </w:rPr>
              <w:t>万元用于收购上海美峰数码科技有限公司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股权收购项目中；将原计划募投项目 </w:t>
            </w:r>
            <w:r>
              <w:rPr>
                <w:rFonts w:ascii="Times New Roman" w:eastAsia="Times New Roman" w:hAnsi="Times New Roman" w:cs="Times New Roman"/>
                <w:color w:val="000000"/>
                <w:spacing w:val="0"/>
                <w:w w:val="100"/>
                <w:position w:val="0"/>
                <w:sz w:val="18"/>
                <w:szCs w:val="18"/>
              </w:rPr>
              <w:t>“2.5D</w:t>
            </w:r>
            <w:r>
              <w:rPr>
                <w:color w:val="000000"/>
                <w:spacing w:val="0"/>
                <w:w w:val="100"/>
                <w:position w:val="0"/>
              </w:rPr>
              <w:t>游戏《三国游侠》开发项目（暂定名）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中募集资金</w:t>
            </w:r>
            <w:r>
              <w:rPr>
                <w:rFonts w:ascii="Times New Roman" w:eastAsia="Times New Roman" w:hAnsi="Times New Roman" w:cs="Times New Roman"/>
                <w:color w:val="000000"/>
                <w:spacing w:val="0"/>
                <w:w w:val="100"/>
                <w:position w:val="0"/>
                <w:sz w:val="18"/>
                <w:szCs w:val="18"/>
              </w:rPr>
              <w:t>2,186.63</w:t>
            </w:r>
            <w:r>
              <w:rPr>
                <w:color w:val="000000"/>
                <w:spacing w:val="0"/>
                <w:w w:val="100"/>
                <w:position w:val="0"/>
              </w:rPr>
              <w:t>万元用于收购深圳 市苏摩科技有限公司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股权收购项目中。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、根据公司第一届董事会第二十三次会 议和</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年度股东大会决议，本公司将超募资金人民币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万元设立全资子公 司深圳中付通用于建立第三方支付平台，后因支付牌照未能申请下来，深圳中付通一 直未能开展相关业务，经公司第二届董事会第二十八次会议决议和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 会决议，本公司将深圳中付通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万元的价格出售给宝德 控股，同时将收回的股权转让款变更为永久补充流动资金，转让日深圳中付通募集资 金账户余额为人民币</w:t>
            </w:r>
            <w:r>
              <w:rPr>
                <w:rFonts w:ascii="Times New Roman" w:eastAsia="Times New Roman" w:hAnsi="Times New Roman" w:cs="Times New Roman"/>
                <w:color w:val="000000"/>
                <w:spacing w:val="0"/>
                <w:w w:val="100"/>
                <w:position w:val="0"/>
                <w:sz w:val="18"/>
                <w:szCs w:val="18"/>
              </w:rPr>
              <w:t>86,078,055.37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 东大会审议通过，公司终止实施苏州研发中心建设项目，并将该项目剩余募集资金永 久补充流动资金。</w:t>
            </w:r>
          </w:p>
        </w:tc>
      </w:tr>
    </w:tbl>
    <w:p>
      <w:pPr>
        <w:spacing w:lineRule="exact" w:line="1"/>
        <w:rPr>
          <w:sz w:val="2"/>
          <w:szCs w:val="2"/>
        </w:rPr>
      </w:pPr>
      <w:r>
        <w:br w:type="page"/>
      </w:r>
    </w:p>
    <w:tbl>
      <w:tblPr>
        <w:tblOverlap w:val="never"/>
        <w:jc w:val="center"/>
        <w:tblLayout w:type="fixed"/>
      </w:tblPr>
      <w:tblGrid>
        <w:gridCol w:w="2875"/>
        <w:gridCol w:w="671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上海美峰、深圳苏摩股权收购项目未达到预计收益的说明：一方面，游戏市场竞争白 热化，公司新游戏推广受到市场压力，数款新游戏尚未开始产生效益，部分游戏经营 情况未达预期；另一方面，公司内部人员结构及业务内容处于优化整合时期，影响公 司整体经营情况。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24"/>
        <w:keepNext/>
        <w:keepLines/>
        <w:widowControl w:val="0"/>
        <w:shd w:val="clear" w:color="auto" w:fill="auto"/>
        <w:tabs>
          <w:tab w:pos="517" w:val="left"/>
        </w:tabs>
        <w:bidi w:val="0"/>
        <w:spacing w:before="0" w:after="3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六</w:t>
      </w:r>
      <w:bookmarkEnd w:id="216"/>
      <w:r>
        <w:rPr>
          <w:color w:val="000000"/>
          <w:spacing w:val="0"/>
          <w:w w:val="100"/>
          <w:position w:val="0"/>
          <w:sz w:val="24"/>
          <w:szCs w:val="24"/>
        </w:rPr>
        <w:t>、</w:t>
        <w:tab/>
        <w:t>重大资产和股权出售</w:t>
      </w:r>
      <w:bookmarkEnd w:id="214"/>
      <w:bookmarkEnd w:id="215"/>
      <w:bookmarkEnd w:id="217"/>
    </w:p>
    <w:p>
      <w:pPr>
        <w:pStyle w:val="Style32"/>
        <w:keepNext/>
        <w:keepLines/>
        <w:widowControl w:val="0"/>
        <w:shd w:val="clear" w:color="auto" w:fill="auto"/>
        <w:tabs>
          <w:tab w:pos="401" w:val="left"/>
        </w:tabs>
        <w:bidi w:val="0"/>
        <w:spacing w:before="0" w:after="38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w:t>
        <w:tab/>
        <w:t>出售重大资产情况</w:t>
      </w:r>
      <w:bookmarkEnd w:id="218"/>
      <w:bookmarkEnd w:id="219"/>
      <w:bookmarkEnd w:id="22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1" w:val="left"/>
        </w:tabs>
        <w:bidi w:val="0"/>
        <w:spacing w:before="0" w:after="38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出售重大股权情况</w:t>
      </w:r>
      <w:bookmarkEnd w:id="222"/>
      <w:bookmarkEnd w:id="223"/>
      <w:bookmarkEnd w:id="225"/>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七</w:t>
      </w:r>
      <w:bookmarkEnd w:id="228"/>
      <w:r>
        <w:rPr>
          <w:color w:val="000000"/>
          <w:spacing w:val="0"/>
          <w:w w:val="100"/>
          <w:position w:val="0"/>
          <w:sz w:val="24"/>
          <w:szCs w:val="24"/>
        </w:rPr>
        <w:t>、</w:t>
        <w:tab/>
        <w:t>主要控股参股公司分析</w:t>
      </w:r>
      <w:bookmarkEnd w:id="226"/>
      <w:bookmarkEnd w:id="227"/>
      <w:bookmarkEnd w:id="22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28,663,003.7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3,849,172.91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34,380,793.9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-67,721,826.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-72,756,083.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30,267,162.9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27,785,485.4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19,256,069.8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9,465,442.61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7,527,873.13</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-2,206,722.46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深圳前海今古时代文化传媒有限公司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深圳市天地间文化传媒有限公司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-193,866.65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北京中青宝长城文化科技有限公司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-286,100.86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北京乐乐堂科技有限责任公司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4"/>
        <w:keepNext/>
        <w:keepLines/>
        <w:widowControl w:val="0"/>
        <w:shd w:val="clear" w:color="auto" w:fill="auto"/>
        <w:tabs>
          <w:tab w:pos="458" w:val="left"/>
        </w:tabs>
        <w:bidi w:val="0"/>
        <w:spacing w:before="0" w:after="38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八</w:t>
      </w:r>
      <w:bookmarkEnd w:id="232"/>
      <w:r>
        <w:rPr>
          <w:color w:val="000000"/>
          <w:spacing w:val="0"/>
          <w:w w:val="100"/>
          <w:position w:val="0"/>
          <w:sz w:val="24"/>
          <w:szCs w:val="24"/>
        </w:rPr>
        <w:t>、</w:t>
        <w:tab/>
        <w:t>公司控制的结构化主体情况</w:t>
      </w:r>
      <w:bookmarkEnd w:id="230"/>
      <w:bookmarkEnd w:id="231"/>
      <w:bookmarkEnd w:id="233"/>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58" w:val="left"/>
        </w:tabs>
        <w:bidi w:val="0"/>
        <w:spacing w:before="0" w:after="38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九</w:t>
      </w:r>
      <w:bookmarkEnd w:id="236"/>
      <w:r>
        <w:rPr>
          <w:color w:val="000000"/>
          <w:spacing w:val="0"/>
          <w:w w:val="100"/>
          <w:position w:val="0"/>
          <w:sz w:val="24"/>
          <w:szCs w:val="24"/>
        </w:rPr>
        <w:t>、</w:t>
        <w:tab/>
        <w:t>公司未来发展的展望</w:t>
      </w:r>
      <w:bookmarkEnd w:id="234"/>
      <w:bookmarkEnd w:id="235"/>
      <w:bookmarkEnd w:id="237"/>
    </w:p>
    <w:p>
      <w:pPr>
        <w:pStyle w:val="Style26"/>
        <w:keepNext w:val="0"/>
        <w:keepLines w:val="0"/>
        <w:widowControl w:val="0"/>
        <w:shd w:val="clear" w:color="auto" w:fill="auto"/>
        <w:tabs>
          <w:tab w:pos="433" w:val="left"/>
        </w:tabs>
        <w:bidi w:val="0"/>
        <w:spacing w:before="0" w:after="0" w:line="360" w:lineRule="auto"/>
        <w:ind w:left="0" w:right="0" w:firstLine="0"/>
        <w:jc w:val="left"/>
      </w:pPr>
      <w:bookmarkStart w:id="238" w:name="bookmark238"/>
      <w:r>
        <w:rPr>
          <w:rFonts w:ascii="Times New Roman" w:eastAsia="Times New Roman" w:hAnsi="Times New Roman" w:cs="Times New Roman"/>
          <w:color w:val="000000"/>
          <w:spacing w:val="0"/>
          <w:w w:val="100"/>
          <w:position w:val="0"/>
          <w:sz w:val="18"/>
          <w:szCs w:val="18"/>
        </w:rPr>
        <w:t>（</w:t>
      </w:r>
      <w:bookmarkEnd w:id="238"/>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行业趋势</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根据中国信息通信研究院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月发布的《互联网发展趋势报告》中阐述，目前：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、全球移动互联网连接增长步入 动力转换阶段。全球互联网正从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人人相联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万物互联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迈进。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、全球消费领域中，融合互联网与物联网特征的智能可穿 戴设备快速普及，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年全球出货量增长</w:t>
      </w:r>
      <w:r>
        <w:rPr>
          <w:rFonts w:ascii="Times New Roman" w:eastAsia="Times New Roman" w:hAnsi="Times New Roman" w:cs="Times New Roman"/>
          <w:color w:val="000000"/>
          <w:spacing w:val="0"/>
          <w:w w:val="100"/>
          <w:position w:val="0"/>
          <w:sz w:val="18"/>
          <w:szCs w:val="18"/>
        </w:rPr>
        <w:t>38.2%</w:t>
      </w:r>
      <w:r>
        <w:rPr>
          <w:color w:val="000000"/>
          <w:spacing w:val="0"/>
          <w:w w:val="100"/>
          <w:position w:val="0"/>
        </w:rPr>
        <w:t>，达到</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、人工智能与虚拟现实成为探索的焦点；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、中国本土第三方 应用数量超过</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万款，分发规模超过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万亿次，超过全球市场。公司作为率先上市的老牌互联网游戏公司，通过在主营业 务游戏的多年研究，公司判断电子竞技将成为游戏行业未来重要发展方向，据此，公司将加强对竞技类游戏的研发、重视对 新技术的应用，公司竞技类项目《最后一炮》将作为公司自主研发运营的军事类竞技游戏切入这一市场。公司基于公司发展 战略及研究报告中对互联网发展趋势的判断，认为云储存、云服务市场需求面临爆发式增长。据此，公司决定进一步深化公 司云服务业务的发展，于报告期内对云服务公司深圳宝腾互联进行收购，待收购完成后将有助于公司的战略转型，进一步增 加公司技术储备和盈利能力，完善公司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游戏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的产业链布局，提高公司在行业中的竞争力；为紧跟互联网的发展的脚步， 公司积极推进当前行业热门技术</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技术的应用，将</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rPr>
        <w:t>技术运用到文化旅游、竞技游戏中，打造科技文化一体化的 主题公园和高科技竞技类网游，为公司未来高速发展做储备。</w:t>
      </w:r>
    </w:p>
    <w:p>
      <w:pPr>
        <w:pStyle w:val="Style26"/>
        <w:keepNext w:val="0"/>
        <w:keepLines w:val="0"/>
        <w:widowControl w:val="0"/>
        <w:shd w:val="clear" w:color="auto" w:fill="auto"/>
        <w:tabs>
          <w:tab w:pos="433" w:val="left"/>
        </w:tabs>
        <w:bidi w:val="0"/>
        <w:spacing w:before="0" w:after="0" w:line="360" w:lineRule="auto"/>
        <w:ind w:left="0" w:right="0" w:firstLine="0"/>
        <w:jc w:val="left"/>
      </w:pPr>
      <w:bookmarkStart w:id="239" w:name="bookmark239"/>
      <w:r>
        <w:rPr>
          <w:rFonts w:ascii="Times New Roman" w:eastAsia="Times New Roman" w:hAnsi="Times New Roman" w:cs="Times New Roman"/>
          <w:color w:val="000000"/>
          <w:spacing w:val="0"/>
          <w:w w:val="100"/>
          <w:position w:val="0"/>
          <w:sz w:val="18"/>
          <w:szCs w:val="18"/>
        </w:rPr>
        <w:t>（</w:t>
      </w:r>
      <w:bookmarkEnd w:id="239"/>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公司发展战略</w:t>
      </w:r>
    </w:p>
    <w:p>
      <w:pPr>
        <w:pStyle w:val="Style26"/>
        <w:keepNext w:val="0"/>
        <w:keepLines w:val="0"/>
        <w:widowControl w:val="0"/>
        <w:shd w:val="clear" w:color="auto" w:fill="auto"/>
        <w:tabs>
          <w:tab w:pos="283" w:val="left"/>
        </w:tabs>
        <w:bidi w:val="0"/>
        <w:spacing w:before="0" w:after="0" w:line="360" w:lineRule="auto"/>
        <w:ind w:left="0" w:right="0" w:firstLine="0"/>
        <w:jc w:val="left"/>
      </w:pPr>
      <w:bookmarkStart w:id="240" w:name="bookmark240"/>
      <w:r>
        <w:rPr>
          <w:rFonts w:ascii="Times New Roman" w:eastAsia="Times New Roman" w:hAnsi="Times New Roman" w:cs="Times New Roman"/>
          <w:color w:val="000000"/>
          <w:spacing w:val="0"/>
          <w:w w:val="100"/>
          <w:position w:val="0"/>
          <w:sz w:val="18"/>
          <w:szCs w:val="18"/>
        </w:rPr>
        <w:t>1</w:t>
      </w:r>
      <w:bookmarkEnd w:id="240"/>
      <w:r>
        <w:rPr>
          <w:color w:val="000000"/>
          <w:spacing w:val="0"/>
          <w:w w:val="100"/>
          <w:position w:val="0"/>
        </w:rPr>
        <w:t>、</w:t>
        <w:tab/>
        <w:t>游戏行业</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随着互联网行业的发展，单一的网游业务已不能满足不断变化的市场竞争，面对快速发展的行业大环境以及游戏行业 的竞争加剧，公司的近年来对所处游戏行业的不断进行深度探索；对自主研发、运营、代理能力的不断积累；对产业链上下 游的广泛布局，同时公司不断加强对于新业务、新领域的布局和拓展和投入。中青宝依托游戏行业多年积累，对新业务的开 发与加强是实现中青宝全面提升各项业务盈利能力、满足快速发展的市场需求、开发新的盈利增长点的重要手段。公司主打 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最后一炮</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版本计划已于报告期内开始，使用目前业内顶级的虚幻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引擎来进行游戏制作。目前，《最后一炮》的</w:t>
      </w:r>
      <w:r>
        <w:rPr>
          <w:rFonts w:ascii="Times New Roman" w:eastAsia="Times New Roman" w:hAnsi="Times New Roman" w:cs="Times New Roman"/>
          <w:color w:val="000000"/>
          <w:spacing w:val="0"/>
          <w:w w:val="100"/>
          <w:position w:val="0"/>
          <w:sz w:val="18"/>
          <w:szCs w:val="18"/>
        </w:rPr>
        <w:t xml:space="preserve">VR </w:t>
      </w:r>
      <w:r>
        <w:rPr>
          <w:color w:val="000000"/>
          <w:spacing w:val="0"/>
          <w:w w:val="100"/>
          <w:position w:val="0"/>
        </w:rPr>
        <w:t>版游戏中的车库、地图、载具、玩法系统、界面等内容已制作完成，预计于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年于索尼和</w:t>
      </w:r>
      <w:r>
        <w:rPr>
          <w:rFonts w:ascii="Times New Roman" w:eastAsia="Times New Roman" w:hAnsi="Times New Roman" w:cs="Times New Roman"/>
          <w:color w:val="000000"/>
          <w:spacing w:val="0"/>
          <w:w w:val="100"/>
          <w:position w:val="0"/>
          <w:sz w:val="18"/>
          <w:szCs w:val="18"/>
        </w:rPr>
        <w:t>s team</w:t>
      </w:r>
      <w:r>
        <w:rPr>
          <w:color w:val="000000"/>
          <w:spacing w:val="0"/>
          <w:w w:val="100"/>
          <w:position w:val="0"/>
        </w:rPr>
        <w:t>平台发布。</w:t>
      </w:r>
    </w:p>
    <w:p>
      <w:pPr>
        <w:pStyle w:val="Style26"/>
        <w:keepNext w:val="0"/>
        <w:keepLines w:val="0"/>
        <w:widowControl w:val="0"/>
        <w:shd w:val="clear" w:color="auto" w:fill="auto"/>
        <w:tabs>
          <w:tab w:pos="294" w:val="left"/>
        </w:tabs>
        <w:bidi w:val="0"/>
        <w:spacing w:before="0" w:after="0" w:line="360" w:lineRule="auto"/>
        <w:ind w:left="0" w:right="0" w:firstLine="0"/>
        <w:jc w:val="left"/>
      </w:pPr>
      <w:bookmarkStart w:id="241" w:name="bookmark241"/>
      <w:r>
        <w:rPr>
          <w:rFonts w:ascii="Times New Roman" w:eastAsia="Times New Roman" w:hAnsi="Times New Roman" w:cs="Times New Roman"/>
          <w:color w:val="000000"/>
          <w:spacing w:val="0"/>
          <w:w w:val="100"/>
          <w:position w:val="0"/>
          <w:sz w:val="18"/>
          <w:szCs w:val="18"/>
        </w:rPr>
        <w:t>2</w:t>
      </w:r>
      <w:bookmarkEnd w:id="241"/>
      <w:r>
        <w:rPr>
          <w:color w:val="000000"/>
          <w:spacing w:val="0"/>
          <w:w w:val="100"/>
          <w:position w:val="0"/>
        </w:rPr>
        <w:t>、</w:t>
        <w:tab/>
        <w:t>云服务行业</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基于公司发展战略及实际经营需要，公司拟以现金收购云服务公司深圳宝腾互联，收购完成后深圳宝腾互联将向公司 注入服务器业务资产和数据中心业务资产，有助于加快推进公司战略方向上的转型，实现弯道超车，增强公司盈利能力，对 公司的跨越式发展具有重要的意义。同时，有助于公司更好地提升技术储备和服务能力，完善公司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游戏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的产业链布局， 提高公司的行业地位。</w:t>
      </w:r>
    </w:p>
    <w:p>
      <w:pPr>
        <w:pStyle w:val="Style26"/>
        <w:keepNext w:val="0"/>
        <w:keepLines w:val="0"/>
        <w:widowControl w:val="0"/>
        <w:shd w:val="clear" w:color="auto" w:fill="auto"/>
        <w:tabs>
          <w:tab w:pos="294" w:val="left"/>
        </w:tabs>
        <w:bidi w:val="0"/>
        <w:spacing w:before="0" w:after="0" w:line="360" w:lineRule="auto"/>
        <w:ind w:left="0" w:right="0" w:firstLine="0"/>
        <w:jc w:val="left"/>
      </w:pPr>
      <w:bookmarkStart w:id="242" w:name="bookmark242"/>
      <w:r>
        <w:rPr>
          <w:rFonts w:ascii="Times New Roman" w:eastAsia="Times New Roman" w:hAnsi="Times New Roman" w:cs="Times New Roman"/>
          <w:color w:val="000000"/>
          <w:spacing w:val="0"/>
          <w:w w:val="100"/>
          <w:position w:val="0"/>
          <w:sz w:val="18"/>
          <w:szCs w:val="18"/>
        </w:rPr>
        <w:t>3</w:t>
      </w:r>
      <w:bookmarkEnd w:id="242"/>
      <w:r>
        <w:rPr>
          <w:color w:val="000000"/>
          <w:spacing w:val="0"/>
          <w:w w:val="100"/>
          <w:position w:val="0"/>
        </w:rPr>
        <w:t>、</w:t>
        <w:tab/>
        <w:t>科技文旅行业</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公司结合市场发展趋势，有效整合产业资源，优化公司的业务结构，增强公司的市场竞争力。</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年公司主要围绕凤 凰科技旅游主题公园项目为核心，持续推动与凤凰县政府合作建立关系，结合在游戏行业多年积累的经验，将科技与文化旅 游有机结合，推动该项目持续发展。同时为了加强公司轻资产运营模式，摆脱主题公园开发回收周期长的弱点，公司也将积 极拓展知识产权输出、智慧旅游及垂直旅游营销平台等轻资产运营项目，增加公司的财务盈利点。</w:t>
      </w:r>
    </w:p>
    <w:p>
      <w:pPr>
        <w:pStyle w:val="Style26"/>
        <w:keepNext w:val="0"/>
        <w:keepLines w:val="0"/>
        <w:widowControl w:val="0"/>
        <w:shd w:val="clear" w:color="auto" w:fill="auto"/>
        <w:bidi w:val="0"/>
        <w:spacing w:before="0" w:after="0" w:line="312" w:lineRule="exact"/>
        <w:ind w:left="0" w:right="0" w:firstLine="0"/>
        <w:jc w:val="left"/>
      </w:pPr>
      <w:bookmarkStart w:id="243" w:name="bookmark243"/>
      <w:r>
        <w:rPr>
          <w:color w:val="000000"/>
          <w:spacing w:val="0"/>
          <w:w w:val="100"/>
          <w:position w:val="0"/>
        </w:rPr>
        <w:t>（</w:t>
      </w:r>
      <w:bookmarkEnd w:id="243"/>
      <w:r>
        <w:rPr>
          <w:color w:val="000000"/>
          <w:spacing w:val="0"/>
          <w:w w:val="100"/>
          <w:position w:val="0"/>
        </w:rPr>
        <w:t>三）经营计划</w:t>
      </w:r>
    </w:p>
    <w:p>
      <w:pPr>
        <w:pStyle w:val="Style26"/>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公司继续自身业务的突破创新，主动调整业务结构。在具体项目方面，公司选择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高精尖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的道路，在公司治理层面进 行人员调控、资源调配，淘汰公司盈利能力弱的项目，继续集中精力投入精品项目，以期取得显著效果。公司将继续筛选并 打造高品质游戏，坚持精细化运营品质，避免资本市场浮躁氛围的影响。在报告期内公司在游戏业务上持续突破，在新业务 方向深度调研，均达到预期目标。未来，公司将进一步优化主营业务，强化核心竞争力。另一方面，公司注重新业务开发， 通过多点布局实现目标。</w:t>
      </w:r>
    </w:p>
    <w:p>
      <w:pPr>
        <w:pStyle w:val="Style26"/>
        <w:keepNext w:val="0"/>
        <w:keepLines w:val="0"/>
        <w:widowControl w:val="0"/>
        <w:shd w:val="clear" w:color="auto" w:fill="auto"/>
        <w:bidi w:val="0"/>
        <w:spacing w:before="0" w:after="0" w:line="360" w:lineRule="auto"/>
        <w:ind w:left="0" w:right="0" w:firstLine="0"/>
        <w:jc w:val="left"/>
      </w:pPr>
      <w:bookmarkStart w:id="244" w:name="bookmark244"/>
      <w:r>
        <w:rPr>
          <w:rFonts w:ascii="Times New Roman" w:eastAsia="Times New Roman" w:hAnsi="Times New Roman" w:cs="Times New Roman"/>
          <w:color w:val="000000"/>
          <w:spacing w:val="0"/>
          <w:w w:val="100"/>
          <w:position w:val="0"/>
          <w:sz w:val="18"/>
          <w:szCs w:val="18"/>
        </w:rPr>
        <w:t>（</w:t>
      </w:r>
      <w:bookmarkEnd w:id="244"/>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可能面对的风险</w:t>
      </w:r>
    </w:p>
    <w:p>
      <w:pPr>
        <w:pStyle w:val="Style26"/>
        <w:keepNext w:val="0"/>
        <w:keepLines w:val="0"/>
        <w:widowControl w:val="0"/>
        <w:shd w:val="clear" w:color="auto" w:fill="auto"/>
        <w:bidi w:val="0"/>
        <w:spacing w:before="0" w:after="100" w:line="360" w:lineRule="auto"/>
        <w:ind w:left="0" w:right="0" w:firstLine="0"/>
        <w:jc w:val="left"/>
      </w:pPr>
      <w:bookmarkStart w:id="245" w:name="bookmark245"/>
      <w:r>
        <w:rPr>
          <w:rFonts w:ascii="Times New Roman" w:eastAsia="Times New Roman" w:hAnsi="Times New Roman" w:cs="Times New Roman"/>
          <w:color w:val="000000"/>
          <w:spacing w:val="0"/>
          <w:w w:val="100"/>
          <w:position w:val="0"/>
          <w:sz w:val="18"/>
          <w:szCs w:val="18"/>
        </w:rPr>
        <w:t>1</w:t>
      </w:r>
      <w:bookmarkEnd w:id="245"/>
      <w:r>
        <w:rPr>
          <w:color w:val="000000"/>
          <w:spacing w:val="0"/>
          <w:w w:val="100"/>
          <w:position w:val="0"/>
        </w:rPr>
        <w:t>、市场风险</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市场风险主要表现为政策法规、市场需求、市场竞争等方面所面临的风险。（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）市场需求的变化：随着市场的发展和 游戏玩家体验的提升，游戏玩家对游戏质量的要求越来越高，游戏市场的兴趣趋向多元化,公司游戏产品研发投入大周期长， 若无法适应快速变化的市场需求，公司经营将面临风险。（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）市场竞争风险：当市场内竞争者数量增加，市场竞争加剧，获 取玩家以及留存玩家难度加大，面对更多元化的竞争产品和更高强度的竞争，公司如果不能紧跟市场发展，持续强化自身核 心竞争力，存在产品毛利率下降、成本上升、游戏生命周期缩短、被竞争者淘汰的风险。</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应对措施：</w:t>
      </w:r>
    </w:p>
    <w:p>
      <w:pPr>
        <w:pStyle w:val="Style26"/>
        <w:keepNext w:val="0"/>
        <w:keepLines w:val="0"/>
        <w:widowControl w:val="0"/>
        <w:shd w:val="clear" w:color="auto" w:fill="auto"/>
        <w:tabs>
          <w:tab w:pos="490" w:val="left"/>
        </w:tabs>
        <w:bidi w:val="0"/>
        <w:spacing w:before="0" w:after="0" w:line="314" w:lineRule="exact"/>
        <w:ind w:left="0" w:right="0" w:firstLine="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公司应该严格遵守国家制定的法律法规，根据国家制定法规自主进行调整，响应国家的号召打造充满爱国主义精神的 红色网游，向社会输送正能量。</w:t>
      </w:r>
    </w:p>
    <w:p>
      <w:pPr>
        <w:pStyle w:val="Style26"/>
        <w:keepNext w:val="0"/>
        <w:keepLines w:val="0"/>
        <w:widowControl w:val="0"/>
        <w:shd w:val="clear" w:color="auto" w:fill="auto"/>
        <w:tabs>
          <w:tab w:pos="490" w:val="left"/>
        </w:tabs>
        <w:bidi w:val="0"/>
        <w:spacing w:before="0" w:after="100" w:line="314" w:lineRule="exact"/>
        <w:ind w:left="0" w:right="0" w:firstLine="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公司将不断致力于提升管理水平和创新能力，打造差异化的产品和服务，改善用户的游戏体验，增强用户的粘性，保 持竞争优势；通过持续开发出新的精品游戏，不断强化自身核心优势，扩大市场份额。</w:t>
      </w:r>
    </w:p>
    <w:p>
      <w:pPr>
        <w:pStyle w:val="Style26"/>
        <w:keepNext w:val="0"/>
        <w:keepLines w:val="0"/>
        <w:widowControl w:val="0"/>
        <w:shd w:val="clear" w:color="auto" w:fill="auto"/>
        <w:tabs>
          <w:tab w:pos="313" w:val="left"/>
        </w:tabs>
        <w:bidi w:val="0"/>
        <w:spacing w:before="0" w:after="0" w:line="360" w:lineRule="auto"/>
        <w:ind w:left="0" w:right="0" w:firstLine="0"/>
        <w:jc w:val="both"/>
      </w:pPr>
      <w:bookmarkStart w:id="248" w:name="bookmark248"/>
      <w:r>
        <w:rPr>
          <w:rFonts w:ascii="Times New Roman" w:eastAsia="Times New Roman" w:hAnsi="Times New Roman" w:cs="Times New Roman"/>
          <w:color w:val="000000"/>
          <w:spacing w:val="0"/>
          <w:w w:val="100"/>
          <w:position w:val="0"/>
          <w:sz w:val="18"/>
          <w:szCs w:val="18"/>
        </w:rPr>
        <w:t>2</w:t>
      </w:r>
      <w:bookmarkEnd w:id="248"/>
      <w:r>
        <w:rPr>
          <w:color w:val="000000"/>
          <w:spacing w:val="0"/>
          <w:w w:val="100"/>
          <w:position w:val="0"/>
        </w:rPr>
        <w:t>、</w:t>
        <w:tab/>
        <w:t>行业和政策风险</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网络游戏行业受文化和新闻出版、工业信息等部门监管，在中国境内从事移动网络游戏运营的，需要取得许可，存在不通过 的风险。新开发的游戏需要在相关部门备案并通过出版行政部门审批，存在无法上线的风险。游戏内虚拟货币经营业务需取 得额外批准或许可，我国尚未出台虚拟资产产权监管的法律法规，因此政策上存在不确定性。</w:t>
      </w:r>
    </w:p>
    <w:p>
      <w:pPr>
        <w:pStyle w:val="Style2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应对措施：公司全力配合政府和管理机构的工作，确保业务和经营的合法合规，尽可能降低潜在的政策风险。同时对行业最 新的法律法规保持关注，及时更新避免违规风险。</w:t>
      </w:r>
    </w:p>
    <w:p>
      <w:pPr>
        <w:pStyle w:val="Style26"/>
        <w:keepNext w:val="0"/>
        <w:keepLines w:val="0"/>
        <w:widowControl w:val="0"/>
        <w:shd w:val="clear" w:color="auto" w:fill="auto"/>
        <w:tabs>
          <w:tab w:pos="313" w:val="left"/>
        </w:tabs>
        <w:bidi w:val="0"/>
        <w:spacing w:before="0" w:after="0" w:line="360" w:lineRule="auto"/>
        <w:ind w:left="0" w:right="0" w:firstLine="0"/>
        <w:jc w:val="both"/>
      </w:pPr>
      <w:bookmarkStart w:id="249" w:name="bookmark249"/>
      <w:r>
        <w:rPr>
          <w:rFonts w:ascii="Times New Roman" w:eastAsia="Times New Roman" w:hAnsi="Times New Roman" w:cs="Times New Roman"/>
          <w:color w:val="000000"/>
          <w:spacing w:val="0"/>
          <w:w w:val="100"/>
          <w:position w:val="0"/>
          <w:sz w:val="18"/>
          <w:szCs w:val="18"/>
        </w:rPr>
        <w:t>3</w:t>
      </w:r>
      <w:bookmarkEnd w:id="249"/>
      <w:r>
        <w:rPr>
          <w:color w:val="000000"/>
          <w:spacing w:val="0"/>
          <w:w w:val="100"/>
          <w:position w:val="0"/>
        </w:rPr>
        <w:t>、</w:t>
        <w:tab/>
        <w:t>投资风险</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由于互联网行业和智能手机技术的飞速发展，手机游戏市场面临多方面的挑战。在这个快速发展灵活多变的市场中生 存，除了加强自身研发能力之外，收购整合及资产重组同行业或上下游企业是公司的重要战略规划之一，但资产重组或兼并 将带来不确定性风险或者投资失败的风险。</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应对措施：</w:t>
      </w:r>
    </w:p>
    <w:p>
      <w:pPr>
        <w:pStyle w:val="Style26"/>
        <w:keepNext w:val="0"/>
        <w:keepLines w:val="0"/>
        <w:widowControl w:val="0"/>
        <w:shd w:val="clear" w:color="auto" w:fill="auto"/>
        <w:tabs>
          <w:tab w:pos="399" w:val="left"/>
        </w:tabs>
        <w:bidi w:val="0"/>
        <w:spacing w:before="0" w:after="0" w:line="314" w:lineRule="exact"/>
        <w:ind w:left="0" w:right="0" w:firstLine="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公司会在收购兼并前对自身实力进行评估，避免高估自身的资金实力；</w:t>
      </w:r>
    </w:p>
    <w:p>
      <w:pPr>
        <w:pStyle w:val="Style26"/>
        <w:keepNext w:val="0"/>
        <w:keepLines w:val="0"/>
        <w:widowControl w:val="0"/>
        <w:shd w:val="clear" w:color="auto" w:fill="auto"/>
        <w:tabs>
          <w:tab w:pos="399" w:val="left"/>
        </w:tabs>
        <w:bidi w:val="0"/>
        <w:spacing w:before="0" w:after="0" w:line="314" w:lineRule="exact"/>
        <w:ind w:left="0" w:right="0" w:firstLine="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明确收购标的是否符合公司属性，收购完成后对公司的发展是否有推进作用；</w:t>
      </w:r>
    </w:p>
    <w:p>
      <w:pPr>
        <w:pStyle w:val="Style26"/>
        <w:keepNext w:val="0"/>
        <w:keepLines w:val="0"/>
        <w:widowControl w:val="0"/>
        <w:shd w:val="clear" w:color="auto" w:fill="auto"/>
        <w:tabs>
          <w:tab w:pos="495" w:val="left"/>
        </w:tabs>
        <w:bidi w:val="0"/>
        <w:spacing w:before="0" w:after="100" w:line="314" w:lineRule="exact"/>
        <w:ind w:left="0" w:right="0" w:firstLine="0"/>
        <w:jc w:val="both"/>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公司对收购企业进行详细的资产评估并通过审计、券商等中介机构对收购项目进行尽职调查，制定适宜且可行的收购 方案，增加收购兼并成功的可能性。</w:t>
      </w:r>
    </w:p>
    <w:p>
      <w:pPr>
        <w:pStyle w:val="Style26"/>
        <w:keepNext w:val="0"/>
        <w:keepLines w:val="0"/>
        <w:widowControl w:val="0"/>
        <w:shd w:val="clear" w:color="auto" w:fill="auto"/>
        <w:tabs>
          <w:tab w:pos="313" w:val="left"/>
        </w:tabs>
        <w:bidi w:val="0"/>
        <w:spacing w:before="0" w:after="0" w:line="360" w:lineRule="auto"/>
        <w:ind w:left="0" w:right="0" w:firstLine="0"/>
        <w:jc w:val="both"/>
      </w:pPr>
      <w:bookmarkStart w:id="253" w:name="bookmark253"/>
      <w:r>
        <w:rPr>
          <w:rFonts w:ascii="Times New Roman" w:eastAsia="Times New Roman" w:hAnsi="Times New Roman" w:cs="Times New Roman"/>
          <w:color w:val="000000"/>
          <w:spacing w:val="0"/>
          <w:w w:val="100"/>
          <w:position w:val="0"/>
          <w:sz w:val="18"/>
          <w:szCs w:val="18"/>
        </w:rPr>
        <w:t>4</w:t>
      </w:r>
      <w:bookmarkEnd w:id="253"/>
      <w:r>
        <w:rPr>
          <w:color w:val="000000"/>
          <w:spacing w:val="0"/>
          <w:w w:val="100"/>
          <w:position w:val="0"/>
        </w:rPr>
        <w:t>、</w:t>
        <w:tab/>
        <w:t>新业务开拓风险</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互联网行业发展迅速，创新是增强企业核心竞争力的重要手段，为了有效保持公司的竞争优势并发展新的利润来源， 公司有必要根据市场需求以及公司战略规划开拓新业务、新领域。但新业务、新领域市场接受需要一定周期，且新业务、新 领域与公司原有体系的有机结合也存在不确定性，如果公司的新业务不能快速被市场接受，将带来新业务、新领域市场拓展 的风险。</w:t>
      </w:r>
    </w:p>
    <w:p>
      <w:pPr>
        <w:pStyle w:val="Style2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应对措施：公司将在新业务制定之前进行全面的市场调研，全方位考察和把握新业务开发的可行性和市场适应性，对新业务 的成本，投资回报率，风险程度等方面严格把关，最大限度降低新业务开拓的风险。</w:t>
      </w:r>
    </w:p>
    <w:p>
      <w:pPr>
        <w:pStyle w:val="Style26"/>
        <w:keepNext w:val="0"/>
        <w:keepLines w:val="0"/>
        <w:widowControl w:val="0"/>
        <w:shd w:val="clear" w:color="auto" w:fill="auto"/>
        <w:tabs>
          <w:tab w:pos="313" w:val="left"/>
        </w:tabs>
        <w:bidi w:val="0"/>
        <w:spacing w:before="0" w:after="0" w:line="360" w:lineRule="auto"/>
        <w:ind w:left="0" w:right="0" w:firstLine="0"/>
        <w:jc w:val="both"/>
      </w:pPr>
      <w:bookmarkStart w:id="254" w:name="bookmark254"/>
      <w:r>
        <w:rPr>
          <w:rFonts w:ascii="Times New Roman" w:eastAsia="Times New Roman" w:hAnsi="Times New Roman" w:cs="Times New Roman"/>
          <w:color w:val="000000"/>
          <w:spacing w:val="0"/>
          <w:w w:val="100"/>
          <w:position w:val="0"/>
          <w:sz w:val="18"/>
          <w:szCs w:val="18"/>
        </w:rPr>
        <w:t>5</w:t>
      </w:r>
      <w:bookmarkEnd w:id="254"/>
      <w:r>
        <w:rPr>
          <w:color w:val="000000"/>
          <w:spacing w:val="0"/>
          <w:w w:val="100"/>
          <w:position w:val="0"/>
        </w:rPr>
        <w:t>、</w:t>
        <w:tab/>
        <w:t>转型风险</w:t>
      </w:r>
    </w:p>
    <w:p>
      <w:pPr>
        <w:pStyle w:val="Style26"/>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公司目前业务发展方向主要面向三大业务领域：游戏业务、云服务业务、科技文旅业务，其中：游戏业务为公司多年 运营且已经持续稳定盈利的板块，云服务业务、科技文旅业务分别处于资源整合和战略布局中。云服务业务、科技文旅业务 两个板块具体业务对公司而言相对较新，且因战略转型过程中必然导致的管理难度增大，其后续推进时间进度和经济效益可 能存在一定不确定性。具体而言：（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）科技文旅实施过程中可能会出现某些技术阻碍导致后续工作推进受阻。同时，作为市 场新入竞争者，公司在前期市场拓展中可能存在无法及时达到预期营收目标的风险；（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）云服务业务整合效益不能达到预期 目标的风险。</w:t>
      </w:r>
    </w:p>
    <w:p>
      <w:pPr>
        <w:pStyle w:val="Style2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应对措施：</w:t>
      </w:r>
    </w:p>
    <w:p>
      <w:pPr>
        <w:pStyle w:val="Style26"/>
        <w:keepNext w:val="0"/>
        <w:keepLines w:val="0"/>
        <w:widowControl w:val="0"/>
        <w:shd w:val="clear" w:color="auto" w:fill="auto"/>
        <w:tabs>
          <w:tab w:pos="495" w:val="left"/>
        </w:tabs>
        <w:bidi w:val="0"/>
        <w:spacing w:before="0" w:after="0" w:line="317" w:lineRule="exact"/>
        <w:ind w:left="0" w:right="0" w:firstLine="0"/>
        <w:jc w:val="both"/>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在科技文旅业务中，公司可以依托凤凰县政府的帮助进行前期市场的拓展；在技术方面可依托公司多年的技术经验的 沉淀，积极推进科技文旅项目差异化竞争优势的发展；</w:t>
      </w:r>
    </w:p>
    <w:p>
      <w:pPr>
        <w:pStyle w:val="Style26"/>
        <w:keepNext w:val="0"/>
        <w:keepLines w:val="0"/>
        <w:widowControl w:val="0"/>
        <w:shd w:val="clear" w:color="auto" w:fill="auto"/>
        <w:tabs>
          <w:tab w:pos="399" w:val="left"/>
        </w:tabs>
        <w:bidi w:val="0"/>
        <w:spacing w:before="0" w:after="720" w:line="317" w:lineRule="exact"/>
        <w:ind w:left="0" w:right="0" w:firstLine="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针对云服务业务方面，公司一方面将沿用深圳宝腾互联原管理团队，延续业务团队的经营管理；另一方面，公司将定 </w:t>
      </w:r>
      <w:r>
        <w:rPr>
          <w:color w:val="000000"/>
          <w:spacing w:val="0"/>
          <w:w w:val="100"/>
          <w:position w:val="0"/>
        </w:rPr>
        <w:t>期组织公司与深圳宝腾互联在管理、业务、技术等方面进行交流学习，让更多的员工熟悉和参与双方的业务。</w:t>
      </w:r>
    </w:p>
    <w:p>
      <w:pPr>
        <w:pStyle w:val="Style24"/>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r>
        <w:rPr>
          <w:color w:val="000000"/>
          <w:spacing w:val="0"/>
          <w:w w:val="100"/>
          <w:position w:val="0"/>
          <w:sz w:val="24"/>
          <w:szCs w:val="24"/>
        </w:rPr>
        <w:t>十、接待调研、沟通、采访等活动登记表</w:t>
      </w:r>
      <w:bookmarkEnd w:id="257"/>
      <w:bookmarkEnd w:id="258"/>
      <w:bookmarkEnd w:id="259"/>
    </w:p>
    <w:p>
      <w:pPr>
        <w:pStyle w:val="Style32"/>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、报告期内接待调研、沟通、采访等活动登记表</w:t>
      </w:r>
      <w:bookmarkEnd w:id="260"/>
      <w:bookmarkEnd w:id="261"/>
      <w:bookmarkEnd w:id="26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公司基本情况、行业发展、公司产品运 营情况</w:t>
            </w:r>
          </w:p>
        </w:tc>
      </w:tr>
    </w:tbl>
    <w:p>
      <w:pPr>
        <w:sectPr>
          <w:footnotePr>
            <w:pos w:val="pageBottom"/>
            <w:numFmt w:val="decimal"/>
            <w:numRestart w:val="continuous"/>
          </w:footnotePr>
          <w:pgSz w:w="11900" w:h="16840"/>
          <w:pgMar w:top="1388" w:right="1069" w:bottom="1460" w:left="1054" w:header="0" w:footer="3" w:gutter="0"/>
          <w:cols w:space="720"/>
          <w:noEndnote/>
          <w:rtlGutter w:val="0"/>
          <w:docGrid w:linePitch="360"/>
        </w:sectPr>
      </w:pPr>
    </w:p>
    <w:p>
      <w:pPr>
        <w:pStyle w:val="Style15"/>
        <w:keepNext/>
        <w:keepLines/>
        <w:widowControl w:val="0"/>
        <w:shd w:val="clear" w:color="auto" w:fill="auto"/>
        <w:bidi w:val="0"/>
        <w:spacing w:before="540" w:line="240" w:lineRule="auto"/>
        <w:ind w:left="0" w:right="0" w:firstLine="0"/>
        <w:jc w:val="center"/>
      </w:pPr>
      <w:bookmarkStart w:id="264" w:name="bookmark264"/>
      <w:bookmarkStart w:id="265" w:name="bookmark265"/>
      <w:bookmarkStart w:id="266" w:name="bookmark266"/>
      <w:r>
        <w:rPr>
          <w:color w:val="000000"/>
          <w:spacing w:val="0"/>
          <w:w w:val="100"/>
          <w:position w:val="0"/>
        </w:rPr>
        <w:t>第五节重要事项</w:t>
      </w:r>
      <w:bookmarkEnd w:id="264"/>
      <w:bookmarkEnd w:id="265"/>
      <w:bookmarkEnd w:id="266"/>
    </w:p>
    <w:p>
      <w:pPr>
        <w:pStyle w:val="Style24"/>
        <w:keepNext/>
        <w:keepLines/>
        <w:widowControl w:val="0"/>
        <w:shd w:val="clear" w:color="auto" w:fill="auto"/>
        <w:bidi w:val="0"/>
        <w:spacing w:before="0" w:after="260" w:line="240" w:lineRule="auto"/>
        <w:ind w:left="0" w:right="0" w:firstLine="0"/>
        <w:jc w:val="both"/>
      </w:pPr>
      <w:bookmarkStart w:id="267" w:name="bookmark267"/>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、公司普通股利润分配及资本公积金转增股本情况</w:t>
      </w:r>
      <w:bookmarkEnd w:id="268"/>
      <w:bookmarkEnd w:id="269"/>
      <w:bookmarkEnd w:id="271"/>
      <w:bookmarkEnd w:id="267"/>
    </w:p>
    <w:p>
      <w:pPr>
        <w:pStyle w:val="Style2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314" w:lineRule="exact"/>
        <w:ind w:left="0" w:right="0" w:firstLine="0"/>
        <w:jc w:val="both"/>
      </w:pPr>
      <w:r>
        <w:rPr>
          <w:color w:val="000000"/>
          <w:spacing w:val="0"/>
          <w:w w:val="100"/>
          <w:position w:val="0"/>
        </w:rPr>
        <w:t>报告期内，公司严格按照《公司章程》相关利润分配政策和审议程序实施利润分配方案，分红标准和分红比例明确清晰，相 关的决策程序和机制完备。在历年的分配预案拟定和决策时，独立董事尽职履责并发挥了应有的作用，公司也听取了中小股 东的意见和诉求，相关的议案经由董事会、监事会审议过后提交股东大会审议，并由独立董事发表独立意见，审议通过后在 规定时间内进行实施，切实保证了全体股东的利益。</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42,428,680.11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0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公司拟定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年度不派发现金红利，不送红股，不以公积金转增股本。</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年度权益分派方案</w:t>
      </w:r>
      <w:r>
        <w:br w:type="page"/>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公司定于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年度不派发现金红利，不送红股，不以公积金转增股本。</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年度权益分配方案</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公司拟定以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26103.86</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，共计派发</w:t>
      </w:r>
      <w:r>
        <w:rPr>
          <w:rFonts w:ascii="Times New Roman" w:eastAsia="Times New Roman" w:hAnsi="Times New Roman" w:cs="Times New Roman"/>
          <w:color w:val="000000"/>
          <w:spacing w:val="0"/>
          <w:w w:val="100"/>
          <w:position w:val="0"/>
          <w:sz w:val="18"/>
          <w:szCs w:val="18"/>
        </w:rPr>
        <w:t>522.077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 该利润分配预案尚需公司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年度权益分派方案</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年度不派发现金红利，不送红股，不以公积金转增股本。</w:t>
      </w:r>
    </w:p>
    <w:p>
      <w:pPr>
        <w:pStyle w:val="Style26"/>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-49,729,289.85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5,220,772.00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65,202,765.48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-22,035,893.48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二</w:t>
      </w:r>
      <w:bookmarkEnd w:id="274"/>
      <w:r>
        <w:rPr>
          <w:color w:val="000000"/>
          <w:spacing w:val="0"/>
          <w:w w:val="100"/>
          <w:position w:val="0"/>
          <w:sz w:val="24"/>
          <w:szCs w:val="24"/>
        </w:rPr>
        <w:t>、承诺事项履行情况</w:t>
      </w:r>
      <w:bookmarkEnd w:id="272"/>
      <w:bookmarkEnd w:id="273"/>
      <w:bookmarkEnd w:id="275"/>
    </w:p>
    <w:p>
      <w:pPr>
        <w:pStyle w:val="Style32"/>
        <w:keepNext/>
        <w:keepLines/>
        <w:widowControl w:val="0"/>
        <w:shd w:val="clear" w:color="auto" w:fill="auto"/>
        <w:bidi w:val="0"/>
        <w:spacing w:before="0" w:line="326" w:lineRule="exact"/>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、公司实际控制人、股东、关联方、收购人以及公司等承诺相关方在报告期内履行完毕及截至报告期末 尚未履行完毕的承诺事项</w:t>
      </w:r>
      <w:bookmarkEnd w:id="276"/>
      <w:bookmarkEnd w:id="277"/>
      <w:bookmarkEnd w:id="279"/>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深圳市宝德 投资控股有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11"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税收承诺： 若中青宝网 因在上市之 前的税收缴 纳事宜将来 被主管税务 部门处罚或 遭受其他任 何损失，均由 本公司承担。</w:t>
            </w:r>
          </w:p>
          <w:p>
            <w:pPr>
              <w:pStyle w:val="Style2"/>
              <w:keepNext w:val="0"/>
              <w:keepLines w:val="0"/>
              <w:widowControl w:val="0"/>
              <w:shd w:val="clear" w:color="auto" w:fill="auto"/>
              <w:tabs>
                <w:tab w:pos="216"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社保承诺： 如有关社保 主管部门在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分别为：长 期、长期、在 深圳市宝德 投资控股有 限公司作为 中青宝控股 股东期间。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任何时候依 法要求中青 宝网补缴在 其首次公开 发行股票之 前任何期间 内应缴的社 会保险费用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包括但不限 于基本养老 保险、基本医 疗保险、失业 保险、工伤保 险、生育保险 五种基本保 险和住房公 积金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，则本公 司将无条件 连带地全额 承担相关费 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避免同 业竞争的承 诺：在本公司 作为中青宝 网控股股东 期间，保证不 自营或以合 资、合作等方 式经营任何 与中青宝网 现从事的业 务有竞争的 业务，本公司 现有的或将 来成立的全 资子公司、控 股子公司以 及其他受本 公司控制的 企业亦不会 经营与中青 宝网现从事 的业务有竞 争的业务。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95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李瑞杰、张云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在本人作为 中青宝网实 际控制人期 间，保证不自 营或以合资、 合作等方式 经营任何与 中青宝网现 从事的业务 有竞争的业 务，本人现有 的或将来成 立的全资子 公司、控股子 公司以及其 他受本公司 控制的企业 亦不会经营 与中青宝网 现从事的业 务有竞争的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李瑞杰、张云 霞作为中青 宝网实际控 制人期间。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、将严格依 照发行人的 章程、有关法 律法规、《深 圳证券交易 所创业板股 票上市规则》 及《深圳证券 交易所创业 板上市公司 规范运作指 引》中关于董 事行为规范、 董事长特别 行为规范的 要求，客观、 公正、独立地 履行董事职 责，保证足够 的时间和精 力来行使董 事职权，切实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李瑞杰先生 任职董事长 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维护发行人 及其他股东 的利益。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作为中青宝 网的实际控 制人，本人未 来仍将不会 在发行人担 任行政职务， 亦不会直接 参与发行人 的日常经营 管理，以避免 可能产生的 利益冲突。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本人承诺未 来不会利用 控股股东或 实际控制人 的地位，从事 任何可能损 害发行人或 其他股东合 法权益的行 为，包括但不 限于：其及其 所控制的企 业不以借款、 代偿债务、代 垫款项或者 其他方式占 用发行人的 资金，不利用 利润分配、资 产重组、对外 投资、资金占 用、借款担保 等方式损害 发行人和社 会公众股股 东的合法权 益，不利用控 制地位损害 发行人和社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75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会公众股股 东的利益等。</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、本人及有 关关联方今 后将尽力避 免与发行人 之间的非经 常性关联交 易；对于发行 人日常经营 所必须的关 联交易事项， 或者任何可 能产生利益 冲突的其他 事项，将依照 发行人的章 程、有关上市 规则等规定， 在董事会或 促使相关关 联股东在股 东大会上回 避表决。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深圳中青宝 互动网络股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公司在激励 计划申报文 件中承诺不 为激励对象 依本激励计 划行使股票 期权提供贷 款以及其他 任何形式的 财务资助，包 括为其贷款 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股票期权有 效期内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5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深圳中青宝 互动网络股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 公司第三届 董事会第十 三次（临时） 会议、第三届 监事会第八 次（临时）会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议审议通过 了《关于使用 部分闲置募 集资金暂时 补充流动资 金的议案》， 同意在保证 募集资金投 资项目建设 的资金需求、 保证募集资 金投资项目 正常进行的 前提下，公司 使用部分闲 置募集资金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万元同 时公司之全 资子公司苏 州华娱创新 投资发展有 限公司使用 部分闲置募 集资金</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万元暨合计 使用</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 元闲置募集 资金暂时补 充流动资金。 公司针对上 述事项作出 上述承诺，并 严格履行承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深圳中青宝 互动网络股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 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公司承诺在 本次使用募 投项目结余 资金永久补 充流动资金 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不进行此类 高风险投资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三届董事会 第十五次会 议，审议通过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《《关于终止 募投项目并 将剩余募集 资金永久补 充流动资金 的议案》》，该 议案于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 召开的公司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年年度 股东大会审 议通过了《关 于终止募投 项目并将剩 余募集资金 永久补充流 动资金的议 案》，同意公 司终止实施 募投项目中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苏州华娱创 新投资发展 有限公司研 发用房项目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并将该项目 剩余募集资 金永久补充 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深圳市宝德 投资控股有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深圳市宝德 投资控股有 限公司拟通 过合法合规 的形式在中 青宝股票复 牌后择机增 持中青宝股 份，增持比例 不超过中青 宝总股本的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，在增持完 成后六个月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内及法律法 规规定的期 限内，不减持 中青宝股份。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公司实际控 制人李瑞杰 先生承诺：在 本次增持期 间及增持完 成后的六个 月内不转让 本次所增持 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深圳中青宝 互动网络股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 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公司最近十 二个月内未 进行证券投 资、委托理 财、衍生品投 资、创业投资 等高风险投 资，同时公司 承诺本次使 用部分闲置 募集资金暂 时性补充流 动资金后十 二个月内不 将上述资金 用于开展证 券投资、委托 理财、衍生品 投资、创业投 资等高风险 投资以及为 他人提供财 务资助等。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深圳中青宝 互动网络股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 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公司承诺使 用闲置募集 资金暂时性 补充流动资 金后十二个 月内不进行 高风险投资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tbl>
      <w:tblPr>
        <w:tblOverlap w:val="never"/>
        <w:jc w:val="center"/>
        <w:tblLayout w:type="fixed"/>
      </w:tblPr>
      <w:tblGrid>
        <w:gridCol w:w="2837"/>
        <w:gridCol w:w="1123"/>
        <w:gridCol w:w="1128"/>
        <w:gridCol w:w="1128"/>
        <w:gridCol w:w="1123"/>
        <w:gridCol w:w="1123"/>
        <w:gridCol w:w="111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（包括财务 性投资）以及 为他人提供 财务资助。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2"/>
        <w:keepNext/>
        <w:keepLines/>
        <w:widowControl w:val="0"/>
        <w:shd w:val="clear" w:color="auto" w:fill="auto"/>
        <w:bidi w:val="0"/>
        <w:spacing w:before="0" w:line="317" w:lineRule="exact"/>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、公司资产或项目存在盈利预测，且报告期仍处在盈利预测期间，公司就资产或项目达到原盈利预测及 其原因做出说明</w:t>
      </w:r>
      <w:bookmarkEnd w:id="280"/>
      <w:bookmarkEnd w:id="281"/>
      <w:bookmarkEnd w:id="283"/>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三</w:t>
      </w:r>
      <w:bookmarkEnd w:id="286"/>
      <w:r>
        <w:rPr>
          <w:color w:val="000000"/>
          <w:spacing w:val="0"/>
          <w:w w:val="100"/>
          <w:position w:val="0"/>
          <w:sz w:val="24"/>
          <w:szCs w:val="24"/>
        </w:rPr>
        <w:t>、</w:t>
        <w:tab/>
        <w:t>控股股东及其关联方对上市公司的非经营性占用资金情况</w:t>
      </w:r>
      <w:bookmarkEnd w:id="284"/>
      <w:bookmarkEnd w:id="285"/>
      <w:bookmarkEnd w:id="28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四</w:t>
      </w:r>
      <w:bookmarkEnd w:id="29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8"/>
      <w:bookmarkEnd w:id="289"/>
      <w:bookmarkEnd w:id="291"/>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五</w:t>
      </w:r>
      <w:bookmarkEnd w:id="29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2"/>
      <w:bookmarkEnd w:id="293"/>
      <w:bookmarkEnd w:id="295"/>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六</w:t>
      </w:r>
      <w:bookmarkEnd w:id="298"/>
      <w:r>
        <w:rPr>
          <w:color w:val="000000"/>
          <w:spacing w:val="0"/>
          <w:w w:val="100"/>
          <w:position w:val="0"/>
          <w:sz w:val="24"/>
          <w:szCs w:val="24"/>
        </w:rPr>
        <w:t>、</w:t>
        <w:tab/>
        <w:t>董事会关于报告期会计政策、会计估计变更或重大会计差错更正的说明</w:t>
      </w:r>
      <w:bookmarkEnd w:id="296"/>
      <w:bookmarkEnd w:id="297"/>
      <w:bookmarkEnd w:id="299"/>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七</w:t>
      </w:r>
      <w:bookmarkEnd w:id="302"/>
      <w:r>
        <w:rPr>
          <w:color w:val="000000"/>
          <w:spacing w:val="0"/>
          <w:w w:val="100"/>
          <w:position w:val="0"/>
          <w:sz w:val="24"/>
          <w:szCs w:val="24"/>
        </w:rPr>
        <w:t>、</w:t>
        <w:tab/>
        <w:t>与上年度财务报告相比，合并报表范围发生变化的情况说明</w:t>
      </w:r>
      <w:bookmarkEnd w:id="300"/>
      <w:bookmarkEnd w:id="301"/>
      <w:bookmarkEnd w:id="303"/>
    </w:p>
    <w:p>
      <w:pPr>
        <w:pStyle w:val="Style26"/>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302" w:lineRule="exact"/>
        <w:ind w:left="0" w:right="0" w:firstLine="540"/>
        <w:jc w:val="both"/>
      </w:pPr>
      <w:r>
        <w:rPr>
          <w:color w:val="000000"/>
          <w:spacing w:val="0"/>
          <w:w w:val="100"/>
          <w:position w:val="0"/>
        </w:rPr>
        <w:t>与上年相比，因新设增加深圳中青宝文化科技有限公司、深圳前海今古时代文化传媒有限公司、深圳市天地间文化传 媒有限公司和北京中青宝长城文化科技有限公司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家子公司，因注销减少北京乐乐堂科技有限责任公司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家子公司。</w:t>
      </w:r>
    </w:p>
    <w:p>
      <w:pPr>
        <w:pStyle w:val="Style24"/>
        <w:keepNext/>
        <w:keepLines/>
        <w:widowControl w:val="0"/>
        <w:shd w:val="clear" w:color="auto" w:fill="auto"/>
        <w:tabs>
          <w:tab w:pos="517" w:val="left"/>
        </w:tabs>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八</w:t>
      </w:r>
      <w:bookmarkEnd w:id="306"/>
      <w:r>
        <w:rPr>
          <w:color w:val="000000"/>
          <w:spacing w:val="0"/>
          <w:w w:val="100"/>
          <w:position w:val="0"/>
          <w:sz w:val="24"/>
          <w:szCs w:val="24"/>
        </w:rPr>
        <w:t>、</w:t>
        <w:tab/>
        <w:t>聘任、解聘会计师事务所情况</w:t>
      </w:r>
      <w:bookmarkEnd w:id="304"/>
      <w:bookmarkEnd w:id="305"/>
      <w:bookmarkEnd w:id="307"/>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郭晋龙、邱乐群</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九</w:t>
      </w:r>
      <w:bookmarkEnd w:id="310"/>
      <w:r>
        <w:rPr>
          <w:color w:val="000000"/>
          <w:spacing w:val="0"/>
          <w:w w:val="100"/>
          <w:position w:val="0"/>
          <w:sz w:val="24"/>
          <w:szCs w:val="24"/>
        </w:rPr>
        <w:t>、年度报告披露后面临暂停上市和终止上市情况</w:t>
      </w:r>
      <w:bookmarkEnd w:id="308"/>
      <w:bookmarkEnd w:id="309"/>
      <w:bookmarkEnd w:id="31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十、破产重整相关事项</w:t>
      </w:r>
      <w:bookmarkEnd w:id="312"/>
      <w:bookmarkEnd w:id="313"/>
      <w:bookmarkEnd w:id="31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十一、重大诉讼、仲裁事项</w:t>
      </w:r>
      <w:bookmarkEnd w:id="315"/>
      <w:bookmarkEnd w:id="316"/>
      <w:bookmarkEnd w:id="31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十二、处罚及整改情况</w:t>
      </w:r>
      <w:bookmarkEnd w:id="318"/>
      <w:bookmarkEnd w:id="319"/>
      <w:bookmarkEnd w:id="32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73"/>
        <w:gridCol w:w="1368"/>
        <w:gridCol w:w="1368"/>
        <w:gridCol w:w="1363"/>
        <w:gridCol w:w="1368"/>
        <w:gridCol w:w="1363"/>
        <w:gridCol w:w="13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中青宝董事长兼 总经理李瑞杰未 能恪尽职守、履 行诚信勤勉义 务，违反了交易 所《创业板股票 上市规则（</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年修订）》第</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条的规 定，对中青宝的 上述违规行为负 有主要责任。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被证券交易所公 开谴责的情形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对深圳中青宝互 动网络股份有限 公司董事长兼总 经理李瑞杰给予 公开谴责的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深圳中青宝互动 网络股份有限公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中青宝违反了交 易所《创业板股 票上市规则</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 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条、第</w:t>
            </w:r>
            <w:r>
              <w:rPr>
                <w:rFonts w:ascii="Times New Roman" w:eastAsia="Times New Roman" w:hAnsi="Times New Roman" w:cs="Times New Roman"/>
                <w:color w:val="000000"/>
                <w:spacing w:val="0"/>
                <w:w w:val="100"/>
                <w:position w:val="0"/>
                <w:sz w:val="18"/>
                <w:szCs w:val="18"/>
              </w:rPr>
              <w:t xml:space="preserve">7.3 </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 xml:space="preserve">条、第 </w:t>
            </w:r>
            <w:r>
              <w:rPr>
                <w:rFonts w:ascii="Times New Roman" w:eastAsia="Times New Roman" w:hAnsi="Times New Roman" w:cs="Times New Roman"/>
                <w:color w:val="000000"/>
                <w:spacing w:val="0"/>
                <w:w w:val="100"/>
                <w:position w:val="0"/>
                <w:sz w:val="18"/>
                <w:szCs w:val="18"/>
              </w:rPr>
              <w:t>11.11.5</w:t>
            </w:r>
            <w:r>
              <w:rPr>
                <w:color w:val="000000"/>
                <w:spacing w:val="0"/>
                <w:w w:val="100"/>
                <w:position w:val="0"/>
              </w:rPr>
              <w:t>条的规 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被证券交易所公 开谴责的情形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对深圳中青宝互 动网络股份有限 公司给予公开谴 责的处分；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以上的股东违规买卖公司股票情况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十三、公司及其控股股东、实际控制人的诚信状况</w:t>
      </w:r>
      <w:bookmarkEnd w:id="321"/>
      <w:bookmarkEnd w:id="322"/>
      <w:bookmarkEnd w:id="323"/>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十四、公司股权激励计划、员工持股计划或其他员工激励措施的实施情况</w:t>
      </w:r>
      <w:bookmarkEnd w:id="324"/>
      <w:bookmarkEnd w:id="325"/>
      <w:bookmarkEnd w:id="326"/>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40" w:line="313"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日召开的第三届董事会第二十二次（临时）会议审议通过了《关于注销部分已获授但未行权股票期权的 议案》，公司独立董事对上述议案发表了独立意见，北京市中伦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律师事务所对公司上述事宜发表了意见。鉴于公司</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年度业绩未达到《深圳中青宝互动网络股份有限公司股票期权激励计划（草案修订版）》（以下简称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首次授予的股票期权第三个行权期规定的效考核目标。同时，公司首次授予的股票期权激励对象中的符吉萍女士自愿放弃其 剩余的全部获授未行权的股票期权，张宇庆先生因个人原因离职自愿放弃其剩余的全部获授未行权的股票期权。公司独立董 事对上述议案发表了独立意见，北京市中伦（深圳）律师事务所对公司上述事宜发表了意见。公司本次注销的首次授予的未 行权股票期权数量为</w:t>
      </w:r>
      <w:r>
        <w:rPr>
          <w:rFonts w:ascii="Times New Roman" w:eastAsia="Times New Roman" w:hAnsi="Times New Roman" w:cs="Times New Roman"/>
          <w:color w:val="000000"/>
          <w:spacing w:val="0"/>
          <w:w w:val="100"/>
          <w:position w:val="0"/>
          <w:sz w:val="18"/>
          <w:szCs w:val="18"/>
        </w:rPr>
        <w:t>163.56</w:t>
      </w:r>
      <w:r>
        <w:rPr>
          <w:color w:val="000000"/>
          <w:spacing w:val="0"/>
          <w:w w:val="100"/>
          <w:position w:val="0"/>
        </w:rPr>
        <w:t>万份，注销后公司首次授予的未行权股票期权剩余</w:t>
      </w:r>
      <w:r>
        <w:rPr>
          <w:rFonts w:ascii="Times New Roman" w:eastAsia="Times New Roman" w:hAnsi="Times New Roman" w:cs="Times New Roman"/>
          <w:color w:val="000000"/>
          <w:spacing w:val="0"/>
          <w:w w:val="100"/>
          <w:position w:val="0"/>
          <w:sz w:val="18"/>
          <w:szCs w:val="18"/>
        </w:rPr>
        <w:t>120.36</w:t>
      </w:r>
      <w:r>
        <w:rPr>
          <w:color w:val="000000"/>
          <w:spacing w:val="0"/>
          <w:w w:val="100"/>
          <w:position w:val="0"/>
        </w:rPr>
        <w:t>万份。经中国证券登记结算有限责任 公司审核确认，上述股票期权已于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日注销完毕。</w:t>
      </w:r>
    </w:p>
    <w:p>
      <w:pPr>
        <w:pStyle w:val="Style26"/>
        <w:keepNext w:val="0"/>
        <w:keepLines w:val="0"/>
        <w:widowControl w:val="0"/>
        <w:shd w:val="clear" w:color="auto" w:fill="auto"/>
        <w:bidi w:val="0"/>
        <w:spacing w:before="0" w:after="40" w:line="313"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日召开的第三届董事会第二十二次（临时）会议审议通过了《关于注销部分已获授但未行权股票期权的 议案》，公司独立董事对上述议案发表了独立意见，北京市中伦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律师事务所对公司上述事宜发表了意见。鉴于公司</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年度业绩未达到公司《股票期权激励计划》预留授予的股票期权第二个行权期规定的绩效考核目标，且预留授予激励对象郑 婷婷女士在预留授予的股票期权对应的第一个可行权期（暨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日）放弃行权。公司独 立董事对上述议案发表了独立意见，北京市中伦（深圳）律师事务所对公司上述事宜发表了意见。公司本次注销的预留授予 的未行权股票期权数量为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万份，注销后公司预留授予的未行权股票期权剩余</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万份。经中国证券登记结算有限责任公 司审核确认，上述股票期权已于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日注销完毕。</w:t>
      </w:r>
    </w:p>
    <w:p>
      <w:pPr>
        <w:pStyle w:val="Style26"/>
        <w:keepNext w:val="0"/>
        <w:keepLines w:val="0"/>
        <w:widowControl w:val="0"/>
        <w:shd w:val="clear" w:color="auto" w:fill="auto"/>
        <w:bidi w:val="0"/>
        <w:spacing w:before="0" w:after="40" w:line="313"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日召开的第三届董事会第二十九次会议审议通过了《关于调整股票期权激励计划中行权价格及注销部 分已获授但未行权股票期权的议案》，公司独立董事对上述议案发表了独立意见，北京市中伦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律师事务所对公司上述 事宜发表了意见。公司于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日完成实施了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0.20 </w:t>
      </w:r>
      <w:r>
        <w:rPr>
          <w:color w:val="000000"/>
          <w:spacing w:val="0"/>
          <w:w w:val="100"/>
          <w:position w:val="0"/>
        </w:rPr>
        <w:t>元（含税）。基于此，公司董事会根据公司《股票期权激励计划》的有关规定以及公司股东大会的授权，对授予的股票期权 激励计划的行权价格进行调整:首次授予的股票期权行权价格由</w:t>
      </w:r>
      <w:r>
        <w:rPr>
          <w:rFonts w:ascii="Times New Roman" w:eastAsia="Times New Roman" w:hAnsi="Times New Roman" w:cs="Times New Roman"/>
          <w:color w:val="000000"/>
          <w:spacing w:val="0"/>
          <w:w w:val="100"/>
          <w:position w:val="0"/>
          <w:sz w:val="18"/>
          <w:szCs w:val="18"/>
        </w:rPr>
        <w:t>6.54</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6.52</w:t>
      </w:r>
      <w:r>
        <w:rPr>
          <w:color w:val="000000"/>
          <w:spacing w:val="0"/>
          <w:w w:val="100"/>
          <w:position w:val="0"/>
        </w:rPr>
        <w:t>元;预留授予的股票期权行权价格由</w:t>
      </w:r>
      <w:r>
        <w:rPr>
          <w:rFonts w:ascii="Times New Roman" w:eastAsia="Times New Roman" w:hAnsi="Times New Roman" w:cs="Times New Roman"/>
          <w:color w:val="000000"/>
          <w:spacing w:val="0"/>
          <w:w w:val="100"/>
          <w:position w:val="0"/>
          <w:sz w:val="18"/>
          <w:szCs w:val="18"/>
        </w:rPr>
        <w:t xml:space="preserve">42.20 </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42.18</w:t>
      </w:r>
      <w:r>
        <w:rPr>
          <w:color w:val="000000"/>
          <w:spacing w:val="0"/>
          <w:w w:val="100"/>
          <w:position w:val="0"/>
        </w:rPr>
        <w:t>元。</w:t>
      </w:r>
    </w:p>
    <w:p>
      <w:pPr>
        <w:pStyle w:val="Style26"/>
        <w:keepNext w:val="0"/>
        <w:keepLines w:val="0"/>
        <w:widowControl w:val="0"/>
        <w:shd w:val="clear" w:color="auto" w:fill="auto"/>
        <w:bidi w:val="0"/>
        <w:spacing w:before="0" w:after="40" w:line="315"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日召开的第三届董事会第二十九次会议审议通过了《关于调整股票期权激励计划中行权价格及注销部 分已获授但未行权股票期权的议案》，公司独立董事对上述议案发表了独立意见，北京市中伦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律师事务所对公司上述 事宜发表了意见。鉴于公司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年度业绩未达到公司《股票期权激励计划》首次授予的股票期权第四个行权期规定的绩效 考核目标，则当期的股票期权不得行权。根据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年第三次临时股东大会授权，公司董事会将注销首次授予的股票期权激 励对象所对应的第四个行权期未行权的股票期权及上述人员剩余的全部获授未行权的股票期权。公司《股票期权激励计划》 中首次授予的股票期权第四个行权期可行权数量占首次授予的股票期权总数的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，与上述员工剩余获授未行权的股票期 权数量合计后，公司本次注销的首次授予的未行权股票期权数量为</w:t>
      </w:r>
      <w:r>
        <w:rPr>
          <w:rFonts w:ascii="Times New Roman" w:eastAsia="Times New Roman" w:hAnsi="Times New Roman" w:cs="Times New Roman"/>
          <w:color w:val="000000"/>
          <w:spacing w:val="0"/>
          <w:w w:val="100"/>
          <w:position w:val="0"/>
          <w:sz w:val="18"/>
          <w:szCs w:val="18"/>
        </w:rPr>
        <w:t>120.36</w:t>
      </w:r>
      <w:r>
        <w:rPr>
          <w:color w:val="000000"/>
          <w:spacing w:val="0"/>
          <w:w w:val="100"/>
          <w:position w:val="0"/>
        </w:rPr>
        <w:t>万份，注销后公司首次授予的权股票期权剩余</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万份。</w:t>
      </w:r>
    </w:p>
    <w:p>
      <w:pPr>
        <w:pStyle w:val="Style26"/>
        <w:keepNext w:val="0"/>
        <w:keepLines w:val="0"/>
        <w:widowControl w:val="0"/>
        <w:shd w:val="clear" w:color="auto" w:fill="auto"/>
        <w:bidi w:val="0"/>
        <w:spacing w:before="0" w:after="140" w:line="315" w:lineRule="exact"/>
        <w:ind w:left="0" w:right="0" w:firstLine="440"/>
        <w:jc w:val="both"/>
        <w:sectPr>
          <w:footnotePr>
            <w:pos w:val="pageBottom"/>
            <w:numFmt w:val="decimal"/>
            <w:numRestart w:val="continuous"/>
          </w:footnotePr>
          <w:pgSz w:w="11900" w:h="16840"/>
          <w:pgMar w:top="1388" w:right="1088" w:bottom="1446"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日召开的第三届董事会第二十九次会议审议通过了《关于调整股票期权激励计划中行权价格及注销部 分已获授但未行权股票期权的议案》，公司独立董事对上述议案发表了独立意见，北京市中伦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律师事务所对公司上述 事宜发表了意见。鉴于公司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年度业绩未达到公司《股票期权激励计划》预留授予的股票期权第三个行权期规定的绩效 考核目标，则当期的股票期权不得行权。同时预留授予激励对象郑婷婷女士因个人原因离职自愿放弃其剩余的全部获授未行 权的股票期权。根据公司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年第三次临时股东大会授权，公司董事会将注销预留授予的股票期权激励对象所对应的全部 已获授但未行权的股票期权。基于上述原因，公司本次注销的预留授予的未行权股票期权数量为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万份，注销后公司预 留授予的未行权股票期权剩余</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万份。本次注销后，公司《股票期权激励计划》全部实施完毕，授予激励对象的股票期权 数量为零。</w:t>
      </w: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1900" w:h="16840"/>
          <w:pgMar w:top="1152" w:right="1123" w:bottom="1158" w:left="1109" w:header="0" w:footer="3" w:gutter="0"/>
          <w:cols w:space="720"/>
          <w:noEndnote/>
          <w:rtlGutter w:val="0"/>
          <w:docGrid w:linePitch="360"/>
        </w:sectPr>
      </w:pPr>
    </w:p>
    <w:p>
      <w:pPr>
        <w:pStyle w:val="Style53"/>
        <w:keepNext w:val="0"/>
        <w:keepLines w:val="0"/>
        <w:framePr w:w="2885" w:h="1483" w:wrap="none" w:vAnchor="text" w:hAnchor="page" w:x="1110" w:y="21"/>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十五、重大关联交易</w:t>
      </w:r>
    </w:p>
    <w:p>
      <w:pPr>
        <w:pStyle w:val="Style32"/>
        <w:keepNext/>
        <w:keepLines/>
        <w:framePr w:w="2885" w:h="1483" w:wrap="none" w:vAnchor="text" w:hAnchor="page" w:x="1110" w:y="21"/>
        <w:widowControl w:val="0"/>
        <w:shd w:val="clear" w:color="auto" w:fill="auto"/>
        <w:bidi w:val="0"/>
        <w:spacing w:before="0" w:line="240" w:lineRule="auto"/>
        <w:ind w:left="0" w:right="0" w:firstLine="0"/>
        <w:jc w:val="left"/>
      </w:pPr>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r>
        <w:rPr>
          <w:color w:val="000000"/>
          <w:spacing w:val="0"/>
          <w:w w:val="100"/>
          <w:position w:val="0"/>
        </w:rPr>
        <w:t>、与日常经营相关的关联交易</w:t>
      </w:r>
      <w:bookmarkEnd w:id="327"/>
      <w:bookmarkEnd w:id="328"/>
      <w:bookmarkEnd w:id="329"/>
    </w:p>
    <w:p>
      <w:pPr>
        <w:pStyle w:val="Style26"/>
        <w:keepNext w:val="0"/>
        <w:keepLines w:val="0"/>
        <w:framePr w:w="2885" w:h="1483" w:wrap="none" w:vAnchor="text" w:hAnchor="page" w:x="1110" w:y="21"/>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802"/>
        <w:gridCol w:w="677"/>
        <w:gridCol w:w="677"/>
        <w:gridCol w:w="706"/>
        <w:gridCol w:w="682"/>
        <w:gridCol w:w="672"/>
        <w:gridCol w:w="682"/>
      </w:tblGrid>
      <w:tr>
        <w:trPr>
          <w:trHeight w:val="1339" w:hRule="exact"/>
        </w:trPr>
        <w:tc>
          <w:tcPr>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righ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314" w:lineRule="exact"/>
              <w:ind w:left="0" w:right="0" w:firstLine="0"/>
              <w:jc w:val="right"/>
            </w:pPr>
            <w:r>
              <w:rPr>
                <w:color w:val="000000"/>
                <w:spacing w:val="0"/>
                <w:w w:val="100"/>
                <w:position w:val="0"/>
              </w:rPr>
              <w:t>关联交 易金额</w:t>
            </w:r>
          </w:p>
          <w:p>
            <w:pPr>
              <w:pStyle w:val="Style2"/>
              <w:keepNext w:val="0"/>
              <w:keepLines w:val="0"/>
              <w:framePr w:w="4896" w:h="11611" w:wrap="none" w:vAnchor="text" w:hAnchor="page" w:x="1125" w:y="1551"/>
              <w:widowControl w:val="0"/>
              <w:shd w:val="clear" w:color="auto" w:fill="auto"/>
              <w:bidi w:val="0"/>
              <w:spacing w:before="0" w:after="0" w:line="314" w:lineRule="exact"/>
              <w:ind w:left="140" w:right="0" w:firstLine="0"/>
              <w:jc w:val="left"/>
            </w:pPr>
            <w:r>
              <w:rPr>
                <w:color w:val="000000"/>
                <w:spacing w:val="0"/>
                <w:w w:val="100"/>
                <w:position w:val="0"/>
              </w:rPr>
              <w:t>（万 元）</w:t>
            </w:r>
          </w:p>
        </w:tc>
      </w:tr>
      <w:tr>
        <w:trPr>
          <w:trHeight w:val="1339" w:hRule="exact"/>
        </w:trPr>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12" w:lineRule="exact"/>
              <w:ind w:left="0" w:right="0" w:firstLine="0"/>
              <w:jc w:val="both"/>
            </w:pPr>
            <w:r>
              <w:rPr>
                <w:color w:val="000000"/>
                <w:spacing w:val="0"/>
                <w:w w:val="100"/>
                <w:position w:val="0"/>
              </w:rPr>
              <w:t>深圳市速 必拓网络 科技有限 公司</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09" w:lineRule="exact"/>
              <w:ind w:left="0" w:right="0" w:firstLine="0"/>
              <w:jc w:val="both"/>
            </w:pPr>
            <w:r>
              <w:rPr>
                <w:color w:val="000000"/>
                <w:spacing w:val="0"/>
                <w:w w:val="100"/>
                <w:position w:val="0"/>
              </w:rPr>
              <w:t>受同一 控制人 控制的 企业</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接受劳</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12" w:lineRule="exact"/>
              <w:ind w:left="0" w:right="0" w:firstLine="0"/>
              <w:jc w:val="both"/>
            </w:pPr>
            <w:r>
              <w:rPr>
                <w:color w:val="000000"/>
                <w:spacing w:val="0"/>
                <w:w w:val="100"/>
                <w:position w:val="0"/>
              </w:rPr>
              <w:t>机柜及 宽带租 赁服务</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公允价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righ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237.07</w:t>
            </w:r>
          </w:p>
        </w:tc>
      </w:tr>
      <w:tr>
        <w:trPr>
          <w:trHeight w:val="1339" w:hRule="exact"/>
        </w:trPr>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18" w:lineRule="exact"/>
              <w:ind w:left="0" w:right="0" w:firstLine="0"/>
              <w:jc w:val="both"/>
            </w:pPr>
            <w:r>
              <w:rPr>
                <w:color w:val="000000"/>
                <w:spacing w:val="0"/>
                <w:w w:val="100"/>
                <w:position w:val="0"/>
              </w:rPr>
              <w:t>深圳市宝 腾互联科 技有限公 司</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10" w:lineRule="exact"/>
              <w:ind w:left="0" w:right="0" w:firstLine="0"/>
              <w:jc w:val="both"/>
            </w:pPr>
            <w:r>
              <w:rPr>
                <w:color w:val="000000"/>
                <w:spacing w:val="0"/>
                <w:w w:val="100"/>
                <w:position w:val="0"/>
              </w:rPr>
              <w:t>控股股 东控制 的企业</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接受劳</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12" w:lineRule="exact"/>
              <w:ind w:left="0" w:right="0" w:firstLine="0"/>
              <w:jc w:val="both"/>
            </w:pPr>
            <w:r>
              <w:rPr>
                <w:color w:val="000000"/>
                <w:spacing w:val="0"/>
                <w:w w:val="100"/>
                <w:position w:val="0"/>
              </w:rPr>
              <w:t>机柜及 宽带租 赁服务</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公允价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righ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r>
      <w:tr>
        <w:trPr>
          <w:trHeight w:val="1027" w:hRule="exact"/>
        </w:trPr>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both"/>
            </w:pPr>
            <w:r>
              <w:rPr>
                <w:color w:val="000000"/>
                <w:spacing w:val="0"/>
                <w:w w:val="100"/>
                <w:position w:val="0"/>
              </w:rPr>
              <w:t>宝德科技</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07" w:lineRule="exact"/>
              <w:ind w:left="0" w:right="0" w:firstLine="0"/>
              <w:jc w:val="both"/>
            </w:pPr>
            <w:r>
              <w:rPr>
                <w:color w:val="000000"/>
                <w:spacing w:val="0"/>
                <w:w w:val="100"/>
                <w:position w:val="0"/>
              </w:rPr>
              <w:t>母公司 控制的 企业</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接受劳</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12" w:lineRule="exact"/>
              <w:ind w:left="0" w:right="0" w:firstLine="0"/>
              <w:jc w:val="both"/>
            </w:pPr>
            <w:r>
              <w:rPr>
                <w:color w:val="000000"/>
                <w:spacing w:val="0"/>
                <w:w w:val="100"/>
                <w:position w:val="0"/>
              </w:rPr>
              <w:t>机柜及 宽带租 赁服务</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公允价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righ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r>
      <w:tr>
        <w:trPr>
          <w:trHeight w:val="1022" w:hRule="exact"/>
        </w:trPr>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both"/>
            </w:pPr>
            <w:r>
              <w:rPr>
                <w:color w:val="000000"/>
                <w:spacing w:val="0"/>
                <w:w w:val="100"/>
                <w:position w:val="0"/>
              </w:rPr>
              <w:t>宝德科技</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07" w:lineRule="exact"/>
              <w:ind w:left="0" w:right="0" w:firstLine="0"/>
              <w:jc w:val="both"/>
            </w:pPr>
            <w:r>
              <w:rPr>
                <w:color w:val="000000"/>
                <w:spacing w:val="0"/>
                <w:w w:val="100"/>
                <w:position w:val="0"/>
              </w:rPr>
              <w:t>母公司 控制的 企业</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经营性</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both"/>
            </w:pPr>
            <w:r>
              <w:rPr>
                <w:color w:val="000000"/>
                <w:spacing w:val="0"/>
                <w:w w:val="100"/>
                <w:position w:val="0"/>
              </w:rPr>
              <w:t>房屋租</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公允价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righ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1027" w:hRule="exact"/>
        </w:trPr>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both"/>
            </w:pPr>
            <w:r>
              <w:rPr>
                <w:color w:val="000000"/>
                <w:spacing w:val="0"/>
                <w:w w:val="100"/>
                <w:position w:val="0"/>
              </w:rPr>
              <w:t>宝德科技</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07" w:lineRule="exact"/>
              <w:ind w:left="0" w:right="0" w:firstLine="0"/>
              <w:jc w:val="both"/>
            </w:pPr>
            <w:r>
              <w:rPr>
                <w:color w:val="000000"/>
                <w:spacing w:val="0"/>
                <w:w w:val="100"/>
                <w:position w:val="0"/>
              </w:rPr>
              <w:t>母公司 控制的 企业</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经营性</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00" w:line="240" w:lineRule="auto"/>
              <w:ind w:left="0" w:right="0" w:firstLine="0"/>
              <w:jc w:val="both"/>
            </w:pPr>
            <w:r>
              <w:rPr>
                <w:color w:val="000000"/>
                <w:spacing w:val="0"/>
                <w:w w:val="100"/>
                <w:position w:val="0"/>
              </w:rPr>
              <w:t>房屋出</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both"/>
            </w:pPr>
            <w:r>
              <w:rPr>
                <w:color w:val="000000"/>
                <w:spacing w:val="0"/>
                <w:w w:val="100"/>
                <w:position w:val="0"/>
              </w:rPr>
              <w:t>租</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公允价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righ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251.91</w:t>
            </w:r>
          </w:p>
        </w:tc>
      </w:tr>
      <w:tr>
        <w:trPr>
          <w:trHeight w:val="715" w:hRule="exact"/>
        </w:trPr>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both"/>
            </w:pPr>
            <w:r>
              <w:rPr>
                <w:color w:val="000000"/>
                <w:spacing w:val="0"/>
                <w:w w:val="100"/>
                <w:position w:val="0"/>
              </w:rPr>
              <w:t>宝德控股</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经营性</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00" w:line="240" w:lineRule="auto"/>
              <w:ind w:left="0" w:right="0" w:firstLine="0"/>
              <w:jc w:val="both"/>
            </w:pPr>
            <w:r>
              <w:rPr>
                <w:color w:val="000000"/>
                <w:spacing w:val="0"/>
                <w:w w:val="100"/>
                <w:position w:val="0"/>
              </w:rPr>
              <w:t>房屋出</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both"/>
            </w:pPr>
            <w:r>
              <w:rPr>
                <w:color w:val="000000"/>
                <w:spacing w:val="0"/>
                <w:w w:val="100"/>
                <w:position w:val="0"/>
              </w:rPr>
              <w:t>租</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公允价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righ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242.14</w:t>
            </w:r>
          </w:p>
        </w:tc>
      </w:tr>
      <w:tr>
        <w:trPr>
          <w:trHeight w:val="403" w:hRule="exact"/>
        </w:trPr>
        <w:tc>
          <w:tcPr>
            <w:gridSpan w:val="4"/>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398" w:hRule="exact"/>
        </w:trPr>
        <w:tc>
          <w:tcPr>
            <w:gridSpan w:val="4"/>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3"/>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5" w:hRule="exact"/>
        </w:trPr>
        <w:tc>
          <w:tcPr>
            <w:gridSpan w:val="4"/>
            <w:tcBorders>
              <w:top w:val="single" w:sz="4"/>
              <w:left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3"/>
            <w:tcBorders>
              <w:top w:val="single" w:sz="4"/>
              <w:left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年向关联人采购服 前期采购库存过多，延至 交易额少于预计额度。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为</w:t>
            </w:r>
            <w:r>
              <w:rPr>
                <w:rFonts w:ascii="Times New Roman" w:eastAsia="Times New Roman" w:hAnsi="Times New Roman" w:cs="Times New Roman"/>
                <w:color w:val="000000"/>
                <w:spacing w:val="0"/>
                <w:w w:val="100"/>
                <w:position w:val="0"/>
                <w:sz w:val="18"/>
                <w:szCs w:val="18"/>
              </w:rPr>
              <w:t>297.18</w:t>
            </w:r>
            <w:r>
              <w:rPr>
                <w:color w:val="000000"/>
                <w:spacing w:val="0"/>
                <w:w w:val="100"/>
                <w:position w:val="0"/>
              </w:rPr>
              <w:t>万元，由于公司 少于预计额度。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（含代收代付水电费等）， 少于预计额度。</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framePr w:w="4896" w:h="11611" w:wrap="none" w:vAnchor="text" w:hAnchor="page" w:x="1125" w:y="1551"/>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3"/>
            <w:tcBorders>
              <w:top w:val="single" w:sz="4"/>
              <w:left w:val="single" w:sz="4"/>
              <w:bottom w:val="single" w:sz="4"/>
            </w:tcBorders>
            <w:shd w:val="clear" w:color="auto" w:fill="FFFFFF"/>
            <w:vAlign w:val="center"/>
          </w:tcPr>
          <w:p>
            <w:pPr>
              <w:pStyle w:val="Style2"/>
              <w:keepNext w:val="0"/>
              <w:keepLines w:val="0"/>
              <w:framePr w:w="4896" w:h="11611" w:wrap="none" w:vAnchor="text" w:hAnchor="page" w:x="1125" w:y="1551"/>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896" w:h="11611" w:wrap="none" w:vAnchor="text" w:hAnchor="page" w:x="1125" w:y="1551"/>
        <w:widowControl w:val="0"/>
        <w:spacing w:line="1" w:lineRule="exact"/>
      </w:pPr>
    </w:p>
    <w:tbl>
      <w:tblPr>
        <w:tblOverlap w:val="never"/>
        <w:jc w:val="left"/>
        <w:tblLayout w:type="fixed"/>
      </w:tblPr>
      <w:tblGrid>
        <w:gridCol w:w="686"/>
        <w:gridCol w:w="821"/>
        <w:gridCol w:w="566"/>
        <w:gridCol w:w="634"/>
        <w:gridCol w:w="672"/>
        <w:gridCol w:w="672"/>
        <w:gridCol w:w="725"/>
      </w:tblGrid>
      <w:tr>
        <w:trPr>
          <w:trHeight w:val="1339" w:hRule="exact"/>
        </w:trPr>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312" w:lineRule="exact"/>
              <w:ind w:left="0" w:right="0" w:firstLine="0"/>
              <w:jc w:val="center"/>
            </w:pPr>
            <w:r>
              <w:rPr>
                <w:color w:val="000000"/>
                <w:spacing w:val="0"/>
                <w:w w:val="100"/>
                <w:position w:val="0"/>
              </w:rPr>
              <w:t>获批的交 易额度 （万元）</w:t>
            </w:r>
          </w:p>
        </w:tc>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100" w:line="77" w:lineRule="exact"/>
              <w:ind w:left="0" w:right="0" w:firstLine="0"/>
              <w:jc w:val="left"/>
            </w:pPr>
            <w:r>
              <w:rPr>
                <w:color w:val="000000"/>
                <w:spacing w:val="0"/>
                <w:w w:val="100"/>
                <w:position w:val="0"/>
              </w:rPr>
              <w:t>阜木 是否</w:t>
            </w:r>
          </w:p>
          <w:p>
            <w:pPr>
              <w:pStyle w:val="Style2"/>
              <w:keepNext w:val="0"/>
              <w:keepLines w:val="0"/>
              <w:framePr w:w="4776" w:h="11611" w:wrap="none" w:vAnchor="text" w:hAnchor="page" w:x="6001" w:y="1551"/>
              <w:widowControl w:val="0"/>
              <w:shd w:val="clear" w:color="auto" w:fill="auto"/>
              <w:bidi w:val="0"/>
              <w:spacing w:before="0" w:after="100" w:line="77" w:lineRule="exact"/>
              <w:ind w:left="0" w:right="0" w:firstLine="0"/>
              <w:jc w:val="left"/>
            </w:pPr>
            <w:r>
              <w:rPr>
                <w:color w:val="000000"/>
                <w:spacing w:val="0"/>
                <w:w w:val="100"/>
                <w:position w:val="0"/>
              </w:rPr>
              <w:t>超过</w:t>
            </w:r>
          </w:p>
          <w:p>
            <w:pPr>
              <w:pStyle w:val="Style2"/>
              <w:keepNext w:val="0"/>
              <w:keepLines w:val="0"/>
              <w:framePr w:w="4776" w:h="11611" w:wrap="none" w:vAnchor="text" w:hAnchor="page" w:x="6001" w:y="1551"/>
              <w:widowControl w:val="0"/>
              <w:shd w:val="clear" w:color="auto" w:fill="auto"/>
              <w:bidi w:val="0"/>
              <w:spacing w:before="0" w:after="100" w:line="77" w:lineRule="exact"/>
              <w:ind w:left="0" w:right="0" w:firstLine="0"/>
              <w:jc w:val="left"/>
            </w:pPr>
            <w:r>
              <w:rPr>
                <w:color w:val="000000"/>
                <w:spacing w:val="0"/>
                <w:w w:val="100"/>
                <w:position w:val="0"/>
              </w:rPr>
              <w:t>获批</w:t>
            </w:r>
          </w:p>
          <w:p>
            <w:pPr>
              <w:pStyle w:val="Style2"/>
              <w:keepNext w:val="0"/>
              <w:keepLines w:val="0"/>
              <w:framePr w:w="4776" w:h="11611" w:wrap="none" w:vAnchor="text" w:hAnchor="page" w:x="6001" w:y="1551"/>
              <w:widowControl w:val="0"/>
              <w:shd w:val="clear" w:color="auto" w:fill="auto"/>
              <w:bidi w:val="0"/>
              <w:spacing w:before="0" w:after="100" w:line="77" w:lineRule="exact"/>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312" w:lineRule="exact"/>
              <w:ind w:left="0" w:right="0" w:firstLine="0"/>
              <w:jc w:val="left"/>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100" w:line="240" w:lineRule="auto"/>
              <w:ind w:left="0" w:right="0" w:firstLine="0"/>
              <w:jc w:val="right"/>
            </w:pPr>
            <w:r>
              <w:rPr>
                <w:color w:val="000000"/>
                <w:spacing w:val="0"/>
                <w:w w:val="100"/>
                <w:position w:val="0"/>
              </w:rPr>
              <w:t>披露索</w:t>
            </w:r>
          </w:p>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339" w:hRule="exact"/>
        </w:trPr>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31.24%</w:t>
            </w:r>
          </w:p>
        </w:tc>
        <w:tc>
          <w:tcPr>
            <w:vMerge w:val="restart"/>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1,603.96</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237.07</w:t>
            </w:r>
          </w:p>
        </w:tc>
        <w:tc>
          <w:tcPr>
            <w:vMerge w:val="restart"/>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339" w:hRule="exact"/>
        </w:trPr>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w:t>
            </w:r>
          </w:p>
        </w:tc>
        <w:tc>
          <w:tcPr>
            <w:vMerge/>
            <w:tcBorders>
              <w:left w:val="single" w:sz="4"/>
            </w:tcBorders>
            <w:shd w:val="clear" w:color="auto" w:fill="FFFFFF"/>
            <w:vAlign w:val="center"/>
          </w:tcPr>
          <w:p>
            <w:pPr>
              <w:framePr w:w="4776" w:h="11611" w:wrap="none" w:vAnchor="text" w:hAnchor="page" w:x="6001" w:y="1551"/>
            </w:pP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w:t>
            </w:r>
          </w:p>
        </w:tc>
        <w:tc>
          <w:tcPr>
            <w:vMerge/>
            <w:tcBorders>
              <w:left w:val="single" w:sz="4"/>
            </w:tcBorders>
            <w:shd w:val="clear" w:color="auto" w:fill="FFFFFF"/>
            <w:vAlign w:val="center"/>
          </w:tcPr>
          <w:p>
            <w:pPr>
              <w:framePr w:w="4776" w:h="11611" w:wrap="none" w:vAnchor="text" w:hAnchor="page" w:x="6001" w:y="1551"/>
            </w:pPr>
          </w:p>
        </w:tc>
        <w:tc>
          <w:tcPr>
            <w:vMerge/>
            <w:tcBorders>
              <w:left w:val="single" w:sz="4"/>
              <w:right w:val="single" w:sz="4"/>
            </w:tcBorders>
            <w:shd w:val="clear" w:color="auto" w:fill="FFFFFF"/>
            <w:vAlign w:val="center"/>
          </w:tcPr>
          <w:p>
            <w:pPr>
              <w:framePr w:w="4776" w:h="11611" w:wrap="none" w:vAnchor="text" w:hAnchor="page" w:x="6001" w:y="1551"/>
            </w:pPr>
          </w:p>
        </w:tc>
      </w:tr>
      <w:tr>
        <w:trPr>
          <w:trHeight w:val="1027" w:hRule="exact"/>
        </w:trPr>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6.11%</w:t>
            </w:r>
          </w:p>
        </w:tc>
        <w:tc>
          <w:tcPr>
            <w:vMerge/>
            <w:tcBorders>
              <w:left w:val="single" w:sz="4"/>
            </w:tcBorders>
            <w:shd w:val="clear" w:color="auto" w:fill="FFFFFF"/>
            <w:vAlign w:val="center"/>
          </w:tcPr>
          <w:p>
            <w:pPr>
              <w:framePr w:w="4776" w:h="11611" w:wrap="none" w:vAnchor="text" w:hAnchor="page" w:x="6001" w:y="1551"/>
            </w:pP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w:t>
            </w:r>
          </w:p>
        </w:tc>
        <w:tc>
          <w:tcPr>
            <w:vMerge/>
            <w:tcBorders>
              <w:left w:val="single" w:sz="4"/>
            </w:tcBorders>
            <w:shd w:val="clear" w:color="auto" w:fill="FFFFFF"/>
            <w:vAlign w:val="center"/>
          </w:tcPr>
          <w:p>
            <w:pPr>
              <w:framePr w:w="4776" w:h="11611" w:wrap="none" w:vAnchor="text" w:hAnchor="page" w:x="6001" w:y="1551"/>
            </w:pPr>
          </w:p>
        </w:tc>
        <w:tc>
          <w:tcPr>
            <w:vMerge/>
            <w:tcBorders>
              <w:left w:val="single" w:sz="4"/>
              <w:right w:val="single" w:sz="4"/>
            </w:tcBorders>
            <w:shd w:val="clear" w:color="auto" w:fill="FFFFFF"/>
            <w:vAlign w:val="center"/>
          </w:tcPr>
          <w:p>
            <w:pPr>
              <w:framePr w:w="4776" w:h="11611" w:wrap="none" w:vAnchor="text" w:hAnchor="page" w:x="6001" w:y="1551"/>
            </w:pPr>
          </w:p>
        </w:tc>
      </w:tr>
      <w:tr>
        <w:trPr>
          <w:trHeight w:val="1022" w:hRule="exact"/>
        </w:trPr>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0.29%</w:t>
            </w:r>
          </w:p>
        </w:tc>
        <w:tc>
          <w:tcPr>
            <w:vMerge/>
            <w:tcBorders>
              <w:left w:val="single" w:sz="4"/>
            </w:tcBorders>
            <w:shd w:val="clear" w:color="auto" w:fill="FFFFFF"/>
            <w:vAlign w:val="center"/>
          </w:tcPr>
          <w:p>
            <w:pPr>
              <w:framePr w:w="4776" w:h="11611" w:wrap="none" w:vAnchor="text" w:hAnchor="page" w:x="6001" w:y="1551"/>
            </w:pP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c>
          <w:tcPr>
            <w:vMerge/>
            <w:tcBorders>
              <w:left w:val="single" w:sz="4"/>
            </w:tcBorders>
            <w:shd w:val="clear" w:color="auto" w:fill="FFFFFF"/>
            <w:vAlign w:val="center"/>
          </w:tcPr>
          <w:p>
            <w:pPr>
              <w:framePr w:w="4776" w:h="11611" w:wrap="none" w:vAnchor="text" w:hAnchor="page" w:x="6001" w:y="1551"/>
            </w:pPr>
          </w:p>
        </w:tc>
        <w:tc>
          <w:tcPr>
            <w:vMerge/>
            <w:tcBorders>
              <w:left w:val="single" w:sz="4"/>
              <w:right w:val="single" w:sz="4"/>
            </w:tcBorders>
            <w:shd w:val="clear" w:color="auto" w:fill="FFFFFF"/>
            <w:vAlign w:val="center"/>
          </w:tcPr>
          <w:p>
            <w:pPr>
              <w:framePr w:w="4776" w:h="11611" w:wrap="none" w:vAnchor="text" w:hAnchor="page" w:x="6001" w:y="1551"/>
            </w:pPr>
          </w:p>
        </w:tc>
      </w:tr>
      <w:tr>
        <w:trPr>
          <w:trHeight w:val="1027" w:hRule="exact"/>
        </w:trPr>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w:t>
            </w:r>
          </w:p>
        </w:tc>
        <w:tc>
          <w:tcPr>
            <w:vMerge/>
            <w:tcBorders>
              <w:left w:val="single" w:sz="4"/>
            </w:tcBorders>
            <w:shd w:val="clear" w:color="auto" w:fill="FFFFFF"/>
            <w:vAlign w:val="center"/>
          </w:tcPr>
          <w:p>
            <w:pPr>
              <w:framePr w:w="4776" w:h="11611" w:wrap="none" w:vAnchor="text" w:hAnchor="page" w:x="6001" w:y="1551"/>
            </w:pP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251.91</w:t>
            </w:r>
          </w:p>
        </w:tc>
        <w:tc>
          <w:tcPr>
            <w:vMerge/>
            <w:tcBorders>
              <w:left w:val="single" w:sz="4"/>
            </w:tcBorders>
            <w:shd w:val="clear" w:color="auto" w:fill="FFFFFF"/>
            <w:vAlign w:val="center"/>
          </w:tcPr>
          <w:p>
            <w:pPr>
              <w:framePr w:w="4776" w:h="11611" w:wrap="none" w:vAnchor="text" w:hAnchor="page" w:x="6001" w:y="1551"/>
            </w:pPr>
          </w:p>
        </w:tc>
        <w:tc>
          <w:tcPr>
            <w:vMerge/>
            <w:tcBorders>
              <w:left w:val="single" w:sz="4"/>
              <w:right w:val="single" w:sz="4"/>
            </w:tcBorders>
            <w:shd w:val="clear" w:color="auto" w:fill="FFFFFF"/>
            <w:vAlign w:val="center"/>
          </w:tcPr>
          <w:p>
            <w:pPr>
              <w:framePr w:w="4776" w:h="11611" w:wrap="none" w:vAnchor="text" w:hAnchor="page" w:x="6001" w:y="1551"/>
            </w:pPr>
          </w:p>
        </w:tc>
      </w:tr>
      <w:tr>
        <w:trPr>
          <w:trHeight w:val="715" w:hRule="exact"/>
        </w:trPr>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41.80%</w:t>
            </w:r>
          </w:p>
        </w:tc>
        <w:tc>
          <w:tcPr>
            <w:vMerge/>
            <w:tcBorders>
              <w:left w:val="single" w:sz="4"/>
            </w:tcBorders>
            <w:shd w:val="clear" w:color="auto" w:fill="FFFFFF"/>
            <w:vAlign w:val="center"/>
          </w:tcPr>
          <w:p>
            <w:pPr>
              <w:framePr w:w="4776" w:h="11611" w:wrap="none" w:vAnchor="text" w:hAnchor="page" w:x="6001" w:y="1551"/>
            </w:pP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242.14</w:t>
            </w:r>
          </w:p>
        </w:tc>
        <w:tc>
          <w:tcPr>
            <w:vMerge/>
            <w:tcBorders>
              <w:left w:val="single" w:sz="4"/>
            </w:tcBorders>
            <w:shd w:val="clear" w:color="auto" w:fill="FFFFFF"/>
            <w:vAlign w:val="center"/>
          </w:tcPr>
          <w:p>
            <w:pPr>
              <w:framePr w:w="4776" w:h="11611" w:wrap="none" w:vAnchor="text" w:hAnchor="page" w:x="6001" w:y="1551"/>
            </w:pPr>
          </w:p>
        </w:tc>
        <w:tc>
          <w:tcPr>
            <w:vMerge/>
            <w:tcBorders>
              <w:left w:val="single" w:sz="4"/>
              <w:right w:val="single" w:sz="4"/>
            </w:tcBorders>
            <w:shd w:val="clear" w:color="auto" w:fill="FFFFFF"/>
            <w:vAlign w:val="center"/>
          </w:tcPr>
          <w:p>
            <w:pPr>
              <w:framePr w:w="4776" w:h="11611" w:wrap="none" w:vAnchor="text" w:hAnchor="page" w:x="6001" w:y="1551"/>
            </w:pPr>
          </w:p>
        </w:tc>
      </w:tr>
      <w:tr>
        <w:trPr>
          <w:trHeight w:val="403" w:hRule="exact"/>
        </w:trPr>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1,603.96</w:t>
            </w:r>
          </w:p>
        </w:tc>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framePr w:w="4776" w:h="11611" w:wrap="none" w:vAnchor="text" w:hAnchor="page" w:x="6001" w:y="155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7"/>
            <w:tcBorders>
              <w:top w:val="single" w:sz="4"/>
              <w:right w:val="single" w:sz="4"/>
            </w:tcBorders>
            <w:shd w:val="clear" w:color="auto" w:fill="FFFFFF"/>
            <w:vAlign w:val="top"/>
          </w:tcPr>
          <w:p>
            <w:pPr>
              <w:framePr w:w="4776" w:h="11611" w:wrap="none" w:vAnchor="text" w:hAnchor="page" w:x="6001" w:y="1551"/>
              <w:widowControl w:val="0"/>
              <w:rPr>
                <w:sz w:val="10"/>
                <w:szCs w:val="10"/>
              </w:rPr>
            </w:pPr>
          </w:p>
        </w:tc>
      </w:tr>
      <w:tr>
        <w:trPr>
          <w:trHeight w:val="2275" w:hRule="exact"/>
        </w:trPr>
        <w:tc>
          <w:tcPr>
            <w:gridSpan w:val="7"/>
            <w:tcBorders>
              <w:top w:val="single" w:sz="4"/>
              <w:right w:val="single" w:sz="4"/>
            </w:tcBorders>
            <w:shd w:val="clear" w:color="auto" w:fill="FFFFFF"/>
            <w:vAlign w:val="top"/>
          </w:tcPr>
          <w:p>
            <w:pPr>
              <w:pStyle w:val="Style2"/>
              <w:keepNext w:val="0"/>
              <w:keepLines w:val="0"/>
              <w:framePr w:w="4776" w:h="11611" w:wrap="none" w:vAnchor="text" w:hAnchor="page" w:x="6001" w:y="1551"/>
              <w:widowControl w:val="0"/>
              <w:shd w:val="clear" w:color="auto" w:fill="auto"/>
              <w:bidi w:val="0"/>
              <w:spacing w:before="0" w:after="0" w:line="313" w:lineRule="exact"/>
              <w:ind w:left="0" w:right="0" w:firstLine="0"/>
              <w:jc w:val="left"/>
            </w:pPr>
            <w:r>
              <w:rPr>
                <w:color w:val="000000"/>
                <w:spacing w:val="0"/>
                <w:w w:val="100"/>
                <w:position w:val="0"/>
              </w:rPr>
              <w:t>艮务器电脑及其他配件软件等的实际交易金额为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万元，由于 以后年度继续使用，且新产品需求没有预期大，故此项关联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年向关联方采购机柜及宽带租赁服务等的实际交易金额 对上述资源进一步优化，提高利用率，故此项关联交易额略 年向关联方租赁和出租房屋的的实际交易金额为</w:t>
            </w:r>
            <w:r>
              <w:rPr>
                <w:rFonts w:ascii="Times New Roman" w:eastAsia="Times New Roman" w:hAnsi="Times New Roman" w:cs="Times New Roman"/>
                <w:color w:val="000000"/>
                <w:spacing w:val="0"/>
                <w:w w:val="100"/>
                <w:position w:val="0"/>
                <w:sz w:val="18"/>
                <w:szCs w:val="18"/>
              </w:rPr>
              <w:t>497.82</w:t>
            </w:r>
            <w:r>
              <w:rPr>
                <w:color w:val="000000"/>
                <w:spacing w:val="0"/>
                <w:w w:val="100"/>
                <w:position w:val="0"/>
              </w:rPr>
              <w:t>万元 由于对房租预计单价存在偏差等因素，故此项关联交易额略</w:t>
            </w:r>
          </w:p>
        </w:tc>
      </w:tr>
      <w:tr>
        <w:trPr>
          <w:trHeight w:val="725" w:hRule="exact"/>
        </w:trPr>
        <w:tc>
          <w:tcPr>
            <w:gridSpan w:val="7"/>
            <w:tcBorders>
              <w:top w:val="single" w:sz="4"/>
              <w:bottom w:val="single" w:sz="4"/>
              <w:right w:val="single" w:sz="4"/>
            </w:tcBorders>
            <w:shd w:val="clear" w:color="auto" w:fill="FFFFFF"/>
            <w:vAlign w:val="top"/>
          </w:tcPr>
          <w:p>
            <w:pPr>
              <w:framePr w:w="4776" w:h="11611" w:wrap="none" w:vAnchor="text" w:hAnchor="page" w:x="6001" w:y="1551"/>
              <w:widowControl w:val="0"/>
              <w:rPr>
                <w:sz w:val="10"/>
                <w:szCs w:val="10"/>
              </w:rPr>
            </w:pPr>
          </w:p>
        </w:tc>
      </w:tr>
    </w:tbl>
    <w:p>
      <w:pPr>
        <w:framePr w:w="4776" w:h="11611" w:wrap="none" w:vAnchor="text" w:hAnchor="page" w:x="6001" w:y="155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1" w:line="1" w:lineRule="exact"/>
      </w:pPr>
    </w:p>
    <w:p>
      <w:pPr>
        <w:widowControl w:val="0"/>
        <w:spacing w:line="1" w:lineRule="exact"/>
        <w:sectPr>
          <w:footnotePr>
            <w:pos w:val="pageBottom"/>
            <w:numFmt w:val="decimal"/>
            <w:numRestart w:val="continuous"/>
          </w:footnotePr>
          <w:type w:val="continuous"/>
          <w:pgSz w:w="11900" w:h="16840"/>
          <w:pgMar w:top="1152" w:right="1123" w:bottom="1158" w:left="1109" w:header="0" w:footer="3" w:gutter="0"/>
          <w:cols w:space="720"/>
          <w:noEndnote/>
          <w:rtlGutter w:val="0"/>
          <w:docGrid w:linePitch="360"/>
        </w:sectPr>
      </w:pPr>
    </w:p>
    <w:p>
      <w:pPr>
        <w:pStyle w:val="Style32"/>
        <w:keepNext/>
        <w:keepLines/>
        <w:widowControl w:val="0"/>
        <w:shd w:val="clear" w:color="auto" w:fill="auto"/>
        <w:tabs>
          <w:tab w:pos="378" w:val="left"/>
        </w:tabs>
        <w:bidi w:val="0"/>
        <w:spacing w:before="80" w:after="28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w:t>
        <w:tab/>
        <w:t>资产或股权收购、出售发生的关联交易</w:t>
      </w:r>
      <w:bookmarkEnd w:id="330"/>
      <w:bookmarkEnd w:id="331"/>
      <w:bookmarkEnd w:id="333"/>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28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共同对外投资的关联交易</w:t>
      </w:r>
      <w:bookmarkEnd w:id="334"/>
      <w:bookmarkEnd w:id="335"/>
      <w:bookmarkEnd w:id="337"/>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2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4</w:t>
      </w:r>
      <w:bookmarkEnd w:id="340"/>
      <w:r>
        <w:rPr>
          <w:color w:val="000000"/>
          <w:spacing w:val="0"/>
          <w:w w:val="100"/>
          <w:position w:val="0"/>
        </w:rPr>
        <w:t>、</w:t>
        <w:tab/>
        <w:t>关联债权债务往来</w:t>
      </w:r>
      <w:bookmarkEnd w:id="338"/>
      <w:bookmarkEnd w:id="339"/>
      <w:bookmarkEnd w:id="341"/>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公司报告期不存在非经营性关联债权债务往来。</w:t>
      </w:r>
    </w:p>
    <w:p>
      <w:pPr>
        <w:pStyle w:val="Style32"/>
        <w:keepNext/>
        <w:keepLines/>
        <w:widowControl w:val="0"/>
        <w:shd w:val="clear" w:color="auto" w:fill="auto"/>
        <w:tabs>
          <w:tab w:pos="378" w:val="left"/>
        </w:tabs>
        <w:bidi w:val="0"/>
        <w:spacing w:before="0" w:after="2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5</w:t>
      </w:r>
      <w:bookmarkEnd w:id="344"/>
      <w:r>
        <w:rPr>
          <w:color w:val="000000"/>
          <w:spacing w:val="0"/>
          <w:w w:val="100"/>
          <w:position w:val="0"/>
        </w:rPr>
        <w:t>、</w:t>
        <w:tab/>
        <w:t>其他重大关联交易</w:t>
      </w:r>
      <w:bookmarkEnd w:id="342"/>
      <w:bookmarkEnd w:id="343"/>
      <w:bookmarkEnd w:id="345"/>
    </w:p>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日起筹划重大收购事项停牌，停牌期间公司以及聘请的独立财务顾问、审计、评估、律师事务所等中介机 构对标的公司开展尽职调查并召开项目协调会就交易方案、价格、利润承诺进行协商和论证。期间，公司及时履行了信息披 露义务，在综合考虑市场环境并对方案的设计充分沟通后，公司对交易方案进行了重大调整，调整后的方案不再构成《上 市公司重大资产重组管理办法》所规定的重大资产重组，因此公司决定终止该次重大资产重组并于</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日复牌。调整后的 交易方案考虑到各方利益，经过协商达成一致，确认支付现金购买资产。标的公司深圳宝腾互联经评估机构按照市场通行的 评估方法评估值为</w:t>
      </w:r>
      <w:r>
        <w:rPr>
          <w:rFonts w:ascii="Times New Roman" w:eastAsia="Times New Roman" w:hAnsi="Times New Roman" w:cs="Times New Roman"/>
          <w:color w:val="000000"/>
          <w:spacing w:val="0"/>
          <w:w w:val="100"/>
          <w:position w:val="0"/>
          <w:sz w:val="18"/>
          <w:szCs w:val="18"/>
        </w:rPr>
        <w:t>50,166.01</w:t>
      </w:r>
      <w:r>
        <w:rPr>
          <w:color w:val="000000"/>
          <w:spacing w:val="0"/>
          <w:w w:val="100"/>
          <w:position w:val="0"/>
        </w:rPr>
        <w:t>万兀，最终双方确认交易价格为人民</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万兀。由于本次交易构成关联交易，因此关联董事在 董事会相关议案表决时已回避表决，且根据《公司章程》等规定，本次交易需提交公司股东大会审议批准。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年第一次临时股东大会审议通过《关于以现金收购宝腾互联股权暨关联交易的议案》，与上述交易有利害关系的 关联人及关联法人对相关议案回避表决。截至报告期末，宝德科技相关审批程序仍在进行中。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关于筹划重大资产重组停牌的公告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关于以现金收购宝腾互联暨关联交易公告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279" w:line="1" w:lineRule="exact"/>
      </w:pPr>
    </w:p>
    <w:p>
      <w:pPr>
        <w:pStyle w:val="Style24"/>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十六、重大合同及其履行情况</w:t>
      </w:r>
      <w:bookmarkEnd w:id="346"/>
      <w:bookmarkEnd w:id="347"/>
      <w:bookmarkEnd w:id="348"/>
    </w:p>
    <w:p>
      <w:pPr>
        <w:pStyle w:val="Style32"/>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、托管、承包、租赁事项情况</w:t>
      </w:r>
      <w:bookmarkEnd w:id="349"/>
      <w:bookmarkEnd w:id="350"/>
      <w:bookmarkEnd w:id="352"/>
    </w:p>
    <w:p>
      <w:pPr>
        <w:pStyle w:val="Style36"/>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w:t>
      </w:r>
      <w:bookmarkEnd w:id="355"/>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53"/>
      <w:bookmarkEnd w:id="354"/>
      <w:bookmarkEnd w:id="35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both"/>
      </w:pPr>
      <w:bookmarkStart w:id="357" w:name="bookmark357"/>
      <w:bookmarkStart w:id="358" w:name="bookmark358"/>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7"/>
      <w:bookmarkEnd w:id="358"/>
      <w:bookmarkEnd w:id="360"/>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line="240" w:lineRule="auto"/>
        <w:ind w:left="0" w:right="0" w:firstLine="0"/>
        <w:jc w:val="both"/>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1"/>
      <w:bookmarkEnd w:id="362"/>
      <w:bookmarkEnd w:id="364"/>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重大担保</w:t>
      </w:r>
      <w:bookmarkEnd w:id="365"/>
      <w:bookmarkEnd w:id="366"/>
      <w:bookmarkEnd w:id="368"/>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after="38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委托他人进行现金资产管理情况</w:t>
      </w:r>
      <w:bookmarkEnd w:id="369"/>
      <w:bookmarkEnd w:id="370"/>
      <w:bookmarkEnd w:id="372"/>
    </w:p>
    <w:p>
      <w:pPr>
        <w:pStyle w:val="Style36"/>
        <w:keepNext/>
        <w:keepLines/>
        <w:widowControl w:val="0"/>
        <w:shd w:val="clear" w:color="auto" w:fill="auto"/>
        <w:bidi w:val="0"/>
        <w:spacing w:before="0" w:line="240" w:lineRule="auto"/>
        <w:ind w:left="0" w:right="0" w:firstLine="0"/>
        <w:jc w:val="both"/>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3"/>
      <w:bookmarkEnd w:id="374"/>
      <w:bookmarkEnd w:id="376"/>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尚有</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 元报告 期末未 赎回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末未赎 回</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到期一次 还本付息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tc>
      </w:tr>
    </w:tbl>
    <w:p>
      <w:pPr>
        <w:widowControl w:val="0"/>
        <w:spacing w:line="1" w:lineRule="exact"/>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13.44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末未到</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83.21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6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逾期未收回的本金和收益累计</w:t>
            </w:r>
          </w:p>
        </w:tc>
        <w:tc>
          <w:tcPr>
            <w:gridSpan w:val="9"/>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9"/>
            <w:vMerge/>
            <w:tcBorders>
              <w:left w:val="single" w:sz="4"/>
              <w:right w:val="single" w:sz="4"/>
            </w:tcBorders>
            <w:shd w:val="clear" w:color="auto" w:fill="FFFFFF"/>
            <w:vAlign w:val="center"/>
          </w:tcPr>
          <w:p>
            <w:pP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委托理财审批董事会公告披露</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403" w:hRule="exact"/>
        </w:trPr>
        <w:tc>
          <w:tcPr>
            <w:gridSpan w:val="2"/>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日期（如有</w:t>
            </w:r>
            <w:r>
              <w:rPr>
                <w:color w:val="000000"/>
                <w:spacing w:val="0"/>
                <w:w w:val="100"/>
                <w:position w:val="0"/>
                <w:sz w:val="18"/>
                <w:szCs w:val="18"/>
              </w:rPr>
              <w:t>）</w:t>
            </w:r>
          </w:p>
        </w:tc>
        <w:tc>
          <w:tcPr>
            <w:tcBorders/>
            <w:shd w:val="clear" w:color="auto" w:fill="D3D3D3"/>
            <w:vAlign w:val="top"/>
          </w:tcPr>
          <w:p>
            <w:pPr>
              <w:widowControl w:val="0"/>
              <w:rPr>
                <w:sz w:val="10"/>
                <w:szCs w:val="10"/>
              </w:rPr>
            </w:pP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36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委托理财审批股东会公告披露</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gridSpan w:val="2"/>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日期（如有</w:t>
            </w:r>
            <w:r>
              <w:rPr>
                <w:color w:val="000000"/>
                <w:spacing w:val="0"/>
                <w:w w:val="100"/>
                <w:position w:val="0"/>
                <w:sz w:val="18"/>
                <w:szCs w:val="18"/>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报告期末未赎回理财产品预计收益计算截至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7"/>
      <w:bookmarkEnd w:id="378"/>
      <w:bookmarkEnd w:id="38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28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、其他重大合同</w:t>
      </w:r>
      <w:bookmarkEnd w:id="381"/>
      <w:bookmarkEnd w:id="382"/>
      <w:bookmarkEnd w:id="384"/>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十七、社会责任情况</w:t>
      </w:r>
      <w:bookmarkEnd w:id="385"/>
      <w:bookmarkEnd w:id="386"/>
      <w:bookmarkEnd w:id="387"/>
    </w:p>
    <w:p>
      <w:pPr>
        <w:pStyle w:val="Style32"/>
        <w:keepNext/>
        <w:keepLines/>
        <w:widowControl w:val="0"/>
        <w:shd w:val="clear" w:color="auto" w:fill="auto"/>
        <w:tabs>
          <w:tab w:pos="418" w:val="left"/>
        </w:tabs>
        <w:bidi w:val="0"/>
        <w:spacing w:before="0" w:after="2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w:t>
        <w:tab/>
        <w:t>履行精准扶贫社会责任情况</w:t>
      </w:r>
      <w:bookmarkEnd w:id="388"/>
      <w:bookmarkEnd w:id="389"/>
      <w:bookmarkEnd w:id="391"/>
    </w:p>
    <w:p>
      <w:pPr>
        <w:pStyle w:val="Style26"/>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18" w:val="left"/>
        </w:tabs>
        <w:bidi w:val="0"/>
        <w:spacing w:before="0" w:after="2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w:t>
        <w:tab/>
        <w:t>履行其他社会责任的情况</w:t>
      </w:r>
      <w:bookmarkEnd w:id="392"/>
      <w:bookmarkEnd w:id="393"/>
      <w:bookmarkEnd w:id="395"/>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是否发布社会责任报告</w:t>
      </w:r>
    </w:p>
    <w:p>
      <w:pPr>
        <w:pStyle w:val="Style26"/>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280" w:line="240" w:lineRule="auto"/>
        <w:ind w:left="0" w:right="0" w:firstLine="0"/>
        <w:jc w:val="left"/>
      </w:pPr>
      <w:bookmarkStart w:id="396" w:name="bookmark396"/>
      <w:bookmarkStart w:id="397" w:name="bookmark397"/>
      <w:bookmarkStart w:id="398" w:name="bookmark398"/>
      <w:r>
        <w:rPr>
          <w:color w:val="000000"/>
          <w:spacing w:val="0"/>
          <w:w w:val="100"/>
          <w:position w:val="0"/>
          <w:sz w:val="24"/>
          <w:szCs w:val="24"/>
        </w:rPr>
        <w:t>十八、其他重大事项的说明</w:t>
      </w:r>
      <w:bookmarkEnd w:id="396"/>
      <w:bookmarkEnd w:id="397"/>
      <w:bookmarkEnd w:id="398"/>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240" w:line="319" w:lineRule="exact"/>
        <w:ind w:left="0" w:right="0" w:firstLine="0"/>
        <w:jc w:val="left"/>
      </w:pPr>
      <w:bookmarkStart w:id="399" w:name="bookmark399"/>
      <w:r>
        <w:rPr>
          <w:rFonts w:ascii="Times New Roman" w:eastAsia="Times New Roman" w:hAnsi="Times New Roman" w:cs="Times New Roman"/>
          <w:color w:val="000000"/>
          <w:spacing w:val="0"/>
          <w:w w:val="100"/>
          <w:position w:val="0"/>
          <w:sz w:val="18"/>
          <w:szCs w:val="18"/>
        </w:rPr>
        <w:t>1</w:t>
      </w:r>
      <w:bookmarkEnd w:id="399"/>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与上海美峰股东签订兜底还款协议</w:t>
      </w:r>
    </w:p>
    <w:p>
      <w:pPr>
        <w:pStyle w:val="Style26"/>
        <w:keepNext w:val="0"/>
        <w:keepLines w:val="0"/>
        <w:widowControl w:val="0"/>
        <w:shd w:val="clear" w:color="auto" w:fill="auto"/>
        <w:bidi w:val="0"/>
        <w:spacing w:before="0" w:after="240" w:line="317"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日召开的第三届董事会第三十一次（临时）会议审议通过了《关于与上海美峰股东签订兜底还 款协议的议案》，协议的主要内容如下：</w:t>
      </w:r>
    </w:p>
    <w:p>
      <w:pPr>
        <w:pStyle w:val="Style26"/>
        <w:keepNext w:val="0"/>
        <w:keepLines w:val="0"/>
        <w:widowControl w:val="0"/>
        <w:shd w:val="clear" w:color="auto" w:fill="auto"/>
        <w:bidi w:val="0"/>
        <w:spacing w:before="0" w:after="240" w:line="319" w:lineRule="exact"/>
        <w:ind w:left="0" w:right="0" w:firstLine="0"/>
        <w:jc w:val="left"/>
      </w:pPr>
      <w:bookmarkStart w:id="400" w:name="bookmark400"/>
      <w:r>
        <w:rPr>
          <w:color w:val="000000"/>
          <w:spacing w:val="0"/>
          <w:w w:val="100"/>
          <w:position w:val="0"/>
        </w:rPr>
        <w:t>（</w:t>
      </w:r>
      <w:bookmarkEnd w:id="4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日上海集美与环球互动数码科技有限公司（以下简称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环球互动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）签订了《软件著作权转让协议》，协议 约定了环球互动以</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万美元的对价购买上海集美游戏《君王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》的著作权，以上收入合并计入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年上海美峰营业收入以 及利润；</w:t>
      </w:r>
    </w:p>
    <w:p>
      <w:pPr>
        <w:pStyle w:val="Style26"/>
        <w:keepNext w:val="0"/>
        <w:keepLines w:val="0"/>
        <w:widowControl w:val="0"/>
        <w:shd w:val="clear" w:color="auto" w:fill="auto"/>
        <w:bidi w:val="0"/>
        <w:spacing w:before="0" w:after="240" w:line="326" w:lineRule="exact"/>
        <w:ind w:left="0" w:right="0" w:firstLine="0"/>
        <w:jc w:val="left"/>
      </w:pPr>
      <w:bookmarkStart w:id="401" w:name="bookmark401"/>
      <w:r>
        <w:rPr>
          <w:color w:val="000000"/>
          <w:spacing w:val="0"/>
          <w:w w:val="100"/>
          <w:position w:val="0"/>
        </w:rPr>
        <w:t>（</w:t>
      </w:r>
      <w:bookmarkEnd w:id="4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截至本协议签署之日（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日），环球互动尚有</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万美元未向上海美峰支付，以上款项未按时支付的情况可 能会损害本公司中小股东的合法权益；</w:t>
      </w:r>
    </w:p>
    <w:p>
      <w:pPr>
        <w:pStyle w:val="Style26"/>
        <w:keepNext w:val="0"/>
        <w:keepLines w:val="0"/>
        <w:widowControl w:val="0"/>
        <w:shd w:val="clear" w:color="auto" w:fill="auto"/>
        <w:tabs>
          <w:tab w:pos="536" w:val="left"/>
        </w:tabs>
        <w:bidi w:val="0"/>
        <w:spacing w:before="0" w:after="240" w:line="312" w:lineRule="exact"/>
        <w:ind w:left="0" w:right="0" w:firstLine="0"/>
        <w:jc w:val="left"/>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上海美峰股东李杰、郭瑜、钟松不可撤销的同意并承诺承担环球互动对上海集美</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万美元的债务；并同意以人民币支 付上述款项，汇率以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日当日中国人民银行公布的美元兑人民币汇率</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6.4916）</w:t>
      </w:r>
      <w:r>
        <w:rPr>
          <w:color w:val="000000"/>
          <w:spacing w:val="0"/>
          <w:w w:val="100"/>
          <w:position w:val="0"/>
        </w:rPr>
        <w:t>计算，合计人民币</w:t>
      </w:r>
      <w:r>
        <w:rPr>
          <w:rFonts w:ascii="Times New Roman" w:eastAsia="Times New Roman" w:hAnsi="Times New Roman" w:cs="Times New Roman"/>
          <w:color w:val="000000"/>
          <w:spacing w:val="0"/>
          <w:w w:val="100"/>
          <w:position w:val="0"/>
          <w:sz w:val="18"/>
          <w:szCs w:val="18"/>
        </w:rPr>
        <w:t>4,050.80</w:t>
      </w:r>
      <w:r>
        <w:rPr>
          <w:color w:val="000000"/>
          <w:spacing w:val="0"/>
          <w:w w:val="100"/>
          <w:position w:val="0"/>
        </w:rPr>
        <w:t>万元；</w:t>
      </w:r>
    </w:p>
    <w:p>
      <w:pPr>
        <w:pStyle w:val="Style26"/>
        <w:keepNext w:val="0"/>
        <w:keepLines w:val="0"/>
        <w:widowControl w:val="0"/>
        <w:shd w:val="clear" w:color="auto" w:fill="auto"/>
        <w:tabs>
          <w:tab w:pos="440" w:val="left"/>
        </w:tabs>
        <w:bidi w:val="0"/>
        <w:spacing w:before="0" w:after="240" w:line="319" w:lineRule="exact"/>
        <w:ind w:left="0" w:right="0" w:firstLine="0"/>
        <w:jc w:val="left"/>
      </w:pPr>
      <w:bookmarkStart w:id="403" w:name="bookmark403"/>
      <w:r>
        <w:rPr>
          <w:color w:val="000000"/>
          <w:spacing w:val="0"/>
          <w:w w:val="100"/>
          <w:position w:val="0"/>
        </w:rPr>
        <w:t>（</w:t>
      </w:r>
      <w:bookmarkEnd w:id="4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付款方式：</w:t>
      </w:r>
    </w:p>
    <w:p>
      <w:pPr>
        <w:pStyle w:val="Style26"/>
        <w:keepNext w:val="0"/>
        <w:keepLines w:val="0"/>
        <w:widowControl w:val="0"/>
        <w:shd w:val="clear" w:color="auto" w:fill="auto"/>
        <w:tabs>
          <w:tab w:pos="579" w:val="left"/>
        </w:tabs>
        <w:bidi w:val="0"/>
        <w:spacing w:before="0" w:after="240" w:line="319" w:lineRule="exact"/>
        <w:ind w:left="0" w:right="0" w:firstLine="0"/>
        <w:jc w:val="left"/>
      </w:pPr>
      <w:bookmarkStart w:id="404" w:name="bookmark404"/>
      <w:r>
        <w:rPr>
          <w:color w:val="000000"/>
          <w:spacing w:val="0"/>
          <w:w w:val="100"/>
          <w:position w:val="0"/>
        </w:rPr>
        <w:t>（</w:t>
      </w:r>
      <w:bookmarkEnd w:id="404"/>
      <w:r>
        <w:rPr>
          <w:rFonts w:ascii="Times New Roman" w:eastAsia="Times New Roman" w:hAnsi="Times New Roman" w:cs="Times New Roman"/>
          <w:color w:val="000000"/>
          <w:spacing w:val="0"/>
          <w:w w:val="100"/>
          <w:position w:val="0"/>
          <w:sz w:val="18"/>
          <w:szCs w:val="18"/>
        </w:rPr>
        <w:t>4.1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日前通过转账方式向上海集美支付人民币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26"/>
        <w:keepNext w:val="0"/>
        <w:keepLines w:val="0"/>
        <w:widowControl w:val="0"/>
        <w:shd w:val="clear" w:color="auto" w:fill="auto"/>
        <w:tabs>
          <w:tab w:pos="579" w:val="left"/>
        </w:tabs>
        <w:bidi w:val="0"/>
        <w:spacing w:before="0" w:after="240" w:line="319" w:lineRule="exact"/>
        <w:ind w:left="0" w:right="0" w:firstLine="0"/>
        <w:jc w:val="left"/>
      </w:pPr>
      <w:bookmarkStart w:id="405" w:name="bookmark405"/>
      <w:r>
        <w:rPr>
          <w:color w:val="000000"/>
          <w:spacing w:val="0"/>
          <w:w w:val="100"/>
          <w:position w:val="0"/>
        </w:rPr>
        <w:t>（</w:t>
      </w:r>
      <w:bookmarkEnd w:id="405"/>
      <w:r>
        <w:rPr>
          <w:rFonts w:ascii="Times New Roman" w:eastAsia="Times New Roman" w:hAnsi="Times New Roman" w:cs="Times New Roman"/>
          <w:color w:val="000000"/>
          <w:spacing w:val="0"/>
          <w:w w:val="100"/>
          <w:position w:val="0"/>
          <w:sz w:val="18"/>
          <w:szCs w:val="18"/>
        </w:rPr>
        <w:t>4.2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日前通过转账方式向上海集美支付人民币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26"/>
        <w:keepNext w:val="0"/>
        <w:keepLines w:val="0"/>
        <w:widowControl w:val="0"/>
        <w:shd w:val="clear" w:color="auto" w:fill="auto"/>
        <w:tabs>
          <w:tab w:pos="579" w:val="left"/>
        </w:tabs>
        <w:bidi w:val="0"/>
        <w:spacing w:before="0" w:after="240" w:line="319" w:lineRule="exact"/>
        <w:ind w:left="0" w:right="0" w:firstLine="0"/>
        <w:jc w:val="left"/>
      </w:pPr>
      <w:bookmarkStart w:id="406" w:name="bookmark406"/>
      <w:r>
        <w:rPr>
          <w:color w:val="000000"/>
          <w:spacing w:val="0"/>
          <w:w w:val="100"/>
          <w:position w:val="0"/>
        </w:rPr>
        <w:t>（</w:t>
      </w:r>
      <w:bookmarkEnd w:id="406"/>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日前通过转账方式向上海集美支付人民币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26"/>
        <w:keepNext w:val="0"/>
        <w:keepLines w:val="0"/>
        <w:widowControl w:val="0"/>
        <w:shd w:val="clear" w:color="auto" w:fill="auto"/>
        <w:tabs>
          <w:tab w:pos="579" w:val="left"/>
        </w:tabs>
        <w:bidi w:val="0"/>
        <w:spacing w:before="0" w:after="240" w:line="319" w:lineRule="exact"/>
        <w:ind w:left="0" w:right="0" w:firstLine="0"/>
        <w:jc w:val="left"/>
      </w:pPr>
      <w:bookmarkStart w:id="407" w:name="bookmark407"/>
      <w:r>
        <w:rPr>
          <w:color w:val="000000"/>
          <w:spacing w:val="0"/>
          <w:w w:val="100"/>
          <w:position w:val="0"/>
        </w:rPr>
        <w:t>（</w:t>
      </w:r>
      <w:bookmarkEnd w:id="407"/>
      <w:r>
        <w:rPr>
          <w:rFonts w:ascii="Times New Roman" w:eastAsia="Times New Roman" w:hAnsi="Times New Roman" w:cs="Times New Roman"/>
          <w:color w:val="000000"/>
          <w:spacing w:val="0"/>
          <w:w w:val="100"/>
          <w:position w:val="0"/>
          <w:sz w:val="18"/>
          <w:szCs w:val="18"/>
        </w:rPr>
        <w:t>4.4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日前通过转账方式向上海集美支付人民币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26"/>
        <w:keepNext w:val="0"/>
        <w:keepLines w:val="0"/>
        <w:widowControl w:val="0"/>
        <w:shd w:val="clear" w:color="auto" w:fill="auto"/>
        <w:bidi w:val="0"/>
        <w:spacing w:before="0" w:after="24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日前通过转账方式向上海集美支付剩余的全部款项；</w:t>
      </w:r>
    </w:p>
    <w:p>
      <w:pPr>
        <w:pStyle w:val="Style26"/>
        <w:keepNext w:val="0"/>
        <w:keepLines w:val="0"/>
        <w:widowControl w:val="0"/>
        <w:shd w:val="clear" w:color="auto" w:fill="auto"/>
        <w:bidi w:val="0"/>
        <w:spacing w:before="0" w:after="0" w:line="317" w:lineRule="exact"/>
        <w:ind w:left="0" w:right="0" w:firstLine="0"/>
        <w:jc w:val="left"/>
      </w:pPr>
      <w:bookmarkStart w:id="408" w:name="bookmark408"/>
      <w:r>
        <w:rPr>
          <w:color w:val="000000"/>
          <w:spacing w:val="0"/>
          <w:w w:val="100"/>
          <w:position w:val="0"/>
        </w:rPr>
        <w:t>（</w:t>
      </w:r>
      <w:bookmarkEnd w:id="408"/>
      <w:r>
        <w:rPr>
          <w:rFonts w:ascii="Times New Roman" w:eastAsia="Times New Roman" w:hAnsi="Times New Roman" w:cs="Times New Roman"/>
          <w:color w:val="000000"/>
          <w:spacing w:val="0"/>
          <w:w w:val="100"/>
          <w:position w:val="0"/>
          <w:sz w:val="18"/>
          <w:szCs w:val="18"/>
        </w:rPr>
        <w:t>5</w:t>
      </w:r>
      <w:r>
        <w:rPr>
          <w:color w:val="000000"/>
          <w:spacing w:val="0"/>
          <w:w w:val="100"/>
          <w:position w:val="0"/>
        </w:rPr>
        <w:t>）李杰、郭瑜、钟松同意以各自持有的上海美峰的全部股权质押给本公司，若李杰、郭瑜、钟松未能按照本协议约定的 方式支付款项，本公司有权行使质权。李杰、郭瑜、钟松须于本协议签署之后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个工作日内完成办理股权质押相关手续。若 李杰、郭瑜、钟松按本协议约定的方式履约完毕，本公司应在上海集美收到李杰、郭瑜、钟松支付的最后一笔款项后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 作日内无条件解除质押手续。</w:t>
      </w:r>
    </w:p>
    <w:p>
      <w:pPr>
        <w:pStyle w:val="Style26"/>
        <w:keepNext w:val="0"/>
        <w:keepLines w:val="0"/>
        <w:widowControl w:val="0"/>
        <w:shd w:val="clear" w:color="auto" w:fill="auto"/>
        <w:tabs>
          <w:tab w:pos="331" w:val="left"/>
        </w:tabs>
        <w:bidi w:val="0"/>
        <w:spacing w:before="0" w:after="240" w:line="311" w:lineRule="exact"/>
        <w:ind w:left="0" w:right="0" w:firstLine="0"/>
        <w:jc w:val="left"/>
      </w:pPr>
      <w:bookmarkStart w:id="409" w:name="bookmark409"/>
      <w:r>
        <w:rPr>
          <w:rFonts w:ascii="Times New Roman" w:eastAsia="Times New Roman" w:hAnsi="Times New Roman" w:cs="Times New Roman"/>
          <w:color w:val="000000"/>
          <w:spacing w:val="0"/>
          <w:w w:val="100"/>
          <w:position w:val="0"/>
          <w:sz w:val="18"/>
          <w:szCs w:val="18"/>
        </w:rPr>
        <w:t>2</w:t>
      </w:r>
      <w:bookmarkEnd w:id="409"/>
      <w:r>
        <w:rPr>
          <w:color w:val="000000"/>
          <w:spacing w:val="0"/>
          <w:w w:val="100"/>
          <w:position w:val="0"/>
        </w:rPr>
        <w:t>、</w:t>
        <w:tab/>
        <w:t>以现金收购宝腾互联股权</w:t>
      </w:r>
    </w:p>
    <w:p>
      <w:pPr>
        <w:pStyle w:val="Style26"/>
        <w:keepNext w:val="0"/>
        <w:keepLines w:val="0"/>
        <w:widowControl w:val="0"/>
        <w:shd w:val="clear" w:color="auto" w:fill="auto"/>
        <w:tabs>
          <w:tab w:pos="417" w:val="left"/>
        </w:tabs>
        <w:bidi w:val="0"/>
        <w:spacing w:before="0" w:after="0" w:line="311" w:lineRule="exact"/>
        <w:ind w:left="0" w:right="0" w:firstLine="0"/>
        <w:jc w:val="left"/>
      </w:pPr>
      <w:bookmarkStart w:id="410" w:name="bookmark410"/>
      <w:r>
        <w:rPr>
          <w:color w:val="000000"/>
          <w:spacing w:val="0"/>
          <w:w w:val="100"/>
          <w:position w:val="0"/>
          <w:sz w:val="18"/>
          <w:szCs w:val="18"/>
        </w:rPr>
        <w:t>（</w:t>
      </w:r>
      <w:bookmarkEnd w:id="410"/>
      <w:r>
        <w:rPr>
          <w:color w:val="000000"/>
          <w:spacing w:val="0"/>
          <w:w w:val="100"/>
          <w:position w:val="0"/>
          <w:sz w:val="18"/>
          <w:szCs w:val="18"/>
        </w:rPr>
        <w:t>1）</w:t>
        <w:tab/>
      </w:r>
      <w:r>
        <w:rPr>
          <w:color w:val="000000"/>
          <w:spacing w:val="0"/>
          <w:w w:val="100"/>
          <w:position w:val="0"/>
        </w:rPr>
        <w:t>支付现金购买资产协议内容描述</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日本公司与宝德科技签署《支付现金购买资产协议》，本公司拟以现金人民币</w:t>
      </w:r>
      <w:r>
        <w:rPr>
          <w:color w:val="000000"/>
          <w:spacing w:val="0"/>
          <w:w w:val="100"/>
          <w:position w:val="0"/>
          <w:sz w:val="18"/>
          <w:szCs w:val="18"/>
        </w:rPr>
        <w:t>50,000</w:t>
      </w:r>
      <w:r>
        <w:rPr>
          <w:color w:val="000000"/>
          <w:spacing w:val="0"/>
          <w:w w:val="100"/>
          <w:position w:val="0"/>
        </w:rPr>
        <w:t>万元收购宝德科技持 有的完成业务整合后的宝腾互联</w:t>
      </w:r>
      <w:r>
        <w:rPr>
          <w:color w:val="000000"/>
          <w:spacing w:val="0"/>
          <w:w w:val="100"/>
          <w:position w:val="0"/>
          <w:sz w:val="18"/>
          <w:szCs w:val="18"/>
        </w:rPr>
        <w:t>100%</w:t>
      </w:r>
      <w:r>
        <w:rPr>
          <w:color w:val="000000"/>
          <w:spacing w:val="0"/>
          <w:w w:val="100"/>
          <w:position w:val="0"/>
        </w:rPr>
        <w:t>股权（以下简称目标资产）。</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双方同意，本协议签署后如最终未能正式生效的，宝德科技应当将已收取的相应现金价款的本金加上银行同期利息（按 照本公司支付款项时银行同期贷款利率上浮</w:t>
      </w:r>
      <w:r>
        <w:rPr>
          <w:color w:val="000000"/>
          <w:spacing w:val="0"/>
          <w:w w:val="100"/>
          <w:position w:val="0"/>
          <w:sz w:val="18"/>
          <w:szCs w:val="18"/>
        </w:rPr>
        <w:t>10%</w:t>
      </w:r>
      <w:r>
        <w:rPr>
          <w:color w:val="000000"/>
          <w:spacing w:val="0"/>
          <w:w w:val="100"/>
          <w:position w:val="0"/>
        </w:rPr>
        <w:t>计算的利息）全额返还本公司本公司。</w:t>
      </w:r>
    </w:p>
    <w:p>
      <w:pPr>
        <w:pStyle w:val="Style26"/>
        <w:keepNext w:val="0"/>
        <w:keepLines w:val="0"/>
        <w:widowControl w:val="0"/>
        <w:shd w:val="clear" w:color="auto" w:fill="auto"/>
        <w:tabs>
          <w:tab w:pos="417" w:val="left"/>
        </w:tabs>
        <w:bidi w:val="0"/>
        <w:spacing w:before="0" w:after="0" w:line="311" w:lineRule="exact"/>
        <w:ind w:left="0" w:right="0" w:firstLine="0"/>
        <w:jc w:val="left"/>
      </w:pPr>
      <w:bookmarkStart w:id="411" w:name="bookmark411"/>
      <w:r>
        <w:rPr>
          <w:color w:val="000000"/>
          <w:spacing w:val="0"/>
          <w:w w:val="100"/>
          <w:position w:val="0"/>
          <w:sz w:val="18"/>
          <w:szCs w:val="18"/>
        </w:rPr>
        <w:t>（</w:t>
      </w:r>
      <w:bookmarkEnd w:id="411"/>
      <w:r>
        <w:rPr>
          <w:color w:val="000000"/>
          <w:spacing w:val="0"/>
          <w:w w:val="100"/>
          <w:position w:val="0"/>
          <w:sz w:val="18"/>
          <w:szCs w:val="18"/>
        </w:rPr>
        <w:t>2）</w:t>
        <w:tab/>
      </w:r>
      <w:r>
        <w:rPr>
          <w:color w:val="000000"/>
          <w:spacing w:val="0"/>
          <w:w w:val="100"/>
          <w:position w:val="0"/>
        </w:rPr>
        <w:t>盈利预测补偿协议内容描述</w:t>
      </w:r>
    </w:p>
    <w:p>
      <w:pPr>
        <w:pStyle w:val="Style26"/>
        <w:keepNext w:val="0"/>
        <w:keepLines w:val="0"/>
        <w:widowControl w:val="0"/>
        <w:shd w:val="clear" w:color="auto" w:fill="auto"/>
        <w:bidi w:val="0"/>
        <w:spacing w:before="0" w:after="0" w:line="311" w:lineRule="exact"/>
        <w:ind w:left="0" w:right="0" w:firstLine="2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日本公司与宝德科技签署《盈利预测补偿协议》，协议中约定</w:t>
      </w:r>
    </w:p>
    <w:p>
      <w:pPr>
        <w:pStyle w:val="Style26"/>
        <w:keepNext w:val="0"/>
        <w:keepLines w:val="0"/>
        <w:widowControl w:val="0"/>
        <w:numPr>
          <w:ilvl w:val="0"/>
          <w:numId w:val="5"/>
        </w:numPr>
        <w:shd w:val="clear" w:color="auto" w:fill="auto"/>
        <w:tabs>
          <w:tab w:pos="350" w:val="left"/>
        </w:tabs>
        <w:bidi w:val="0"/>
        <w:spacing w:before="0" w:after="0" w:line="311" w:lineRule="exact"/>
        <w:ind w:left="0" w:right="0" w:firstLine="0"/>
        <w:jc w:val="left"/>
      </w:pPr>
      <w:bookmarkStart w:id="412" w:name="bookmark412"/>
      <w:bookmarkEnd w:id="412"/>
      <w:r>
        <w:rPr>
          <w:color w:val="000000"/>
          <w:spacing w:val="0"/>
          <w:w w:val="100"/>
          <w:position w:val="0"/>
        </w:rPr>
        <w:t>宝德科技确认并承诺，宝腾互联</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w:t>
      </w:r>
      <w:r>
        <w:rPr>
          <w:color w:val="000000"/>
          <w:spacing w:val="0"/>
          <w:w w:val="100"/>
          <w:position w:val="0"/>
          <w:sz w:val="18"/>
          <w:szCs w:val="18"/>
        </w:rPr>
        <w:t>2019</w:t>
      </w:r>
      <w:r>
        <w:rPr>
          <w:color w:val="000000"/>
          <w:spacing w:val="0"/>
          <w:w w:val="100"/>
          <w:position w:val="0"/>
        </w:rPr>
        <w:t>年度经审计扣除非经常性损益后归属于母公司股东的净利润合 计不低于人民币</w:t>
      </w:r>
      <w:r>
        <w:rPr>
          <w:color w:val="000000"/>
          <w:spacing w:val="0"/>
          <w:w w:val="100"/>
          <w:position w:val="0"/>
          <w:sz w:val="18"/>
          <w:szCs w:val="18"/>
        </w:rPr>
        <w:t>110,361,605.80</w:t>
      </w:r>
      <w:r>
        <w:rPr>
          <w:color w:val="000000"/>
          <w:spacing w:val="0"/>
          <w:w w:val="100"/>
          <w:position w:val="0"/>
        </w:rPr>
        <w:t>元。</w:t>
      </w:r>
    </w:p>
    <w:p>
      <w:pPr>
        <w:pStyle w:val="Style26"/>
        <w:keepNext w:val="0"/>
        <w:keepLines w:val="0"/>
        <w:widowControl w:val="0"/>
        <w:numPr>
          <w:ilvl w:val="0"/>
          <w:numId w:val="5"/>
        </w:numPr>
        <w:shd w:val="clear" w:color="auto" w:fill="auto"/>
        <w:tabs>
          <w:tab w:pos="350" w:val="left"/>
        </w:tabs>
        <w:bidi w:val="0"/>
        <w:spacing w:before="0" w:after="0" w:line="311" w:lineRule="exact"/>
        <w:ind w:left="0" w:right="0" w:firstLine="0"/>
        <w:jc w:val="left"/>
      </w:pPr>
      <w:bookmarkStart w:id="413" w:name="bookmark413"/>
      <w:bookmarkEnd w:id="413"/>
      <w:r>
        <w:rPr>
          <w:color w:val="000000"/>
          <w:spacing w:val="0"/>
          <w:w w:val="100"/>
          <w:position w:val="0"/>
        </w:rPr>
        <w:t>若经注册会计师审核确认，宝腾互联在盈利补偿期间最终结束后的实际净利润数未能达到宝德科技承诺的净利润预测数， 宝德科技将以现金形式对本公司进行补偿。</w:t>
      </w:r>
    </w:p>
    <w:p>
      <w:pPr>
        <w:pStyle w:val="Style26"/>
        <w:keepNext w:val="0"/>
        <w:keepLines w:val="0"/>
        <w:widowControl w:val="0"/>
        <w:numPr>
          <w:ilvl w:val="0"/>
          <w:numId w:val="5"/>
        </w:numPr>
        <w:shd w:val="clear" w:color="auto" w:fill="auto"/>
        <w:tabs>
          <w:tab w:pos="350" w:val="left"/>
        </w:tabs>
        <w:bidi w:val="0"/>
        <w:spacing w:before="0" w:after="0" w:line="311" w:lineRule="exact"/>
        <w:ind w:left="0" w:right="0" w:firstLine="0"/>
        <w:jc w:val="left"/>
      </w:pPr>
      <w:bookmarkStart w:id="414" w:name="bookmark414"/>
      <w:bookmarkEnd w:id="414"/>
      <w:r>
        <w:rPr>
          <w:color w:val="000000"/>
          <w:spacing w:val="0"/>
          <w:w w:val="100"/>
          <w:position w:val="0"/>
        </w:rPr>
        <w:t>在盈利补偿期间届满时，由经双方一致认可的具有证券从业资格的会计师事务所对目标资产进行盈利补偿期间的减值测试, 并出具专项审核意见。若盈利补偿期间期末目标资产的减值额大于宝德科技已就以上条款向本公司补偿总额，则宝德科技同 意除上述〈盈利预测及补偿方案〉所述补偿外，将另行向本公司作出资产减值补偿。</w:t>
      </w:r>
    </w:p>
    <w:p>
      <w:pPr>
        <w:pStyle w:val="Style26"/>
        <w:keepNext w:val="0"/>
        <w:keepLines w:val="0"/>
        <w:widowControl w:val="0"/>
        <w:shd w:val="clear" w:color="auto" w:fill="auto"/>
        <w:bidi w:val="0"/>
        <w:spacing w:before="0" w:after="0" w:line="311" w:lineRule="exact"/>
        <w:ind w:left="0" w:right="0" w:firstLine="22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日，本公司、宝德科技、李瑞杰及张云霞订立补充协议以对利润担保补偿协议作出若干修订。根据利润担保 补偿协议之补充协议，订约各方同意本公司将予以支付的利润担保补偿及资产减值补偿最高总额将不超过人民币 </w:t>
      </w:r>
      <w:r>
        <w:rPr>
          <w:color w:val="000000"/>
          <w:spacing w:val="0"/>
          <w:w w:val="100"/>
          <w:position w:val="0"/>
          <w:sz w:val="18"/>
          <w:szCs w:val="18"/>
        </w:rPr>
        <w:t>110,361,605.8</w:t>
      </w:r>
      <w:r>
        <w:rPr>
          <w:color w:val="000000"/>
          <w:spacing w:val="0"/>
          <w:w w:val="100"/>
          <w:position w:val="0"/>
          <w:sz w:val="18"/>
          <w:szCs w:val="18"/>
        </w:rPr>
        <w:t>0</w:t>
      </w:r>
      <w:r>
        <w:rPr>
          <w:color w:val="000000"/>
          <w:spacing w:val="0"/>
          <w:w w:val="100"/>
          <w:position w:val="0"/>
        </w:rPr>
        <w:t>元，且超过该限额的利润担保补偿及资产减值补偿部分将由李瑞杰及张云霞承担。</w:t>
      </w:r>
    </w:p>
    <w:p>
      <w:pPr>
        <w:pStyle w:val="Style26"/>
        <w:keepNext w:val="0"/>
        <w:keepLines w:val="0"/>
        <w:widowControl w:val="0"/>
        <w:shd w:val="clear" w:color="auto" w:fill="auto"/>
        <w:bidi w:val="0"/>
        <w:spacing w:before="0" w:after="0" w:line="311" w:lineRule="exact"/>
        <w:ind w:left="0" w:right="0" w:firstLine="220"/>
        <w:jc w:val="left"/>
      </w:pPr>
      <w:bookmarkStart w:id="415" w:name="bookmark415"/>
      <w:r>
        <w:rPr>
          <w:color w:val="000000"/>
          <w:spacing w:val="0"/>
          <w:w w:val="100"/>
          <w:position w:val="0"/>
          <w:sz w:val="18"/>
          <w:szCs w:val="18"/>
        </w:rPr>
        <w:t>（</w:t>
      </w:r>
      <w:bookmarkEnd w:id="415"/>
      <w:r>
        <w:rPr>
          <w:color w:val="000000"/>
          <w:spacing w:val="0"/>
          <w:w w:val="100"/>
          <w:position w:val="0"/>
          <w:sz w:val="18"/>
          <w:szCs w:val="18"/>
        </w:rPr>
        <w:t>3）</w:t>
      </w:r>
      <w:r>
        <w:rPr>
          <w:color w:val="000000"/>
          <w:spacing w:val="0"/>
          <w:w w:val="100"/>
          <w:position w:val="0"/>
        </w:rPr>
        <w:t>收购宝腾互联进展情况</w:t>
      </w:r>
    </w:p>
    <w:p>
      <w:pPr>
        <w:pStyle w:val="Style26"/>
        <w:keepNext w:val="0"/>
        <w:keepLines w:val="0"/>
        <w:widowControl w:val="0"/>
        <w:shd w:val="clear" w:color="auto" w:fill="auto"/>
        <w:bidi w:val="0"/>
        <w:spacing w:before="0" w:after="120" w:line="311" w:lineRule="exact"/>
        <w:ind w:left="0" w:right="0" w:firstLine="220"/>
        <w:jc w:val="left"/>
      </w:pPr>
      <w:r>
        <w:rPr>
          <w:color w:val="000000"/>
          <w:spacing w:val="0"/>
          <w:w w:val="100"/>
          <w:position w:val="0"/>
        </w:rPr>
        <w:t>本公司已于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日应向宝德科技支付第一期现金价款</w:t>
      </w:r>
      <w:r>
        <w:rPr>
          <w:color w:val="000000"/>
          <w:spacing w:val="0"/>
          <w:w w:val="100"/>
          <w:position w:val="0"/>
          <w:sz w:val="18"/>
          <w:szCs w:val="18"/>
        </w:rPr>
        <w:t>1</w:t>
      </w:r>
      <w:r>
        <w:rPr>
          <w:color w:val="000000"/>
          <w:spacing w:val="0"/>
          <w:w w:val="100"/>
          <w:position w:val="0"/>
          <w:sz w:val="18"/>
          <w:szCs w:val="18"/>
        </w:rPr>
        <w:t>.25</w:t>
      </w:r>
      <w:r>
        <w:rPr>
          <w:color w:val="000000"/>
          <w:spacing w:val="0"/>
          <w:w w:val="100"/>
          <w:position w:val="0"/>
        </w:rPr>
        <w:t>亿元，目前该交易正在香港联合交易所审核过程中。</w:t>
      </w:r>
    </w:p>
    <w:p>
      <w:pPr>
        <w:pStyle w:val="Style26"/>
        <w:keepNext w:val="0"/>
        <w:keepLines w:val="0"/>
        <w:widowControl w:val="0"/>
        <w:shd w:val="clear" w:color="auto" w:fill="auto"/>
        <w:tabs>
          <w:tab w:pos="331" w:val="left"/>
        </w:tabs>
        <w:bidi w:val="0"/>
        <w:spacing w:before="0" w:after="240" w:line="311" w:lineRule="exact"/>
        <w:ind w:left="0" w:right="0" w:firstLine="0"/>
        <w:jc w:val="left"/>
      </w:pPr>
      <w:bookmarkStart w:id="416" w:name="bookmark416"/>
      <w:r>
        <w:rPr>
          <w:rFonts w:ascii="Times New Roman" w:eastAsia="Times New Roman" w:hAnsi="Times New Roman" w:cs="Times New Roman"/>
          <w:color w:val="000000"/>
          <w:spacing w:val="0"/>
          <w:w w:val="100"/>
          <w:position w:val="0"/>
          <w:sz w:val="18"/>
          <w:szCs w:val="18"/>
        </w:rPr>
        <w:t>3</w:t>
      </w:r>
      <w:bookmarkEnd w:id="416"/>
      <w:r>
        <w:rPr>
          <w:color w:val="000000"/>
          <w:spacing w:val="0"/>
          <w:w w:val="100"/>
          <w:position w:val="0"/>
        </w:rPr>
        <w:t>、</w:t>
        <w:tab/>
        <w:t>上海美峰业绩补偿</w:t>
      </w:r>
    </w:p>
    <w:p>
      <w:pPr>
        <w:pStyle w:val="Style2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日与上海美峰股东李杰、郭瑜、钟松签订了关于股权收购协议之补充协议，根据协议约定，李杰 向本公司承诺上海美峰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年经各方认可的、具有证券期货从业资格的会计师事务所审计的净利润（以下简称实际 净利润）分别不应低于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万元（以下简称承诺净利润）。若上海美峰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年度实际净利润之和未达到 </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万元，则李杰以所获得的本公司股票对上述差额部分向本公司进行补偿，如以所获得股票无法弥补上述差额的，或因 任何原因导致后续收购标的资产未完成的，李杰应当以现金进行补足。经计算，李杰就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年业绩不足部分应补偿 本公司 </w:t>
      </w:r>
      <w:r>
        <w:rPr>
          <w:rFonts w:ascii="Times New Roman" w:eastAsia="Times New Roman" w:hAnsi="Times New Roman" w:cs="Times New Roman"/>
          <w:color w:val="000000"/>
          <w:spacing w:val="0"/>
          <w:w w:val="100"/>
          <w:position w:val="0"/>
          <w:sz w:val="18"/>
          <w:szCs w:val="18"/>
        </w:rPr>
        <w:t xml:space="preserve">60,030,248.11 </w:t>
      </w:r>
      <w:r>
        <w:rPr>
          <w:color w:val="000000"/>
          <w:spacing w:val="0"/>
          <w:w w:val="100"/>
          <w:position w:val="0"/>
        </w:rPr>
        <w:t>元。</w:t>
      </w:r>
    </w:p>
    <w:p>
      <w:pPr>
        <w:pStyle w:val="Style24"/>
        <w:keepNext/>
        <w:keepLines/>
        <w:widowControl w:val="0"/>
        <w:shd w:val="clear" w:color="auto" w:fill="auto"/>
        <w:bidi w:val="0"/>
        <w:spacing w:before="0" w:after="240" w:line="240" w:lineRule="auto"/>
        <w:ind w:left="0" w:right="0" w:firstLine="0"/>
        <w:jc w:val="left"/>
      </w:pPr>
      <w:bookmarkStart w:id="417" w:name="bookmark417"/>
      <w:bookmarkStart w:id="418" w:name="bookmark418"/>
      <w:bookmarkStart w:id="419" w:name="bookmark419"/>
      <w:r>
        <w:rPr>
          <w:color w:val="000000"/>
          <w:spacing w:val="0"/>
          <w:w w:val="100"/>
          <w:position w:val="0"/>
          <w:sz w:val="24"/>
          <w:szCs w:val="24"/>
        </w:rPr>
        <w:t>十九、公司子公司重大事项</w:t>
      </w:r>
      <w:bookmarkEnd w:id="417"/>
      <w:bookmarkEnd w:id="418"/>
      <w:bookmarkEnd w:id="419"/>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80" w:line="311" w:lineRule="exact"/>
        <w:ind w:left="0" w:right="0" w:firstLine="0"/>
        <w:jc w:val="left"/>
        <w:rPr>
          <w:sz w:val="18"/>
          <w:szCs w:val="18"/>
        </w:rPr>
      </w:pPr>
      <w:r>
        <w:rPr>
          <w:color w:val="000000"/>
          <w:spacing w:val="0"/>
          <w:w w:val="100"/>
          <w:position w:val="0"/>
          <w:sz w:val="17"/>
          <w:szCs w:val="17"/>
        </w:rPr>
        <w:t>详见前述十八、其他重大事项的说明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br w:type="page"/>
      </w:r>
    </w:p>
    <w:p>
      <w:pPr>
        <w:pStyle w:val="Style15"/>
        <w:keepNext/>
        <w:keepLines/>
        <w:widowControl w:val="0"/>
        <w:shd w:val="clear" w:color="auto" w:fill="auto"/>
        <w:bidi w:val="0"/>
        <w:spacing w:before="0" w:line="240" w:lineRule="auto"/>
        <w:ind w:left="0" w:right="0" w:firstLine="0"/>
        <w:jc w:val="center"/>
      </w:pPr>
      <w:bookmarkStart w:id="420" w:name="bookmark420"/>
      <w:bookmarkStart w:id="421" w:name="bookmark421"/>
      <w:bookmarkStart w:id="422" w:name="bookmark422"/>
      <w:r>
        <w:rPr>
          <w:color w:val="000000"/>
          <w:spacing w:val="0"/>
          <w:w w:val="100"/>
          <w:position w:val="0"/>
        </w:rPr>
        <w:t>第六节股份变动及股东情况</w:t>
      </w:r>
      <w:bookmarkEnd w:id="420"/>
      <w:bookmarkEnd w:id="421"/>
      <w:bookmarkEnd w:id="422"/>
    </w:p>
    <w:p>
      <w:pPr>
        <w:pStyle w:val="Style24"/>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bookmarkStart w:id="427" w:name="bookmark427"/>
      <w:r>
        <w:rPr>
          <w:color w:val="000000"/>
          <w:spacing w:val="0"/>
          <w:w w:val="100"/>
          <w:position w:val="0"/>
          <w:sz w:val="24"/>
          <w:szCs w:val="24"/>
        </w:rPr>
        <w:t>一</w:t>
      </w:r>
      <w:bookmarkEnd w:id="426"/>
      <w:r>
        <w:rPr>
          <w:color w:val="000000"/>
          <w:spacing w:val="0"/>
          <w:w w:val="100"/>
          <w:position w:val="0"/>
          <w:sz w:val="24"/>
          <w:szCs w:val="24"/>
        </w:rPr>
        <w:t>、股份变动情况</w:t>
      </w:r>
      <w:bookmarkEnd w:id="424"/>
      <w:bookmarkEnd w:id="425"/>
      <w:bookmarkEnd w:id="427"/>
      <w:bookmarkEnd w:id="423"/>
    </w:p>
    <w:p>
      <w:pPr>
        <w:pStyle w:val="Style32"/>
        <w:keepNext/>
        <w:keepLines/>
        <w:widowControl w:val="0"/>
        <w:shd w:val="clear" w:color="auto" w:fill="auto"/>
        <w:bidi w:val="0"/>
        <w:spacing w:before="0" w:line="240" w:lineRule="auto"/>
        <w:ind w:left="0" w:right="0" w:firstLine="0"/>
        <w:jc w:val="both"/>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、股份变动情况</w:t>
      </w:r>
      <w:bookmarkEnd w:id="428"/>
      <w:bookmarkEnd w:id="429"/>
      <w:bookmarkEnd w:id="4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758,118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758,118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758,118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260,933,6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260,280,4</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260,933,6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260,280,4</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261,038,6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261,038,6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公司董事长、总经理李瑞杰先生为积极响应中国证监会《关于上市公司大股东及董事、监事、高级管理人员增持本公 司股票相关事项的通知》（证监发【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号）文件精神，维护公司股价稳定，切实维护广大投资者利益，同时基于对公 司未来发展和长期投资价值的充足信心，于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日通过深圳证券交易所交易系统在二级市场以集中竞价的方式增持 了公司</w:t>
      </w:r>
      <w:r>
        <w:rPr>
          <w:rFonts w:ascii="Times New Roman" w:eastAsia="Times New Roman" w:hAnsi="Times New Roman" w:cs="Times New Roman"/>
          <w:color w:val="000000"/>
          <w:spacing w:val="0"/>
          <w:w w:val="100"/>
          <w:position w:val="0"/>
          <w:sz w:val="18"/>
          <w:szCs w:val="18"/>
        </w:rPr>
        <w:t>1,010,824</w:t>
      </w:r>
      <w:r>
        <w:rPr>
          <w:color w:val="000000"/>
          <w:spacing w:val="0"/>
          <w:w w:val="100"/>
          <w:position w:val="0"/>
        </w:rPr>
        <w:t>股份，占总股本比例</w:t>
      </w:r>
      <w:r>
        <w:rPr>
          <w:rFonts w:ascii="Times New Roman" w:eastAsia="Times New Roman" w:hAnsi="Times New Roman" w:cs="Times New Roman"/>
          <w:color w:val="000000"/>
          <w:spacing w:val="0"/>
          <w:w w:val="100"/>
          <w:position w:val="0"/>
          <w:sz w:val="18"/>
          <w:szCs w:val="18"/>
        </w:rPr>
        <w:t>0.39%</w:t>
      </w:r>
      <w:r>
        <w:rPr>
          <w:color w:val="000000"/>
          <w:spacing w:val="0"/>
          <w:w w:val="100"/>
          <w:position w:val="0"/>
        </w:rPr>
        <w:t>,并按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自动锁定。</w:t>
      </w:r>
    </w:p>
    <w:p>
      <w:pPr>
        <w:pStyle w:val="Style2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after="1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、限售股份变动情况</w:t>
      </w:r>
      <w:bookmarkEnd w:id="432"/>
      <w:bookmarkEnd w:id="433"/>
      <w:bookmarkEnd w:id="435"/>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张宇庆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日解禁</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上市已满一年公 司的董事、监事、 高级管理人员证 券账户内通过二 级市场购买、可 转债转股、行权、 协议受让等方式 年内新增的本公 司无限售条件股 份，按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自动 锁定。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both"/>
      </w:pPr>
      <w:bookmarkStart w:id="436" w:name="bookmark436"/>
      <w:bookmarkStart w:id="437" w:name="bookmark437"/>
      <w:bookmarkStart w:id="438" w:name="bookmark438"/>
      <w:bookmarkStart w:id="439" w:name="bookmark439"/>
      <w:r>
        <w:rPr>
          <w:color w:val="000000"/>
          <w:spacing w:val="0"/>
          <w:w w:val="100"/>
          <w:position w:val="0"/>
          <w:sz w:val="24"/>
          <w:szCs w:val="24"/>
        </w:rPr>
        <w:t>二</w:t>
      </w:r>
      <w:bookmarkEnd w:id="438"/>
      <w:r>
        <w:rPr>
          <w:color w:val="000000"/>
          <w:spacing w:val="0"/>
          <w:w w:val="100"/>
          <w:position w:val="0"/>
          <w:sz w:val="24"/>
          <w:szCs w:val="24"/>
        </w:rPr>
        <w:t>、证券发行与上市情况</w:t>
      </w:r>
      <w:bookmarkEnd w:id="436"/>
      <w:bookmarkEnd w:id="437"/>
      <w:bookmarkEnd w:id="439"/>
    </w:p>
    <w:p>
      <w:pPr>
        <w:pStyle w:val="Style32"/>
        <w:keepNext/>
        <w:keepLines/>
        <w:widowControl w:val="0"/>
        <w:shd w:val="clear" w:color="auto" w:fill="auto"/>
        <w:tabs>
          <w:tab w:pos="368" w:val="left"/>
        </w:tabs>
        <w:bidi w:val="0"/>
        <w:spacing w:before="0" w:after="380" w:line="240" w:lineRule="auto"/>
        <w:ind w:left="0" w:right="0" w:firstLine="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w:t>
        <w:tab/>
        <w:t>报告期内证券发行（不含优先股）情况</w:t>
      </w:r>
      <w:bookmarkEnd w:id="440"/>
      <w:bookmarkEnd w:id="441"/>
      <w:bookmarkEnd w:id="443"/>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w:t>
        <w:tab/>
        <w:t>公司股份总数及股东结构的变动、公司资产和负债结构的变动情况说明</w:t>
      </w:r>
      <w:bookmarkEnd w:id="444"/>
      <w:bookmarkEnd w:id="445"/>
      <w:bookmarkEnd w:id="447"/>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w:t>
        <w:tab/>
        <w:t>现存的内部职工股情况</w:t>
      </w:r>
      <w:bookmarkEnd w:id="448"/>
      <w:bookmarkEnd w:id="449"/>
      <w:bookmarkEnd w:id="451"/>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4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三</w:t>
      </w:r>
      <w:bookmarkEnd w:id="454"/>
      <w:r>
        <w:rPr>
          <w:color w:val="000000"/>
          <w:spacing w:val="0"/>
          <w:w w:val="100"/>
          <w:position w:val="0"/>
          <w:sz w:val="24"/>
          <w:szCs w:val="24"/>
        </w:rPr>
        <w:t>、股东和实际控制人情况</w:t>
      </w:r>
      <w:bookmarkEnd w:id="452"/>
      <w:bookmarkEnd w:id="453"/>
      <w:bookmarkEnd w:id="455"/>
    </w:p>
    <w:p>
      <w:pPr>
        <w:pStyle w:val="Style32"/>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、公司股东数量及持股情况</w:t>
      </w:r>
      <w:bookmarkEnd w:id="456"/>
      <w:bookmarkEnd w:id="457"/>
      <w:bookmarkEnd w:id="459"/>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73"/>
        <w:gridCol w:w="802"/>
        <w:gridCol w:w="331"/>
        <w:gridCol w:w="456"/>
        <w:gridCol w:w="806"/>
        <w:gridCol w:w="878"/>
        <w:gridCol w:w="254"/>
        <w:gridCol w:w="1037"/>
        <w:gridCol w:w="288"/>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39,284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深圳市宝德投资 控股有限公司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71,214,88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71,214,882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宝德科技集团股 份有限公司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39,780,000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乌鲁木齐南博股 权投资管理合伙 企业（有限合伙）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1,510,228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1,510,228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黄锐彬</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1,065,301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1,065,301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1,010,824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252,706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郭振忠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746,400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746,400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毛振华</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715,673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715,673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刘婵娟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574,689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574,689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高德忠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510,013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510,013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501,700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501,700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股东深圳市宝德投资控股有限公司和宝德科技集团股份有限公司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实际控制人均 为李瑞杰、张云霞夫妇。</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6"/>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6"/>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71,214,882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71,214,882</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宝德科技集团股份有限公司</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39,780,000</w:t>
            </w:r>
          </w:p>
        </w:tc>
      </w:tr>
      <w:tr>
        <w:trPr>
          <w:trHeight w:val="72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乌鲁木齐南博股权投资管理合伙企 业（有限合伙）</w:t>
            </w:r>
          </w:p>
        </w:tc>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1,510,228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1,510,228</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黄锐彬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郭振忠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毛振华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刘婵娟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高德忠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邱江生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股东深圳市宝德投资控股有限公司和宝德科技集团股份有限公司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实际控制人均 为李瑞杰、张云霞夫妇。</w:t>
            </w:r>
          </w:p>
        </w:tc>
      </w:tr>
      <w:tr>
        <w:trPr>
          <w:trHeight w:val="477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、控股股东深圳市宝德投资控股有限公司通过普通证券账户持有</w:t>
            </w:r>
            <w:r>
              <w:rPr>
                <w:rFonts w:ascii="Times New Roman" w:eastAsia="Times New Roman" w:hAnsi="Times New Roman" w:cs="Times New Roman"/>
                <w:color w:val="000000"/>
                <w:spacing w:val="0"/>
                <w:w w:val="100"/>
                <w:position w:val="0"/>
                <w:sz w:val="18"/>
                <w:szCs w:val="18"/>
              </w:rPr>
              <w:t>21,814,882</w:t>
            </w:r>
            <w:r>
              <w:rPr>
                <w:color w:val="000000"/>
                <w:spacing w:val="0"/>
                <w:w w:val="100"/>
                <w:position w:val="0"/>
              </w:rPr>
              <w:t>股，通 过长江证券股份有限公司客户信用交易担保证券账户持有</w:t>
            </w:r>
            <w:r>
              <w:rPr>
                <w:rFonts w:ascii="Times New Roman" w:eastAsia="Times New Roman" w:hAnsi="Times New Roman" w:cs="Times New Roman"/>
                <w:color w:val="000000"/>
                <w:spacing w:val="0"/>
                <w:w w:val="100"/>
                <w:position w:val="0"/>
                <w:sz w:val="18"/>
                <w:szCs w:val="18"/>
              </w:rPr>
              <w:t>49,400,000</w:t>
            </w:r>
            <w:r>
              <w:rPr>
                <w:color w:val="000000"/>
                <w:spacing w:val="0"/>
                <w:w w:val="100"/>
                <w:position w:val="0"/>
              </w:rPr>
              <w:t>股，实际合计 持有</w:t>
            </w:r>
            <w:r>
              <w:rPr>
                <w:rFonts w:ascii="Times New Roman" w:eastAsia="Times New Roman" w:hAnsi="Times New Roman" w:cs="Times New Roman"/>
                <w:color w:val="000000"/>
                <w:spacing w:val="0"/>
                <w:w w:val="100"/>
                <w:position w:val="0"/>
                <w:sz w:val="18"/>
                <w:szCs w:val="18"/>
              </w:rPr>
              <w:t>71,214,882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、股东宝德科技集团股份有限公司通过普通证券账户持有 </w:t>
            </w:r>
            <w:r>
              <w:rPr>
                <w:rFonts w:ascii="Times New Roman" w:eastAsia="Times New Roman" w:hAnsi="Times New Roman" w:cs="Times New Roman"/>
                <w:color w:val="000000"/>
                <w:spacing w:val="0"/>
                <w:w w:val="100"/>
                <w:position w:val="0"/>
                <w:sz w:val="18"/>
                <w:szCs w:val="18"/>
              </w:rPr>
              <w:t>874,737</w:t>
            </w:r>
            <w:r>
              <w:rPr>
                <w:color w:val="000000"/>
                <w:spacing w:val="0"/>
                <w:w w:val="100"/>
                <w:position w:val="0"/>
              </w:rPr>
              <w:t>股，通过广发证券股份有限公司客户信用交易担保证券账户持有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38,905,263 </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39,780,000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、股东黄锐彬通过普通证券账户持有</w:t>
            </w:r>
            <w:r>
              <w:rPr>
                <w:rFonts w:ascii="Times New Roman" w:eastAsia="Times New Roman" w:hAnsi="Times New Roman" w:cs="Times New Roman"/>
                <w:color w:val="000000"/>
                <w:spacing w:val="0"/>
                <w:w w:val="100"/>
                <w:position w:val="0"/>
                <w:sz w:val="18"/>
                <w:szCs w:val="18"/>
              </w:rPr>
              <w:t>361,100</w:t>
            </w:r>
            <w:r>
              <w:rPr>
                <w:color w:val="000000"/>
                <w:spacing w:val="0"/>
                <w:w w:val="100"/>
                <w:position w:val="0"/>
              </w:rPr>
              <w:t>股， 通过中信建设股份有限公司客户信用交易担保证券账户持有</w:t>
            </w:r>
            <w:r>
              <w:rPr>
                <w:rFonts w:ascii="Times New Roman" w:eastAsia="Times New Roman" w:hAnsi="Times New Roman" w:cs="Times New Roman"/>
                <w:color w:val="000000"/>
                <w:spacing w:val="0"/>
                <w:w w:val="100"/>
                <w:position w:val="0"/>
                <w:sz w:val="18"/>
                <w:szCs w:val="18"/>
              </w:rPr>
              <w:t>704,201</w:t>
            </w:r>
            <w:r>
              <w:rPr>
                <w:color w:val="000000"/>
                <w:spacing w:val="0"/>
                <w:w w:val="100"/>
                <w:position w:val="0"/>
              </w:rPr>
              <w:t>股，实际合计持 有</w:t>
            </w:r>
            <w:r>
              <w:rPr>
                <w:rFonts w:ascii="Times New Roman" w:eastAsia="Times New Roman" w:hAnsi="Times New Roman" w:cs="Times New Roman"/>
                <w:color w:val="000000"/>
                <w:spacing w:val="0"/>
                <w:w w:val="100"/>
                <w:position w:val="0"/>
                <w:sz w:val="18"/>
                <w:szCs w:val="18"/>
              </w:rPr>
              <w:t>1,065,301</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、股东郭振忠通过普通证券账户持有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股，通过联讯证券股份有 限公司客户信用交易担保证券账户持有</w:t>
            </w:r>
            <w:r>
              <w:rPr>
                <w:rFonts w:ascii="Times New Roman" w:eastAsia="Times New Roman" w:hAnsi="Times New Roman" w:cs="Times New Roman"/>
                <w:color w:val="000000"/>
                <w:spacing w:val="0"/>
                <w:w w:val="100"/>
                <w:position w:val="0"/>
                <w:sz w:val="18"/>
                <w:szCs w:val="18"/>
              </w:rPr>
              <w:t>746,400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746,400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股东毛振华通过普通证券账户持有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股，通过海通证券股份有限公司客户信用交易 担保证券账户持有</w:t>
            </w:r>
            <w:r>
              <w:rPr>
                <w:rFonts w:ascii="Times New Roman" w:eastAsia="Times New Roman" w:hAnsi="Times New Roman" w:cs="Times New Roman"/>
                <w:color w:val="000000"/>
                <w:spacing w:val="0"/>
                <w:w w:val="100"/>
                <w:position w:val="0"/>
                <w:sz w:val="18"/>
                <w:szCs w:val="18"/>
              </w:rPr>
              <w:t>715,673</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715,673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股东刘婵娟通过普通证 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股，通过国泰君安证券股份有限公司客户信用交易担保证券账户持有 </w:t>
            </w:r>
            <w:r>
              <w:rPr>
                <w:rFonts w:ascii="Times New Roman" w:eastAsia="Times New Roman" w:hAnsi="Times New Roman" w:cs="Times New Roman"/>
                <w:color w:val="000000"/>
                <w:spacing w:val="0"/>
                <w:w w:val="100"/>
                <w:position w:val="0"/>
                <w:sz w:val="18"/>
                <w:szCs w:val="18"/>
              </w:rPr>
              <w:t>574,689</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574,689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股东高德忠通过普通证券账户持有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 通过华泰证券股份有限公司客户信用交易担保证券账户持有</w:t>
            </w:r>
            <w:r>
              <w:rPr>
                <w:rFonts w:ascii="Times New Roman" w:eastAsia="Times New Roman" w:hAnsi="Times New Roman" w:cs="Times New Roman"/>
                <w:color w:val="000000"/>
                <w:spacing w:val="0"/>
                <w:w w:val="100"/>
                <w:position w:val="0"/>
                <w:sz w:val="18"/>
                <w:szCs w:val="18"/>
              </w:rPr>
              <w:t>510,013</w:t>
            </w:r>
            <w:r>
              <w:rPr>
                <w:color w:val="000000"/>
                <w:spacing w:val="0"/>
                <w:w w:val="100"/>
                <w:position w:val="0"/>
              </w:rPr>
              <w:t>股，实际合计持 有</w:t>
            </w:r>
            <w:r>
              <w:rPr>
                <w:rFonts w:ascii="Times New Roman" w:eastAsia="Times New Roman" w:hAnsi="Times New Roman" w:cs="Times New Roman"/>
                <w:color w:val="000000"/>
                <w:spacing w:val="0"/>
                <w:w w:val="100"/>
                <w:position w:val="0"/>
                <w:sz w:val="18"/>
                <w:szCs w:val="18"/>
              </w:rPr>
              <w:t>510,013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股东邱江生通过普通证券账户持有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股，通过中信证券股份有限 公司客户信用交易担保证券账户持有</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股；</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、公司控股股东情况</w:t>
      </w:r>
      <w:bookmarkEnd w:id="460"/>
      <w:bookmarkEnd w:id="461"/>
      <w:bookmarkEnd w:id="463"/>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深圳市宝德投资控股有限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77270248-3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投资兴办实业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具体项目另 行申报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；计算机软硬件系统 开发、电子通讯产品开发设 计、计算机网络系统工程的 设计、计算机及网络通讯技</w:t>
            </w:r>
          </w:p>
        </w:tc>
      </w:tr>
    </w:tbl>
    <w:p>
      <w:pPr>
        <w:widowControl w:val="0"/>
        <w:spacing w:line="1" w:lineRule="exact"/>
      </w:pPr>
      <w:r>
        <w:br w:type="page"/>
      </w:r>
    </w:p>
    <w:tbl>
      <w:tblPr>
        <w:tblOverlap w:val="never"/>
        <w:jc w:val="center"/>
        <w:tblLayout w:type="fixed"/>
      </w:tblPr>
      <w:tblGrid>
        <w:gridCol w:w="2203"/>
        <w:gridCol w:w="1790"/>
        <w:gridCol w:w="1594"/>
        <w:gridCol w:w="1752"/>
        <w:gridCol w:w="2242"/>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术的咨询、投资管理顾问、 信息咨询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以上不含限制项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；电子产品、计算机软硬 件及外围设备、金银制品的 购销，其他国内贸易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以上不 含专营、专控、专卖商品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经营进出口业务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法律、行政 法规、国务院决定禁止的项 目除外，限制的项目须取得 许可后方可经营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；投资天然 气加气站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具体项目另行申 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；燃料油、润滑油、化工 产品的销售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不含危险化学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宝德科技集团股份有限公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27937209-7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计算机软、硬件及接口设备， 计算机配件的开发、生产、 销售自产产品；进出口业务。</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3</w:t>
      </w:r>
      <w:bookmarkEnd w:id="466"/>
      <w:r>
        <w:rPr>
          <w:color w:val="000000"/>
          <w:spacing w:val="0"/>
          <w:w w:val="100"/>
          <w:position w:val="0"/>
        </w:rPr>
        <w:t>、公司实际控制人情况</w:t>
      </w:r>
      <w:bookmarkEnd w:id="464"/>
      <w:bookmarkEnd w:id="465"/>
      <w:bookmarkEnd w:id="46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125"/>
        <w:gridCol w:w="1699"/>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3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李瑞杰先生：公司董事长、总经理，有香港居留权</w:t>
            </w:r>
            <w:r>
              <w:rPr>
                <w:color w:val="000000"/>
                <w:spacing w:val="0"/>
                <w:w w:val="100"/>
                <w:position w:val="0"/>
                <w:sz w:val="18"/>
                <w:szCs w:val="18"/>
              </w:rPr>
              <w:t>，50</w:t>
            </w:r>
            <w:r>
              <w:rPr>
                <w:color w:val="000000"/>
                <w:spacing w:val="0"/>
                <w:w w:val="100"/>
                <w:position w:val="0"/>
              </w:rPr>
              <w:t>岁，于</w:t>
            </w:r>
            <w:r>
              <w:rPr>
                <w:color w:val="000000"/>
                <w:spacing w:val="0"/>
                <w:w w:val="100"/>
                <w:position w:val="0"/>
                <w:sz w:val="18"/>
                <w:szCs w:val="18"/>
              </w:rPr>
              <w:t>1989</w:t>
            </w:r>
            <w:r>
              <w:rPr>
                <w:color w:val="000000"/>
                <w:spacing w:val="0"/>
                <w:w w:val="100"/>
                <w:position w:val="0"/>
              </w:rPr>
              <w:t>年毕业于南开大 学，获经济学与电子学双学士学位。现任深圳中青宝互动网络股份有限公司董事长、 总经理，深圳市宝德投资控股有限公司董事长、宝德科技集团股份有限公司副董事 长；同时担任工业和信息化部软件与集成电路促进中心云计算研究中心专家；中国 计算机协会云计算委员会副主任委员。深圳市政协常委，深圳市总商会（工商联） 常务理事，潮汕星河基金会聘请为永远荣誉会长。</w:t>
            </w:r>
            <w:r>
              <w:rPr>
                <w:color w:val="000000"/>
                <w:spacing w:val="0"/>
                <w:w w:val="100"/>
                <w:position w:val="0"/>
                <w:sz w:val="18"/>
                <w:szCs w:val="18"/>
              </w:rPr>
              <w:t>2012</w:t>
            </w:r>
            <w:r>
              <w:rPr>
                <w:color w:val="000000"/>
                <w:spacing w:val="0"/>
                <w:w w:val="100"/>
                <w:position w:val="0"/>
              </w:rPr>
              <w:t>年被深圳揭阳商会聘请为名 誉会长。</w:t>
            </w:r>
            <w:r>
              <w:rPr>
                <w:color w:val="000000"/>
                <w:spacing w:val="0"/>
                <w:w w:val="100"/>
                <w:position w:val="0"/>
                <w:sz w:val="18"/>
                <w:szCs w:val="18"/>
              </w:rPr>
              <w:t>2013</w:t>
            </w:r>
            <w:r>
              <w:rPr>
                <w:color w:val="000000"/>
                <w:spacing w:val="0"/>
                <w:w w:val="100"/>
                <w:position w:val="0"/>
              </w:rPr>
              <w:t>年被中国致公党任命为第十四届中央委员会科技委员会委员、社会服 务会委员，深圳致公党龙华二支部主委，中国手游产业联盟理事长。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张云霞女士：公司董事，有香港居留权</w:t>
            </w:r>
            <w:r>
              <w:rPr>
                <w:color w:val="000000"/>
                <w:spacing w:val="0"/>
                <w:w w:val="100"/>
                <w:position w:val="0"/>
                <w:sz w:val="18"/>
                <w:szCs w:val="18"/>
              </w:rPr>
              <w:t>，52</w:t>
            </w:r>
            <w:r>
              <w:rPr>
                <w:color w:val="000000"/>
                <w:spacing w:val="0"/>
                <w:w w:val="100"/>
                <w:position w:val="0"/>
              </w:rPr>
              <w:t>岁，于</w:t>
            </w:r>
            <w:r>
              <w:rPr>
                <w:color w:val="000000"/>
                <w:spacing w:val="0"/>
                <w:w w:val="100"/>
                <w:position w:val="0"/>
                <w:sz w:val="18"/>
                <w:szCs w:val="18"/>
              </w:rPr>
              <w:t>1988</w:t>
            </w:r>
            <w:r>
              <w:rPr>
                <w:color w:val="000000"/>
                <w:spacing w:val="0"/>
                <w:w w:val="100"/>
                <w:position w:val="0"/>
              </w:rPr>
              <w:t>年毕业于南开大学计算机软 件工程系，</w:t>
            </w:r>
            <w:r>
              <w:rPr>
                <w:color w:val="000000"/>
                <w:spacing w:val="0"/>
                <w:w w:val="100"/>
                <w:position w:val="0"/>
                <w:sz w:val="18"/>
                <w:szCs w:val="18"/>
              </w:rPr>
              <w:t>1990</w:t>
            </w:r>
            <w:r>
              <w:rPr>
                <w:color w:val="000000"/>
                <w:spacing w:val="0"/>
                <w:w w:val="100"/>
                <w:position w:val="0"/>
              </w:rPr>
              <w:t>年获天津南开大学旅游业管理硕士学位。曾任职于深圳万通软件工 程有限公司，</w:t>
            </w:r>
            <w:r>
              <w:rPr>
                <w:color w:val="000000"/>
                <w:spacing w:val="0"/>
                <w:w w:val="100"/>
                <w:position w:val="0"/>
                <w:sz w:val="18"/>
                <w:szCs w:val="18"/>
              </w:rPr>
              <w:t>1991</w:t>
            </w:r>
            <w:r>
              <w:rPr>
                <w:color w:val="000000"/>
                <w:spacing w:val="0"/>
                <w:w w:val="100"/>
                <w:position w:val="0"/>
              </w:rPr>
              <w:t>年与李瑞杰共同创办深圳市乐和电子有限公司，</w:t>
            </w:r>
            <w:r>
              <w:rPr>
                <w:color w:val="000000"/>
                <w:spacing w:val="0"/>
                <w:w w:val="100"/>
                <w:position w:val="0"/>
                <w:sz w:val="18"/>
                <w:szCs w:val="18"/>
              </w:rPr>
              <w:t>1997</w:t>
            </w:r>
            <w:r>
              <w:rPr>
                <w:color w:val="000000"/>
                <w:spacing w:val="0"/>
                <w:w w:val="100"/>
                <w:position w:val="0"/>
              </w:rPr>
              <w:t>年与李瑞杰 先生共同创办深圳市宝德科技股份有限公司。</w:t>
            </w: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月担任本公司总经 理，现任本公司董事、深圳市宝德投资控股公司的副董事长、总裁、宝德科技集团 股份有限公司董事长、深圳市宝德计算机系统有限公司董事。同时任深圳市软件行</w:t>
            </w:r>
          </w:p>
        </w:tc>
      </w:tr>
    </w:tbl>
    <w:p>
      <w:pPr>
        <w:widowControl w:val="0"/>
        <w:spacing w:line="1" w:lineRule="exact"/>
      </w:pPr>
      <w:r>
        <w:br w:type="page"/>
      </w:r>
    </w:p>
    <w:tbl>
      <w:tblPr>
        <w:tblOverlap w:val="never"/>
        <w:jc w:val="center"/>
        <w:tblLayout w:type="fixed"/>
      </w:tblPr>
      <w:tblGrid>
        <w:gridCol w:w="3125"/>
        <w:gridCol w:w="6456"/>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业协会副会长，深圳市总商会女企业家商会副会长、天津商会副会长。</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年曾控股的境外上市公司情况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宝德科技集团股份有限公司</w:t>
            </w: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left"/>
        <w:rPr>
          <w:sz w:val="2"/>
          <w:szCs w:val="2"/>
        </w:rPr>
      </w:pPr>
      <w:r>
        <w:drawing>
          <wp:inline>
            <wp:extent cx="4596130" cy="34505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3450590"/>
                    </a:xfrm>
                    <a:prstGeom prst="rect"/>
                  </pic:spPr>
                </pic:pic>
              </a:graphicData>
            </a:graphic>
          </wp:inline>
        </w:drawing>
      </w:r>
    </w:p>
    <w:p>
      <w:pPr>
        <w:widowControl w:val="0"/>
        <w:spacing w:after="35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4</w:t>
      </w:r>
      <w:bookmarkEnd w:id="47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8"/>
      <w:bookmarkEnd w:id="469"/>
      <w:bookmarkEnd w:id="47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5</w:t>
      </w:r>
      <w:bookmarkEnd w:id="474"/>
      <w:r>
        <w:rPr>
          <w:color w:val="000000"/>
          <w:spacing w:val="0"/>
          <w:w w:val="100"/>
          <w:position w:val="0"/>
        </w:rPr>
        <w:t>、</w:t>
        <w:tab/>
        <w:t>控股股东、实际控制人、重组方及其他承诺主体股份限制减持情况</w:t>
      </w:r>
      <w:bookmarkEnd w:id="472"/>
      <w:bookmarkEnd w:id="473"/>
      <w:bookmarkEnd w:id="475"/>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28" w:bottom="1441" w:left="10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pgSz w:w="11900" w:h="16840"/>
          <w:pgMar w:top="1378" w:right="1076" w:bottom="1445" w:left="1056"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2713990</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76" w:name="bookmark476"/>
                            <w:bookmarkStart w:id="477" w:name="bookmark477"/>
                            <w:bookmarkStart w:id="478" w:name="bookmark478"/>
                            <w:r>
                              <w:rPr>
                                <w:color w:val="000000"/>
                                <w:spacing w:val="0"/>
                                <w:w w:val="100"/>
                                <w:position w:val="0"/>
                              </w:rPr>
                              <w:t>第七节优先股相关情况</w:t>
                            </w:r>
                            <w:bookmarkEnd w:id="476"/>
                            <w:bookmarkEnd w:id="477"/>
                            <w:bookmarkEnd w:id="478"/>
                          </w:p>
                        </w:txbxContent>
                      </wps:txbx>
                      <wps:bodyPr wrap="none" lIns="0" tIns="0" rIns="0" bIns="0">
                        <a:noAutoFit/>
                      </wps:bodyPr>
                    </wps:wsp>
                  </a:graphicData>
                </a:graphic>
              </wp:anchor>
            </w:drawing>
          </mc:Choice>
          <mc:Fallback>
            <w:pict>
              <v:shape id="_x0000_s1038" type="#_x0000_t202" style="position:absolute;margin-left:213.70000000000002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76" w:name="bookmark476"/>
                      <w:bookmarkStart w:id="477" w:name="bookmark477"/>
                      <w:bookmarkStart w:id="478" w:name="bookmark478"/>
                      <w:r>
                        <w:rPr>
                          <w:color w:val="000000"/>
                          <w:spacing w:val="0"/>
                          <w:w w:val="100"/>
                          <w:position w:val="0"/>
                        </w:rPr>
                        <w:t>第七节优先股相关情况</w:t>
                      </w:r>
                      <w:bookmarkEnd w:id="476"/>
                      <w:bookmarkEnd w:id="477"/>
                      <w:bookmarkEnd w:id="478"/>
                    </w:p>
                  </w:txbxContent>
                </v:textbox>
                <w10:wrap type="topAndBottom" anchorx="page"/>
              </v:shape>
            </w:pict>
          </mc:Fallback>
        </mc:AlternateContent>
      </w:r>
    </w:p>
    <w:p>
      <w:pPr>
        <w:pStyle w:val="Style26"/>
        <w:keepNext w:val="0"/>
        <w:keepLines w:val="0"/>
        <w:widowControl w:val="0"/>
        <w:shd w:val="clear" w:color="auto" w:fill="auto"/>
        <w:bidi w:val="0"/>
        <w:spacing w:before="0" w:after="140" w:line="240" w:lineRule="auto"/>
        <w:ind w:left="0" w:right="0" w:firstLine="0"/>
        <w:jc w:val="left"/>
      </w:pPr>
      <w:bookmarkStart w:id="479" w:name="bookmark47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5"/>
        <w:keepNext/>
        <w:keepLines/>
        <w:widowControl w:val="0"/>
        <w:shd w:val="clear" w:color="auto" w:fill="auto"/>
        <w:bidi w:val="0"/>
        <w:spacing w:before="0" w:line="240" w:lineRule="auto"/>
        <w:ind w:left="0" w:right="0" w:firstLine="0"/>
        <w:jc w:val="center"/>
      </w:pPr>
      <w:bookmarkStart w:id="480" w:name="bookmark480"/>
      <w:bookmarkStart w:id="481" w:name="bookmark481"/>
      <w:bookmarkStart w:id="482" w:name="bookmark482"/>
      <w:r>
        <w:rPr>
          <w:color w:val="000000"/>
          <w:spacing w:val="0"/>
          <w:w w:val="100"/>
          <w:position w:val="0"/>
        </w:rPr>
        <w:t>第八节董事、监事、高级管理人员和员工情况</w:t>
      </w:r>
      <w:bookmarkEnd w:id="480"/>
      <w:bookmarkEnd w:id="481"/>
      <w:bookmarkEnd w:id="482"/>
    </w:p>
    <w:p>
      <w:pPr>
        <w:pStyle w:val="Style24"/>
        <w:keepNext/>
        <w:keepLines/>
        <w:widowControl w:val="0"/>
        <w:shd w:val="clear" w:color="auto" w:fill="auto"/>
        <w:bidi w:val="0"/>
        <w:spacing w:before="0" w:after="320" w:line="240" w:lineRule="auto"/>
        <w:ind w:left="0" w:right="0" w:firstLine="0"/>
        <w:jc w:val="left"/>
      </w:pPr>
      <w:bookmarkStart w:id="483" w:name="bookmark483"/>
      <w:bookmarkStart w:id="484" w:name="bookmark484"/>
      <w:bookmarkStart w:id="485" w:name="bookmark485"/>
      <w:bookmarkStart w:id="486" w:name="bookmark486"/>
      <w:bookmarkStart w:id="487" w:name="bookmark487"/>
      <w:r>
        <w:rPr>
          <w:color w:val="000000"/>
          <w:spacing w:val="0"/>
          <w:w w:val="100"/>
          <w:position w:val="0"/>
          <w:sz w:val="24"/>
          <w:szCs w:val="24"/>
        </w:rPr>
        <w:t>一</w:t>
      </w:r>
      <w:bookmarkEnd w:id="486"/>
      <w:r>
        <w:rPr>
          <w:color w:val="000000"/>
          <w:spacing w:val="0"/>
          <w:w w:val="100"/>
          <w:position w:val="0"/>
          <w:sz w:val="24"/>
          <w:szCs w:val="24"/>
        </w:rPr>
        <w:t>、董事、监事和高级管理人员持股变动</w:t>
      </w:r>
      <w:bookmarkEnd w:id="484"/>
      <w:bookmarkEnd w:id="485"/>
      <w:bookmarkEnd w:id="487"/>
      <w:bookmarkEnd w:id="483"/>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67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1,010,824</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马竹茂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崔美玲</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 理、董事 会秘书、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尹浩然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1,010,824</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二</w:t>
      </w:r>
      <w:bookmarkEnd w:id="490"/>
      <w:r>
        <w:rPr>
          <w:color w:val="000000"/>
          <w:spacing w:val="0"/>
          <w:w w:val="100"/>
          <w:position w:val="0"/>
          <w:sz w:val="24"/>
          <w:szCs w:val="24"/>
        </w:rPr>
        <w:t>、公司董事、监事、高级管理人员变动情况</w:t>
      </w:r>
      <w:bookmarkEnd w:id="488"/>
      <w:bookmarkEnd w:id="489"/>
      <w:bookmarkEnd w:id="491"/>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崔美玲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240"/>
        <w:jc w:val="both"/>
      </w:pPr>
      <w:bookmarkStart w:id="492" w:name="bookmark492"/>
      <w:bookmarkStart w:id="493" w:name="bookmark493"/>
      <w:bookmarkStart w:id="494" w:name="bookmark494"/>
      <w:r>
        <w:rPr>
          <w:color w:val="000000"/>
          <w:spacing w:val="0"/>
          <w:w w:val="100"/>
          <w:position w:val="0"/>
          <w:sz w:val="24"/>
          <w:szCs w:val="24"/>
        </w:rPr>
        <w:t>、任职情况</w:t>
      </w:r>
      <w:bookmarkEnd w:id="492"/>
      <w:bookmarkEnd w:id="493"/>
      <w:bookmarkEnd w:id="494"/>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bidi w:val="0"/>
        <w:spacing w:before="0" w:after="0" w:line="360" w:lineRule="auto"/>
        <w:ind w:left="0" w:right="0" w:firstLine="0"/>
        <w:jc w:val="both"/>
      </w:pPr>
      <w:bookmarkStart w:id="495" w:name="bookmark495"/>
      <w:r>
        <w:rPr>
          <w:rFonts w:ascii="Times New Roman" w:eastAsia="Times New Roman" w:hAnsi="Times New Roman" w:cs="Times New Roman"/>
          <w:color w:val="000000"/>
          <w:spacing w:val="0"/>
          <w:w w:val="100"/>
          <w:position w:val="0"/>
          <w:sz w:val="18"/>
          <w:szCs w:val="18"/>
        </w:rPr>
        <w:t>1</w:t>
      </w:r>
      <w:bookmarkEnd w:id="495"/>
      <w:r>
        <w:rPr>
          <w:color w:val="000000"/>
          <w:spacing w:val="0"/>
          <w:w w:val="100"/>
          <w:position w:val="0"/>
        </w:rPr>
        <w:t>、公司董事会成员</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名，均由股东大会选举产生，每届任期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年，第三届董事会由李 瑞杰、张云霞、郑楠芳、王立、黎伟、王红波、王一江组成，任期自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月。前述人员的简介如下：</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李瑞杰先生公司董事长、总经理</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中国国籍，有香港居留权，</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岁，于</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年毕业于南开大学，获经济学与电子学双学士学位。现任深圳中青宝互动网 络股份有限公司董事长、总经理，深圳市宝德投资控股有限公司董事长、宝德科技集团股份有限公司副董事长；同时担任工 业和信息化部软件与集成电路促进中心云计算研究中心专家；中国计算机协会云计算委员会副主任委员。深圳市政协常委, 深圳市总商会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常务理事，潮汕星河基金会聘请为永远荣誉会长。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年被深圳揭阳商会聘请为名誉会长。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年被 </w:t>
      </w:r>
      <w:r>
        <w:rPr>
          <w:color w:val="000000"/>
          <w:spacing w:val="0"/>
          <w:w w:val="100"/>
          <w:position w:val="0"/>
        </w:rPr>
        <w:t>中国致公党任命为第十四届中央委员会科技委员会委员、社会服务会委员，深圳致公党龙华二支部主委，中国手游产业联盟 理事长。</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张云霞女士 公司董事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中国国籍，有香港居留权，</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岁，于</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年毕业于南开大学计算机软件工程系，</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年获天津南开大学旅游业管理硕 士学位。曾任职于深圳万通软件工程有限公司，</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年与李瑞杰共同创办深圳市乐和电子有限公司，</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年与李瑞杰先生共 同创办深圳市宝德科技股份有限公司。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月担任本公司总经理，现任本公司董事、深圳市宝德投资控股公司 的副董事长、总裁、宝德科技集团股份有限公司董事长、深圳市宝德计算机系统有限公司董事。同时任深圳市软件行业协会 副会长</w:t>
      </w:r>
      <w:r>
        <w:rPr>
          <w:color w:val="000000"/>
          <w:spacing w:val="0"/>
          <w:w w:val="100"/>
          <w:position w:val="0"/>
          <w:sz w:val="18"/>
          <w:szCs w:val="18"/>
        </w:rPr>
        <w:t>，</w:t>
      </w:r>
      <w:r>
        <w:rPr>
          <w:color w:val="000000"/>
          <w:spacing w:val="0"/>
          <w:w w:val="100"/>
          <w:position w:val="0"/>
        </w:rPr>
        <w:t>深圳市总商会女企业家商会副会长、天津商会副会长。</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郑楠芳女士公司董事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中国国籍</w:t>
      </w:r>
      <w:r>
        <w:rPr>
          <w:color w:val="000000"/>
          <w:spacing w:val="0"/>
          <w:w w:val="100"/>
          <w:position w:val="0"/>
          <w:sz w:val="18"/>
          <w:szCs w:val="18"/>
        </w:rPr>
        <w:t>，</w:t>
      </w:r>
      <w:r>
        <w:rPr>
          <w:color w:val="000000"/>
          <w:spacing w:val="0"/>
          <w:w w:val="100"/>
          <w:position w:val="0"/>
        </w:rPr>
        <w:t>有香港居留权，</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岁，本科学历。任公司第三届董事会董事、副总经理。曾担任深圳市宝德科技股份有限公 司投资与投资者关系经理，协助宝德科技股份有限公司完成于香港联交所的上市，并负责后期维护与投资者的关系。</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王立先生公司董事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王立先生，中国国籍，</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岁，毕业于中南大学，获得金融学硕士学位，曾任深圳宝德科技集团股份有限公司资金经理、 资金总监，深圳市宝德投资控股有限公司资金总监，现任深圳市宝德投资控股有限公司董事，深圳宝德科技集团股份有限公 司副总裁。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月起担任本公司董事。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黎伟先生公司独立董事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岁，无境外永久居留权，于</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年毕业于西南政法大学，获法学学士学位；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 xml:space="preserve">年获律师执业资格证书；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年在美国芝加哥肯特法学院参加国际法和比较法</w:t>
      </w:r>
      <w:r>
        <w:rPr>
          <w:rFonts w:ascii="Times New Roman" w:eastAsia="Times New Roman" w:hAnsi="Times New Roman" w:cs="Times New Roman"/>
          <w:color w:val="000000"/>
          <w:spacing w:val="0"/>
          <w:w w:val="100"/>
          <w:position w:val="0"/>
          <w:sz w:val="18"/>
          <w:szCs w:val="18"/>
        </w:rPr>
        <w:t>LLM</w:t>
      </w:r>
      <w:r>
        <w:rPr>
          <w:color w:val="000000"/>
          <w:spacing w:val="0"/>
          <w:w w:val="100"/>
          <w:position w:val="0"/>
        </w:rPr>
        <w:t>课程学习，获法学硕士学位。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年至今，为广东晟典 律师事务所合伙人。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月起担任本公司独立董事。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王红波先生公司独立董事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岁，无境外永久居留权，硕士学历，毕业于南开大学会计学系，中山大学经济学硕士，英国特许公认会 计师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、中国注册会计师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CICPA）</w:t>
      </w:r>
      <w:r>
        <w:rPr>
          <w:color w:val="000000"/>
          <w:spacing w:val="0"/>
          <w:w w:val="100"/>
          <w:position w:val="0"/>
        </w:rPr>
        <w:t>。先后任职于国家审计署驻太原特派办、深房集团，</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TCL </w:t>
      </w:r>
      <w:r>
        <w:rPr>
          <w:color w:val="000000"/>
          <w:spacing w:val="0"/>
          <w:w w:val="100"/>
          <w:position w:val="0"/>
        </w:rPr>
        <w:t>集团股份有限公司董事会秘书，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w:t>
      </w:r>
      <w:r>
        <w:rPr>
          <w:rFonts w:ascii="Times New Roman" w:eastAsia="Times New Roman" w:hAnsi="Times New Roman" w:cs="Times New Roman"/>
          <w:color w:val="000000"/>
          <w:spacing w:val="0"/>
          <w:w w:val="100"/>
          <w:position w:val="0"/>
          <w:sz w:val="18"/>
          <w:szCs w:val="18"/>
        </w:rPr>
        <w:t>TCL</w:t>
      </w:r>
      <w:r>
        <w:rPr>
          <w:color w:val="000000"/>
          <w:spacing w:val="0"/>
          <w:w w:val="100"/>
          <w:position w:val="0"/>
        </w:rPr>
        <w:t>创投董事总经理，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月任平安财智投资管 理有限公司首席投资官，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月至今任招银国际资本管理公司有限公司首席投资官，在深圳欧菲光科技股份有限公司、 深圳光韵达光电科技股份有限公司担任独立董事，</w:t>
      </w:r>
      <w:r>
        <w:rPr>
          <w:rFonts w:ascii="Times New Roman" w:eastAsia="Times New Roman" w:hAnsi="Times New Roman" w:cs="Times New Roman"/>
          <w:color w:val="000000"/>
          <w:spacing w:val="0"/>
          <w:w w:val="100"/>
          <w:position w:val="0"/>
          <w:sz w:val="18"/>
          <w:szCs w:val="18"/>
        </w:rPr>
        <w:t>CATL</w:t>
      </w:r>
      <w:r>
        <w:rPr>
          <w:color w:val="000000"/>
          <w:spacing w:val="0"/>
          <w:w w:val="100"/>
          <w:position w:val="0"/>
        </w:rPr>
        <w:t>及韵达快递董事。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月起担任本公司独立董事。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王一江先生公司独立董事</w:t>
      </w:r>
    </w:p>
    <w:p>
      <w:pPr>
        <w:pStyle w:val="Style26"/>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美国国籍，</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岁，美国哈佛大学经济学博士，现为长江商学院深圳校区副院长、经济学及人力资源学教授，前明尼苏 达大学卡尔森管理学院终身教授，美国密歇根大学戴维逊研究所研究员。</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年后曾兼职担任世界银行顾问，清华大学经济 管理学院中国经济研究所高级研究员，中国留美经济学会副会长。研究兴趣主要集中在组织理论、劳动经济学与人力资源管 理、中国经济、货币与公共金融等。在过去几年中，王一江博士在国际和国内著名期刊发表多篇论文，并被大量引用。</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月起担任本公司独立董事。</w:t>
      </w:r>
    </w:p>
    <w:p>
      <w:pPr>
        <w:pStyle w:val="Style26"/>
        <w:keepNext w:val="0"/>
        <w:keepLines w:val="0"/>
        <w:widowControl w:val="0"/>
        <w:shd w:val="clear" w:color="auto" w:fill="auto"/>
        <w:bidi w:val="0"/>
        <w:spacing w:before="0" w:after="0" w:line="360" w:lineRule="auto"/>
        <w:ind w:left="0" w:right="0" w:firstLine="0"/>
        <w:jc w:val="both"/>
      </w:pPr>
      <w:bookmarkStart w:id="496" w:name="bookmark496"/>
      <w:r>
        <w:rPr>
          <w:rFonts w:ascii="Times New Roman" w:eastAsia="Times New Roman" w:hAnsi="Times New Roman" w:cs="Times New Roman"/>
          <w:color w:val="000000"/>
          <w:spacing w:val="0"/>
          <w:w w:val="100"/>
          <w:position w:val="0"/>
          <w:sz w:val="18"/>
          <w:szCs w:val="18"/>
        </w:rPr>
        <w:t>2</w:t>
      </w:r>
      <w:bookmarkEnd w:id="496"/>
      <w:r>
        <w:rPr>
          <w:color w:val="000000"/>
          <w:spacing w:val="0"/>
          <w:w w:val="100"/>
          <w:position w:val="0"/>
        </w:rPr>
        <w:t>、监事会成员</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名监事组成，监事每届任期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年。现任监事会由马竹茂、尹浩然和王志华组成，其中尹浩然为职工代表 监事，任期均为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月。前述人员的简介如下：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马竹茂先生公司监事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岁，于</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年毕业于天津大学计算机系，工学硕士学位；并于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年获得北京大学光华管理学院工商管 理硕士学位。曾任天津计算机应用技术研究所工程师，深圳万通软件有限公司助理总经理，深圳爱华电子有限公司高级工程 师和下属公司副总经理及总工程师，深圳宝德科技集团股份有限公司董事、副总经理、总工程师，</w:t>
      </w:r>
      <w:r>
        <w:rPr>
          <w:rFonts w:ascii="Times New Roman" w:eastAsia="Times New Roman" w:hAnsi="Times New Roman" w:cs="Times New Roman"/>
          <w:color w:val="000000"/>
          <w:spacing w:val="0"/>
          <w:w w:val="100"/>
          <w:position w:val="0"/>
          <w:sz w:val="18"/>
          <w:szCs w:val="18"/>
        </w:rPr>
        <w:t>TCL</w:t>
      </w:r>
      <w:r>
        <w:rPr>
          <w:color w:val="000000"/>
          <w:spacing w:val="0"/>
          <w:w w:val="100"/>
          <w:position w:val="0"/>
        </w:rPr>
        <w:t>电脑有限公司技术总 监和绵阳聚星超级计算技术有限公司董事、副总经理。现任公司监事，同时担任深圳宝德科技集团股份有限公司董事、深圳 市宝德计算机系统有限公司总经理。</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王涛先生公司监事</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岁，于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月毕业于上海财经大学，获工商管理硕士学位。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月在深圳裕鼎投资公 司任职常务副总经理，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月至今在深圳市宝德投资控股有限公司任职直投部投资总监及下属公司鹏德创投公司任职投 资总监。于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月起担任本公司监事，已于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月离任。</w:t>
      </w:r>
    </w:p>
    <w:p>
      <w:pPr>
        <w:pStyle w:val="Style2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崔美玲女士公司监事</w:t>
      </w:r>
    </w:p>
    <w:p>
      <w:pPr>
        <w:pStyle w:val="Style26"/>
        <w:keepNext w:val="0"/>
        <w:keepLines w:val="0"/>
        <w:widowControl w:val="0"/>
        <w:shd w:val="clear" w:color="auto" w:fill="auto"/>
        <w:bidi w:val="0"/>
        <w:spacing w:before="0" w:after="0" w:line="315" w:lineRule="exact"/>
        <w:ind w:left="440" w:right="0" w:firstLine="0"/>
        <w:jc w:val="left"/>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9</w:t>
      </w:r>
      <w:r>
        <w:rPr>
          <w:color w:val="000000"/>
          <w:spacing w:val="0"/>
          <w:w w:val="100"/>
          <w:position w:val="0"/>
        </w:rPr>
        <w:t>岁，专科学历。曾任公司推广部导师，现任公司监事、公司广告投放部门经理。已于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月离任。 王志华先生公司监事</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岁，本科学历，毕业于中国政法大学。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月至今，至今在深圳市宝德投资控股有限公司下属公 司任职深圳鹏德创业投资有限公司任职投资总监。于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月起担任本公司监事。</w:t>
      </w:r>
    </w:p>
    <w:p>
      <w:pPr>
        <w:pStyle w:val="Style2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尹浩然先生公司监事</w:t>
      </w:r>
    </w:p>
    <w:p>
      <w:pPr>
        <w:pStyle w:val="Style26"/>
        <w:keepNext w:val="0"/>
        <w:keepLines w:val="0"/>
        <w:widowControl w:val="0"/>
        <w:shd w:val="clear" w:color="auto" w:fill="auto"/>
        <w:bidi w:val="0"/>
        <w:spacing w:before="0" w:after="120" w:line="315" w:lineRule="exact"/>
        <w:ind w:left="0" w:right="0" w:firstLine="440"/>
        <w:jc w:val="left"/>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岁，本科学历。毕业于广东财经大学，现任公司监事、证券投资部证券专员。</w:t>
      </w:r>
    </w:p>
    <w:p>
      <w:pPr>
        <w:pStyle w:val="Style26"/>
        <w:keepNext w:val="0"/>
        <w:keepLines w:val="0"/>
        <w:widowControl w:val="0"/>
        <w:shd w:val="clear" w:color="auto" w:fill="auto"/>
        <w:bidi w:val="0"/>
        <w:spacing w:before="0" w:after="0" w:line="360" w:lineRule="auto"/>
        <w:ind w:left="0" w:right="0" w:firstLine="0"/>
        <w:jc w:val="left"/>
      </w:pPr>
      <w:bookmarkStart w:id="497" w:name="bookmark497"/>
      <w:r>
        <w:rPr>
          <w:rFonts w:ascii="Times New Roman" w:eastAsia="Times New Roman" w:hAnsi="Times New Roman" w:cs="Times New Roman"/>
          <w:color w:val="000000"/>
          <w:spacing w:val="0"/>
          <w:w w:val="100"/>
          <w:position w:val="0"/>
          <w:sz w:val="18"/>
          <w:szCs w:val="18"/>
        </w:rPr>
        <w:t>3</w:t>
      </w:r>
      <w:bookmarkEnd w:id="497"/>
      <w:r>
        <w:rPr>
          <w:color w:val="000000"/>
          <w:spacing w:val="0"/>
          <w:w w:val="100"/>
          <w:position w:val="0"/>
        </w:rPr>
        <w:t>、高级管理人员</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公司高级管理人员包括总经理、副总经理、财务总监和董事会秘书。本届高管人员任期自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 司各高级管理人员简介如下：</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李瑞杰先生公司董事长、总经理简介详见本节前述董事会成员介绍的内容。</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郑楠芳女士公司董事、副总经理简介详见本节前述董事会成员介绍的内容。</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夏玄先生公司副总经理</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岁，于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年毕业于郑州大学。曾担任河南省航天金穗技术有限公司市场部经理；北京中机电亿万商务 有限公司商务部副经理；深圳市宝德科技股份有限公司解决方案工程师等职务。</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年起加入本公司，目前担任公司副总经 理。</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许岳明先生公司副总经理、董事会秘书、财务总监</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岁，中国注册会计师、中国注册税务师、高级会计师职称，获杭州电子工业学院学士学位。曾任职于深 圳市赛格三星股份有限公司财务部、深圳中华会计师事务所审计部、深圳信隆实业股份有限公司财务部、深圳市裕同印刷包 装有限公司财务总监、宝德科技集团股份有限公司副总裁、财务总监兼董事会秘书。现任公司副总经理、董事会秘书、财务 总监，宝德科技非执行董事，深圳市沃尔核材股份有限公司董事，深圳市金溢科技股份有限公司独立董事，致公党深圳龙华 二支部副主委。</w:t>
      </w:r>
    </w:p>
    <w:p>
      <w:pPr>
        <w:pStyle w:val="Style2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申睿先生 公司副总经理</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岁，无境外永久居留权，于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年毕业于北京大学，获新闻学学士学位。曾担任风笙传媒广告有限公司 总经理、腾讯科技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有限公司游戏制作人，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月加入深圳中青宝互动网络股份有限公司，目前担任公司副总经理。 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月离任。</w:t>
      </w:r>
    </w:p>
    <w:p>
      <w:pPr>
        <w:pStyle w:val="Style2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陈雷先生公司副总经理</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岁，获哈尔滨工业大学硕士学位。曾任职于深圳市腾讯计算机移动开发部项目经理，现任深圳苏摩科技 有限公司总经理，目前担任公司副总经理。</w:t>
      </w:r>
    </w:p>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副董事长、非 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副董事长、总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马竹茂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05"/>
        <w:gridCol w:w="3187"/>
        <w:gridCol w:w="1066"/>
        <w:gridCol w:w="1195"/>
        <w:gridCol w:w="1330"/>
        <w:gridCol w:w="1598"/>
      </w:tblGrid>
      <w:tr>
        <w:trPr>
          <w:trHeight w:val="365"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李瑞杰先生为公司董事长、总经理，张云霞女士为公司董事，王立先生为公司董事，马竹茂先生为公司监 事会主席。</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福州卓越无限软件开发有限公司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北京幻龙互动科技有限公司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深圳前海宝德资产管理有限公司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常务</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深圳市幻游科技有限公司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杭州九锡网络科技有限公司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北京天一讯灵科技有限公司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福州卓越无限软件开发有限公司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深圳市苏摩科技有限公司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苏州华娱创新投资发展有限公司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苏州中青宝网互动科技有限公司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深圳前海宝德资产管理有限公司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深圳创想时空科技有限公司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深圳市卓页互动网络科技有限公司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马竹茂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四</w:t>
      </w:r>
      <w:bookmarkEnd w:id="500"/>
      <w:r>
        <w:rPr>
          <w:color w:val="000000"/>
          <w:spacing w:val="0"/>
          <w:w w:val="100"/>
          <w:position w:val="0"/>
          <w:sz w:val="24"/>
          <w:szCs w:val="24"/>
        </w:rPr>
        <w:t>、董事、监事、高级管理人员报酬情况</w:t>
      </w:r>
      <w:bookmarkEnd w:id="498"/>
      <w:bookmarkEnd w:id="499"/>
      <w:bookmarkEnd w:id="501"/>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董事、监事、高级管理人员报酬的决策程序、确定依据、实际支付情况</w:t>
      </w:r>
    </w:p>
    <w:p>
      <w:pPr>
        <w:pStyle w:val="Style53"/>
        <w:keepNext w:val="0"/>
        <w:keepLines w:val="0"/>
        <w:widowControl w:val="0"/>
        <w:shd w:val="clear" w:color="auto" w:fill="auto"/>
        <w:bidi w:val="0"/>
        <w:spacing w:before="0"/>
        <w:ind w:left="0" w:right="0"/>
        <w:jc w:val="both"/>
      </w:pPr>
      <w:r>
        <w:rPr>
          <w:color w:val="000000"/>
          <w:spacing w:val="0"/>
          <w:w w:val="100"/>
          <w:position w:val="0"/>
        </w:rPr>
        <w:t>公司董事、监事薪酬由公司股东大会决定，高级管理人员薪酬由董事会决定。在公司履职的董事、监事、 高级管理人员按照具体的职务领取薪酬。董事、监事和高级管理人员的报酬按照公司相关制度规定，结合其职 位、职责、能力、以及其他相关企业相关岗位的薪酬水平制定薪酬方案并发放。</w:t>
      </w:r>
    </w:p>
    <w:p>
      <w:pPr>
        <w:pStyle w:val="Style26"/>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马竹茂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崔美玲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尹浩然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副总经理、财务 总监、董事会秘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r>
        <w:br w:type="page"/>
      </w:r>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502" w:name="bookmark502"/>
      <w:bookmarkStart w:id="503" w:name="bookmark503"/>
      <w:bookmarkStart w:id="504" w:name="bookmark504"/>
      <w:bookmarkStart w:id="505" w:name="bookmark505"/>
      <w:r>
        <w:rPr>
          <w:color w:val="000000"/>
          <w:spacing w:val="0"/>
          <w:w w:val="100"/>
          <w:position w:val="0"/>
          <w:sz w:val="24"/>
          <w:szCs w:val="24"/>
        </w:rPr>
        <w:t>五</w:t>
      </w:r>
      <w:bookmarkEnd w:id="504"/>
      <w:r>
        <w:rPr>
          <w:color w:val="000000"/>
          <w:spacing w:val="0"/>
          <w:w w:val="100"/>
          <w:position w:val="0"/>
          <w:sz w:val="24"/>
          <w:szCs w:val="24"/>
        </w:rPr>
        <w:t>、公司员工情况</w:t>
      </w:r>
      <w:bookmarkEnd w:id="502"/>
      <w:bookmarkEnd w:id="503"/>
      <w:bookmarkEnd w:id="505"/>
    </w:p>
    <w:p>
      <w:pPr>
        <w:pStyle w:val="Style32"/>
        <w:keepNext/>
        <w:keepLines/>
        <w:widowControl w:val="0"/>
        <w:shd w:val="clear" w:color="auto" w:fill="auto"/>
        <w:bidi w:val="0"/>
        <w:spacing w:before="0" w:after="34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1</w:t>
      </w:r>
      <w:bookmarkEnd w:id="508"/>
      <w:r>
        <w:rPr>
          <w:color w:val="000000"/>
          <w:spacing w:val="0"/>
          <w:w w:val="100"/>
          <w:position w:val="0"/>
        </w:rPr>
        <w:t>、员工数量、专业构成及教育程度</w:t>
      </w:r>
      <w:bookmarkEnd w:id="506"/>
      <w:bookmarkEnd w:id="507"/>
      <w:bookmarkEnd w:id="50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产品运营人员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职能人员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bl>
    <w:p>
      <w:pPr>
        <w:widowControl w:val="0"/>
        <w:spacing w:after="339" w:line="1" w:lineRule="exact"/>
      </w:pPr>
    </w:p>
    <w:p>
      <w:pPr>
        <w:pStyle w:val="Style32"/>
        <w:keepNext/>
        <w:keepLines/>
        <w:widowControl w:val="0"/>
        <w:shd w:val="clear" w:color="auto" w:fill="auto"/>
        <w:bidi w:val="0"/>
        <w:spacing w:before="0" w:after="260" w:line="240" w:lineRule="auto"/>
        <w:ind w:left="0" w:right="0" w:firstLine="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、薪酬政策</w:t>
      </w:r>
      <w:bookmarkEnd w:id="510"/>
      <w:bookmarkEnd w:id="511"/>
      <w:bookmarkEnd w:id="513"/>
    </w:p>
    <w:p>
      <w:pPr>
        <w:pStyle w:val="Style26"/>
        <w:keepNext w:val="0"/>
        <w:keepLines w:val="0"/>
        <w:widowControl w:val="0"/>
        <w:shd w:val="clear" w:color="auto" w:fill="auto"/>
        <w:bidi w:val="0"/>
        <w:spacing w:before="0" w:after="980" w:line="314" w:lineRule="exact"/>
        <w:ind w:left="0" w:right="0" w:firstLine="440"/>
        <w:jc w:val="both"/>
      </w:pPr>
      <w:r>
        <w:rPr>
          <w:color w:val="000000"/>
          <w:spacing w:val="0"/>
          <w:w w:val="100"/>
          <w:position w:val="0"/>
        </w:rPr>
        <w:t>公司以内部公平和外部竞争相结合的方式，建立吸引人才、保留人才和激励员工的薪酬管理体系。通过岗位体系及岗 位级别，参考地区及同行业的薪酬水平定期分析公司现有薪酬水平，以分析研究结果为基础结合员工的绩效考核调整薪酬提 升员工的工作积极性及工作效率。</w:t>
      </w:r>
    </w:p>
    <w:p>
      <w:pPr>
        <w:pStyle w:val="Style32"/>
        <w:keepNext/>
        <w:keepLines/>
        <w:widowControl w:val="0"/>
        <w:shd w:val="clear" w:color="auto" w:fill="auto"/>
        <w:bidi w:val="0"/>
        <w:spacing w:before="0" w:after="260" w:line="240" w:lineRule="auto"/>
        <w:ind w:left="0" w:right="0" w:firstLine="0"/>
        <w:jc w:val="both"/>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3</w:t>
      </w:r>
      <w:bookmarkEnd w:id="516"/>
      <w:r>
        <w:rPr>
          <w:color w:val="000000"/>
          <w:spacing w:val="0"/>
          <w:w w:val="100"/>
          <w:position w:val="0"/>
        </w:rPr>
        <w:t>、培训计划</w:t>
      </w:r>
      <w:bookmarkEnd w:id="514"/>
      <w:bookmarkEnd w:id="515"/>
      <w:bookmarkEnd w:id="517"/>
    </w:p>
    <w:p>
      <w:pPr>
        <w:pStyle w:val="Style26"/>
        <w:keepNext w:val="0"/>
        <w:keepLines w:val="0"/>
        <w:widowControl w:val="0"/>
        <w:shd w:val="clear" w:color="auto" w:fill="auto"/>
        <w:bidi w:val="0"/>
        <w:spacing w:before="0" w:after="340" w:line="310" w:lineRule="exact"/>
        <w:ind w:left="0" w:right="0" w:firstLine="440"/>
        <w:jc w:val="both"/>
      </w:pPr>
      <w:r>
        <w:rPr>
          <w:color w:val="000000"/>
          <w:spacing w:val="0"/>
          <w:w w:val="100"/>
          <w:position w:val="0"/>
        </w:rPr>
        <w:t>公司非常注重员工的培训，依据岗位、职能及不同部门的需求积极寻求各种培训资源及渠道通过掌趣大讲堂、内部分 享等，展开定制化的培训。根据公司每年的发展需求制定详细的培训计划，有针对性的新员工入职培训、在职人员岗位培训、 项目管理等，公司内部积极营造学习氛围，开展各类学习小组，不断激发员工潜能为员工提供更好的培训发展平台，增强员</w:t>
      </w:r>
    </w:p>
    <w:p>
      <w:pPr>
        <w:pStyle w:val="Style26"/>
        <w:keepNext w:val="0"/>
        <w:keepLines w:val="0"/>
        <w:widowControl w:val="0"/>
        <w:shd w:val="clear" w:color="auto" w:fill="auto"/>
        <w:bidi w:val="0"/>
        <w:spacing w:before="0" w:after="740" w:line="240" w:lineRule="auto"/>
        <w:ind w:left="0" w:right="0" w:firstLine="0"/>
        <w:jc w:val="left"/>
      </w:pPr>
      <w:r>
        <w:rPr>
          <w:color w:val="000000"/>
          <w:spacing w:val="0"/>
          <w:w w:val="100"/>
          <w:position w:val="0"/>
        </w:rPr>
        <w:t>工的凝聚力，从而增强企业的核心竞争力。</w:t>
      </w:r>
    </w:p>
    <w:p>
      <w:pPr>
        <w:pStyle w:val="Style32"/>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、劳务外包情况</w:t>
      </w:r>
      <w:bookmarkEnd w:id="518"/>
      <w:bookmarkEnd w:id="519"/>
      <w:bookmarkEnd w:id="521"/>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78" w:right="1076" w:bottom="1445"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80" w:line="240" w:lineRule="auto"/>
        <w:ind w:left="0" w:right="0" w:firstLine="0"/>
        <w:jc w:val="center"/>
      </w:pPr>
      <w:bookmarkStart w:id="522" w:name="bookmark522"/>
      <w:bookmarkStart w:id="523" w:name="bookmark523"/>
      <w:bookmarkStart w:id="524" w:name="bookmark524"/>
      <w:r>
        <w:rPr>
          <w:color w:val="000000"/>
          <w:spacing w:val="0"/>
          <w:w w:val="100"/>
          <w:position w:val="0"/>
        </w:rPr>
        <w:t>第九节公司治理</w:t>
      </w:r>
      <w:bookmarkEnd w:id="522"/>
      <w:bookmarkEnd w:id="523"/>
      <w:bookmarkEnd w:id="524"/>
    </w:p>
    <w:p>
      <w:pPr>
        <w:pStyle w:val="Style24"/>
        <w:keepNext/>
        <w:keepLines/>
        <w:widowControl w:val="0"/>
        <w:shd w:val="clear" w:color="auto" w:fill="auto"/>
        <w:bidi w:val="0"/>
        <w:spacing w:before="0" w:after="260" w:line="240" w:lineRule="auto"/>
        <w:ind w:left="0" w:right="0" w:firstLine="0"/>
        <w:jc w:val="left"/>
      </w:pPr>
      <w:bookmarkStart w:id="525" w:name="bookmark525"/>
      <w:bookmarkStart w:id="526" w:name="bookmark526"/>
      <w:bookmarkStart w:id="527" w:name="bookmark527"/>
      <w:bookmarkStart w:id="528" w:name="bookmark528"/>
      <w:bookmarkStart w:id="529" w:name="bookmark529"/>
      <w:r>
        <w:rPr>
          <w:color w:val="000000"/>
          <w:spacing w:val="0"/>
          <w:w w:val="100"/>
          <w:position w:val="0"/>
          <w:sz w:val="24"/>
          <w:szCs w:val="24"/>
        </w:rPr>
        <w:t>一</w:t>
      </w:r>
      <w:bookmarkEnd w:id="528"/>
      <w:r>
        <w:rPr>
          <w:color w:val="000000"/>
          <w:spacing w:val="0"/>
          <w:w w:val="100"/>
          <w:position w:val="0"/>
          <w:sz w:val="24"/>
          <w:szCs w:val="24"/>
        </w:rPr>
        <w:t>、公司治理的基本状况</w:t>
      </w:r>
      <w:bookmarkEnd w:id="526"/>
      <w:bookmarkEnd w:id="527"/>
      <w:bookmarkEnd w:id="529"/>
      <w:bookmarkEnd w:id="525"/>
    </w:p>
    <w:p>
      <w:pPr>
        <w:pStyle w:val="Style26"/>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报告期内，公司严格按照《公司法》《证券法》《上市公司治理准则》《深圳证券交易所股票上市规则》《企业内部 控制基本规范(试行)》及中国证监会有关法律、法规及规章的要求，不断完善、健全公司内部管理和控制制度，规范公司 行为及运作方式，严格进行信息披露，保护广大投资者利益。截止报告期末，公司内部治理结构完整健全、治理模式合理清 晰，符合《公司法》等法律法规和规范性文件的规定、《公司章程》的规定。报告期内，公司股东大会、董事会、监事会的 召集、召开、表决程序、信息披露均符合有关法律法规的要求。报告期内不存在控股股东、实际控制人及其关联方占用公司 资金、资产或其他资源的情形，公司及其控股股东、实际控制人、董事、监事、高级管理人员依法开展公司治理活动，经营 行为合法合规，不存在重大违法违规行为。</w:t>
      </w:r>
    </w:p>
    <w:p>
      <w:pPr>
        <w:pStyle w:val="Style26"/>
        <w:keepNext w:val="0"/>
        <w:keepLines w:val="0"/>
        <w:widowControl w:val="0"/>
        <w:shd w:val="clear" w:color="auto" w:fill="auto"/>
        <w:tabs>
          <w:tab w:pos="289" w:val="left"/>
        </w:tabs>
        <w:bidi w:val="0"/>
        <w:spacing w:before="0" w:after="0" w:line="315" w:lineRule="exact"/>
        <w:ind w:left="0" w:right="0" w:firstLine="0"/>
        <w:jc w:val="left"/>
      </w:pPr>
      <w:bookmarkStart w:id="530" w:name="bookmark530"/>
      <w:r>
        <w:rPr>
          <w:rFonts w:ascii="Times New Roman" w:eastAsia="Times New Roman" w:hAnsi="Times New Roman" w:cs="Times New Roman"/>
          <w:color w:val="000000"/>
          <w:spacing w:val="0"/>
          <w:w w:val="100"/>
          <w:position w:val="0"/>
          <w:sz w:val="18"/>
          <w:szCs w:val="18"/>
        </w:rPr>
        <w:t>1</w:t>
      </w:r>
      <w:bookmarkEnd w:id="530"/>
      <w:r>
        <w:rPr>
          <w:color w:val="000000"/>
          <w:spacing w:val="0"/>
          <w:w w:val="100"/>
          <w:position w:val="0"/>
        </w:rPr>
        <w:t>、</w:t>
        <w:tab/>
        <w:t>关于股东与股东大会</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公司股东大会均严格按照《上市公司股东大会规则》《公司章程》《股东大会议事规则》等规定召集、召开，并尽可 能为股东参加股东大会创造便利条件，对每一项需要审议的事项均设定充裕的时间给股东表达意见，确保所有股东，特别是 公众股东的平等地位，充分行使自己的权利。同时，公司聘请律师见证股东大会，确保会议召集召开以及表决程序符合相关 法律规定，维护股东的合法权益。</w:t>
      </w:r>
    </w:p>
    <w:p>
      <w:pPr>
        <w:pStyle w:val="Style26"/>
        <w:keepNext w:val="0"/>
        <w:keepLines w:val="0"/>
        <w:widowControl w:val="0"/>
        <w:shd w:val="clear" w:color="auto" w:fill="auto"/>
        <w:tabs>
          <w:tab w:pos="308" w:val="left"/>
        </w:tabs>
        <w:bidi w:val="0"/>
        <w:spacing w:before="0" w:after="0" w:line="315" w:lineRule="exact"/>
        <w:ind w:left="0" w:right="0" w:firstLine="0"/>
        <w:jc w:val="left"/>
      </w:pPr>
      <w:bookmarkStart w:id="531" w:name="bookmark531"/>
      <w:r>
        <w:rPr>
          <w:rFonts w:ascii="Times New Roman" w:eastAsia="Times New Roman" w:hAnsi="Times New Roman" w:cs="Times New Roman"/>
          <w:color w:val="000000"/>
          <w:spacing w:val="0"/>
          <w:w w:val="100"/>
          <w:position w:val="0"/>
          <w:sz w:val="18"/>
          <w:szCs w:val="18"/>
        </w:rPr>
        <w:t>2</w:t>
      </w:r>
      <w:bookmarkEnd w:id="531"/>
      <w:r>
        <w:rPr>
          <w:color w:val="000000"/>
          <w:spacing w:val="0"/>
          <w:w w:val="100"/>
          <w:position w:val="0"/>
        </w:rPr>
        <w:t>、</w:t>
        <w:tab/>
        <w:t>关于公司与控股股东</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报告期内，控股股东及实际控制人严格规范自己的行为，没有超越股东大会直接或间接干预公司的决策和经营活动。 公司在业务、人员、资产、机构、财务上独立于控股股东，公司董事会、监事会和内部机构独立运作。公司不存在为控股股 东及其关联企业提供担保的情形，亦不存在控股股东非经营性占用公司资金的行为。</w:t>
      </w:r>
    </w:p>
    <w:p>
      <w:pPr>
        <w:pStyle w:val="Style26"/>
        <w:keepNext w:val="0"/>
        <w:keepLines w:val="0"/>
        <w:widowControl w:val="0"/>
        <w:shd w:val="clear" w:color="auto" w:fill="auto"/>
        <w:tabs>
          <w:tab w:pos="308" w:val="left"/>
        </w:tabs>
        <w:bidi w:val="0"/>
        <w:spacing w:before="0" w:after="0" w:line="315" w:lineRule="exact"/>
        <w:ind w:left="0" w:right="0" w:firstLine="0"/>
        <w:jc w:val="left"/>
      </w:pPr>
      <w:bookmarkStart w:id="532" w:name="bookmark532"/>
      <w:r>
        <w:rPr>
          <w:rFonts w:ascii="Times New Roman" w:eastAsia="Times New Roman" w:hAnsi="Times New Roman" w:cs="Times New Roman"/>
          <w:color w:val="000000"/>
          <w:spacing w:val="0"/>
          <w:w w:val="100"/>
          <w:position w:val="0"/>
          <w:sz w:val="18"/>
          <w:szCs w:val="18"/>
        </w:rPr>
        <w:t>3</w:t>
      </w:r>
      <w:bookmarkEnd w:id="532"/>
      <w:r>
        <w:rPr>
          <w:color w:val="000000"/>
          <w:spacing w:val="0"/>
          <w:w w:val="100"/>
          <w:position w:val="0"/>
        </w:rPr>
        <w:t>、</w:t>
        <w:tab/>
        <w:t>关于董事和董事会</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人，下设战略委员会、薪酬与考核委员会、审计委员会和提名委员会四个专门 委员会。董事会的人员结构及数量设置、董事的选聘程序符合有关法律法规。公司全体董事严格按照《公司法》《证券法》 《规范运作指引》《上市公司治理准则》以及《公司章程》等规定和要求，履行董事职责，出席董事会和股东大会，勤勉尽 责地履行职责和义务，同时参加培训，熟悉相关法律法规。</w:t>
      </w:r>
    </w:p>
    <w:p>
      <w:pPr>
        <w:pStyle w:val="Style26"/>
        <w:keepNext w:val="0"/>
        <w:keepLines w:val="0"/>
        <w:widowControl w:val="0"/>
        <w:shd w:val="clear" w:color="auto" w:fill="auto"/>
        <w:tabs>
          <w:tab w:pos="308" w:val="left"/>
        </w:tabs>
        <w:bidi w:val="0"/>
        <w:spacing w:before="0" w:after="0" w:line="315" w:lineRule="exact"/>
        <w:ind w:left="0" w:right="0" w:firstLine="0"/>
        <w:jc w:val="left"/>
      </w:pPr>
      <w:bookmarkStart w:id="533" w:name="bookmark533"/>
      <w:r>
        <w:rPr>
          <w:rFonts w:ascii="Times New Roman" w:eastAsia="Times New Roman" w:hAnsi="Times New Roman" w:cs="Times New Roman"/>
          <w:color w:val="000000"/>
          <w:spacing w:val="0"/>
          <w:w w:val="100"/>
          <w:position w:val="0"/>
          <w:sz w:val="18"/>
          <w:szCs w:val="18"/>
        </w:rPr>
        <w:t>4</w:t>
      </w:r>
      <w:bookmarkEnd w:id="533"/>
      <w:r>
        <w:rPr>
          <w:color w:val="000000"/>
          <w:spacing w:val="0"/>
          <w:w w:val="100"/>
          <w:position w:val="0"/>
        </w:rPr>
        <w:t>、</w:t>
        <w:tab/>
        <w:t>关于监事和监事会</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公司第三届监事会由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名职工代表监事，监事会的人数、结构及选聘程序均符合法律、法规和《公 司章程》的规定。报告期内，公司监事会严格按照《公司章程》《监事会议事规则》的规定召集、召开监事会，表决程序合 法合规；监事勤勉尽责，从维护公司和股东合法权益出发，对董事会和公司行政管理系统能进行有效监督。</w:t>
      </w:r>
    </w:p>
    <w:p>
      <w:pPr>
        <w:pStyle w:val="Style26"/>
        <w:keepNext w:val="0"/>
        <w:keepLines w:val="0"/>
        <w:widowControl w:val="0"/>
        <w:shd w:val="clear" w:color="auto" w:fill="auto"/>
        <w:tabs>
          <w:tab w:pos="299" w:val="left"/>
        </w:tabs>
        <w:bidi w:val="0"/>
        <w:spacing w:before="0" w:after="0" w:line="315" w:lineRule="exact"/>
        <w:ind w:left="0" w:right="0" w:firstLine="0"/>
        <w:jc w:val="left"/>
      </w:pPr>
      <w:bookmarkStart w:id="534" w:name="bookmark534"/>
      <w:r>
        <w:rPr>
          <w:rFonts w:ascii="Times New Roman" w:eastAsia="Times New Roman" w:hAnsi="Times New Roman" w:cs="Times New Roman"/>
          <w:color w:val="000000"/>
          <w:spacing w:val="0"/>
          <w:w w:val="100"/>
          <w:position w:val="0"/>
          <w:sz w:val="18"/>
          <w:szCs w:val="18"/>
        </w:rPr>
        <w:t>5</w:t>
      </w:r>
      <w:bookmarkEnd w:id="534"/>
      <w:r>
        <w:rPr>
          <w:color w:val="000000"/>
          <w:spacing w:val="0"/>
          <w:w w:val="100"/>
          <w:position w:val="0"/>
        </w:rPr>
        <w:t>、</w:t>
        <w:tab/>
        <w:t>关于绩效评价与激励约束机制</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公司董事会下设的提名、薪酬与考核委员会负责对公司的董事、监事、高级管理人员进行绩效考核，公司已经建立和 完善了公正、透明的高级管理人员的绩效考核标准和激励约束机制。高级管理人员的聘任公开、透明，符合法律、法规的 规定。</w:t>
      </w:r>
    </w:p>
    <w:p>
      <w:pPr>
        <w:pStyle w:val="Style26"/>
        <w:keepNext w:val="0"/>
        <w:keepLines w:val="0"/>
        <w:widowControl w:val="0"/>
        <w:shd w:val="clear" w:color="auto" w:fill="auto"/>
        <w:tabs>
          <w:tab w:pos="308" w:val="left"/>
        </w:tabs>
        <w:bidi w:val="0"/>
        <w:spacing w:before="0" w:after="0" w:line="315" w:lineRule="exact"/>
        <w:ind w:left="0" w:right="0" w:firstLine="0"/>
        <w:jc w:val="left"/>
      </w:pPr>
      <w:bookmarkStart w:id="535" w:name="bookmark535"/>
      <w:r>
        <w:rPr>
          <w:rFonts w:ascii="Times New Roman" w:eastAsia="Times New Roman" w:hAnsi="Times New Roman" w:cs="Times New Roman"/>
          <w:color w:val="000000"/>
          <w:spacing w:val="0"/>
          <w:w w:val="100"/>
          <w:position w:val="0"/>
          <w:sz w:val="18"/>
          <w:szCs w:val="18"/>
        </w:rPr>
        <w:t>6</w:t>
      </w:r>
      <w:bookmarkEnd w:id="535"/>
      <w:r>
        <w:rPr>
          <w:color w:val="000000"/>
          <w:spacing w:val="0"/>
          <w:w w:val="100"/>
          <w:position w:val="0"/>
        </w:rPr>
        <w:t>、</w:t>
        <w:tab/>
        <w:t>关于信息披露与透明度</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完整地披露有关信息；并指定公司董事会秘书负责信息披露工作，协调公司与投资者的关系，接待股东来访，回答投资者咨 询，向投资者提供公司已披露的资料；并指定巨潮资讯网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为公司信息披露的指定网站，确保公司所 有股东能够以平等的机会获得信息。</w:t>
      </w:r>
    </w:p>
    <w:p>
      <w:pPr>
        <w:pStyle w:val="Style26"/>
        <w:keepNext w:val="0"/>
        <w:keepLines w:val="0"/>
        <w:widowControl w:val="0"/>
        <w:shd w:val="clear" w:color="auto" w:fill="auto"/>
        <w:tabs>
          <w:tab w:pos="308" w:val="left"/>
        </w:tabs>
        <w:bidi w:val="0"/>
        <w:spacing w:before="0" w:after="0" w:line="315" w:lineRule="exact"/>
        <w:ind w:left="0" w:right="0" w:firstLine="0"/>
        <w:jc w:val="left"/>
      </w:pPr>
      <w:bookmarkStart w:id="536" w:name="bookmark536"/>
      <w:r>
        <w:rPr>
          <w:rFonts w:ascii="Times New Roman" w:eastAsia="Times New Roman" w:hAnsi="Times New Roman" w:cs="Times New Roman"/>
          <w:color w:val="000000"/>
          <w:spacing w:val="0"/>
          <w:w w:val="100"/>
          <w:position w:val="0"/>
          <w:sz w:val="18"/>
          <w:szCs w:val="18"/>
        </w:rPr>
        <w:t>7</w:t>
      </w:r>
      <w:bookmarkEnd w:id="536"/>
      <w:r>
        <w:rPr>
          <w:color w:val="000000"/>
          <w:spacing w:val="0"/>
          <w:w w:val="100"/>
          <w:position w:val="0"/>
        </w:rPr>
        <w:t>、</w:t>
        <w:tab/>
        <w:t>关于相关利益者</w:t>
      </w:r>
    </w:p>
    <w:p>
      <w:pPr>
        <w:pStyle w:val="Style26"/>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公司充分尊重和维护相关利益者的合法权益，积极与相关利益者合作，加强与各方的沟通和交流，实现股东、员工、 社会等各方利益的协调平衡，共同推动公司持续、健康的发展。</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34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4"/>
        <w:keepNext/>
        <w:keepLines/>
        <w:widowControl w:val="0"/>
        <w:shd w:val="clear" w:color="auto" w:fill="auto"/>
        <w:tabs>
          <w:tab w:pos="517" w:val="left"/>
        </w:tabs>
        <w:bidi w:val="0"/>
        <w:spacing w:before="0" w:after="2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二</w:t>
      </w:r>
      <w:bookmarkEnd w:id="539"/>
      <w:r>
        <w:rPr>
          <w:color w:val="000000"/>
          <w:spacing w:val="0"/>
          <w:w w:val="100"/>
          <w:position w:val="0"/>
          <w:sz w:val="24"/>
          <w:szCs w:val="24"/>
        </w:rPr>
        <w:t>、</w:t>
        <w:tab/>
        <w:t>公司相对于控股股东在业务、人员、资产、机构、财务等方面的独立情况</w:t>
      </w:r>
      <w:bookmarkEnd w:id="537"/>
      <w:bookmarkEnd w:id="538"/>
      <w:bookmarkEnd w:id="540"/>
    </w:p>
    <w:p>
      <w:pPr>
        <w:pStyle w:val="Style2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公司相对于控股股东在业务、人员、资产、机构、财务等方面能够保证独立性。</w:t>
      </w:r>
    </w:p>
    <w:p>
      <w:pPr>
        <w:pStyle w:val="Style26"/>
        <w:keepNext w:val="0"/>
        <w:keepLines w:val="0"/>
        <w:widowControl w:val="0"/>
        <w:shd w:val="clear" w:color="auto" w:fill="auto"/>
        <w:tabs>
          <w:tab w:pos="334" w:val="left"/>
        </w:tabs>
        <w:bidi w:val="0"/>
        <w:spacing w:before="0" w:after="0" w:line="360" w:lineRule="auto"/>
        <w:ind w:left="0" w:right="0" w:firstLine="0"/>
        <w:jc w:val="left"/>
      </w:pPr>
      <w:bookmarkStart w:id="541" w:name="bookmark541"/>
      <w:r>
        <w:rPr>
          <w:rFonts w:ascii="Times New Roman" w:eastAsia="Times New Roman" w:hAnsi="Times New Roman" w:cs="Times New Roman"/>
          <w:color w:val="000000"/>
          <w:spacing w:val="0"/>
          <w:w w:val="100"/>
          <w:position w:val="0"/>
          <w:sz w:val="18"/>
          <w:szCs w:val="18"/>
        </w:rPr>
        <w:t>1</w:t>
      </w:r>
      <w:bookmarkEnd w:id="541"/>
      <w:r>
        <w:rPr>
          <w:color w:val="000000"/>
          <w:spacing w:val="0"/>
          <w:w w:val="100"/>
          <w:position w:val="0"/>
        </w:rPr>
        <w:t>、</w:t>
        <w:tab/>
        <w:t>业务独立</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公司拥有独立开展经营活动的资产、人员、资质和能力，具有面向市场独立自主持续经营的能力。不以依法行使股东 权利以外的任何方式干预上市公司的重大决策事项。公司与控股股东、实际控制人不存在同业竞争。</w:t>
      </w:r>
    </w:p>
    <w:p>
      <w:pPr>
        <w:pStyle w:val="Style26"/>
        <w:keepNext w:val="0"/>
        <w:keepLines w:val="0"/>
        <w:widowControl w:val="0"/>
        <w:shd w:val="clear" w:color="auto" w:fill="auto"/>
        <w:tabs>
          <w:tab w:pos="354" w:val="left"/>
        </w:tabs>
        <w:bidi w:val="0"/>
        <w:spacing w:before="0" w:after="0" w:line="360" w:lineRule="auto"/>
        <w:ind w:left="0" w:right="0" w:firstLine="0"/>
        <w:jc w:val="both"/>
      </w:pPr>
      <w:bookmarkStart w:id="542" w:name="bookmark542"/>
      <w:r>
        <w:rPr>
          <w:rFonts w:ascii="Times New Roman" w:eastAsia="Times New Roman" w:hAnsi="Times New Roman" w:cs="Times New Roman"/>
          <w:color w:val="000000"/>
          <w:spacing w:val="0"/>
          <w:w w:val="100"/>
          <w:position w:val="0"/>
          <w:sz w:val="18"/>
          <w:szCs w:val="18"/>
        </w:rPr>
        <w:t>2</w:t>
      </w:r>
      <w:bookmarkEnd w:id="542"/>
      <w:r>
        <w:rPr>
          <w:color w:val="000000"/>
          <w:spacing w:val="0"/>
          <w:w w:val="100"/>
          <w:position w:val="0"/>
        </w:rPr>
        <w:t>、</w:t>
        <w:tab/>
        <w:t>人员独立</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公司董事、监事及高级管理人员均严格按照《公司法》《公司章程》的有关规定产生，控股股东没有干预公司董事会 和股东大会已经作出的人事任免决定。公司在劳动、人事、工资管理等方面均完全独立。</w:t>
      </w:r>
    </w:p>
    <w:p>
      <w:pPr>
        <w:pStyle w:val="Style26"/>
        <w:keepNext w:val="0"/>
        <w:keepLines w:val="0"/>
        <w:widowControl w:val="0"/>
        <w:shd w:val="clear" w:color="auto" w:fill="auto"/>
        <w:tabs>
          <w:tab w:pos="354" w:val="left"/>
        </w:tabs>
        <w:bidi w:val="0"/>
        <w:spacing w:before="0" w:after="0" w:line="360" w:lineRule="auto"/>
        <w:ind w:left="0" w:right="0" w:firstLine="0"/>
        <w:jc w:val="both"/>
      </w:pPr>
      <w:bookmarkStart w:id="543" w:name="bookmark543"/>
      <w:r>
        <w:rPr>
          <w:rFonts w:ascii="Times New Roman" w:eastAsia="Times New Roman" w:hAnsi="Times New Roman" w:cs="Times New Roman"/>
          <w:color w:val="000000"/>
          <w:spacing w:val="0"/>
          <w:w w:val="100"/>
          <w:position w:val="0"/>
          <w:sz w:val="18"/>
          <w:szCs w:val="18"/>
        </w:rPr>
        <w:t>3</w:t>
      </w:r>
      <w:bookmarkEnd w:id="543"/>
      <w:r>
        <w:rPr>
          <w:color w:val="000000"/>
          <w:spacing w:val="0"/>
          <w:w w:val="100"/>
          <w:position w:val="0"/>
        </w:rPr>
        <w:t>、</w:t>
        <w:tab/>
        <w:t>资产完整</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公司具有独立的法人资格，对公司财产拥有独立的法人财产权，公司拥有独立的房屋产权和经营权，公司的资产完全 独立于控股股东。</w:t>
      </w:r>
    </w:p>
    <w:p>
      <w:pPr>
        <w:pStyle w:val="Style26"/>
        <w:keepNext w:val="0"/>
        <w:keepLines w:val="0"/>
        <w:widowControl w:val="0"/>
        <w:shd w:val="clear" w:color="auto" w:fill="auto"/>
        <w:tabs>
          <w:tab w:pos="354" w:val="left"/>
        </w:tabs>
        <w:bidi w:val="0"/>
        <w:spacing w:before="0" w:after="0" w:line="360" w:lineRule="auto"/>
        <w:ind w:left="0" w:right="0" w:firstLine="0"/>
        <w:jc w:val="both"/>
      </w:pPr>
      <w:bookmarkStart w:id="544" w:name="bookmark544"/>
      <w:r>
        <w:rPr>
          <w:rFonts w:ascii="Times New Roman" w:eastAsia="Times New Roman" w:hAnsi="Times New Roman" w:cs="Times New Roman"/>
          <w:color w:val="000000"/>
          <w:spacing w:val="0"/>
          <w:w w:val="100"/>
          <w:position w:val="0"/>
          <w:sz w:val="18"/>
          <w:szCs w:val="18"/>
        </w:rPr>
        <w:t>4</w:t>
      </w:r>
      <w:bookmarkEnd w:id="544"/>
      <w:r>
        <w:rPr>
          <w:color w:val="000000"/>
          <w:spacing w:val="0"/>
          <w:w w:val="100"/>
          <w:position w:val="0"/>
        </w:rPr>
        <w:t>、</w:t>
        <w:tab/>
        <w:t>机构独立</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公司通过股东大会、董事会、监事会、独立董事及各专门委员会制度，强化权力制衡机制，形成了有效的法人治理结 构。在内部机构设置上，公司建立了适应自身发展需要的组织机构，明确了各机构职能，定员定岗，并制定了相应的内部管 理与控制制度。公司各职能部门均独立履行其职能，独立开展生产经营活动，不存在受实际控制人、股东或关联方干预之情 形。</w:t>
      </w:r>
    </w:p>
    <w:p>
      <w:pPr>
        <w:pStyle w:val="Style26"/>
        <w:keepNext w:val="0"/>
        <w:keepLines w:val="0"/>
        <w:widowControl w:val="0"/>
        <w:shd w:val="clear" w:color="auto" w:fill="auto"/>
        <w:tabs>
          <w:tab w:pos="354" w:val="left"/>
        </w:tabs>
        <w:bidi w:val="0"/>
        <w:spacing w:before="0" w:after="0" w:line="314" w:lineRule="exact"/>
        <w:ind w:left="0" w:right="0" w:firstLine="0"/>
        <w:jc w:val="both"/>
      </w:pPr>
      <w:bookmarkStart w:id="545" w:name="bookmark545"/>
      <w:r>
        <w:rPr>
          <w:color w:val="000000"/>
          <w:spacing w:val="0"/>
          <w:w w:val="100"/>
          <w:position w:val="0"/>
          <w:sz w:val="18"/>
          <w:szCs w:val="18"/>
        </w:rPr>
        <w:t>5</w:t>
      </w:r>
      <w:bookmarkEnd w:id="545"/>
      <w:r>
        <w:rPr>
          <w:color w:val="000000"/>
          <w:spacing w:val="0"/>
          <w:w w:val="100"/>
          <w:position w:val="0"/>
        </w:rPr>
        <w:t>、</w:t>
        <w:tab/>
        <w:t>财务独立</w:t>
      </w:r>
    </w:p>
    <w:p>
      <w:pPr>
        <w:pStyle w:val="Style26"/>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公司有独立的财务部门，配备独立的财务人员，建立了独立的会计核算体系和财务管理制度，独立管理公司财务档案， 能够根据《公司章程》规定的程序和权限独立作出财务决策。公司及子公司均为独立核算主体，独立在银行开户，不存在与 实际控制人共用银行账户之情形，亦不存在将资金存入实际控制人银行账户之情形，资金使用亦不受实际控制人干预。</w:t>
      </w:r>
    </w:p>
    <w:p>
      <w:pPr>
        <w:pStyle w:val="Style24"/>
        <w:keepNext/>
        <w:keepLines/>
        <w:widowControl w:val="0"/>
        <w:shd w:val="clear" w:color="auto" w:fill="auto"/>
        <w:tabs>
          <w:tab w:pos="517" w:val="left"/>
        </w:tabs>
        <w:bidi w:val="0"/>
        <w:spacing w:before="0" w:after="340" w:line="240" w:lineRule="auto"/>
        <w:ind w:left="0" w:right="0" w:firstLine="0"/>
        <w:jc w:val="both"/>
      </w:pPr>
      <w:bookmarkStart w:id="546" w:name="bookmark546"/>
      <w:bookmarkStart w:id="547" w:name="bookmark547"/>
      <w:bookmarkStart w:id="548" w:name="bookmark548"/>
      <w:bookmarkStart w:id="549" w:name="bookmark549"/>
      <w:r>
        <w:rPr>
          <w:color w:val="000000"/>
          <w:spacing w:val="0"/>
          <w:w w:val="100"/>
          <w:position w:val="0"/>
          <w:sz w:val="24"/>
          <w:szCs w:val="24"/>
        </w:rPr>
        <w:t>三</w:t>
      </w:r>
      <w:bookmarkEnd w:id="548"/>
      <w:r>
        <w:rPr>
          <w:color w:val="000000"/>
          <w:spacing w:val="0"/>
          <w:w w:val="100"/>
          <w:position w:val="0"/>
          <w:sz w:val="24"/>
          <w:szCs w:val="24"/>
        </w:rPr>
        <w:t>、</w:t>
        <w:tab/>
        <w:t>同业竞争情况</w:t>
      </w:r>
      <w:bookmarkEnd w:id="546"/>
      <w:bookmarkEnd w:id="547"/>
      <w:bookmarkEnd w:id="549"/>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4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四</w:t>
      </w:r>
      <w:bookmarkEnd w:id="552"/>
      <w:r>
        <w:rPr>
          <w:color w:val="000000"/>
          <w:spacing w:val="0"/>
          <w:w w:val="100"/>
          <w:position w:val="0"/>
          <w:sz w:val="24"/>
          <w:szCs w:val="24"/>
        </w:rPr>
        <w:t>、</w:t>
        <w:tab/>
        <w:t>报告期内召开的年度股东大会和临时股东大会的有关情况</w:t>
      </w:r>
      <w:bookmarkEnd w:id="550"/>
      <w:bookmarkEnd w:id="551"/>
      <w:bookmarkEnd w:id="553"/>
    </w:p>
    <w:p>
      <w:pPr>
        <w:pStyle w:val="Style32"/>
        <w:keepNext/>
        <w:keepLines/>
        <w:widowControl w:val="0"/>
        <w:shd w:val="clear" w:color="auto" w:fill="auto"/>
        <w:bidi w:val="0"/>
        <w:spacing w:before="0" w:after="340" w:line="240" w:lineRule="auto"/>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、本报告期股东大会情况</w:t>
      </w:r>
      <w:bookmarkEnd w:id="554"/>
      <w:bookmarkEnd w:id="555"/>
      <w:bookmarkEnd w:id="557"/>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巨潮咨询网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pStyle w:val="Style32"/>
        <w:keepNext/>
        <w:keepLines/>
        <w:widowControl w:val="0"/>
        <w:shd w:val="clear" w:color="auto" w:fill="auto"/>
        <w:bidi w:val="0"/>
        <w:spacing w:before="0" w:after="38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、表决权恢复的优先股股东请求召开临时股东大会</w:t>
      </w:r>
      <w:bookmarkEnd w:id="558"/>
      <w:bookmarkEnd w:id="559"/>
      <w:bookmarkEnd w:id="561"/>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五</w:t>
      </w:r>
      <w:bookmarkEnd w:id="564"/>
      <w:r>
        <w:rPr>
          <w:color w:val="000000"/>
          <w:spacing w:val="0"/>
          <w:w w:val="100"/>
          <w:position w:val="0"/>
          <w:sz w:val="24"/>
          <w:szCs w:val="24"/>
        </w:rPr>
        <w:t>、报告期内独立董事履行职责的情况</w:t>
      </w:r>
      <w:bookmarkEnd w:id="562"/>
      <w:bookmarkEnd w:id="563"/>
      <w:bookmarkEnd w:id="565"/>
    </w:p>
    <w:p>
      <w:pPr>
        <w:pStyle w:val="Style32"/>
        <w:keepNext/>
        <w:keepLines/>
        <w:widowControl w:val="0"/>
        <w:shd w:val="clear" w:color="auto" w:fill="auto"/>
        <w:bidi w:val="0"/>
        <w:spacing w:before="0" w:after="30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、独立董事出席董事会及股东大会的情况</w:t>
      </w:r>
      <w:bookmarkEnd w:id="566"/>
      <w:bookmarkEnd w:id="567"/>
      <w:bookmarkEnd w:id="569"/>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2"/>
        <w:keepNext/>
        <w:keepLines/>
        <w:widowControl w:val="0"/>
        <w:shd w:val="clear" w:color="auto" w:fill="auto"/>
        <w:bidi w:val="0"/>
        <w:spacing w:before="0" w:after="26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、独立董事对公司有关事项提出异议的情况</w:t>
      </w:r>
      <w:bookmarkEnd w:id="570"/>
      <w:bookmarkEnd w:id="571"/>
      <w:bookmarkEnd w:id="573"/>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bidi w:val="0"/>
        <w:spacing w:before="0" w:after="26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3</w:t>
      </w:r>
      <w:bookmarkEnd w:id="576"/>
      <w:r>
        <w:rPr>
          <w:color w:val="000000"/>
          <w:spacing w:val="0"/>
          <w:w w:val="100"/>
          <w:position w:val="0"/>
        </w:rPr>
        <w:t>、独立董事履行职责的其他说明</w:t>
      </w:r>
      <w:bookmarkEnd w:id="574"/>
      <w:bookmarkEnd w:id="575"/>
      <w:bookmarkEnd w:id="577"/>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tabs>
          <w:tab w:pos="757" w:val="left"/>
        </w:tabs>
        <w:bidi w:val="0"/>
        <w:spacing w:before="0" w:after="0" w:line="317" w:lineRule="exact"/>
        <w:ind w:left="0" w:right="0" w:firstLine="440"/>
        <w:jc w:val="both"/>
      </w:pPr>
      <w:bookmarkStart w:id="578" w:name="bookmark578"/>
      <w:r>
        <w:rPr>
          <w:rFonts w:ascii="Times New Roman" w:eastAsia="Times New Roman" w:hAnsi="Times New Roman" w:cs="Times New Roman"/>
          <w:color w:val="000000"/>
          <w:spacing w:val="0"/>
          <w:w w:val="100"/>
          <w:position w:val="0"/>
          <w:sz w:val="18"/>
          <w:szCs w:val="18"/>
        </w:rPr>
        <w:t>1</w:t>
      </w:r>
      <w:bookmarkEnd w:id="5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独立董事黎伟先生建议：公司要加强对新修订的法律法规文件、行业政策的学习，在日常工作中应有效规避相关的 法律风险。同时，需加强公司经营发展中的风险控制和管理工作，继续做好在内控方面的培训，不断完善内控体系建设，加 强风险防范意识。</w:t>
      </w:r>
    </w:p>
    <w:p>
      <w:pPr>
        <w:pStyle w:val="Style26"/>
        <w:keepNext w:val="0"/>
        <w:keepLines w:val="0"/>
        <w:widowControl w:val="0"/>
        <w:shd w:val="clear" w:color="auto" w:fill="auto"/>
        <w:tabs>
          <w:tab w:pos="752" w:val="left"/>
        </w:tabs>
        <w:bidi w:val="0"/>
        <w:spacing w:before="0" w:after="0" w:line="317" w:lineRule="exact"/>
        <w:ind w:left="0" w:right="0" w:firstLine="440"/>
        <w:jc w:val="both"/>
      </w:pPr>
      <w:bookmarkStart w:id="579" w:name="bookmark579"/>
      <w:r>
        <w:rPr>
          <w:rFonts w:ascii="Times New Roman" w:eastAsia="Times New Roman" w:hAnsi="Times New Roman" w:cs="Times New Roman"/>
          <w:color w:val="000000"/>
          <w:spacing w:val="0"/>
          <w:w w:val="100"/>
          <w:position w:val="0"/>
          <w:sz w:val="18"/>
          <w:szCs w:val="18"/>
        </w:rPr>
        <w:t>2</w:t>
      </w:r>
      <w:bookmarkEnd w:id="5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独立董事王一江先生建议：公司应提高企业自主创新能力；坚持对研究发展的投入，积极推进研发项目的进展。同 时在人力资源建设方面进一步加强，大力引进和培养与公司业务相匹配的专业人才，为公司的发展做好充足的人才储备。</w:t>
      </w:r>
    </w:p>
    <w:p>
      <w:pPr>
        <w:pStyle w:val="Style26"/>
        <w:keepNext w:val="0"/>
        <w:keepLines w:val="0"/>
        <w:widowControl w:val="0"/>
        <w:shd w:val="clear" w:color="auto" w:fill="auto"/>
        <w:tabs>
          <w:tab w:pos="762" w:val="left"/>
        </w:tabs>
        <w:bidi w:val="0"/>
        <w:spacing w:before="0" w:after="0" w:line="317" w:lineRule="exact"/>
        <w:ind w:left="0" w:right="0" w:firstLine="440"/>
        <w:jc w:val="both"/>
      </w:pPr>
      <w:bookmarkStart w:id="580" w:name="bookmark580"/>
      <w:r>
        <w:rPr>
          <w:rFonts w:ascii="Times New Roman" w:eastAsia="Times New Roman" w:hAnsi="Times New Roman" w:cs="Times New Roman"/>
          <w:color w:val="000000"/>
          <w:spacing w:val="0"/>
          <w:w w:val="100"/>
          <w:position w:val="0"/>
          <w:sz w:val="18"/>
          <w:szCs w:val="18"/>
        </w:rPr>
        <w:t>3</w:t>
      </w:r>
      <w:bookmarkEnd w:id="5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独立董事王红波先生建议：公司应注重战略规划，根据公司实际情况制定适应自身的整体规划。同时公司在发展自 身业务的基础，需做到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，积极与同行业的优秀公司进行沟通交流，汲取经验。</w:t>
      </w:r>
    </w:p>
    <w:p>
      <w:pPr>
        <w:pStyle w:val="Style26"/>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公司采纳上述建议。</w:t>
      </w:r>
    </w:p>
    <w:p>
      <w:pPr>
        <w:pStyle w:val="Style24"/>
        <w:keepNext/>
        <w:keepLines/>
        <w:widowControl w:val="0"/>
        <w:shd w:val="clear" w:color="auto" w:fill="auto"/>
        <w:bidi w:val="0"/>
        <w:spacing w:before="0" w:after="38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六</w:t>
      </w:r>
      <w:bookmarkEnd w:id="583"/>
      <w:r>
        <w:rPr>
          <w:color w:val="000000"/>
          <w:spacing w:val="0"/>
          <w:w w:val="100"/>
          <w:position w:val="0"/>
          <w:sz w:val="24"/>
          <w:szCs w:val="24"/>
        </w:rPr>
        <w:t>、董事会下设专门委员会在报告期内履行职责情况</w:t>
      </w:r>
      <w:bookmarkEnd w:id="581"/>
      <w:bookmarkEnd w:id="582"/>
      <w:bookmarkEnd w:id="584"/>
    </w:p>
    <w:p>
      <w:pPr>
        <w:pStyle w:val="Style26"/>
        <w:keepNext w:val="0"/>
        <w:keepLines w:val="0"/>
        <w:widowControl w:val="0"/>
        <w:shd w:val="clear" w:color="auto" w:fill="auto"/>
        <w:bidi w:val="0"/>
        <w:spacing w:before="0" w:after="0" w:line="360" w:lineRule="auto"/>
        <w:ind w:left="0" w:right="0" w:firstLine="0"/>
        <w:jc w:val="left"/>
      </w:pPr>
      <w:bookmarkStart w:id="585" w:name="bookmark585"/>
      <w:r>
        <w:rPr>
          <w:rFonts w:ascii="Times New Roman" w:eastAsia="Times New Roman" w:hAnsi="Times New Roman" w:cs="Times New Roman"/>
          <w:color w:val="000000"/>
          <w:spacing w:val="0"/>
          <w:w w:val="100"/>
          <w:position w:val="0"/>
          <w:sz w:val="18"/>
          <w:szCs w:val="18"/>
        </w:rPr>
        <w:t>1</w:t>
      </w:r>
      <w:bookmarkEnd w:id="585"/>
      <w:r>
        <w:rPr>
          <w:color w:val="000000"/>
          <w:spacing w:val="0"/>
          <w:w w:val="100"/>
          <w:position w:val="0"/>
        </w:rPr>
        <w:t>、审计委员会的履职情况</w:t>
      </w:r>
    </w:p>
    <w:p>
      <w:pPr>
        <w:pStyle w:val="Style2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年报告期内，提名委员会共召开了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次审计委员会会议，审议了公司《（中青宝）棋牌项目组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月份收入 检查报告》《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年第一季度货币资金例行审计报告》《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年第一季度募集资金存放与使用情况例行审计报告》《上海顶 </w:t>
      </w:r>
      <w:r>
        <w:rPr>
          <w:color w:val="000000"/>
          <w:spacing w:val="0"/>
          <w:w w:val="100"/>
          <w:position w:val="0"/>
        </w:rPr>
        <w:t>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年度例行内部审计报告》《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年第二季度货币资金的例行审计报告》《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年第二季度募集资金存放与使用情况例 行审计报告》等多项议案，充分履行了审计委员会委员的职责。</w:t>
      </w:r>
    </w:p>
    <w:p>
      <w:pPr>
        <w:pStyle w:val="Style26"/>
        <w:keepNext w:val="0"/>
        <w:keepLines w:val="0"/>
        <w:widowControl w:val="0"/>
        <w:shd w:val="clear" w:color="auto" w:fill="auto"/>
        <w:tabs>
          <w:tab w:pos="347" w:val="left"/>
        </w:tabs>
        <w:bidi w:val="0"/>
        <w:spacing w:before="0" w:after="0" w:line="302" w:lineRule="exact"/>
        <w:ind w:left="0" w:right="0" w:firstLine="0"/>
        <w:jc w:val="both"/>
      </w:pPr>
      <w:bookmarkStart w:id="586" w:name="bookmark586"/>
      <w:r>
        <w:rPr>
          <w:rFonts w:ascii="Times New Roman" w:eastAsia="Times New Roman" w:hAnsi="Times New Roman" w:cs="Times New Roman"/>
          <w:color w:val="000000"/>
          <w:spacing w:val="0"/>
          <w:w w:val="100"/>
          <w:position w:val="0"/>
          <w:sz w:val="18"/>
          <w:szCs w:val="18"/>
        </w:rPr>
        <w:t>2</w:t>
      </w:r>
      <w:bookmarkEnd w:id="586"/>
      <w:r>
        <w:rPr>
          <w:color w:val="000000"/>
          <w:spacing w:val="0"/>
          <w:w w:val="100"/>
          <w:position w:val="0"/>
        </w:rPr>
        <w:t>、</w:t>
        <w:tab/>
        <w:t>薪酬与考核委员会的履职情况</w:t>
      </w:r>
    </w:p>
    <w:p>
      <w:pPr>
        <w:pStyle w:val="Style26"/>
        <w:keepNext w:val="0"/>
        <w:keepLines w:val="0"/>
        <w:widowControl w:val="0"/>
        <w:shd w:val="clear" w:color="auto" w:fill="auto"/>
        <w:bidi w:val="0"/>
        <w:spacing w:before="0" w:after="0" w:line="30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年报告期内，薪酬与考核委员会共召集召开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次薪酬与考核委员会会议，审议了公司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年度董事及监事薪酬标准 和《关于调整股票期权激励计划中行权价格及注销部分已获授但未行权股票期权的议案》，薪酬与考核委员对相关议案进行 了认真审议，勤勉尽责地履行了职责。</w:t>
      </w:r>
    </w:p>
    <w:p>
      <w:pPr>
        <w:pStyle w:val="Style26"/>
        <w:keepNext w:val="0"/>
        <w:keepLines w:val="0"/>
        <w:widowControl w:val="0"/>
        <w:shd w:val="clear" w:color="auto" w:fill="auto"/>
        <w:tabs>
          <w:tab w:pos="347" w:val="left"/>
        </w:tabs>
        <w:bidi w:val="0"/>
        <w:spacing w:before="0" w:after="0" w:line="317" w:lineRule="exact"/>
        <w:ind w:left="0" w:right="0" w:firstLine="0"/>
        <w:jc w:val="left"/>
      </w:pPr>
      <w:bookmarkStart w:id="587" w:name="bookmark587"/>
      <w:r>
        <w:rPr>
          <w:rFonts w:ascii="Times New Roman" w:eastAsia="Times New Roman" w:hAnsi="Times New Roman" w:cs="Times New Roman"/>
          <w:color w:val="000000"/>
          <w:spacing w:val="0"/>
          <w:w w:val="100"/>
          <w:position w:val="0"/>
          <w:sz w:val="18"/>
          <w:szCs w:val="18"/>
        </w:rPr>
        <w:t>3</w:t>
      </w:r>
      <w:bookmarkEnd w:id="587"/>
      <w:r>
        <w:rPr>
          <w:color w:val="000000"/>
          <w:spacing w:val="0"/>
          <w:w w:val="100"/>
          <w:position w:val="0"/>
        </w:rPr>
        <w:t>、</w:t>
        <w:tab/>
        <w:t>提名委员会的履职情况</w:t>
      </w:r>
    </w:p>
    <w:p>
      <w:pPr>
        <w:pStyle w:val="Style26"/>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年报告期内，提名委员会共召开了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次提名委员会会议，审议《变更高级管理人员的议案》，切实履行提名委员会 委员的职责，确保公司高管届选举的程序合规。</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公司董事会提名委员会依照相关法规及《公司章程》《董事会提名委员会工作细则》的规定，积极履行了职责。提名 委员会重点对公司拟选举和聘任的独立董事任职资格进行审查，未发现《公司法》及相关法律法规禁止担任上市公司的独立 董事的情形。</w:t>
      </w:r>
    </w:p>
    <w:p>
      <w:pPr>
        <w:pStyle w:val="Style26"/>
        <w:keepNext w:val="0"/>
        <w:keepLines w:val="0"/>
        <w:widowControl w:val="0"/>
        <w:shd w:val="clear" w:color="auto" w:fill="auto"/>
        <w:tabs>
          <w:tab w:pos="347" w:val="left"/>
        </w:tabs>
        <w:bidi w:val="0"/>
        <w:spacing w:before="0" w:after="0" w:line="317" w:lineRule="exact"/>
        <w:ind w:left="0" w:right="0" w:firstLine="0"/>
        <w:jc w:val="left"/>
      </w:pPr>
      <w:bookmarkStart w:id="588" w:name="bookmark588"/>
      <w:r>
        <w:rPr>
          <w:rFonts w:ascii="Times New Roman" w:eastAsia="Times New Roman" w:hAnsi="Times New Roman" w:cs="Times New Roman"/>
          <w:color w:val="000000"/>
          <w:spacing w:val="0"/>
          <w:w w:val="100"/>
          <w:position w:val="0"/>
          <w:sz w:val="18"/>
          <w:szCs w:val="18"/>
        </w:rPr>
        <w:t>4</w:t>
      </w:r>
      <w:bookmarkEnd w:id="588"/>
      <w:r>
        <w:rPr>
          <w:color w:val="000000"/>
          <w:spacing w:val="0"/>
          <w:w w:val="100"/>
          <w:position w:val="0"/>
        </w:rPr>
        <w:t>、</w:t>
        <w:tab/>
        <w:t>战略委员会的履职情况</w:t>
      </w:r>
    </w:p>
    <w:p>
      <w:pPr>
        <w:pStyle w:val="Style26"/>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年报告期内，战略委员会召开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次战略委员会会议，审议了《关于以现金收购宝腾互联股权暨关联交易的议案》， 切实履行独立董事职责，规范公司运作。</w:t>
      </w:r>
    </w:p>
    <w:p>
      <w:pPr>
        <w:pStyle w:val="Style2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公司战略委员会依照相关法规及《公司章程》及《董事会战略委员会工作细则》的规定，战略委员会重点对公司战略执行情 况进行回顾总结，根据公司所处的行业和市场形式及时进行了战略规划研究，并对公司的发展战略提出了合理的建议。</w:t>
      </w:r>
    </w:p>
    <w:p>
      <w:pPr>
        <w:pStyle w:val="Style24"/>
        <w:keepNext/>
        <w:keepLines/>
        <w:widowControl w:val="0"/>
        <w:shd w:val="clear" w:color="auto" w:fill="auto"/>
        <w:tabs>
          <w:tab w:pos="510" w:val="left"/>
        </w:tabs>
        <w:bidi w:val="0"/>
        <w:spacing w:before="0" w:after="260" w:line="240" w:lineRule="auto"/>
        <w:ind w:left="0" w:right="0" w:firstLine="0"/>
        <w:jc w:val="both"/>
      </w:pPr>
      <w:bookmarkStart w:id="589" w:name="bookmark589"/>
      <w:bookmarkStart w:id="590" w:name="bookmark590"/>
      <w:bookmarkStart w:id="591" w:name="bookmark591"/>
      <w:bookmarkStart w:id="592" w:name="bookmark592"/>
      <w:r>
        <w:rPr>
          <w:color w:val="000000"/>
          <w:spacing w:val="0"/>
          <w:w w:val="100"/>
          <w:position w:val="0"/>
          <w:sz w:val="24"/>
          <w:szCs w:val="24"/>
        </w:rPr>
        <w:t>七</w:t>
      </w:r>
      <w:bookmarkEnd w:id="591"/>
      <w:r>
        <w:rPr>
          <w:color w:val="000000"/>
          <w:spacing w:val="0"/>
          <w:w w:val="100"/>
          <w:position w:val="0"/>
          <w:sz w:val="24"/>
          <w:szCs w:val="24"/>
        </w:rPr>
        <w:t>、</w:t>
        <w:tab/>
        <w:t>监事会工作情况</w:t>
      </w:r>
      <w:bookmarkEnd w:id="589"/>
      <w:bookmarkEnd w:id="590"/>
      <w:bookmarkEnd w:id="592"/>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360" w:line="36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24"/>
        <w:keepNext/>
        <w:keepLines/>
        <w:widowControl w:val="0"/>
        <w:shd w:val="clear" w:color="auto" w:fill="auto"/>
        <w:tabs>
          <w:tab w:pos="510" w:val="left"/>
        </w:tabs>
        <w:bidi w:val="0"/>
        <w:spacing w:before="0" w:after="260" w:line="240" w:lineRule="auto"/>
        <w:ind w:left="0" w:right="0" w:firstLine="0"/>
        <w:jc w:val="both"/>
      </w:pPr>
      <w:bookmarkStart w:id="593" w:name="bookmark593"/>
      <w:bookmarkStart w:id="594" w:name="bookmark594"/>
      <w:bookmarkStart w:id="595" w:name="bookmark595"/>
      <w:bookmarkStart w:id="596" w:name="bookmark596"/>
      <w:r>
        <w:rPr>
          <w:color w:val="000000"/>
          <w:spacing w:val="0"/>
          <w:w w:val="100"/>
          <w:position w:val="0"/>
          <w:sz w:val="24"/>
          <w:szCs w:val="24"/>
        </w:rPr>
        <w:t>八</w:t>
      </w:r>
      <w:bookmarkEnd w:id="595"/>
      <w:r>
        <w:rPr>
          <w:color w:val="000000"/>
          <w:spacing w:val="0"/>
          <w:w w:val="100"/>
          <w:position w:val="0"/>
          <w:sz w:val="24"/>
          <w:szCs w:val="24"/>
        </w:rPr>
        <w:t>、</w:t>
        <w:tab/>
        <w:t>高级管理人员的考评及激励情况</w:t>
      </w:r>
      <w:bookmarkEnd w:id="593"/>
      <w:bookmarkEnd w:id="594"/>
      <w:bookmarkEnd w:id="596"/>
    </w:p>
    <w:p>
      <w:pPr>
        <w:pStyle w:val="Style26"/>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为了保障公司董事、监事依法履行职权，健全公司薪酬管理体系，公司根据《中华人民共和国公司法》《关于上市公 司建立独立董事的指导意见》等法律、法规及公司《章程》的有关规定，公司制定了《董事、监事、高级管理人员薪酬与考 核度》，建立了高级管理人员的薪酬与公司业绩挂钩的绩效考核与激励约束机制，公司高级管理人员实行基本薪酬和年终绩 效考核相结合的薪酬制度。高级管理人员的薪酬方案按照公司《董事会薪酬与考核委员会工作细则》《董事、监事和高级 管理人员薪酬与考核制度》等规定由董事会薪酬与考核委员会根据职位、责任、能力、市场薪资行情等因素拟定，经董事会、 监事会审议通过后实施。高级管理人员的基本工资按月发放，绩效年薪则结合其经营绩效、工作能力、岗位职责等考核确定 并发放。</w:t>
      </w:r>
    </w:p>
    <w:p>
      <w:pPr>
        <w:pStyle w:val="Style24"/>
        <w:keepNext/>
        <w:keepLines/>
        <w:widowControl w:val="0"/>
        <w:shd w:val="clear" w:color="auto" w:fill="auto"/>
        <w:tabs>
          <w:tab w:pos="510" w:val="left"/>
        </w:tabs>
        <w:bidi w:val="0"/>
        <w:spacing w:before="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九</w:t>
      </w:r>
      <w:bookmarkEnd w:id="599"/>
      <w:r>
        <w:rPr>
          <w:color w:val="000000"/>
          <w:spacing w:val="0"/>
          <w:w w:val="100"/>
          <w:position w:val="0"/>
          <w:sz w:val="24"/>
          <w:szCs w:val="24"/>
        </w:rPr>
        <w:t>、</w:t>
        <w:tab/>
        <w:t>内部控制评价报告</w:t>
      </w:r>
      <w:bookmarkEnd w:id="597"/>
      <w:bookmarkEnd w:id="598"/>
      <w:bookmarkEnd w:id="600"/>
    </w:p>
    <w:p>
      <w:pPr>
        <w:pStyle w:val="Style32"/>
        <w:keepNext/>
        <w:keepLines/>
        <w:widowControl w:val="0"/>
        <w:shd w:val="clear" w:color="auto" w:fill="auto"/>
        <w:bidi w:val="0"/>
        <w:spacing w:before="0" w:after="260" w:line="240" w:lineRule="auto"/>
        <w:ind w:left="0" w:right="0" w:firstLine="0"/>
        <w:jc w:val="left"/>
      </w:pPr>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01"/>
      <w:bookmarkEnd w:id="602"/>
      <w:bookmarkEnd w:id="603"/>
    </w:p>
    <w:p>
      <w:pPr>
        <w:pStyle w:val="Style26"/>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04"/>
      <w:bookmarkEnd w:id="605"/>
      <w:bookmarkEnd w:id="606"/>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、重大缺陷：①控制环境无效；②发现 董事、监事和高级管理人员舞弊；③外部 审计发现当期财务报表存在重大错报，而 内部控制在运行过程中未能发现该错报； ④公司审计部对内部控制的监督无效；⑤ 内部控制评价的结果特别是重大或重要缺 陷未得到整改；⑥其他可能影响报表使用 者正确判断的缺陷。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、重要缺陷：除重 大缺陷以外的其他情形，按影响程度分别 确定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、一般缺陷：除重大缺陷以外的其 他情形，按影响程度分别确定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、重大缺陷：①、违反国家法律、 法规或规范性文件；②、违反决策程 序，导致重大决策失误；③、重要业 务缺乏制度性控制，或制度系统性失 效；④、媒体频频曝光重大负面新闻， 严重损害声誉；⑤、公司未对安全生 产实施管理，造成重大人员伤亡的安全 责任事故；⑥、管理人员或技术人员 流失严重；⑦、其他对公司影响重大 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、重要缺陷：除重大缺陷以 外的其他情形，按影响程度分别确定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一般缺陷：除重大缺陷以外的其他情 形，按影响程度分别确定</w:t>
            </w: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41"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、重大缺陷：税前利润的</w:t>
            </w:r>
            <w:r>
              <w:rPr>
                <w:rFonts w:ascii="Times New Roman" w:eastAsia="Times New Roman" w:hAnsi="Times New Roman" w:cs="Times New Roman"/>
                <w:color w:val="000000"/>
                <w:spacing w:val="0"/>
                <w:w w:val="100"/>
                <w:position w:val="0"/>
                <w:sz w:val="18"/>
                <w:szCs w:val="18"/>
              </w:rPr>
              <w:t>5%W</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重要缺陷：税前利润的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税前利 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、一般缺陷：错报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税前利润</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607" w:name="bookmark607"/>
      <w:bookmarkStart w:id="608" w:name="bookmark608"/>
      <w:bookmarkStart w:id="609" w:name="bookmark609"/>
      <w:r>
        <w:rPr>
          <w:color w:val="000000"/>
          <w:spacing w:val="0"/>
          <w:w w:val="100"/>
          <w:position w:val="0"/>
          <w:sz w:val="24"/>
          <w:szCs w:val="24"/>
        </w:rPr>
        <w:t>十、内部控制审计报告或鉴证报告</w:t>
      </w:r>
      <w:bookmarkEnd w:id="607"/>
      <w:bookmarkEnd w:id="608"/>
      <w:bookmarkEnd w:id="609"/>
    </w:p>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深圳中青宝按照《企业内部控制基本规范》及相关规定于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日在所有重大方面保持了与财务报表相关的 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40" w:right="1065" w:bottom="1460" w:left="1058"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keepLines/>
        <w:widowControl w:val="0"/>
        <w:shd w:val="clear" w:color="auto" w:fill="auto"/>
        <w:bidi w:val="0"/>
        <w:spacing w:before="0" w:after="600" w:line="240" w:lineRule="auto"/>
        <w:ind w:left="0" w:right="0" w:firstLine="0"/>
        <w:jc w:val="center"/>
      </w:pPr>
      <w:bookmarkStart w:id="610" w:name="bookmark610"/>
      <w:bookmarkStart w:id="611" w:name="bookmark611"/>
      <w:bookmarkStart w:id="612" w:name="bookmark612"/>
      <w:r>
        <w:rPr>
          <w:color w:val="000000"/>
          <w:spacing w:val="0"/>
          <w:w w:val="100"/>
          <w:position w:val="0"/>
        </w:rPr>
        <w:t>第十节公司债券相关情况</w:t>
      </w:r>
      <w:bookmarkEnd w:id="610"/>
      <w:bookmarkEnd w:id="611"/>
      <w:bookmarkEnd w:id="612"/>
    </w:p>
    <w:p>
      <w:pPr>
        <w:pStyle w:val="Style26"/>
        <w:keepNext w:val="0"/>
        <w:keepLines w:val="0"/>
        <w:widowControl w:val="0"/>
        <w:shd w:val="clear" w:color="auto" w:fill="auto"/>
        <w:bidi w:val="0"/>
        <w:spacing w:before="0" w:after="140" w:line="240" w:lineRule="auto"/>
        <w:ind w:left="0" w:right="0" w:firstLine="0"/>
        <w:jc w:val="left"/>
      </w:pPr>
      <w:bookmarkStart w:id="613" w:name="bookmark613"/>
      <w:r>
        <w:rPr>
          <w:color w:val="000000"/>
          <w:spacing w:val="0"/>
          <w:w w:val="100"/>
          <w:position w:val="0"/>
        </w:rPr>
        <w:t>公司是否存在公开发行并在证券交易所上市，且在年度报告批准报出日未到期或到期未能全额兑付的公司债券</w:t>
      </w:r>
      <w:bookmarkEnd w:id="613"/>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214" w:bottom="1921" w:left="110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0" w:after="520" w:line="240" w:lineRule="auto"/>
        <w:ind w:left="0" w:right="0" w:firstLine="0"/>
        <w:jc w:val="center"/>
      </w:pPr>
      <w:bookmarkStart w:id="614" w:name="bookmark614"/>
      <w:bookmarkStart w:id="615" w:name="bookmark615"/>
      <w:bookmarkStart w:id="616" w:name="bookmark616"/>
      <w:r>
        <w:rPr>
          <w:color w:val="000000"/>
          <w:spacing w:val="0"/>
          <w:w w:val="100"/>
          <w:position w:val="0"/>
        </w:rPr>
        <w:t>第十一节财务报告</w:t>
      </w:r>
      <w:bookmarkEnd w:id="614"/>
      <w:bookmarkEnd w:id="615"/>
      <w:bookmarkEnd w:id="616"/>
    </w:p>
    <w:p>
      <w:pPr>
        <w:pStyle w:val="Style24"/>
        <w:keepNext/>
        <w:keepLines/>
        <w:widowControl w:val="0"/>
        <w:shd w:val="clear" w:color="auto" w:fill="auto"/>
        <w:bidi w:val="0"/>
        <w:spacing w:before="0" w:after="280" w:line="240" w:lineRule="auto"/>
        <w:ind w:left="0" w:right="0" w:firstLine="0"/>
        <w:jc w:val="left"/>
      </w:pPr>
      <w:bookmarkStart w:id="617" w:name="bookmark617"/>
      <w:bookmarkStart w:id="618" w:name="bookmark618"/>
      <w:bookmarkStart w:id="619" w:name="bookmark619"/>
      <w:bookmarkStart w:id="620" w:name="bookmark620"/>
      <w:bookmarkStart w:id="621" w:name="bookmark621"/>
      <w:r>
        <w:rPr>
          <w:color w:val="000000"/>
          <w:spacing w:val="0"/>
          <w:w w:val="100"/>
          <w:position w:val="0"/>
          <w:sz w:val="24"/>
          <w:szCs w:val="24"/>
        </w:rPr>
        <w:t>一</w:t>
      </w:r>
      <w:bookmarkEnd w:id="620"/>
      <w:r>
        <w:rPr>
          <w:color w:val="000000"/>
          <w:spacing w:val="0"/>
          <w:w w:val="100"/>
          <w:position w:val="0"/>
          <w:sz w:val="24"/>
          <w:szCs w:val="24"/>
        </w:rPr>
        <w:t>、审计报告</w:t>
      </w:r>
      <w:bookmarkEnd w:id="618"/>
      <w:bookmarkEnd w:id="619"/>
      <w:bookmarkEnd w:id="621"/>
      <w:bookmarkEnd w:id="61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XYZH/2017SZA30102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郭晋龙、邱乐群</w:t>
            </w:r>
          </w:p>
        </w:tc>
      </w:tr>
    </w:tbl>
    <w:p>
      <w:pPr>
        <w:pStyle w:val="Style30"/>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79" w:line="1" w:lineRule="exact"/>
      </w:pPr>
    </w:p>
    <w:p>
      <w:pPr>
        <w:pStyle w:val="Style1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审计报告</w:t>
      </w:r>
    </w:p>
    <w:p>
      <w:pPr>
        <w:pStyle w:val="Style56"/>
        <w:keepNext w:val="0"/>
        <w:keepLines w:val="0"/>
        <w:widowControl w:val="0"/>
        <w:shd w:val="clear" w:color="auto" w:fill="auto"/>
        <w:bidi w:val="0"/>
        <w:spacing w:before="0"/>
        <w:ind w:left="0" w:right="0" w:firstLine="0"/>
        <w:jc w:val="right"/>
      </w:pPr>
      <w:r>
        <w:rPr>
          <w:color w:val="000000"/>
          <w:spacing w:val="0"/>
          <w:w w:val="100"/>
          <w:position w:val="0"/>
        </w:rPr>
        <w:t>XYZH/2017SZA30102</w:t>
      </w: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rPr>
        <w:t>深圳中青宝互动网络股份有限公司全体股东：</w:t>
      </w:r>
    </w:p>
    <w:p>
      <w:pPr>
        <w:pStyle w:val="Style26"/>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我们审计了后附的深圳中青宝互动网络股份有限公司（以下简称深圳中青宝公司）合并及母公司财务报表，包括</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年度的合并及母公司利润表、合并及母公司现金流量表和合并及母公司股东权 益变动表及财务报表附注。</w:t>
      </w:r>
    </w:p>
    <w:p>
      <w:pPr>
        <w:pStyle w:val="Style58"/>
        <w:keepNext w:val="0"/>
        <w:keepLines w:val="0"/>
        <w:widowControl w:val="0"/>
        <w:shd w:val="clear" w:color="auto" w:fill="auto"/>
        <w:tabs>
          <w:tab w:pos="538" w:val="left"/>
        </w:tabs>
        <w:bidi w:val="0"/>
        <w:spacing w:before="0" w:line="240" w:lineRule="auto"/>
        <w:ind w:left="0" w:right="0" w:firstLine="0"/>
        <w:jc w:val="left"/>
      </w:pPr>
      <w:bookmarkStart w:id="622" w:name="bookmark622"/>
      <w:r>
        <w:rPr>
          <w:color w:val="000000"/>
          <w:spacing w:val="0"/>
          <w:w w:val="100"/>
          <w:position w:val="0"/>
        </w:rPr>
        <w:t>一</w:t>
      </w:r>
      <w:bookmarkEnd w:id="622"/>
      <w:r>
        <w:rPr>
          <w:color w:val="000000"/>
          <w:spacing w:val="0"/>
          <w:w w:val="100"/>
          <w:position w:val="0"/>
        </w:rPr>
        <w:t>、</w:t>
        <w:tab/>
        <w:t>管理层对财务报表的责任</w:t>
      </w:r>
    </w:p>
    <w:p>
      <w:pPr>
        <w:pStyle w:val="Style26"/>
        <w:keepNext w:val="0"/>
        <w:keepLines w:val="0"/>
        <w:widowControl w:val="0"/>
        <w:shd w:val="clear" w:color="auto" w:fill="auto"/>
        <w:bidi w:val="0"/>
        <w:spacing w:before="0" w:after="380" w:line="302" w:lineRule="exact"/>
        <w:ind w:left="0" w:right="0" w:firstLine="460"/>
        <w:jc w:val="both"/>
      </w:pPr>
      <w:r>
        <w:rPr>
          <w:color w:val="000000"/>
          <w:spacing w:val="0"/>
          <w:w w:val="100"/>
          <w:position w:val="0"/>
        </w:rPr>
        <w:t>编制和公允列报财务报表是深圳中青宝公司管理层的责任，这种责任包括：（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58"/>
        <w:keepNext w:val="0"/>
        <w:keepLines w:val="0"/>
        <w:widowControl w:val="0"/>
        <w:shd w:val="clear" w:color="auto" w:fill="auto"/>
        <w:tabs>
          <w:tab w:pos="538" w:val="left"/>
        </w:tabs>
        <w:bidi w:val="0"/>
        <w:spacing w:before="0" w:line="240" w:lineRule="auto"/>
        <w:ind w:left="0" w:right="0" w:firstLine="0"/>
        <w:jc w:val="left"/>
      </w:pPr>
      <w:bookmarkStart w:id="623" w:name="bookmark623"/>
      <w:r>
        <w:rPr>
          <w:color w:val="000000"/>
          <w:spacing w:val="0"/>
          <w:w w:val="100"/>
          <w:position w:val="0"/>
        </w:rPr>
        <w:t>二</w:t>
      </w:r>
      <w:bookmarkEnd w:id="623"/>
      <w:r>
        <w:rPr>
          <w:color w:val="000000"/>
          <w:spacing w:val="0"/>
          <w:w w:val="100"/>
          <w:position w:val="0"/>
        </w:rPr>
        <w:t>、</w:t>
        <w:tab/>
        <w:t>注册会计师的责任</w:t>
      </w:r>
    </w:p>
    <w:p>
      <w:pPr>
        <w:pStyle w:val="Style26"/>
        <w:keepNext w:val="0"/>
        <w:keepLines w:val="0"/>
        <w:widowControl w:val="0"/>
        <w:shd w:val="clear" w:color="auto" w:fill="auto"/>
        <w:bidi w:val="0"/>
        <w:spacing w:before="0" w:after="280" w:line="310" w:lineRule="exact"/>
        <w:ind w:left="0" w:right="0" w:firstLine="46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计工作。中国注册会计师审计准则要求我们遵守职业道德守则，计划和执行审计工作以对财务报表是否不存在重大错报获取 合理保证。</w:t>
      </w:r>
    </w:p>
    <w:p>
      <w:pPr>
        <w:pStyle w:val="Style26"/>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6"/>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我们相信，我们获取的审计证据是充分、适当的，为发表审计意见提供了基础。</w:t>
      </w:r>
    </w:p>
    <w:p>
      <w:pPr>
        <w:pStyle w:val="Style58"/>
        <w:keepNext w:val="0"/>
        <w:keepLines w:val="0"/>
        <w:widowControl w:val="0"/>
        <w:shd w:val="clear" w:color="auto" w:fill="auto"/>
        <w:tabs>
          <w:tab w:pos="538" w:val="left"/>
        </w:tabs>
        <w:bidi w:val="0"/>
        <w:spacing w:before="0" w:line="240" w:lineRule="auto"/>
        <w:ind w:left="0" w:right="0" w:firstLine="0"/>
        <w:jc w:val="both"/>
        <w:sectPr>
          <w:footnotePr>
            <w:pos w:val="pageBottom"/>
            <w:numFmt w:val="decimal"/>
            <w:numRestart w:val="continuous"/>
          </w:footnotePr>
          <w:pgSz w:w="11900" w:h="16840"/>
          <w:pgMar w:top="1930" w:right="1023" w:bottom="1930" w:left="1104" w:header="0" w:footer="3" w:gutter="0"/>
          <w:cols w:space="720"/>
          <w:noEndnote/>
          <w:rtlGutter w:val="0"/>
          <w:docGrid w:linePitch="360"/>
        </w:sectPr>
      </w:pPr>
      <w:bookmarkStart w:id="624" w:name="bookmark624"/>
      <w:r>
        <w:rPr>
          <w:color w:val="000000"/>
          <w:spacing w:val="0"/>
          <w:w w:val="100"/>
          <w:position w:val="0"/>
        </w:rPr>
        <w:t>三</w:t>
      </w:r>
      <w:bookmarkEnd w:id="624"/>
      <w:r>
        <w:rPr>
          <w:color w:val="000000"/>
          <w:spacing w:val="0"/>
          <w:w w:val="100"/>
          <w:position w:val="0"/>
        </w:rPr>
        <w:t>、</w:t>
        <w:tab/>
        <w:t>审计意见</w:t>
      </w:r>
    </w:p>
    <w:p>
      <w:pPr>
        <w:pStyle w:val="Style26"/>
        <w:keepNext w:val="0"/>
        <w:keepLines w:val="0"/>
        <w:widowControl w:val="0"/>
        <w:shd w:val="clear" w:color="auto" w:fill="auto"/>
        <w:bidi w:val="0"/>
        <w:spacing w:before="0" w:after="0" w:line="302" w:lineRule="exact"/>
        <w:ind w:left="0" w:right="0" w:firstLine="460"/>
        <w:jc w:val="both"/>
      </w:pPr>
      <w:r>
        <w:rPr>
          <w:color w:val="000000"/>
          <w:spacing w:val="0"/>
          <w:w w:val="100"/>
          <w:position w:val="0"/>
        </w:rPr>
        <w:t>我们认为，深圳中青宝公司的财务报表在所有重大方面按照企业会计准则的规定编制，公允反映了深圳中青宝公司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年度合并及母公司的经营成果和现金流量。</w:t>
      </w:r>
    </w:p>
    <w:p>
      <w:pPr>
        <w:widowControl w:val="0"/>
        <w:spacing w:line="1" w:lineRule="exact"/>
        <w:sectPr>
          <w:footnotePr>
            <w:pos w:val="pageBottom"/>
            <w:numFmt w:val="decimal"/>
            <w:numRestart w:val="continuous"/>
          </w:footnotePr>
          <w:pgSz w:w="11900" w:h="16840"/>
          <w:pgMar w:top="1407" w:right="1114" w:bottom="1652" w:left="1109" w:header="0" w:footer="3" w:gutter="0"/>
          <w:cols w:space="720"/>
          <w:noEndnote/>
          <w:rtlGutter w:val="0"/>
          <w:docGrid w:linePitch="360"/>
        </w:sectPr>
      </w:pPr>
      <w:r>
        <mc:AlternateContent>
          <mc:Choice Requires="wps">
            <w:drawing>
              <wp:anchor distT="1371600" distB="0" distL="0" distR="0" simplePos="0" relativeHeight="125829380" behindDoc="0" locked="0" layoutInCell="1" allowOverlap="1">
                <wp:simplePos x="0" y="0"/>
                <wp:positionH relativeFrom="page">
                  <wp:posOffset>996950</wp:posOffset>
                </wp:positionH>
                <wp:positionV relativeFrom="paragraph">
                  <wp:posOffset>1371600</wp:posOffset>
                </wp:positionV>
                <wp:extent cx="2081530" cy="149225"/>
                <wp:wrapTopAndBottom/>
                <wp:docPr id="14" name="Shape 14"/>
                <a:graphic xmlns:a="http://schemas.openxmlformats.org/drawingml/2006/main">
                  <a:graphicData uri="http://schemas.microsoft.com/office/word/2010/wordprocessingShape">
                    <wps:wsp>
                      <wps:cNvSpPr txBox="1"/>
                      <wps:spPr>
                        <a:xfrm>
                          <a:ext cx="2081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xbxContent>
                      </wps:txbx>
                      <wps:bodyPr wrap="none" lIns="0" tIns="0" rIns="0" bIns="0">
                        <a:noAutoFit/>
                      </wps:bodyPr>
                    </wps:wsp>
                  </a:graphicData>
                </a:graphic>
              </wp:anchor>
            </w:drawing>
          </mc:Choice>
          <mc:Fallback>
            <w:pict>
              <v:shape id="_x0000_s1040" type="#_x0000_t202" style="position:absolute;margin-left:78.5pt;margin-top:108.pt;width:163.90000000000001pt;height:11.75pt;z-index:-125829373;mso-wrap-distance-left:0;mso-wrap-distance-top:108.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xbxContent>
                </v:textbox>
                <w10:wrap type="topAndBottom" anchorx="page"/>
              </v:shape>
            </w:pict>
          </mc:Fallback>
        </mc:AlternateContent>
      </w:r>
      <w:r>
        <mc:AlternateContent>
          <mc:Choice Requires="wps">
            <w:drawing>
              <wp:anchor distT="1371600" distB="3175" distL="0" distR="0" simplePos="0" relativeHeight="125829382" behindDoc="0" locked="0" layoutInCell="1" allowOverlap="1">
                <wp:simplePos x="0" y="0"/>
                <wp:positionH relativeFrom="page">
                  <wp:posOffset>3581400</wp:posOffset>
                </wp:positionH>
                <wp:positionV relativeFrom="paragraph">
                  <wp:posOffset>1371600</wp:posOffset>
                </wp:positionV>
                <wp:extent cx="1273810" cy="146050"/>
                <wp:wrapTopAndBottom/>
                <wp:docPr id="16" name="Shape 16"/>
                <a:graphic xmlns:a="http://schemas.openxmlformats.org/drawingml/2006/main">
                  <a:graphicData uri="http://schemas.microsoft.com/office/word/2010/wordprocessingShape">
                    <wps:wsp>
                      <wps:cNvSpPr txBox="1"/>
                      <wps:spPr>
                        <a:xfrm>
                          <a:ext cx="127381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中国注册会计师：郭晋龙</w:t>
                            </w:r>
                          </w:p>
                        </w:txbxContent>
                      </wps:txbx>
                      <wps:bodyPr wrap="none" lIns="0" tIns="0" rIns="0" bIns="0">
                        <a:noAutoFit/>
                      </wps:bodyPr>
                    </wps:wsp>
                  </a:graphicData>
                </a:graphic>
              </wp:anchor>
            </w:drawing>
          </mc:Choice>
          <mc:Fallback>
            <w:pict>
              <v:shape id="_x0000_s1042" type="#_x0000_t202" style="position:absolute;margin-left:282.pt;margin-top:108.pt;width:100.3pt;height:11.5pt;z-index:-125829371;mso-wrap-distance-left:0;mso-wrap-distance-top:108.pt;mso-wrap-distance-right:0;mso-wrap-distance-bottom:0.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中国注册会计师：郭晋龙</w:t>
                      </w:r>
                    </w:p>
                  </w:txbxContent>
                </v:textbox>
                <w10:wrap type="topAndBottom" anchorx="page"/>
              </v:shape>
            </w:pict>
          </mc:Fallback>
        </mc:AlternateContent>
      </w:r>
    </w:p>
    <w:p>
      <w:pPr>
        <w:widowControl w:val="0"/>
        <w:spacing w:before="50" w:after="5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07" w:right="0" w:bottom="1652" w:left="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4520" w:right="0" w:firstLine="0"/>
        <w:jc w:val="left"/>
      </w:pPr>
      <w:r>
        <w:rPr>
          <w:color w:val="000000"/>
          <w:spacing w:val="0"/>
          <w:w w:val="100"/>
          <w:position w:val="0"/>
        </w:rPr>
        <w:t>中国注册会计师：邱乐群</w:t>
      </w:r>
    </w:p>
    <w:p>
      <w:pPr>
        <w:widowControl w:val="0"/>
        <w:spacing w:line="1" w:lineRule="exact"/>
        <w:sectPr>
          <w:footnotePr>
            <w:pos w:val="pageBottom"/>
            <w:numFmt w:val="decimal"/>
            <w:numRestart w:val="continuous"/>
          </w:footnotePr>
          <w:type w:val="continuous"/>
          <w:pgSz w:w="11900" w:h="16840"/>
          <w:pgMar w:top="1407" w:right="1114" w:bottom="1652" w:left="1109" w:header="0" w:footer="3" w:gutter="0"/>
          <w:cols w:space="720"/>
          <w:noEndnote/>
          <w:rtlGutter w:val="0"/>
          <w:docGrid w:linePitch="360"/>
        </w:sectPr>
      </w:pPr>
      <w:r>
        <mc:AlternateContent>
          <mc:Choice Requires="wps">
            <w:drawing>
              <wp:anchor distT="203200" distB="0" distL="0" distR="0" simplePos="0" relativeHeight="125829384" behindDoc="0" locked="0" layoutInCell="1" allowOverlap="1">
                <wp:simplePos x="0" y="0"/>
                <wp:positionH relativeFrom="page">
                  <wp:posOffset>1758950</wp:posOffset>
                </wp:positionH>
                <wp:positionV relativeFrom="paragraph">
                  <wp:posOffset>203200</wp:posOffset>
                </wp:positionV>
                <wp:extent cx="570230" cy="149225"/>
                <wp:wrapTopAndBottom/>
                <wp:docPr id="18" name="Shape 18"/>
                <a:graphic xmlns:a="http://schemas.openxmlformats.org/drawingml/2006/main">
                  <a:graphicData uri="http://schemas.microsoft.com/office/word/2010/wordprocessingShape">
                    <wps:wsp>
                      <wps:cNvSpPr txBox="1"/>
                      <wps:spPr>
                        <a:xfrm>
                          <a:ext cx="5702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44" type="#_x0000_t202" style="position:absolute;margin-left:138.5pt;margin-top:16.pt;width:44.899999999999999pt;height:11.75pt;z-index:-125829369;mso-wrap-distance-left:0;mso-wrap-distance-top:16.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topAndBottom" anchorx="page"/>
              </v:shape>
            </w:pict>
          </mc:Fallback>
        </mc:AlternateContent>
      </w:r>
      <w:r>
        <mc:AlternateContent>
          <mc:Choice Requires="wps">
            <w:drawing>
              <wp:anchor distT="203200" distB="5715" distL="0" distR="0" simplePos="0" relativeHeight="125829386" behindDoc="0" locked="0" layoutInCell="1" allowOverlap="1">
                <wp:simplePos x="0" y="0"/>
                <wp:positionH relativeFrom="page">
                  <wp:posOffset>3572510</wp:posOffset>
                </wp:positionH>
                <wp:positionV relativeFrom="paragraph">
                  <wp:posOffset>203200</wp:posOffset>
                </wp:positionV>
                <wp:extent cx="1280160" cy="143510"/>
                <wp:wrapTopAndBottom/>
                <wp:docPr id="20" name="Shape 20"/>
                <a:graphic xmlns:a="http://schemas.openxmlformats.org/drawingml/2006/main">
                  <a:graphicData uri="http://schemas.microsoft.com/office/word/2010/wordprocessingShape">
                    <wps:wsp>
                      <wps:cNvSpPr txBox="1"/>
                      <wps:spPr>
                        <a:xfrm>
                          <a:ext cx="128016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二。一七年三月二十一日</w:t>
                            </w:r>
                          </w:p>
                        </w:txbxContent>
                      </wps:txbx>
                      <wps:bodyPr wrap="none" lIns="0" tIns="0" rIns="0" bIns="0">
                        <a:noAutoFit/>
                      </wps:bodyPr>
                    </wps:wsp>
                  </a:graphicData>
                </a:graphic>
              </wp:anchor>
            </w:drawing>
          </mc:Choice>
          <mc:Fallback>
            <w:pict>
              <v:shape id="_x0000_s1046" type="#_x0000_t202" style="position:absolute;margin-left:281.30000000000001pt;margin-top:16.pt;width:100.8pt;height:11.300000000000001pt;z-index:-125829367;mso-wrap-distance-left:0;mso-wrap-distance-top:16.pt;mso-wrap-distance-right:0;mso-wrap-distance-bottom:0.4500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二。一七年三月二十一日</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 w:after="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8" w:right="0" w:bottom="1455" w:left="0"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r>
        <w:rPr>
          <w:color w:val="000000"/>
          <w:spacing w:val="0"/>
          <w:w w:val="100"/>
          <w:position w:val="0"/>
          <w:sz w:val="24"/>
          <w:szCs w:val="24"/>
        </w:rPr>
        <w:t>二、财务报表</w:t>
      </w:r>
      <w:bookmarkEnd w:id="625"/>
      <w:bookmarkEnd w:id="626"/>
      <w:bookmarkEnd w:id="62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after="380" w:line="240" w:lineRule="auto"/>
        <w:ind w:left="0" w:right="0" w:firstLine="0"/>
        <w:jc w:val="left"/>
      </w:pPr>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28"/>
      <w:bookmarkEnd w:id="629"/>
      <w:bookmarkEnd w:id="630"/>
    </w:p>
    <w:p>
      <w:pPr>
        <w:pStyle w:val="Style26"/>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8" behindDoc="0" locked="0" layoutInCell="1" allowOverlap="1">
                <wp:simplePos x="0" y="0"/>
                <wp:positionH relativeFrom="page">
                  <wp:posOffset>6370320</wp:posOffset>
                </wp:positionH>
                <wp:positionV relativeFrom="paragraph">
                  <wp:posOffset>444500</wp:posOffset>
                </wp:positionV>
                <wp:extent cx="481330" cy="146050"/>
                <wp:wrapSquare wrapText="bothSides"/>
                <wp:docPr id="22" name="Shape 22"/>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8" type="#_x0000_t202" style="position:absolute;margin-left:501.60000000000002pt;margin-top:35.pt;width:37.899999999999999pt;height:11.5pt;z-index:-125829365;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编制单位：深圳中青宝互动网络股份有限公司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5150" w:hSpace="14" w:vSpace="629" w:wrap="notBeside" w:vAnchor="text" w:hAnchor="text" w:x="149" w:y="630"/>
              <w:widowControl w:val="0"/>
              <w:rPr>
                <w:sz w:val="10"/>
                <w:szCs w:val="10"/>
              </w:rPr>
            </w:pPr>
          </w:p>
        </w:tc>
        <w:tc>
          <w:tcPr>
            <w:tcBorders>
              <w:top w:val="single" w:sz="4"/>
              <w:left w:val="single" w:sz="4"/>
              <w:right w:val="single" w:sz="4"/>
            </w:tcBorders>
            <w:shd w:val="clear" w:color="auto" w:fill="D3D3D3"/>
            <w:vAlign w:val="top"/>
          </w:tcPr>
          <w:p>
            <w:pPr>
              <w:framePr w:w="9581" w:h="5150" w:hSpace="14" w:vSpace="629" w:wrap="notBeside" w:vAnchor="text" w:hAnchor="text" w:x="14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120,578,134.21</w:t>
            </w:r>
          </w:p>
        </w:tc>
        <w:tc>
          <w:tcPr>
            <w:tcBorders>
              <w:top w:val="single" w:sz="4"/>
              <w:left w:val="single" w:sz="4"/>
              <w:righ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291,139,329.09</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95,997,372.89</w:t>
            </w:r>
          </w:p>
        </w:tc>
        <w:tc>
          <w:tcPr>
            <w:tcBorders>
              <w:top w:val="single" w:sz="4"/>
              <w:left w:val="single" w:sz="4"/>
              <w:righ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124,449,022.41</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18,118,397.96</w:t>
            </w:r>
          </w:p>
        </w:tc>
        <w:tc>
          <w:tcPr>
            <w:tcBorders>
              <w:top w:val="single" w:sz="4"/>
              <w:left w:val="single" w:sz="4"/>
              <w:righ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34,592,726.78</w:t>
            </w:r>
          </w:p>
        </w:tc>
      </w:tr>
      <w:tr>
        <w:trPr>
          <w:trHeight w:val="398" w:hRule="exact"/>
        </w:trPr>
        <w:tc>
          <w:tcPr>
            <w:tcBorders>
              <w:top w:val="single" w:sz="4"/>
              <w:left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bottom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framePr w:w="9581" w:h="5150" w:hSpace="14" w:vSpace="629" w:wrap="notBeside" w:vAnchor="text" w:hAnchor="text" w:x="14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framePr w:w="5602" w:h="206" w:hSpace="134" w:wrap="notBeside" w:vAnchor="text" w:hAnchor="text" w:x="135"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98,417,133.87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108,627,787.10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6,688,636.77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74,168,678.74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1,504,225.17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408,142,164.10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567,001,727.32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225,702,486.70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193,202,486.70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69,200,056.22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43,816,222.33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17,130,378.95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27,061,318.59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4,718,818.59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57,975,112.72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103,472,029.37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14,048,547.16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157,880,153.60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232,026,177.29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1,128,168.79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4,408,246.18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30,743,676.53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48,755,564.39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132,198,882.26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22,065,972.71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696,677,734.36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688,856,564.72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1,104,819,898.46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1,255,858,292.04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32,324,921.64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26,601,097.42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3,282,424.60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1,518,657.19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12,567,705.06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12,677,981.39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13,532,646.01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13,298,155.86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2,093,937.02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2,945,655.90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27,080,110.52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17,946,592.77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90,881,744.85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174,988,140.53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10,739,845.78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19,241,085.33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26,997,334.01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26,997,334.01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37,737,179.79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46,238,419.34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128,618,924.64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221,226,559.87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261,038,600.00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261,038,600.00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597,036,940.46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591,495,825.56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-3,775,669.95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53,066,539.08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53,066,539.08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42,428,680.11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97,378,741.96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949,795,089.70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1,001,998,427.41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26,405,884.12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32,633,304.76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976,200,973.82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1,034,631,732.17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1,104,819,898.46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1,255,858,292.04</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0" behindDoc="0" locked="0" layoutInCell="1" allowOverlap="1">
                <wp:simplePos x="0" y="0"/>
                <wp:positionH relativeFrom="page">
                  <wp:posOffset>705485</wp:posOffset>
                </wp:positionH>
                <wp:positionV relativeFrom="margin">
                  <wp:posOffset>5114290</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50" type="#_x0000_t202" style="position:absolute;margin-left:55.550000000000004pt;margin-top:402.69999999999999pt;width:83.049999999999997pt;height:11.75pt;z-index:-125829363;mso-wrap-distance-left:9.pt;mso-wrap-distance-top:12.pt;mso-wrap-distance-right:4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52400" distB="3175" distL="2290445" distR="2516505" simplePos="0" relativeHeight="125829392" behindDoc="0" locked="0" layoutInCell="1" allowOverlap="1">
                <wp:simplePos x="0" y="0"/>
                <wp:positionH relativeFrom="page">
                  <wp:posOffset>2881630</wp:posOffset>
                </wp:positionH>
                <wp:positionV relativeFrom="margin">
                  <wp:posOffset>5114290</wp:posOffset>
                </wp:positionV>
                <wp:extent cx="1505585" cy="146050"/>
                <wp:wrapTopAndBottom/>
                <wp:docPr id="26" name="Shape 2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主管会计工作负责人：许岳明</w:t>
                            </w:r>
                          </w:p>
                        </w:txbxContent>
                      </wps:txbx>
                      <wps:bodyPr wrap="none" lIns="0" tIns="0" rIns="0" bIns="0">
                        <a:noAutoFit/>
                      </wps:bodyPr>
                    </wps:wsp>
                  </a:graphicData>
                </a:graphic>
              </wp:anchor>
            </w:drawing>
          </mc:Choice>
          <mc:Fallback>
            <w:pict>
              <v:shape id="_x0000_s1052" type="#_x0000_t202" style="position:absolute;margin-left:226.90000000000001pt;margin-top:402.69999999999999pt;width:118.55pt;height:11.5pt;z-index:-125829361;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主管会计工作负责人：许岳明</w:t>
                      </w:r>
                    </w:p>
                  </w:txbxContent>
                </v:textbox>
                <w10:wrap type="topAndBottom" anchorx="page" anchory="margin"/>
              </v:shape>
            </w:pict>
          </mc:Fallback>
        </mc:AlternateContent>
      </w:r>
      <w:r>
        <mc:AlternateContent>
          <mc:Choice Requires="wps">
            <w:drawing>
              <wp:anchor distT="152400" distB="0" distL="4911725" distR="114300" simplePos="0" relativeHeight="125829394" behindDoc="0" locked="0" layoutInCell="1" allowOverlap="1">
                <wp:simplePos x="0" y="0"/>
                <wp:positionH relativeFrom="page">
                  <wp:posOffset>5502910</wp:posOffset>
                </wp:positionH>
                <wp:positionV relativeFrom="margin">
                  <wp:posOffset>5114290</wp:posOffset>
                </wp:positionV>
                <wp:extent cx="1286510" cy="149225"/>
                <wp:wrapTopAndBottom/>
                <wp:docPr id="28" name="Shape 2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054" type="#_x0000_t202" style="position:absolute;margin-left:433.30000000000001pt;margin-top:402.69999999999999pt;width:101.3pt;height:11.75pt;z-index:-125829359;mso-wrap-distance-left:386.7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31"/>
      <w:bookmarkEnd w:id="632"/>
      <w:bookmarkEnd w:id="633"/>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57,818,719.44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200,326,259.45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64,806,837.42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50,906,907.96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3,685,992.39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6,806,964.51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193,325,380.25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187,145,016.40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758,090.63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386,966,542.36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460,943,238.95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203,472,226.70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185,972,226.70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410,718,902.88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636,457,613.90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13,738,640.29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21,015,494.83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50,630,114.95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90,399,628.50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15,739,076.25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416,666.72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666,666.68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28,407,392.37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32,311,261.68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131,510,532.75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5,852,720.00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838,894,476.66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988,414,688.54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1,225,861,019.02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1,449,357,927.49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2,780,217.03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12,868,272.94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1,540,389.31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580,278.29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4,892,081.75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6,027,861.85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11,416,380.40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8,501,791.18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51,353,460.69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47,693,599.07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22,325,247.30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9,483,381.56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94,307,776.48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185,155,184.89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8,713,333.45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14,544,349.76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26,997,334.01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26,997,334.01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35,710,667.46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41,541,683.77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130,018,443.94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226,696,868.66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261,038,600.00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261,038,600.00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571,304,048.72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571,493,605.82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53,066,539.08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53,066,539.08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210,433,387.28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337,062,313.93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1,095,842,575.08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1,222,661,058.83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1,225,861,019.02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1,449,357,927.49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3</w:t>
      </w:r>
      <w:bookmarkEnd w:id="636"/>
      <w:r>
        <w:rPr>
          <w:color w:val="000000"/>
          <w:spacing w:val="0"/>
          <w:w w:val="100"/>
          <w:position w:val="0"/>
        </w:rPr>
        <w:t>、合并利润表</w:t>
      </w:r>
      <w:bookmarkEnd w:id="634"/>
      <w:bookmarkEnd w:id="635"/>
      <w:bookmarkEnd w:id="637"/>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321,348,057.16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343,090,937.31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321,348,057.16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343,090,937.31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448,710,170.37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683,557,925.29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123,086,096.71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195,299,005.58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1,798,789.89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67,133,959.04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89,467,758.31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128,380,884.98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105,117,374.38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-5,294,810.55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9,487,346.72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134,359,946.27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282,387,650.41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-4,306,175.72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248,870,369.04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-4,361,033.63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12,608,042.35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-131,668,288.93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-91,596,618.94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86,461,478.82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179,905,816.04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56,944.95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2,270,868.11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788,221.69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533,808.27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-47,477,678.22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87,520,975.41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18,097,531.58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24,914,041.92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-65,575,209.80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62,606,933.49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-49,729,289.85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65,202,765.48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-15,845,919.95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-2,595,831.99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-2,794,390.76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-1,136,647.77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-2,794,390.76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-1,136,647.77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-2,794,390.76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-1,136,647.77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-2,794,390.76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-1,136,647.77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-68,369,600.56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61,470,285.72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-52,523,680.61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64,066,117.71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-15,845,919.95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-2,595,831.99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6" behindDoc="0" locked="0" layoutInCell="1" allowOverlap="1">
                <wp:simplePos x="0" y="0"/>
                <wp:positionH relativeFrom="page">
                  <wp:posOffset>705485</wp:posOffset>
                </wp:positionH>
                <wp:positionV relativeFrom="margin">
                  <wp:posOffset>774065</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56" type="#_x0000_t202" style="position:absolute;margin-left:55.550000000000004pt;margin-top:60.950000000000003pt;width:83.049999999999997pt;height:11.75pt;z-index:-125829357;mso-wrap-distance-left:9.pt;mso-wrap-distance-top:12.pt;mso-wrap-distance-right:4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52400" distB="3175" distL="2290445" distR="2516505" simplePos="0" relativeHeight="125829398" behindDoc="0" locked="0" layoutInCell="1" allowOverlap="1">
                <wp:simplePos x="0" y="0"/>
                <wp:positionH relativeFrom="page">
                  <wp:posOffset>2881630</wp:posOffset>
                </wp:positionH>
                <wp:positionV relativeFrom="margin">
                  <wp:posOffset>774065</wp:posOffset>
                </wp:positionV>
                <wp:extent cx="1505585" cy="146050"/>
                <wp:wrapTopAndBottom/>
                <wp:docPr id="32" name="Shape 3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主管会计工作负责人：许岳明</w:t>
                            </w:r>
                          </w:p>
                        </w:txbxContent>
                      </wps:txbx>
                      <wps:bodyPr wrap="none" lIns="0" tIns="0" rIns="0" bIns="0">
                        <a:noAutoFit/>
                      </wps:bodyPr>
                    </wps:wsp>
                  </a:graphicData>
                </a:graphic>
              </wp:anchor>
            </w:drawing>
          </mc:Choice>
          <mc:Fallback>
            <w:pict>
              <v:shape id="_x0000_s1058" type="#_x0000_t202" style="position:absolute;margin-left:226.90000000000001pt;margin-top:60.950000000000003pt;width:118.55pt;height:11.5pt;z-index:-125829355;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主管会计工作负责人：许岳明</w:t>
                      </w:r>
                    </w:p>
                  </w:txbxContent>
                </v:textbox>
                <w10:wrap type="topAndBottom" anchorx="page" anchory="margin"/>
              </v:shape>
            </w:pict>
          </mc:Fallback>
        </mc:AlternateContent>
      </w:r>
      <w:r>
        <mc:AlternateContent>
          <mc:Choice Requires="wps">
            <w:drawing>
              <wp:anchor distT="152400" distB="0" distL="4911725" distR="114300" simplePos="0" relativeHeight="125829400" behindDoc="0" locked="0" layoutInCell="1" allowOverlap="1">
                <wp:simplePos x="0" y="0"/>
                <wp:positionH relativeFrom="page">
                  <wp:posOffset>5502910</wp:posOffset>
                </wp:positionH>
                <wp:positionV relativeFrom="margin">
                  <wp:posOffset>774065</wp:posOffset>
                </wp:positionV>
                <wp:extent cx="1286510" cy="149225"/>
                <wp:wrapTopAndBottom/>
                <wp:docPr id="34" name="Shape 3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060" type="#_x0000_t202" style="position:absolute;margin-left:433.30000000000001pt;margin-top:60.950000000000003pt;width:101.3pt;height:11.75pt;z-index:-125829353;mso-wrap-distance-left:386.7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4</w:t>
      </w:r>
      <w:bookmarkEnd w:id="640"/>
      <w:r>
        <w:rPr>
          <w:color w:val="000000"/>
          <w:spacing w:val="0"/>
          <w:w w:val="100"/>
          <w:position w:val="0"/>
        </w:rPr>
        <w:t>、母公司利润表</w:t>
      </w:r>
      <w:bookmarkEnd w:id="638"/>
      <w:bookmarkEnd w:id="639"/>
      <w:bookmarkEnd w:id="641"/>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192,166,637.06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127,563,016.24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66,390,018.27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105,390,253.82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1,295,757.70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16,824,949.24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30,891,820.84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54,601,291.78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29,398,074.97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-647,219.41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17,590,997.05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254,323,830.83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60,446,224.62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229,033.15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317,416,286.68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17,630,807.86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-199,690,449.69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199,966,173.92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83,176,824.98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175,437,090.38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438,432.47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392,399.33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-116,553,083.34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374,964,831.83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4,855,071.31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25,684,107.63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-121,408,154.65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349,280,724.20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-121,408,154.65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349,280,724.20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5</w:t>
      </w:r>
      <w:bookmarkEnd w:id="644"/>
      <w:r>
        <w:rPr>
          <w:color w:val="000000"/>
          <w:spacing w:val="0"/>
          <w:w w:val="100"/>
          <w:position w:val="0"/>
        </w:rPr>
        <w:t>、合并现金流量表</w:t>
      </w:r>
      <w:bookmarkEnd w:id="642"/>
      <w:bookmarkEnd w:id="643"/>
      <w:bookmarkEnd w:id="645"/>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334,140,259.73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391,295,865.36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2,074,035.75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3,761,961.56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16,786,206.48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39,481,172.99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353,000,501.96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434,538,999.91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37,973,945.71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36,861,325.54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129,141,238.93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118,779,320.13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7,984,023.05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12,163,218.15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85,618,423.89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95,592,532.36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260,717,631.58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263,396,396.18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92,282,870.38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171,142,603.73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832,172.89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226,679.58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14,388,565.46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17,500,000.09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93,299,178.08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87,344,001.00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263,078,030.55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214,982,566.55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8,955,346.64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63,421,778.61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424,820,500.00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50,066,794.31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435,873,846.64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113,668,572.92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-172,795,816.09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101,313,993.63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10,814,744.00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4,022,300.00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393,814,744.00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567,956,000.00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6,330,783.11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19,549,039.57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106,330,783.11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587,505,039.57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-90,980,783.11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-193,690,295.57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932,533.94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1,026,806.52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-170,561,194.88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79,793,108.31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291,139,329.09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211,346,220.78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120,578,134.21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291,139,329.09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6</w:t>
      </w:r>
      <w:bookmarkEnd w:id="648"/>
      <w:r>
        <w:rPr>
          <w:color w:val="000000"/>
          <w:spacing w:val="0"/>
          <w:w w:val="100"/>
          <w:position w:val="0"/>
        </w:rPr>
        <w:t>、母公司现金流量表</w:t>
      </w:r>
      <w:bookmarkEnd w:id="646"/>
      <w:bookmarkEnd w:id="647"/>
      <w:bookmarkEnd w:id="649"/>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197,897,470.21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181,478,806.33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2,074,035.75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3,105,635.82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10,299,248.89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121,868,241.07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210,270,754.85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306,452,683.22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22,322,995.45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15,087,893.58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48,169,218.70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38,383,785.08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3,363,810.58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7,870,776.65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56,042,399.43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147,750,275.06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129,898,424.16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209,092,730.37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80,372,330.69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97,359,952.85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123,920,000.00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416,219.20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221,020.00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14,347,850.51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93,299,178.08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87,344,001.00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217,856,417.28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240,941,931.01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3,212,673.90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36,043,383.04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8,823,007.79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334,460,673.90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45,046,390.83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-116,604,256.62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195,895,540.18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6,792,444.00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389,792,444.00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567,956,000.00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6,330,783.11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19,759,039.57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106,330,783.11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587,715,039.57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-106,330,783.11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-197,922,595.57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393,355.80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-142,507,540.01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95,726,253.26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200,326,259.45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104,600,006.19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57,818,719.44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200,326,259.45</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7</w:t>
      </w:r>
      <w:bookmarkEnd w:id="652"/>
      <w:r>
        <w:rPr>
          <w:color w:val="000000"/>
          <w:spacing w:val="0"/>
          <w:w w:val="100"/>
          <w:position w:val="0"/>
        </w:rPr>
        <w:t>、合并所有者权益变动表</w:t>
      </w:r>
      <w:bookmarkEnd w:id="650"/>
      <w:bookmarkEnd w:id="651"/>
      <w:bookmarkEnd w:id="653"/>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591,495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1,034,6</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31,732.</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304.76</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591,495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1,034,6</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31,732.</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304.76</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-54,950,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-6,227,4</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-58,430,</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758.35</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-68,369,</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600.56</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7,160,4</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-189,55</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5,730,6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597,036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576,930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999,314</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048.90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,952.43</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30,274,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-44,353</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35,316,</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3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693.06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,005.35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779.74</w:t>
            </w: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61,470,</w:t>
            </w:r>
          </w:p>
        </w:tc>
      </w:tr>
      <w:tr>
        <w:trPr>
          <w:trHeight w:val="41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765.48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285.72</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2,511,5</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12,564,</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254.22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254.22</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072.42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072.42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-42,990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036.76</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8</w:t>
      </w:r>
      <w:bookmarkEnd w:id="656"/>
      <w:r>
        <w:rPr>
          <w:color w:val="000000"/>
          <w:spacing w:val="0"/>
          <w:w w:val="100"/>
          <w:position w:val="0"/>
        </w:rPr>
        <w:t>、母公司所有者权益变动表</w:t>
      </w:r>
      <w:bookmarkEnd w:id="654"/>
      <w:bookmarkEnd w:id="655"/>
      <w:bookmarkEnd w:id="657"/>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261,038,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571,493,6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53,066,53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1,222,661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261,038,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571,493,6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53,066,53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1,222,661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,058.83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261,038,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571,304,0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53,066,53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574,042,9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18,138,46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574,042,9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18,138,46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22,709,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874,891,1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1,038,60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-2,549,36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34,928,07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1,038,60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-2,549,36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1,038,60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7,503,885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8,542,485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34,928,07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34,928,07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571,493,6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53,066,53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1,222,661</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,058.83</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sz w:val="24"/>
          <w:szCs w:val="24"/>
        </w:rPr>
        <w:t>三</w:t>
      </w:r>
      <w:bookmarkEnd w:id="660"/>
      <w:r>
        <w:rPr>
          <w:color w:val="000000"/>
          <w:spacing w:val="0"/>
          <w:w w:val="100"/>
          <w:position w:val="0"/>
          <w:sz w:val="24"/>
          <w:szCs w:val="24"/>
        </w:rPr>
        <w:t>、公司基本情况</w:t>
      </w:r>
      <w:bookmarkEnd w:id="658"/>
      <w:bookmarkEnd w:id="659"/>
      <w:bookmarkEnd w:id="661"/>
    </w:p>
    <w:p>
      <w:pPr>
        <w:pStyle w:val="Style58"/>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（一）企业概况</w:t>
      </w:r>
    </w:p>
    <w:p>
      <w:pPr>
        <w:pStyle w:val="Style26"/>
        <w:keepNext w:val="0"/>
        <w:keepLines w:val="0"/>
        <w:widowControl w:val="0"/>
        <w:shd w:val="clear" w:color="auto" w:fill="auto"/>
        <w:bidi w:val="0"/>
        <w:spacing w:before="0" w:after="300" w:line="310" w:lineRule="exact"/>
        <w:ind w:left="0" w:right="0" w:firstLine="460"/>
        <w:jc w:val="left"/>
      </w:pPr>
      <w:r>
        <w:rPr>
          <w:color w:val="000000"/>
          <w:spacing w:val="0"/>
          <w:w w:val="100"/>
          <w:position w:val="0"/>
        </w:rPr>
        <w:t>深圳中青宝互动网络股份有限公司（以下简称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原名深圳市中青宝网网络科技股份有限公司，系由 深圳市宝德网络技术有限公司整体变更设立。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日，深圳市宝德网络技术有限公司股东会通过关于公司股份制改 制的决议：同意以经审计的净资产折股方式整体变更为股份有限公司。具体方案为：截至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日公司经深圳市鹏城 会计事务所有限公司审计（深鹏所审字</w:t>
      </w:r>
      <w:r>
        <w:rPr>
          <w:rFonts w:ascii="Times New Roman" w:eastAsia="Times New Roman" w:hAnsi="Times New Roman" w:cs="Times New Roman"/>
          <w:color w:val="000000"/>
          <w:spacing w:val="0"/>
          <w:w w:val="100"/>
          <w:position w:val="0"/>
          <w:sz w:val="18"/>
          <w:szCs w:val="18"/>
        </w:rPr>
        <w:t>[2008]565</w:t>
      </w:r>
      <w:r>
        <w:rPr>
          <w:color w:val="000000"/>
          <w:spacing w:val="0"/>
          <w:w w:val="100"/>
          <w:position w:val="0"/>
        </w:rPr>
        <w:t>号《审计报告》）的净资产为人民币</w:t>
      </w:r>
      <w:r>
        <w:rPr>
          <w:rFonts w:ascii="Times New Roman" w:eastAsia="Times New Roman" w:hAnsi="Times New Roman" w:cs="Times New Roman"/>
          <w:color w:val="000000"/>
          <w:spacing w:val="0"/>
          <w:w w:val="100"/>
          <w:position w:val="0"/>
          <w:sz w:val="18"/>
          <w:szCs w:val="18"/>
        </w:rPr>
        <w:t>113,045,163.7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元，将其中的人民币 </w:t>
      </w:r>
      <w:r>
        <w:rPr>
          <w:rFonts w:ascii="Times New Roman" w:eastAsia="Times New Roman" w:hAnsi="Times New Roman" w:cs="Times New Roman"/>
          <w:color w:val="000000"/>
          <w:spacing w:val="0"/>
          <w:w w:val="100"/>
          <w:position w:val="0"/>
          <w:sz w:val="18"/>
          <w:szCs w:val="18"/>
        </w:rPr>
        <w:t>75,000,000.00</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的比例折为</w:t>
      </w:r>
      <w:r>
        <w:rPr>
          <w:rFonts w:ascii="Times New Roman" w:eastAsia="Times New Roman" w:hAnsi="Times New Roman" w:cs="Times New Roman"/>
          <w:color w:val="000000"/>
          <w:spacing w:val="0"/>
          <w:w w:val="100"/>
          <w:position w:val="0"/>
          <w:sz w:val="18"/>
          <w:szCs w:val="18"/>
        </w:rPr>
        <w:t>75,000,000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元，其余人民币</w:t>
      </w:r>
      <w:r>
        <w:rPr>
          <w:rFonts w:ascii="Times New Roman" w:eastAsia="Times New Roman" w:hAnsi="Times New Roman" w:cs="Times New Roman"/>
          <w:color w:val="000000"/>
          <w:spacing w:val="0"/>
          <w:w w:val="100"/>
          <w:position w:val="0"/>
          <w:sz w:val="18"/>
          <w:szCs w:val="18"/>
        </w:rPr>
        <w:t>38,045,163.72</w:t>
      </w:r>
      <w:r>
        <w:rPr>
          <w:color w:val="000000"/>
          <w:spacing w:val="0"/>
          <w:w w:val="100"/>
          <w:position w:val="0"/>
        </w:rPr>
        <w:t>元转入资本公积，公司全 体股东以其所持公司股权所对应的经审计的净资产作为出资，认购本公司的全部股份，股权比例保持不变。</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深圳市工商行政管理局核准了股份公司设立登记，并颁发了统一社会信用代码为</w:t>
      </w:r>
      <w:r>
        <w:rPr>
          <w:rFonts w:ascii="Times New Roman" w:eastAsia="Times New Roman" w:hAnsi="Times New Roman" w:cs="Times New Roman"/>
          <w:color w:val="000000"/>
          <w:spacing w:val="0"/>
          <w:w w:val="100"/>
          <w:position w:val="0"/>
          <w:sz w:val="18"/>
          <w:szCs w:val="18"/>
        </w:rPr>
        <w:t>914403007525245953</w:t>
      </w:r>
      <w:r>
        <w:rPr>
          <w:color w:val="000000"/>
          <w:spacing w:val="0"/>
          <w:w w:val="100"/>
          <w:position w:val="0"/>
        </w:rPr>
        <w:t>的《企业法人营业执照》。</w:t>
      </w:r>
    </w:p>
    <w:p>
      <w:pPr>
        <w:pStyle w:val="Style26"/>
        <w:keepNext w:val="0"/>
        <w:keepLines w:val="0"/>
        <w:widowControl w:val="0"/>
        <w:shd w:val="clear" w:color="auto" w:fill="auto"/>
        <w:bidi w:val="0"/>
        <w:spacing w:before="0" w:after="300" w:line="310" w:lineRule="exact"/>
        <w:ind w:left="0" w:right="0" w:firstLine="46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日在深圳证券交易所创业板上市，股票代码</w:t>
      </w:r>
      <w:r>
        <w:rPr>
          <w:rFonts w:ascii="Times New Roman" w:eastAsia="Times New Roman" w:hAnsi="Times New Roman" w:cs="Times New Roman"/>
          <w:color w:val="000000"/>
          <w:spacing w:val="0"/>
          <w:w w:val="100"/>
          <w:position w:val="0"/>
          <w:sz w:val="18"/>
          <w:szCs w:val="18"/>
        </w:rPr>
        <w:t>300052</w:t>
      </w:r>
      <w:r>
        <w:rPr>
          <w:color w:val="000000"/>
          <w:spacing w:val="0"/>
          <w:w w:val="100"/>
          <w:position w:val="0"/>
        </w:rPr>
        <w:t>。</w:t>
      </w:r>
    </w:p>
    <w:p>
      <w:pPr>
        <w:pStyle w:val="Style26"/>
        <w:keepNext w:val="0"/>
        <w:keepLines w:val="0"/>
        <w:widowControl w:val="0"/>
        <w:shd w:val="clear" w:color="auto" w:fill="auto"/>
        <w:bidi w:val="0"/>
        <w:spacing w:before="0" w:after="360" w:line="310"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日，本公司累计股本总数</w:t>
      </w:r>
      <w:r>
        <w:rPr>
          <w:rFonts w:ascii="Times New Roman" w:eastAsia="Times New Roman" w:hAnsi="Times New Roman" w:cs="Times New Roman"/>
          <w:color w:val="000000"/>
          <w:spacing w:val="0"/>
          <w:w w:val="100"/>
          <w:position w:val="0"/>
          <w:sz w:val="18"/>
          <w:szCs w:val="18"/>
        </w:rPr>
        <w:t>261,038,600.00</w:t>
      </w:r>
      <w:r>
        <w:rPr>
          <w:color w:val="000000"/>
          <w:spacing w:val="0"/>
          <w:w w:val="100"/>
          <w:position w:val="0"/>
        </w:rPr>
        <w:t>股,注册资本为</w:t>
      </w:r>
      <w:r>
        <w:rPr>
          <w:rFonts w:ascii="Times New Roman" w:eastAsia="Times New Roman" w:hAnsi="Times New Roman" w:cs="Times New Roman"/>
          <w:color w:val="000000"/>
          <w:spacing w:val="0"/>
          <w:w w:val="100"/>
          <w:position w:val="0"/>
          <w:sz w:val="18"/>
          <w:szCs w:val="18"/>
        </w:rPr>
        <w:t>261,038,600.00</w:t>
      </w:r>
      <w:r>
        <w:rPr>
          <w:color w:val="000000"/>
          <w:spacing w:val="0"/>
          <w:w w:val="100"/>
          <w:position w:val="0"/>
        </w:rPr>
        <w:t>元,股本及股权结构情况如下：</w:t>
      </w:r>
    </w:p>
    <w:tbl>
      <w:tblPr>
        <w:tblOverlap w:val="never"/>
        <w:jc w:val="left"/>
        <w:tblLayout w:type="fixed"/>
      </w:tblPr>
      <w:tblGrid>
        <w:gridCol w:w="3725"/>
        <w:gridCol w:w="2246"/>
        <w:gridCol w:w="2832"/>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股份数量（股）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持股比例（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9"/>
                <w:szCs w:val="19"/>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758,118.00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758,118.00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260,280,482.00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99.71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b/>
                <w:bCs/>
                <w:color w:val="000000"/>
                <w:spacing w:val="0"/>
                <w:w w:val="100"/>
                <w:position w:val="0"/>
                <w:sz w:val="20"/>
                <w:szCs w:val="20"/>
              </w:rPr>
              <w:t>260,280,482.00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99.71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三、股份总额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b/>
                <w:bCs/>
                <w:color w:val="000000"/>
                <w:spacing w:val="0"/>
                <w:w w:val="100"/>
                <w:position w:val="0"/>
                <w:sz w:val="20"/>
                <w:szCs w:val="20"/>
              </w:rPr>
              <w:t>261,038,600.00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r>
    </w:tbl>
    <w:p>
      <w:pPr>
        <w:widowControl w:val="0"/>
        <w:spacing w:after="359" w:line="1" w:lineRule="exact"/>
      </w:pPr>
    </w:p>
    <w:p>
      <w:pPr>
        <w:pStyle w:val="Style26"/>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日，本公司前十大股东的股本及股权结构情况如下:</w:t>
      </w:r>
    </w:p>
    <w:tbl>
      <w:tblPr>
        <w:tblOverlap w:val="never"/>
        <w:jc w:val="left"/>
        <w:tblLayout w:type="fixed"/>
      </w:tblPr>
      <w:tblGrid>
        <w:gridCol w:w="802"/>
        <w:gridCol w:w="5208"/>
        <w:gridCol w:w="1762"/>
        <w:gridCol w:w="103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9"/>
                <w:szCs w:val="19"/>
              </w:rPr>
            </w:pPr>
            <w:r>
              <w:rPr>
                <w:b/>
                <w:bCs/>
                <w:color w:val="000000"/>
                <w:spacing w:val="0"/>
                <w:w w:val="100"/>
                <w:position w:val="0"/>
                <w:sz w:val="19"/>
                <w:szCs w:val="19"/>
              </w:rPr>
              <w:t>股本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9"/>
                <w:szCs w:val="19"/>
              </w:rPr>
            </w:pPr>
            <w:r>
              <w:rPr>
                <w:b/>
                <w:bCs/>
                <w:color w:val="000000"/>
                <w:spacing w:val="0"/>
                <w:w w:val="100"/>
                <w:position w:val="0"/>
                <w:sz w:val="19"/>
                <w:szCs w:val="19"/>
              </w:rPr>
              <w:t>占比</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深圳市宝德投资控股有限公司（以下简称宝德控股）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71,214,882.00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27.28%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宝德科技集团股份有限公司（以下简称宝德科技）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39,780,000.00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15.24%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乌鲁木齐南博股权投资管理合伙企业（有限合伙）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1,510,228.00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黄锐彬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1,065,301.00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0.41%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1,010,824.00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0.39%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郭振忠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毛振华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715,673.00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刘婵娟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574,689.00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高德忠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张宏胜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0.19%</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117,629,710.00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45.07%</w:t>
            </w:r>
          </w:p>
        </w:tc>
      </w:tr>
    </w:tbl>
    <w:p>
      <w:pPr>
        <w:pStyle w:val="Style26"/>
        <w:keepNext w:val="0"/>
        <w:keepLines w:val="0"/>
        <w:widowControl w:val="0"/>
        <w:shd w:val="clear" w:color="auto" w:fill="auto"/>
        <w:bidi w:val="0"/>
        <w:spacing w:before="0" w:after="320" w:line="312" w:lineRule="exact"/>
        <w:ind w:left="0" w:right="0" w:firstLine="460"/>
        <w:jc w:val="both"/>
      </w:pPr>
      <w:r>
        <w:rPr>
          <w:color w:val="000000"/>
          <w:spacing w:val="0"/>
          <w:w w:val="100"/>
          <w:position w:val="0"/>
        </w:rPr>
        <w:t>注册地址：广东省深圳市福田区深南中路电子科技大厦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r>
        <w:rPr>
          <w:color w:val="000000"/>
          <w:spacing w:val="0"/>
          <w:w w:val="100"/>
          <w:position w:val="0"/>
        </w:rPr>
        <w:t>办公地址：广东省深圳市南山区科技园南区高新 南四道</w:t>
      </w:r>
      <w:r>
        <w:rPr>
          <w:rFonts w:ascii="Times New Roman" w:eastAsia="Times New Roman" w:hAnsi="Times New Roman" w:cs="Times New Roman"/>
          <w:color w:val="000000"/>
          <w:spacing w:val="0"/>
          <w:w w:val="100"/>
          <w:position w:val="0"/>
          <w:sz w:val="18"/>
          <w:szCs w:val="18"/>
        </w:rPr>
        <w:t>W1B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楼，实际控制人为李瑞杰和张云霞夫妇。</w:t>
      </w:r>
    </w:p>
    <w:p>
      <w:pPr>
        <w:pStyle w:val="Style26"/>
        <w:keepNext w:val="0"/>
        <w:keepLines w:val="0"/>
        <w:widowControl w:val="0"/>
        <w:shd w:val="clear" w:color="auto" w:fill="auto"/>
        <w:bidi w:val="0"/>
        <w:spacing w:before="0" w:after="380" w:line="315" w:lineRule="exact"/>
        <w:ind w:left="0" w:right="0" w:firstLine="460"/>
        <w:jc w:val="both"/>
      </w:pPr>
      <w:r>
        <w:rPr>
          <w:color w:val="000000"/>
          <w:spacing w:val="0"/>
          <w:w w:val="100"/>
          <w:position w:val="0"/>
        </w:rPr>
        <w:t>本公司属网络游戏行业，根据《上市公司行业分类指引》，归类为</w:t>
      </w:r>
      <w:r>
        <w:rPr>
          <w:rFonts w:ascii="Times New Roman" w:eastAsia="Times New Roman" w:hAnsi="Times New Roman" w:cs="Times New Roman"/>
          <w:color w:val="000000"/>
          <w:spacing w:val="0"/>
          <w:w w:val="100"/>
          <w:position w:val="0"/>
          <w:sz w:val="18"/>
          <w:szCs w:val="18"/>
        </w:rPr>
        <w:t>“G87</w:t>
      </w:r>
      <w:r>
        <w:rPr>
          <w:color w:val="000000"/>
          <w:spacing w:val="0"/>
          <w:w w:val="100"/>
          <w:position w:val="0"/>
        </w:rPr>
        <w:t>计算机应用服务业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行业，主要产品或服务为网 络游戏的开发与运营。经营范围主要为：计算机软、硬件及网络系统的技术开发；电子通讯产品的技术开发、外观设计以及 相关产品的销售和咨询服务（不含专营、专控、专卖商品及限制项目）；因特网接入服务业务、信息服务业务（仅限互联网 信息服务和移动网信息服务业务）；进出口业务；互联网游戏出版物；手机游戏出版物。</w:t>
      </w:r>
    </w:p>
    <w:p>
      <w:pPr>
        <w:pStyle w:val="Style58"/>
        <w:keepNext w:val="0"/>
        <w:keepLines w:val="0"/>
        <w:widowControl w:val="0"/>
        <w:shd w:val="clear" w:color="auto" w:fill="auto"/>
        <w:bidi w:val="0"/>
        <w:spacing w:before="0" w:after="380" w:line="240" w:lineRule="auto"/>
        <w:ind w:left="0" w:right="0" w:firstLine="460"/>
        <w:jc w:val="both"/>
      </w:pPr>
      <w:r>
        <w:rPr>
          <w:color w:val="000000"/>
          <w:spacing w:val="0"/>
          <w:w w:val="100"/>
          <w:position w:val="0"/>
        </w:rPr>
        <w:t>（二）历史沿革</w:t>
      </w:r>
    </w:p>
    <w:p>
      <w:pPr>
        <w:pStyle w:val="Style26"/>
        <w:keepNext w:val="0"/>
        <w:keepLines w:val="0"/>
        <w:widowControl w:val="0"/>
        <w:shd w:val="clear" w:color="auto" w:fill="auto"/>
        <w:bidi w:val="0"/>
        <w:spacing w:before="0" w:after="380" w:line="240" w:lineRule="auto"/>
        <w:ind w:left="0" w:right="0" w:firstLine="460"/>
        <w:jc w:val="both"/>
      </w:pPr>
      <w:r>
        <w:rPr>
          <w:color w:val="000000"/>
          <w:spacing w:val="0"/>
          <w:w w:val="100"/>
          <w:position w:val="0"/>
        </w:rPr>
        <w:t>公司设立时的股权结构如下:</w:t>
      </w:r>
    </w:p>
    <w:tbl>
      <w:tblPr>
        <w:tblOverlap w:val="never"/>
        <w:jc w:val="left"/>
        <w:tblLayout w:type="fixed"/>
      </w:tblPr>
      <w:tblGrid>
        <w:gridCol w:w="974"/>
        <w:gridCol w:w="3336"/>
        <w:gridCol w:w="1982"/>
        <w:gridCol w:w="201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持股数量（万股）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b/>
                <w:bCs/>
                <w:color w:val="000000"/>
                <w:spacing w:val="0"/>
                <w:w w:val="100"/>
                <w:position w:val="0"/>
                <w:sz w:val="19"/>
                <w:szCs w:val="19"/>
              </w:rPr>
              <w:t>持股比例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34.00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深圳宝德科技股份有限公司</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1,530.00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20.40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中青联创科技（北京）有限公司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深圳市创新投资集团有限公司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8.00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深圳市网诚科技有限公司</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363.75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4.85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深圳市众志和科技有限公司</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360.75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4.81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深圳市中科招商投资管理有限公司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4.00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深圳市南博投资有限公司</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295.50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3.94</w:t>
            </w:r>
          </w:p>
        </w:tc>
      </w:tr>
      <w:tr>
        <w:trPr>
          <w:trHeight w:val="35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b/>
                <w:bCs/>
                <w:color w:val="000000"/>
                <w:spacing w:val="0"/>
                <w:w w:val="100"/>
                <w:position w:val="0"/>
                <w:sz w:val="20"/>
                <w:szCs w:val="20"/>
              </w:rPr>
              <w:t>7,500.00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r>
    </w:tbl>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现更名为宝德科技，发行后公司的股权结构下同。</w:t>
      </w:r>
    </w:p>
    <w:p>
      <w:pPr>
        <w:pStyle w:val="Style26"/>
        <w:keepNext w:val="0"/>
        <w:keepLines w:val="0"/>
        <w:widowControl w:val="0"/>
        <w:shd w:val="clear" w:color="auto" w:fill="auto"/>
        <w:bidi w:val="0"/>
        <w:spacing w:before="0" w:after="0" w:line="310" w:lineRule="exact"/>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现更名为乌鲁木齐网诚股权投资管理合伙企业（有限合伙），发行后公司的股权结构下同。</w:t>
      </w:r>
    </w:p>
    <w:p>
      <w:pPr>
        <w:pStyle w:val="Style26"/>
        <w:keepNext w:val="0"/>
        <w:keepLines w:val="0"/>
        <w:widowControl w:val="0"/>
        <w:shd w:val="clear" w:color="auto" w:fill="auto"/>
        <w:bidi w:val="0"/>
        <w:spacing w:before="0" w:after="0" w:line="310" w:lineRule="exact"/>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现更名为乌鲁木齐众志和股权投资管理合伙企业（有限合伙），发行后公司的股权结构下同。</w:t>
      </w:r>
    </w:p>
    <w:p>
      <w:pPr>
        <w:pStyle w:val="Style26"/>
        <w:keepNext w:val="0"/>
        <w:keepLines w:val="0"/>
        <w:widowControl w:val="0"/>
        <w:shd w:val="clear" w:color="auto" w:fill="auto"/>
        <w:bidi w:val="0"/>
        <w:spacing w:before="0" w:after="220" w:line="310" w:lineRule="exact"/>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现更名为乌鲁木齐南博股权投资管理合伙企业（有限合伙），发行后公司的股权结构下同。</w:t>
      </w:r>
    </w:p>
    <w:p>
      <w:pPr>
        <w:pStyle w:val="Style26"/>
        <w:keepNext w:val="0"/>
        <w:keepLines w:val="0"/>
        <w:widowControl w:val="0"/>
        <w:shd w:val="clear" w:color="auto" w:fill="auto"/>
        <w:bidi w:val="0"/>
        <w:spacing w:before="0" w:after="600" w:line="310" w:lineRule="exact"/>
        <w:ind w:left="0" w:right="0" w:firstLine="46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日中国证券监督管理委员会《关于核准深圳市中青宝网网络科技股份有限公司首次公开发行股票的批复》 （证监许可</w:t>
      </w:r>
      <w:r>
        <w:rPr>
          <w:color w:val="000000"/>
          <w:spacing w:val="0"/>
          <w:w w:val="100"/>
          <w:position w:val="0"/>
          <w:sz w:val="18"/>
          <w:szCs w:val="18"/>
        </w:rPr>
        <w:t>[2010]94</w:t>
      </w:r>
      <w:r>
        <w:rPr>
          <w:color w:val="000000"/>
          <w:spacing w:val="0"/>
          <w:w w:val="100"/>
          <w:position w:val="0"/>
        </w:rPr>
        <w:t>号）核准，由主承销商长江证券承销保荐有限公司采用网下询价配售与网上资金申购定价发行相结合的 方式发行人民币普通股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2,500</w:t>
      </w:r>
      <w:r>
        <w:rPr>
          <w:color w:val="000000"/>
          <w:spacing w:val="0"/>
          <w:w w:val="100"/>
          <w:position w:val="0"/>
        </w:rPr>
        <w:t>万股，发行价格为每股人民币</w:t>
      </w:r>
      <w:r>
        <w:rPr>
          <w:color w:val="000000"/>
          <w:spacing w:val="0"/>
          <w:w w:val="100"/>
          <w:position w:val="0"/>
          <w:sz w:val="18"/>
          <w:szCs w:val="18"/>
        </w:rPr>
        <w:t>30.0</w:t>
      </w:r>
      <w:r>
        <w:rPr>
          <w:color w:val="000000"/>
          <w:spacing w:val="0"/>
          <w:w w:val="100"/>
          <w:position w:val="0"/>
          <w:sz w:val="18"/>
          <w:szCs w:val="18"/>
        </w:rPr>
        <w:t>0</w:t>
      </w:r>
      <w:r>
        <w:rPr>
          <w:color w:val="000000"/>
          <w:spacing w:val="0"/>
          <w:w w:val="100"/>
          <w:position w:val="0"/>
        </w:rPr>
        <w:t>元。发行后公司的股权结构如下：</w:t>
      </w:r>
    </w:p>
    <w:tbl>
      <w:tblPr>
        <w:tblOverlap w:val="never"/>
        <w:jc w:val="left"/>
        <w:tblLayout w:type="fixed"/>
      </w:tblPr>
      <w:tblGrid>
        <w:gridCol w:w="998"/>
        <w:gridCol w:w="3514"/>
        <w:gridCol w:w="1982"/>
        <w:gridCol w:w="181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rPr>
              <w:t>持股数量（万股）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19"/>
                <w:szCs w:val="19"/>
              </w:rPr>
              <w:t>持股比例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一、发起人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25.50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深圳宝德科技股份有限公司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1,530.00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15.30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中青联创科技（北京）有限公司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深圳市创新投资集团有限公司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6.00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深圳市网诚科技有限公司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363.75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深圳市众志和科技有限公司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360.75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深圳市中科招商投资管理有限公司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深圳市南博投资有限公司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295.50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2.95</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7,500.00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75.00</w:t>
            </w:r>
          </w:p>
        </w:tc>
      </w:tr>
    </w:tbl>
    <w:p>
      <w:pPr>
        <w:widowControl w:val="0"/>
        <w:spacing w:line="1" w:lineRule="exact"/>
      </w:pPr>
    </w:p>
    <w:tbl>
      <w:tblPr>
        <w:tblOverlap w:val="never"/>
        <w:jc w:val="left"/>
        <w:tblLayout w:type="fixed"/>
      </w:tblPr>
      <w:tblGrid>
        <w:gridCol w:w="998"/>
        <w:gridCol w:w="3514"/>
        <w:gridCol w:w="1982"/>
        <w:gridCol w:w="1814"/>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二、社会公众股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w:t>
            </w:r>
          </w:p>
        </w:tc>
      </w:tr>
      <w:tr>
        <w:trPr>
          <w:trHeight w:val="35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r>
    </w:tbl>
    <w:p>
      <w:pPr>
        <w:widowControl w:val="0"/>
        <w:spacing w:after="279" w:line="1" w:lineRule="exact"/>
      </w:pPr>
    </w:p>
    <w:p>
      <w:pPr>
        <w:pStyle w:val="Style53"/>
        <w:keepNext w:val="0"/>
        <w:keepLines w:val="0"/>
        <w:widowControl w:val="0"/>
        <w:shd w:val="clear" w:color="auto" w:fill="auto"/>
        <w:bidi w:val="0"/>
        <w:spacing w:before="0" w:after="280" w:line="312" w:lineRule="exact"/>
        <w:ind w:left="0" w:right="0" w:firstLine="460"/>
        <w:jc w:val="both"/>
      </w:pP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29</w:t>
      </w:r>
      <w:r>
        <w:rPr>
          <w:color w:val="000000"/>
          <w:spacing w:val="0"/>
          <w:w w:val="100"/>
          <w:position w:val="0"/>
        </w:rPr>
        <w:t>日，公司第一届董事会第十七次会议审议通过了《</w:t>
      </w:r>
      <w:r>
        <w:rPr>
          <w:color w:val="000000"/>
          <w:spacing w:val="0"/>
          <w:w w:val="100"/>
          <w:position w:val="0"/>
          <w:sz w:val="20"/>
          <w:szCs w:val="20"/>
        </w:rPr>
        <w:t>2009</w:t>
      </w:r>
      <w:r>
        <w:rPr>
          <w:color w:val="000000"/>
          <w:spacing w:val="0"/>
          <w:w w:val="100"/>
          <w:position w:val="0"/>
        </w:rPr>
        <w:t>年度利润分配和资本公积转增股本预 案》以现有总股本</w:t>
      </w:r>
      <w:r>
        <w:rPr>
          <w:color w:val="000000"/>
          <w:spacing w:val="0"/>
          <w:w w:val="100"/>
          <w:position w:val="0"/>
          <w:sz w:val="20"/>
          <w:szCs w:val="20"/>
        </w:rPr>
        <w:t>100,000,000</w:t>
      </w:r>
      <w:r>
        <w:rPr>
          <w:color w:val="000000"/>
          <w:spacing w:val="0"/>
          <w:w w:val="100"/>
          <w:position w:val="0"/>
        </w:rPr>
        <w:t>股为基数，按每</w:t>
      </w:r>
      <w:r>
        <w:rPr>
          <w:color w:val="000000"/>
          <w:spacing w:val="0"/>
          <w:w w:val="100"/>
          <w:position w:val="0"/>
          <w:sz w:val="20"/>
          <w:szCs w:val="20"/>
        </w:rPr>
        <w:t>10</w:t>
      </w:r>
      <w:r>
        <w:rPr>
          <w:color w:val="000000"/>
          <w:spacing w:val="0"/>
          <w:w w:val="100"/>
          <w:position w:val="0"/>
        </w:rPr>
        <w:t>股派发现金股利人民币</w:t>
      </w:r>
      <w:r>
        <w:rPr>
          <w:color w:val="000000"/>
          <w:spacing w:val="0"/>
          <w:w w:val="100"/>
          <w:position w:val="0"/>
          <w:sz w:val="20"/>
          <w:szCs w:val="20"/>
        </w:rPr>
        <w:t>2</w:t>
      </w:r>
      <w:r>
        <w:rPr>
          <w:color w:val="000000"/>
          <w:spacing w:val="0"/>
          <w:w w:val="100"/>
          <w:position w:val="0"/>
        </w:rPr>
        <w:t xml:space="preserve">元（含税），派发现金股利共人民币 </w:t>
      </w:r>
      <w:r>
        <w:rPr>
          <w:color w:val="000000"/>
          <w:spacing w:val="0"/>
          <w:w w:val="100"/>
          <w:position w:val="0"/>
          <w:sz w:val="20"/>
          <w:szCs w:val="20"/>
        </w:rPr>
        <w:t>20,000,000</w:t>
      </w:r>
      <w:r>
        <w:rPr>
          <w:color w:val="000000"/>
          <w:spacing w:val="0"/>
          <w:w w:val="100"/>
          <w:position w:val="0"/>
        </w:rPr>
        <w:t>元，剩余未分配利润结转以后年度，同时，以总股本</w:t>
      </w:r>
      <w:r>
        <w:rPr>
          <w:color w:val="000000"/>
          <w:spacing w:val="0"/>
          <w:w w:val="100"/>
          <w:position w:val="0"/>
          <w:sz w:val="20"/>
          <w:szCs w:val="20"/>
        </w:rPr>
        <w:t>100,000,000</w:t>
      </w:r>
      <w:r>
        <w:rPr>
          <w:color w:val="000000"/>
          <w:spacing w:val="0"/>
          <w:w w:val="100"/>
          <w:position w:val="0"/>
        </w:rPr>
        <w:t>股为基数，由资本公积向全体股东 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3</w:t>
      </w:r>
      <w:r>
        <w:rPr>
          <w:color w:val="000000"/>
          <w:spacing w:val="0"/>
          <w:w w:val="100"/>
          <w:position w:val="0"/>
        </w:rPr>
        <w:t>股，合计转增股本</w:t>
      </w:r>
      <w:r>
        <w:rPr>
          <w:color w:val="000000"/>
          <w:spacing w:val="0"/>
          <w:w w:val="100"/>
          <w:position w:val="0"/>
          <w:sz w:val="20"/>
          <w:szCs w:val="20"/>
        </w:rPr>
        <w:t>30,000,000</w:t>
      </w:r>
      <w:r>
        <w:rPr>
          <w:color w:val="000000"/>
          <w:spacing w:val="0"/>
          <w:w w:val="100"/>
          <w:position w:val="0"/>
        </w:rPr>
        <w:t>股。以上方案已经</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20</w:t>
      </w:r>
      <w:r>
        <w:rPr>
          <w:color w:val="000000"/>
          <w:spacing w:val="0"/>
          <w:w w:val="100"/>
          <w:position w:val="0"/>
        </w:rPr>
        <w:t>日召开的公司</w:t>
      </w:r>
      <w:r>
        <w:rPr>
          <w:color w:val="000000"/>
          <w:spacing w:val="0"/>
          <w:w w:val="100"/>
          <w:position w:val="0"/>
          <w:sz w:val="20"/>
          <w:szCs w:val="20"/>
        </w:rPr>
        <w:t>2009</w:t>
      </w:r>
      <w:r>
        <w:rPr>
          <w:color w:val="000000"/>
          <w:spacing w:val="0"/>
          <w:w w:val="100"/>
          <w:position w:val="0"/>
        </w:rPr>
        <w:t>年年度股东大会审 议通过，转增后总股本为</w:t>
      </w:r>
      <w:r>
        <w:rPr>
          <w:color w:val="000000"/>
          <w:spacing w:val="0"/>
          <w:w w:val="100"/>
          <w:position w:val="0"/>
          <w:sz w:val="20"/>
          <w:szCs w:val="20"/>
        </w:rPr>
        <w:t>130,000,000</w:t>
      </w:r>
      <w:r>
        <w:rPr>
          <w:color w:val="000000"/>
          <w:spacing w:val="0"/>
          <w:w w:val="100"/>
          <w:position w:val="0"/>
        </w:rPr>
        <w:t>股。</w:t>
      </w:r>
    </w:p>
    <w:p>
      <w:pPr>
        <w:pStyle w:val="Style53"/>
        <w:keepNext w:val="0"/>
        <w:keepLines w:val="0"/>
        <w:widowControl w:val="0"/>
        <w:shd w:val="clear" w:color="auto" w:fill="auto"/>
        <w:bidi w:val="0"/>
        <w:spacing w:before="0" w:after="280" w:line="312" w:lineRule="exact"/>
        <w:ind w:left="0" w:right="0" w:firstLine="460"/>
        <w:jc w:val="both"/>
      </w:pP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日，经深圳市市场监督管理局核准，公司名称变更为深圳中青宝互动网络股份有限公司。</w:t>
      </w:r>
    </w:p>
    <w:p>
      <w:pPr>
        <w:pStyle w:val="Style53"/>
        <w:keepNext w:val="0"/>
        <w:keepLines w:val="0"/>
        <w:widowControl w:val="0"/>
        <w:shd w:val="clear" w:color="auto" w:fill="auto"/>
        <w:bidi w:val="0"/>
        <w:spacing w:before="0" w:after="280"/>
        <w:ind w:left="0" w:right="0" w:firstLine="460"/>
        <w:jc w:val="both"/>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29</w:t>
      </w:r>
      <w:r>
        <w:rPr>
          <w:color w:val="000000"/>
          <w:spacing w:val="0"/>
          <w:w w:val="100"/>
          <w:position w:val="0"/>
        </w:rPr>
        <w:t>日，公司</w:t>
      </w:r>
      <w:r>
        <w:rPr>
          <w:color w:val="000000"/>
          <w:spacing w:val="0"/>
          <w:w w:val="100"/>
          <w:position w:val="0"/>
          <w:sz w:val="20"/>
          <w:szCs w:val="20"/>
        </w:rPr>
        <w:t>2013</w:t>
      </w:r>
      <w:r>
        <w:rPr>
          <w:color w:val="000000"/>
          <w:spacing w:val="0"/>
          <w:w w:val="100"/>
          <w:position w:val="0"/>
        </w:rPr>
        <w:t>年第二次临时股东大会审议通过了《</w:t>
      </w:r>
      <w:r>
        <w:rPr>
          <w:color w:val="000000"/>
          <w:spacing w:val="0"/>
          <w:w w:val="100"/>
          <w:position w:val="0"/>
          <w:sz w:val="20"/>
          <w:szCs w:val="20"/>
        </w:rPr>
        <w:t>2013</w:t>
      </w:r>
      <w:r>
        <w:rPr>
          <w:color w:val="000000"/>
          <w:spacing w:val="0"/>
          <w:w w:val="100"/>
          <w:position w:val="0"/>
        </w:rPr>
        <w:t>年半年度权益分派方案》</w:t>
      </w:r>
      <w:r>
        <w:rPr>
          <w:color w:val="000000"/>
          <w:spacing w:val="0"/>
          <w:w w:val="100"/>
          <w:position w:val="0"/>
          <w:sz w:val="20"/>
          <w:szCs w:val="20"/>
        </w:rPr>
        <w:t>，</w:t>
      </w:r>
      <w:r>
        <w:rPr>
          <w:color w:val="000000"/>
          <w:spacing w:val="0"/>
          <w:w w:val="100"/>
          <w:position w:val="0"/>
        </w:rPr>
        <w:t>以现有总 股本</w:t>
      </w:r>
      <w:r>
        <w:rPr>
          <w:color w:val="000000"/>
          <w:spacing w:val="0"/>
          <w:w w:val="100"/>
          <w:position w:val="0"/>
          <w:sz w:val="20"/>
          <w:szCs w:val="20"/>
        </w:rPr>
        <w:t>130,000,000</w:t>
      </w:r>
      <w:r>
        <w:rPr>
          <w:color w:val="000000"/>
          <w:spacing w:val="0"/>
          <w:w w:val="100"/>
          <w:position w:val="0"/>
        </w:rPr>
        <w:t>股为基数，以资本公积向全体股东每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10</w:t>
      </w:r>
      <w:r>
        <w:rPr>
          <w:color w:val="000000"/>
          <w:spacing w:val="0"/>
          <w:w w:val="100"/>
          <w:position w:val="0"/>
        </w:rPr>
        <w:t>股，合计转增股本</w:t>
      </w:r>
      <w:r>
        <w:rPr>
          <w:color w:val="000000"/>
          <w:spacing w:val="0"/>
          <w:w w:val="100"/>
          <w:position w:val="0"/>
          <w:sz w:val="20"/>
          <w:szCs w:val="20"/>
        </w:rPr>
        <w:t>130,000,000</w:t>
      </w:r>
      <w:r>
        <w:rPr>
          <w:color w:val="000000"/>
          <w:spacing w:val="0"/>
          <w:w w:val="100"/>
          <w:position w:val="0"/>
        </w:rPr>
        <w:t>股，转增后总 股本为</w:t>
      </w:r>
      <w:r>
        <w:rPr>
          <w:color w:val="000000"/>
          <w:spacing w:val="0"/>
          <w:w w:val="100"/>
          <w:position w:val="0"/>
          <w:sz w:val="20"/>
          <w:szCs w:val="20"/>
        </w:rPr>
        <w:t>260,000,000</w:t>
      </w:r>
      <w:r>
        <w:rPr>
          <w:color w:val="000000"/>
          <w:spacing w:val="0"/>
          <w:w w:val="100"/>
          <w:position w:val="0"/>
        </w:rPr>
        <w:t>股。</w:t>
      </w:r>
    </w:p>
    <w:p>
      <w:pPr>
        <w:pStyle w:val="Style53"/>
        <w:keepNext w:val="0"/>
        <w:keepLines w:val="0"/>
        <w:widowControl w:val="0"/>
        <w:shd w:val="clear" w:color="auto" w:fill="auto"/>
        <w:bidi w:val="0"/>
        <w:spacing w:before="0" w:after="280" w:line="312" w:lineRule="exact"/>
        <w:ind w:left="0" w:right="0" w:firstLine="46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16</w:t>
      </w:r>
      <w:r>
        <w:rPr>
          <w:color w:val="000000"/>
          <w:spacing w:val="0"/>
          <w:w w:val="100"/>
          <w:position w:val="0"/>
        </w:rPr>
        <w:t>日公司召开的第三届董事会第十八次（临时）会议审议通过了《关于股票期权激励计划中首 次授予的期权第二个行权期可行权的议案》，公司股票期权激励计划中首次授权股票期权的</w:t>
      </w:r>
      <w:r>
        <w:rPr>
          <w:color w:val="000000"/>
          <w:spacing w:val="0"/>
          <w:w w:val="100"/>
          <w:position w:val="0"/>
          <w:sz w:val="20"/>
          <w:szCs w:val="20"/>
        </w:rPr>
        <w:t>59</w:t>
      </w:r>
      <w:r>
        <w:rPr>
          <w:color w:val="000000"/>
          <w:spacing w:val="0"/>
          <w:w w:val="100"/>
          <w:position w:val="0"/>
        </w:rPr>
        <w:t>名激励对象在第 二个行权期行权的股票期权共计</w:t>
      </w:r>
      <w:r>
        <w:rPr>
          <w:color w:val="000000"/>
          <w:spacing w:val="0"/>
          <w:w w:val="100"/>
          <w:position w:val="0"/>
          <w:sz w:val="20"/>
          <w:szCs w:val="20"/>
        </w:rPr>
        <w:t>103.86</w:t>
      </w:r>
      <w:r>
        <w:rPr>
          <w:color w:val="000000"/>
          <w:spacing w:val="0"/>
          <w:w w:val="100"/>
          <w:position w:val="0"/>
        </w:rPr>
        <w:t>万份，行权价格为</w:t>
      </w:r>
      <w:r>
        <w:rPr>
          <w:color w:val="000000"/>
          <w:spacing w:val="0"/>
          <w:w w:val="100"/>
          <w:position w:val="0"/>
          <w:sz w:val="20"/>
          <w:szCs w:val="20"/>
        </w:rPr>
        <w:t>6.54</w:t>
      </w:r>
      <w:r>
        <w:rPr>
          <w:color w:val="000000"/>
          <w:spacing w:val="0"/>
          <w:w w:val="100"/>
          <w:position w:val="0"/>
        </w:rPr>
        <w:t>元</w:t>
      </w:r>
      <w:r>
        <w:rPr>
          <w:color w:val="000000"/>
          <w:spacing w:val="0"/>
          <w:w w:val="100"/>
          <w:position w:val="0"/>
          <w:sz w:val="20"/>
          <w:szCs w:val="20"/>
        </w:rPr>
        <w:t>/</w:t>
      </w:r>
      <w:r>
        <w:rPr>
          <w:color w:val="000000"/>
          <w:spacing w:val="0"/>
          <w:w w:val="100"/>
          <w:position w:val="0"/>
        </w:rPr>
        <w:t>股，其中</w:t>
      </w:r>
      <w:r>
        <w:rPr>
          <w:color w:val="000000"/>
          <w:spacing w:val="0"/>
          <w:w w:val="100"/>
          <w:position w:val="0"/>
          <w:sz w:val="20"/>
          <w:szCs w:val="20"/>
        </w:rPr>
        <w:t>1,038,600.00</w:t>
      </w:r>
      <w:r>
        <w:rPr>
          <w:color w:val="000000"/>
          <w:spacing w:val="0"/>
          <w:w w:val="100"/>
          <w:position w:val="0"/>
        </w:rPr>
        <w:t xml:space="preserve">元增加股本，其余 </w:t>
      </w:r>
      <w:r>
        <w:rPr>
          <w:color w:val="000000"/>
          <w:spacing w:val="0"/>
          <w:w w:val="100"/>
          <w:position w:val="0"/>
          <w:sz w:val="20"/>
          <w:szCs w:val="20"/>
        </w:rPr>
        <w:t xml:space="preserve">5,753, </w:t>
      </w:r>
      <w:r>
        <w:rPr>
          <w:color w:val="000000"/>
          <w:spacing w:val="0"/>
          <w:w w:val="100"/>
          <w:position w:val="0"/>
          <w:sz w:val="20"/>
          <w:szCs w:val="20"/>
        </w:rPr>
        <w:t>844.00</w:t>
      </w:r>
      <w:r>
        <w:rPr>
          <w:color w:val="000000"/>
          <w:spacing w:val="0"/>
          <w:w w:val="100"/>
          <w:position w:val="0"/>
        </w:rPr>
        <w:t>元计入资本公积。</w:t>
      </w:r>
    </w:p>
    <w:p>
      <w:pPr>
        <w:pStyle w:val="Style53"/>
        <w:keepNext w:val="0"/>
        <w:keepLines w:val="0"/>
        <w:widowControl w:val="0"/>
        <w:shd w:val="clear" w:color="auto" w:fill="auto"/>
        <w:bidi w:val="0"/>
        <w:spacing w:before="0" w:after="360" w:line="315" w:lineRule="exact"/>
        <w:ind w:left="0" w:right="0" w:firstLine="460"/>
        <w:jc w:val="both"/>
      </w:pPr>
      <w:r>
        <w:rPr>
          <w:color w:val="000000"/>
          <w:spacing w:val="0"/>
          <w:w w:val="100"/>
          <w:position w:val="0"/>
        </w:rPr>
        <w:t>本公司合并财务报表范围包括深圳卓页、深圳时代首游、</w:t>
      </w:r>
      <w:r>
        <w:rPr>
          <w:color w:val="000000"/>
          <w:spacing w:val="0"/>
          <w:w w:val="100"/>
          <w:position w:val="0"/>
          <w:sz w:val="20"/>
          <w:szCs w:val="20"/>
        </w:rPr>
        <w:t>CUPLAY</w:t>
      </w:r>
      <w:r>
        <w:rPr>
          <w:color w:val="000000"/>
          <w:spacing w:val="0"/>
          <w:w w:val="100"/>
          <w:position w:val="0"/>
        </w:rPr>
        <w:t>、深圳苏摩、上海美峰等</w:t>
      </w:r>
      <w:r>
        <w:rPr>
          <w:color w:val="000000"/>
          <w:spacing w:val="0"/>
          <w:w w:val="100"/>
          <w:position w:val="0"/>
          <w:sz w:val="20"/>
          <w:szCs w:val="20"/>
        </w:rPr>
        <w:t>30</w:t>
      </w:r>
      <w:r>
        <w:rPr>
          <w:color w:val="000000"/>
          <w:spacing w:val="0"/>
          <w:w w:val="100"/>
          <w:position w:val="0"/>
        </w:rPr>
        <w:t>家子公司（子 公司全称见附注九、在其他主体中的权益</w:t>
      </w:r>
      <w:r>
        <w:rPr>
          <w:color w:val="000000"/>
          <w:spacing w:val="0"/>
          <w:w w:val="100"/>
          <w:position w:val="0"/>
          <w:sz w:val="20"/>
          <w:szCs w:val="20"/>
        </w:rPr>
        <w:t>1</w:t>
      </w:r>
      <w:r>
        <w:rPr>
          <w:color w:val="000000"/>
          <w:spacing w:val="0"/>
          <w:w w:val="100"/>
          <w:position w:val="0"/>
        </w:rPr>
        <w:t>、在子公司中的权益</w:t>
      </w:r>
      <w:r>
        <w:rPr>
          <w:color w:val="000000"/>
          <w:spacing w:val="0"/>
          <w:w w:val="100"/>
          <w:position w:val="0"/>
          <w:sz w:val="20"/>
          <w:szCs w:val="20"/>
        </w:rPr>
        <w:t>（1）</w:t>
      </w:r>
      <w:r>
        <w:rPr>
          <w:color w:val="000000"/>
          <w:spacing w:val="0"/>
          <w:w w:val="100"/>
          <w:position w:val="0"/>
        </w:rPr>
        <w:t>、企业集团的构成）。与上年相比，因新 设增加中青宝文化科技、前海今古、天地间文化传媒和北京中青宝长城</w:t>
      </w:r>
      <w:r>
        <w:rPr>
          <w:color w:val="000000"/>
          <w:spacing w:val="0"/>
          <w:w w:val="100"/>
          <w:position w:val="0"/>
          <w:sz w:val="20"/>
          <w:szCs w:val="20"/>
        </w:rPr>
        <w:t>4</w:t>
      </w:r>
      <w:r>
        <w:rPr>
          <w:color w:val="000000"/>
          <w:spacing w:val="0"/>
          <w:w w:val="100"/>
          <w:position w:val="0"/>
        </w:rPr>
        <w:t>家子公司，因注销减少北京乐乐堂</w:t>
      </w:r>
      <w:r>
        <w:rPr>
          <w:color w:val="000000"/>
          <w:spacing w:val="0"/>
          <w:w w:val="100"/>
          <w:position w:val="0"/>
          <w:sz w:val="20"/>
          <w:szCs w:val="20"/>
        </w:rPr>
        <w:t>1</w:t>
      </w:r>
      <w:r>
        <w:rPr>
          <w:color w:val="000000"/>
          <w:spacing w:val="0"/>
          <w:w w:val="100"/>
          <w:position w:val="0"/>
        </w:rPr>
        <w:t>家 子公司（合并范围的变更见附注八、合并范围的变更</w:t>
      </w:r>
      <w:r>
        <w:rPr>
          <w:color w:val="000000"/>
          <w:spacing w:val="0"/>
          <w:w w:val="100"/>
          <w:position w:val="0"/>
          <w:sz w:val="20"/>
          <w:szCs w:val="20"/>
        </w:rPr>
        <w:t>1</w:t>
      </w:r>
      <w:r>
        <w:rPr>
          <w:color w:val="000000"/>
          <w:spacing w:val="0"/>
          <w:w w:val="100"/>
          <w:position w:val="0"/>
        </w:rPr>
        <w:t>、其他原因的合并范围变动）。</w:t>
      </w:r>
    </w:p>
    <w:p>
      <w:pPr>
        <w:pStyle w:val="Style24"/>
        <w:keepNext/>
        <w:keepLines/>
        <w:widowControl w:val="0"/>
        <w:shd w:val="clear" w:color="auto" w:fill="auto"/>
        <w:tabs>
          <w:tab w:pos="488" w:val="left"/>
        </w:tabs>
        <w:bidi w:val="0"/>
        <w:spacing w:before="0" w:after="280" w:line="240" w:lineRule="auto"/>
        <w:ind w:left="0" w:right="0" w:firstLine="0"/>
        <w:jc w:val="both"/>
      </w:pPr>
      <w:bookmarkStart w:id="662" w:name="bookmark662"/>
      <w:bookmarkStart w:id="663" w:name="bookmark663"/>
      <w:bookmarkStart w:id="664" w:name="bookmark664"/>
      <w:bookmarkStart w:id="665" w:name="bookmark665"/>
      <w:r>
        <w:rPr>
          <w:color w:val="000000"/>
          <w:spacing w:val="0"/>
          <w:w w:val="100"/>
          <w:position w:val="0"/>
          <w:sz w:val="24"/>
          <w:szCs w:val="24"/>
        </w:rPr>
        <w:t>四</w:t>
      </w:r>
      <w:bookmarkEnd w:id="664"/>
      <w:r>
        <w:rPr>
          <w:color w:val="000000"/>
          <w:spacing w:val="0"/>
          <w:w w:val="100"/>
          <w:position w:val="0"/>
          <w:sz w:val="24"/>
          <w:szCs w:val="24"/>
        </w:rPr>
        <w:t>、</w:t>
        <w:tab/>
        <w:t>财务报表的编制基础</w:t>
      </w:r>
      <w:bookmarkEnd w:id="662"/>
      <w:bookmarkEnd w:id="663"/>
      <w:bookmarkEnd w:id="665"/>
    </w:p>
    <w:p>
      <w:pPr>
        <w:pStyle w:val="Style32"/>
        <w:keepNext/>
        <w:keepLines/>
        <w:widowControl w:val="0"/>
        <w:shd w:val="clear" w:color="auto" w:fill="auto"/>
        <w:tabs>
          <w:tab w:pos="394" w:val="left"/>
        </w:tabs>
        <w:bidi w:val="0"/>
        <w:spacing w:before="0" w:after="280" w:line="312" w:lineRule="exact"/>
        <w:ind w:left="0" w:right="0" w:firstLine="0"/>
        <w:jc w:val="both"/>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w:t>
        <w:tab/>
        <w:t>编制基础</w:t>
      </w:r>
      <w:bookmarkEnd w:id="666"/>
      <w:bookmarkEnd w:id="667"/>
      <w:bookmarkEnd w:id="669"/>
    </w:p>
    <w:p>
      <w:pPr>
        <w:pStyle w:val="Style53"/>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本公司财务报表以持续经营为基础，根据实际发生的交易和事项，按照财政部颁布的《企业会计准则》及 相关规定，并基于本附注“五、重要会计政策及会计估计”所述会计政策和会计估计编制。</w:t>
      </w:r>
    </w:p>
    <w:p>
      <w:pPr>
        <w:pStyle w:val="Style32"/>
        <w:keepNext/>
        <w:keepLines/>
        <w:widowControl w:val="0"/>
        <w:shd w:val="clear" w:color="auto" w:fill="auto"/>
        <w:tabs>
          <w:tab w:pos="394" w:val="left"/>
        </w:tabs>
        <w:bidi w:val="0"/>
        <w:spacing w:before="0" w:after="280" w:line="312" w:lineRule="exact"/>
        <w:ind w:left="0" w:right="0" w:firstLine="0"/>
        <w:jc w:val="both"/>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color w:val="000000"/>
          <w:spacing w:val="0"/>
          <w:w w:val="100"/>
          <w:position w:val="0"/>
        </w:rPr>
        <w:t>、</w:t>
        <w:tab/>
        <w:t>持续经营</w:t>
      </w:r>
      <w:bookmarkEnd w:id="670"/>
      <w:bookmarkEnd w:id="671"/>
      <w:bookmarkEnd w:id="673"/>
    </w:p>
    <w:p>
      <w:pPr>
        <w:pStyle w:val="Style53"/>
        <w:keepNext w:val="0"/>
        <w:keepLines w:val="0"/>
        <w:widowControl w:val="0"/>
        <w:shd w:val="clear" w:color="auto" w:fill="auto"/>
        <w:bidi w:val="0"/>
        <w:spacing w:before="0" w:after="360" w:line="312" w:lineRule="exact"/>
        <w:ind w:left="0" w:right="0"/>
        <w:jc w:val="both"/>
      </w:pPr>
      <w:r>
        <w:rPr>
          <w:color w:val="000000"/>
          <w:spacing w:val="0"/>
          <w:w w:val="100"/>
          <w:position w:val="0"/>
        </w:rPr>
        <w:t>本公司有近期获利经营的历史且有财务资源支持，认为以持续经营为基础编制财务报表是合理的。</w:t>
      </w:r>
    </w:p>
    <w:p>
      <w:pPr>
        <w:pStyle w:val="Style24"/>
        <w:keepNext/>
        <w:keepLines/>
        <w:widowControl w:val="0"/>
        <w:shd w:val="clear" w:color="auto" w:fill="auto"/>
        <w:tabs>
          <w:tab w:pos="508" w:val="left"/>
        </w:tabs>
        <w:bidi w:val="0"/>
        <w:spacing w:before="0" w:line="240" w:lineRule="auto"/>
        <w:ind w:left="0" w:right="0" w:firstLine="0"/>
        <w:jc w:val="both"/>
      </w:pPr>
      <w:bookmarkStart w:id="674" w:name="bookmark674"/>
      <w:bookmarkStart w:id="675" w:name="bookmark675"/>
      <w:bookmarkStart w:id="676" w:name="bookmark676"/>
      <w:bookmarkStart w:id="677" w:name="bookmark677"/>
      <w:r>
        <w:rPr>
          <w:color w:val="000000"/>
          <w:spacing w:val="0"/>
          <w:w w:val="100"/>
          <w:position w:val="0"/>
          <w:sz w:val="24"/>
          <w:szCs w:val="24"/>
        </w:rPr>
        <w:t>五</w:t>
      </w:r>
      <w:bookmarkEnd w:id="676"/>
      <w:r>
        <w:rPr>
          <w:color w:val="000000"/>
          <w:spacing w:val="0"/>
          <w:w w:val="100"/>
          <w:position w:val="0"/>
          <w:sz w:val="24"/>
          <w:szCs w:val="24"/>
        </w:rPr>
        <w:t>、</w:t>
        <w:tab/>
        <w:t>重要会计政策及会计估计</w:t>
      </w:r>
      <w:bookmarkEnd w:id="674"/>
      <w:bookmarkEnd w:id="675"/>
      <w:bookmarkEnd w:id="677"/>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w:t>
      </w:r>
    </w:p>
    <w:p>
      <w:pPr>
        <w:pStyle w:val="Style26"/>
        <w:keepNext w:val="0"/>
        <w:keepLines w:val="0"/>
        <w:widowControl w:val="0"/>
        <w:shd w:val="clear" w:color="auto" w:fill="auto"/>
        <w:bidi w:val="0"/>
        <w:spacing w:before="0" w:after="280" w:line="240" w:lineRule="auto"/>
        <w:ind w:left="0" w:right="0" w:firstLine="0"/>
        <w:jc w:val="both"/>
      </w:pPr>
      <w:r>
        <w:rPr>
          <w:color w:val="000000"/>
          <w:spacing w:val="0"/>
          <w:w w:val="100"/>
          <w:position w:val="0"/>
        </w:rPr>
        <w:t>互联网游戏业</w:t>
      </w:r>
    </w:p>
    <w:p>
      <w:pPr>
        <w:pStyle w:val="Style32"/>
        <w:keepNext/>
        <w:keepLines/>
        <w:widowControl w:val="0"/>
        <w:shd w:val="clear" w:color="auto" w:fill="auto"/>
        <w:bidi w:val="0"/>
        <w:spacing w:before="0" w:after="260" w:line="312" w:lineRule="exact"/>
        <w:ind w:left="0" w:right="0" w:firstLine="0"/>
        <w:jc w:val="left"/>
      </w:pPr>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78"/>
      <w:bookmarkEnd w:id="679"/>
      <w:bookmarkEnd w:id="680"/>
    </w:p>
    <w:p>
      <w:pPr>
        <w:pStyle w:val="Style53"/>
        <w:keepNext w:val="0"/>
        <w:keepLines w:val="0"/>
        <w:widowControl w:val="0"/>
        <w:shd w:val="clear" w:color="auto" w:fill="auto"/>
        <w:bidi w:val="0"/>
        <w:spacing w:before="0" w:after="680" w:line="312" w:lineRule="exact"/>
        <w:ind w:left="0" w:right="0" w:firstLine="460"/>
        <w:jc w:val="both"/>
      </w:pPr>
      <w:r>
        <w:rPr>
          <w:color w:val="000000"/>
          <w:spacing w:val="0"/>
          <w:w w:val="100"/>
          <w:position w:val="0"/>
        </w:rPr>
        <w:t>本公司编制的财务报表符合企业会计准则的要求，真实、完整地反映了本公司的财务状况、经营成果和现 金流量等有关信息。</w:t>
      </w:r>
    </w:p>
    <w:p>
      <w:pPr>
        <w:pStyle w:val="Style32"/>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r>
        <w:rPr>
          <w:color w:val="000000"/>
          <w:spacing w:val="0"/>
          <w:w w:val="100"/>
          <w:position w:val="0"/>
        </w:rPr>
        <w:t>、会计期间</w:t>
      </w:r>
      <w:bookmarkEnd w:id="681"/>
      <w:bookmarkEnd w:id="682"/>
      <w:bookmarkEnd w:id="683"/>
    </w:p>
    <w:p>
      <w:pPr>
        <w:pStyle w:val="Style53"/>
        <w:keepNext w:val="0"/>
        <w:keepLines w:val="0"/>
        <w:widowControl w:val="0"/>
        <w:shd w:val="clear" w:color="auto" w:fill="auto"/>
        <w:bidi w:val="0"/>
        <w:spacing w:before="0" w:after="600" w:line="240" w:lineRule="auto"/>
        <w:ind w:left="0" w:right="0"/>
        <w:jc w:val="both"/>
      </w:pPr>
      <w:r>
        <w:rPr>
          <w:color w:val="000000"/>
          <w:spacing w:val="0"/>
          <w:w w:val="100"/>
          <w:position w:val="0"/>
        </w:rPr>
        <w:t>本公司的会计期间为公历</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p>
      <w:pPr>
        <w:pStyle w:val="Style32"/>
        <w:keepNext/>
        <w:keepLines/>
        <w:widowControl w:val="0"/>
        <w:shd w:val="clear" w:color="auto" w:fill="auto"/>
        <w:bidi w:val="0"/>
        <w:spacing w:before="0" w:after="260" w:line="312" w:lineRule="exact"/>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3</w:t>
      </w:r>
      <w:bookmarkEnd w:id="686"/>
      <w:r>
        <w:rPr>
          <w:color w:val="000000"/>
          <w:spacing w:val="0"/>
          <w:w w:val="100"/>
          <w:position w:val="0"/>
        </w:rPr>
        <w:t>、记账本位币</w:t>
      </w:r>
      <w:bookmarkEnd w:id="684"/>
      <w:bookmarkEnd w:id="685"/>
      <w:bookmarkEnd w:id="687"/>
    </w:p>
    <w:p>
      <w:pPr>
        <w:pStyle w:val="Style53"/>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本公司以人民币为记账本位币。</w:t>
      </w:r>
    </w:p>
    <w:p>
      <w:pPr>
        <w:pStyle w:val="Style53"/>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本公司全资孙公司美国中青宝采用美元为记账本位币，全资孙公司韩国中青宝采用韩元为记账本位币，本 公司编制财务报表时已经折算为人民币。</w:t>
      </w:r>
    </w:p>
    <w:p>
      <w:pPr>
        <w:pStyle w:val="Style32"/>
        <w:keepNext/>
        <w:keepLines/>
        <w:widowControl w:val="0"/>
        <w:shd w:val="clear" w:color="auto" w:fill="auto"/>
        <w:bidi w:val="0"/>
        <w:spacing w:before="0" w:after="260" w:line="312" w:lineRule="exact"/>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4</w:t>
      </w:r>
      <w:bookmarkEnd w:id="690"/>
      <w:r>
        <w:rPr>
          <w:color w:val="000000"/>
          <w:spacing w:val="0"/>
          <w:w w:val="100"/>
          <w:position w:val="0"/>
        </w:rPr>
        <w:t>、同一控制下和非同一控制下企业合并的会计处理方法</w:t>
      </w:r>
      <w:bookmarkEnd w:id="688"/>
      <w:bookmarkEnd w:id="689"/>
      <w:bookmarkEnd w:id="691"/>
    </w:p>
    <w:p>
      <w:pPr>
        <w:pStyle w:val="Style53"/>
        <w:keepNext w:val="0"/>
        <w:keepLines w:val="0"/>
        <w:widowControl w:val="0"/>
        <w:shd w:val="clear" w:color="auto" w:fill="auto"/>
        <w:bidi w:val="0"/>
        <w:spacing w:before="0" w:after="260"/>
        <w:ind w:left="0" w:right="0" w:firstLine="460"/>
        <w:jc w:val="both"/>
      </w:pPr>
      <w:r>
        <w:rPr>
          <w:color w:val="000000"/>
          <w:spacing w:val="0"/>
          <w:w w:val="100"/>
          <w:position w:val="0"/>
        </w:rPr>
        <w:t>本公司作为合并方，在同一控制下企业合并中取得的资产和负债，在合并日按被合并方在最终控制方合并 报表中的账面价值计量。取得的净资产账面价值与支付的合并对价账面价值的差额，调整资本公积；资本公积 不足冲减的，调整留存收益。</w:t>
      </w:r>
    </w:p>
    <w:p>
      <w:pPr>
        <w:pStyle w:val="Style53"/>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在非同一控制下企业合并中取得的被购买方可辨认资产、负债及或有负债在收购日以公允价值计量。合并 成本为本公司在购买日为取得对被购买方的控制权而支付的现金或非现金资产、发行或承担的负债、发行的权 益性证券等的公允价值以及在企业合并中发生的各项直接相关费用之和（通过多次交易分步实现的企业合并， 其合并成本为每一单项交易的成本之和）。合并成本大于合并中取得的被购买方可辨认净资产公允价值份额的 差额，确认为商誉；合并成本小于合并中取得的被购买方可辨认净资产公允价值份额的，首先对合并中取得的 各项可辨认资产、负债及或有负债的公允价值、以及合并对价的非现金资产或发行的权益性证券等的公允价值 进行复核，经复核后，合并成本仍小于合并中取得的被购买方可辨认净资产公允价值份额的，将其差额计入合 并当期营业外收入。</w:t>
      </w:r>
    </w:p>
    <w:p>
      <w:pPr>
        <w:pStyle w:val="Style32"/>
        <w:keepNext/>
        <w:keepLines/>
        <w:widowControl w:val="0"/>
        <w:shd w:val="clear" w:color="auto" w:fill="auto"/>
        <w:bidi w:val="0"/>
        <w:spacing w:before="0" w:after="260" w:line="314" w:lineRule="exact"/>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5</w:t>
      </w:r>
      <w:bookmarkEnd w:id="694"/>
      <w:r>
        <w:rPr>
          <w:color w:val="000000"/>
          <w:spacing w:val="0"/>
          <w:w w:val="100"/>
          <w:position w:val="0"/>
        </w:rPr>
        <w:t>、合并财务报表的编制方法</w:t>
      </w:r>
      <w:bookmarkEnd w:id="692"/>
      <w:bookmarkEnd w:id="693"/>
      <w:bookmarkEnd w:id="695"/>
    </w:p>
    <w:p>
      <w:pPr>
        <w:pStyle w:val="Style53"/>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本公司将所有控制的子公司及结构化主体纳入合并财务报表范围。</w:t>
      </w:r>
    </w:p>
    <w:p>
      <w:pPr>
        <w:pStyle w:val="Style53"/>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在编制合并财务报表时，子公司与本公司采用的会计政策或会计期间不一致的，按照本公司的会计政策或 会计期间对子公司财务报表进行必要的调整。</w:t>
      </w:r>
    </w:p>
    <w:p>
      <w:pPr>
        <w:pStyle w:val="Style53"/>
        <w:keepNext w:val="0"/>
        <w:keepLines w:val="0"/>
        <w:widowControl w:val="0"/>
        <w:shd w:val="clear" w:color="auto" w:fill="auto"/>
        <w:bidi w:val="0"/>
        <w:spacing w:before="0" w:after="260" w:line="314" w:lineRule="exact"/>
        <w:ind w:left="0" w:right="0" w:firstLine="460"/>
        <w:jc w:val="both"/>
      </w:pPr>
      <w:r>
        <w:rPr>
          <w:color w:val="000000"/>
          <w:spacing w:val="0"/>
          <w:w w:val="100"/>
          <w:position w:val="0"/>
        </w:rPr>
        <w:t>合并范围内的所有重大内部交易、往来余额及未实现利润在合并报表编制时予以抵销。子公司的所有者权 益中不属于母公司的份额以及当期净损益、其他综合收益及综合收益总额中属于少数股东权益的份额，分别在 合并财务报表“少数股东权益、少数股东损益、归属于少数股东的其他综合收益及归属于少数股东的综合收益 总额”项目列示。</w:t>
      </w:r>
    </w:p>
    <w:p>
      <w:pPr>
        <w:pStyle w:val="Style53"/>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对于同一控制下企业合并取得的子公司，其经营成果和现金流量自合并当期期初纳入合并财务报表。编制 比较合并财务报表时，对上年财务报表的相关项目进行调整，视同合并后形成的报告主体自最终控制方开始控 制时点起一直存在。</w:t>
      </w:r>
    </w:p>
    <w:p>
      <w:pPr>
        <w:pStyle w:val="Style53"/>
        <w:keepNext w:val="0"/>
        <w:keepLines w:val="0"/>
        <w:widowControl w:val="0"/>
        <w:shd w:val="clear" w:color="auto" w:fill="auto"/>
        <w:bidi w:val="0"/>
        <w:spacing w:before="0" w:after="220" w:line="313" w:lineRule="exact"/>
        <w:ind w:left="0" w:right="0" w:firstLine="460"/>
        <w:jc w:val="left"/>
      </w:pPr>
      <w:r>
        <w:rPr>
          <w:color w:val="000000"/>
          <w:spacing w:val="0"/>
          <w:w w:val="100"/>
          <w:position w:val="0"/>
        </w:rPr>
        <w:t>通过多次交易分步取得同一控制下被投资单位的股权，最终形成企业合并的，应在取得控制权的报告期， 补充披露在合并财务报表中的处理方法。例如：通过多次交易分步取得同一控制下被投资单位的股权，最终形 成企业合并，编制合并报表时，视同在最终控制方开始控制时即以目前的状态存在进行调整，在编制比较报表 时，以不早于本公司和被合并方同处于最终控制方的控制之下的时点为限，将被合并方的有关资产、负债并入 本公司合并财务报表的比较报表中，并将合并而增加的净资产在比较报表中调整所有者权益项下的相关项目。 为避免对被合并方净资产的价值进行重复计算，本公司在达到合并之前持有的长期股权投资，在取得原股权之 日与本公司和被合并方处于同一方最终控制之日孰晚日起至合并日之间已确认有关损益、其他综合收益和其他 净资产变动，应分别冲减比较报表期间的期初留存收益和当期损益。</w:t>
      </w:r>
    </w:p>
    <w:p>
      <w:pPr>
        <w:pStyle w:val="Style53"/>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对于非同一控制下企业合并取得子公司，经营成果和现金流量自本公司取得控制权之日起纳入合并财务报 表。在编制合并财务报表时，以购买日确定的各项可辨认资产、负债及或有负债的公允价值为基础对子公司的 财务报表进行调整。</w:t>
      </w:r>
    </w:p>
    <w:p>
      <w:pPr>
        <w:pStyle w:val="Style53"/>
        <w:keepNext w:val="0"/>
        <w:keepLines w:val="0"/>
        <w:widowControl w:val="0"/>
        <w:shd w:val="clear" w:color="auto" w:fill="auto"/>
        <w:bidi w:val="0"/>
        <w:spacing w:before="0" w:after="220" w:line="313" w:lineRule="exact"/>
        <w:ind w:left="0" w:right="0" w:firstLine="460"/>
        <w:jc w:val="left"/>
      </w:pPr>
      <w:r>
        <w:rPr>
          <w:color w:val="000000"/>
          <w:spacing w:val="0"/>
          <w:w w:val="100"/>
          <w:position w:val="0"/>
        </w:rPr>
        <w:t>通过多次交易分步取得非同一控制下被投资单位的股权，最终形成企业合并的，应在取得控制权的报告期, 补充披露在合并财务报表中的处理方法。例如：通过多次交易分步取得非同一控制下被投资单位的股权，最终 形成企业合并，编制合并报表时，对于购买日之前持有的被购买方的股权，按照该股权在购买日的公允价值进 行重新计量，公允价值与其账面价值的差额计入当期投资收益；与其相关的购买日之前持有的被购买方的股权 涉及权益法核算下的其他综合收益以及除净损益、其他综合收益和利润分配外的其他所有者权益变动，在购买 日所属当期转为投资损益，由于被投资方重新计量设定受益计划净负债或净资产变动而产生的其他综合收益除 外。</w:t>
      </w:r>
    </w:p>
    <w:p>
      <w:pPr>
        <w:pStyle w:val="Style53"/>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本公司在不丧失控制权的情况下部分处置对子公司的长期股权投资，在合并财务报表中，处置价款与处置 长期股权投资相对应享有子公司自购买日或合并日开始持续计算的净资产份额之间的差额，调整资本溢价或股 本溢价，资本公积不足冲减的，调整留存收益。</w:t>
      </w:r>
    </w:p>
    <w:p>
      <w:pPr>
        <w:pStyle w:val="Style53"/>
        <w:keepNext w:val="0"/>
        <w:keepLines w:val="0"/>
        <w:widowControl w:val="0"/>
        <w:shd w:val="clear" w:color="auto" w:fill="auto"/>
        <w:bidi w:val="0"/>
        <w:spacing w:before="0" w:after="220" w:line="311" w:lineRule="exact"/>
        <w:ind w:left="0" w:right="0" w:firstLine="460"/>
        <w:jc w:val="left"/>
      </w:pPr>
      <w:r>
        <w:rPr>
          <w:color w:val="000000"/>
          <w:spacing w:val="0"/>
          <w:w w:val="100"/>
          <w:position w:val="0"/>
        </w:rPr>
        <w:t>本公司因处置部分股权投资等原因丧失了对被投资方的控制权的，在编制合并财务报表时，对于剩余股权, 按照其在丧失控制权日的公允价值进行重新计量。处置股权取得的对价与剩余股权公允价值之和，减去按原持 股比例计算应享有原有子公司自购买日或合并日开始持续计算的净资产的份额之间的差额，计入丧失控制权当 期的投资损益，同时冲减商誉。与原有子公司股权投资相关的其他综合收益等，在丧失控制权时转为当期投资 损益。</w:t>
      </w:r>
    </w:p>
    <w:p>
      <w:pPr>
        <w:pStyle w:val="Style53"/>
        <w:keepNext w:val="0"/>
        <w:keepLines w:val="0"/>
        <w:widowControl w:val="0"/>
        <w:shd w:val="clear" w:color="auto" w:fill="auto"/>
        <w:bidi w:val="0"/>
        <w:spacing w:before="0" w:after="600" w:line="315" w:lineRule="exact"/>
        <w:ind w:left="0" w:right="0" w:firstLine="460"/>
        <w:jc w:val="left"/>
      </w:pPr>
      <w:r>
        <w:rPr>
          <w:color w:val="000000"/>
          <w:spacing w:val="0"/>
          <w:w w:val="100"/>
          <w:position w:val="0"/>
        </w:rPr>
        <w:t>本公司通过多次交易分步处置对子公司股权投资直至丧失控制权的，如果处置对子公司股权投资直至丧失 控制权的各项交易属于一揽子交易的，应当将各项交易作为一项处置子公司并丧失控制权的交易进行会计处理; 但是，在丧失控制权之前每一次处置价款与处置投资对应的享有该子公司净资产份额的差额，在合并财务报表 中确认为其他综合收益，在丧失控制权时一并转入丧失控制权当期的投资损益。</w:t>
      </w:r>
    </w:p>
    <w:p>
      <w:pPr>
        <w:pStyle w:val="Style32"/>
        <w:keepNext/>
        <w:keepLines/>
        <w:widowControl w:val="0"/>
        <w:shd w:val="clear" w:color="auto" w:fill="auto"/>
        <w:bidi w:val="0"/>
        <w:spacing w:before="0" w:after="280" w:line="314" w:lineRule="exact"/>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6</w:t>
      </w:r>
      <w:bookmarkEnd w:id="698"/>
      <w:r>
        <w:rPr>
          <w:color w:val="000000"/>
          <w:spacing w:val="0"/>
          <w:w w:val="100"/>
          <w:position w:val="0"/>
        </w:rPr>
        <w:t>、合营安排分类及共同经营会计处理方法</w:t>
      </w:r>
      <w:bookmarkEnd w:id="696"/>
      <w:bookmarkEnd w:id="697"/>
      <w:bookmarkEnd w:id="699"/>
    </w:p>
    <w:p>
      <w:pPr>
        <w:pStyle w:val="Style53"/>
        <w:keepNext w:val="0"/>
        <w:keepLines w:val="0"/>
        <w:widowControl w:val="0"/>
        <w:shd w:val="clear" w:color="auto" w:fill="auto"/>
        <w:bidi w:val="0"/>
        <w:spacing w:before="0" w:after="220"/>
        <w:ind w:left="0" w:right="0" w:firstLine="460"/>
        <w:jc w:val="both"/>
      </w:pPr>
      <w:r>
        <w:rPr>
          <w:color w:val="000000"/>
          <w:spacing w:val="0"/>
          <w:w w:val="100"/>
          <w:position w:val="0"/>
        </w:rPr>
        <w:t>本公司的合营安排包括共同经营和合营企业。对于共同经营项目，本公司作为共同经营中的合营方确认单 独持有的资产和承担的负债，以及按份额确认持有的资产和承担的负债，根据相关约定单独或按份额确认相关 的收入和费用。与共同经营发生购买、销售不构成业务的资产交易的，仅确认因该交易产生的损益中归属于共</w:t>
      </w:r>
    </w:p>
    <w:p>
      <w:pPr>
        <w:pStyle w:val="Style53"/>
        <w:keepNext w:val="0"/>
        <w:keepLines w:val="0"/>
        <w:widowControl w:val="0"/>
        <w:shd w:val="clear" w:color="auto" w:fill="auto"/>
        <w:bidi w:val="0"/>
        <w:spacing w:before="0" w:after="620" w:line="240" w:lineRule="auto"/>
        <w:ind w:left="0" w:right="0" w:firstLine="0"/>
        <w:jc w:val="left"/>
      </w:pPr>
      <w:r>
        <w:rPr>
          <w:color w:val="000000"/>
          <w:spacing w:val="0"/>
          <w:w w:val="100"/>
          <w:position w:val="0"/>
        </w:rPr>
        <w:t>同经营其他参与方的部分。</w:t>
      </w:r>
    </w:p>
    <w:p>
      <w:pPr>
        <w:pStyle w:val="Style32"/>
        <w:keepNext/>
        <w:keepLines/>
        <w:widowControl w:val="0"/>
        <w:shd w:val="clear" w:color="auto" w:fill="auto"/>
        <w:bidi w:val="0"/>
        <w:spacing w:before="0" w:after="280" w:line="298" w:lineRule="exact"/>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7</w:t>
      </w:r>
      <w:bookmarkEnd w:id="702"/>
      <w:r>
        <w:rPr>
          <w:color w:val="000000"/>
          <w:spacing w:val="0"/>
          <w:w w:val="100"/>
          <w:position w:val="0"/>
        </w:rPr>
        <w:t>、现金及现金等价物的确定标准</w:t>
      </w:r>
      <w:bookmarkEnd w:id="700"/>
      <w:bookmarkEnd w:id="701"/>
      <w:bookmarkEnd w:id="703"/>
    </w:p>
    <w:p>
      <w:pPr>
        <w:pStyle w:val="Style53"/>
        <w:keepNext w:val="0"/>
        <w:keepLines w:val="0"/>
        <w:widowControl w:val="0"/>
        <w:shd w:val="clear" w:color="auto" w:fill="auto"/>
        <w:bidi w:val="0"/>
        <w:spacing w:before="0" w:after="620" w:line="298" w:lineRule="exact"/>
        <w:ind w:left="0" w:right="0" w:firstLine="460"/>
        <w:jc w:val="both"/>
      </w:pPr>
      <w:r>
        <w:rPr>
          <w:color w:val="000000"/>
          <w:spacing w:val="0"/>
          <w:w w:val="100"/>
          <w:position w:val="0"/>
        </w:rPr>
        <w:t>本公司现金流量表之现金指库存现金以及可以随时用于支付的存款。现金流量表之现金等价物指持有期限 不超过</w:t>
      </w:r>
      <w:r>
        <w:rPr>
          <w:color w:val="000000"/>
          <w:spacing w:val="0"/>
          <w:w w:val="100"/>
          <w:position w:val="0"/>
          <w:sz w:val="20"/>
          <w:szCs w:val="20"/>
        </w:rPr>
        <w:t>3</w:t>
      </w:r>
      <w:r>
        <w:rPr>
          <w:color w:val="000000"/>
          <w:spacing w:val="0"/>
          <w:w w:val="100"/>
          <w:position w:val="0"/>
        </w:rPr>
        <w:t>个月、流动性强、易于转换为已知金额现金且价值变动风险很小的投资。</w:t>
      </w:r>
    </w:p>
    <w:p>
      <w:pPr>
        <w:pStyle w:val="Style32"/>
        <w:keepNext/>
        <w:keepLines/>
        <w:widowControl w:val="0"/>
        <w:shd w:val="clear" w:color="auto" w:fill="auto"/>
        <w:bidi w:val="0"/>
        <w:spacing w:before="0" w:after="280" w:line="306" w:lineRule="exact"/>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8</w:t>
      </w:r>
      <w:bookmarkEnd w:id="706"/>
      <w:r>
        <w:rPr>
          <w:color w:val="000000"/>
          <w:spacing w:val="0"/>
          <w:w w:val="100"/>
          <w:position w:val="0"/>
        </w:rPr>
        <w:t>、外币业务和外币报表折算</w:t>
      </w:r>
      <w:bookmarkEnd w:id="704"/>
      <w:bookmarkEnd w:id="705"/>
      <w:bookmarkEnd w:id="707"/>
    </w:p>
    <w:p>
      <w:pPr>
        <w:pStyle w:val="Style53"/>
        <w:keepNext w:val="0"/>
        <w:keepLines w:val="0"/>
        <w:widowControl w:val="0"/>
        <w:shd w:val="clear" w:color="auto" w:fill="auto"/>
        <w:tabs>
          <w:tab w:pos="442" w:val="left"/>
        </w:tabs>
        <w:bidi w:val="0"/>
        <w:spacing w:before="0" w:after="240" w:line="306" w:lineRule="exact"/>
        <w:ind w:left="0" w:right="0" w:firstLine="0"/>
        <w:jc w:val="left"/>
      </w:pPr>
      <w:bookmarkStart w:id="708" w:name="bookmark708"/>
      <w:r>
        <w:rPr>
          <w:color w:val="000000"/>
          <w:spacing w:val="0"/>
          <w:w w:val="100"/>
          <w:position w:val="0"/>
          <w:sz w:val="20"/>
          <w:szCs w:val="20"/>
        </w:rPr>
        <w:t>（</w:t>
      </w:r>
      <w:bookmarkEnd w:id="708"/>
      <w:r>
        <w:rPr>
          <w:color w:val="000000"/>
          <w:spacing w:val="0"/>
          <w:w w:val="100"/>
          <w:position w:val="0"/>
          <w:sz w:val="20"/>
          <w:szCs w:val="20"/>
        </w:rPr>
        <w:t>1）</w:t>
        <w:tab/>
      </w:r>
      <w:r>
        <w:rPr>
          <w:color w:val="000000"/>
          <w:spacing w:val="0"/>
          <w:w w:val="100"/>
          <w:position w:val="0"/>
        </w:rPr>
        <w:t>外币交易</w:t>
      </w:r>
    </w:p>
    <w:p>
      <w:pPr>
        <w:pStyle w:val="Style53"/>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本公司外币交易按交易发生日的即期汇率将外币金额折算为人民币金额。于资产负债表日，外币货币性项 目采用资产负债表日的即期汇率折算为人民币，所产生的折算差额除了为购建或生产符合资本化条件的资产而 借入的外币专门借款产生的汇兑差额按资本化的原则处理外，直接计入当期损益。</w:t>
      </w:r>
    </w:p>
    <w:p>
      <w:pPr>
        <w:pStyle w:val="Style53"/>
        <w:keepNext w:val="0"/>
        <w:keepLines w:val="0"/>
        <w:widowControl w:val="0"/>
        <w:shd w:val="clear" w:color="auto" w:fill="auto"/>
        <w:tabs>
          <w:tab w:pos="442" w:val="left"/>
        </w:tabs>
        <w:bidi w:val="0"/>
        <w:spacing w:before="0" w:after="240" w:line="306" w:lineRule="exact"/>
        <w:ind w:left="0" w:right="0" w:firstLine="0"/>
        <w:jc w:val="left"/>
      </w:pPr>
      <w:bookmarkStart w:id="709" w:name="bookmark709"/>
      <w:r>
        <w:rPr>
          <w:color w:val="000000"/>
          <w:spacing w:val="0"/>
          <w:w w:val="100"/>
          <w:position w:val="0"/>
          <w:sz w:val="20"/>
          <w:szCs w:val="20"/>
        </w:rPr>
        <w:t>（</w:t>
      </w:r>
      <w:bookmarkEnd w:id="709"/>
      <w:r>
        <w:rPr>
          <w:color w:val="000000"/>
          <w:spacing w:val="0"/>
          <w:w w:val="100"/>
          <w:position w:val="0"/>
          <w:sz w:val="20"/>
          <w:szCs w:val="20"/>
        </w:rPr>
        <w:t>2）</w:t>
        <w:tab/>
      </w:r>
      <w:r>
        <w:rPr>
          <w:color w:val="000000"/>
          <w:spacing w:val="0"/>
          <w:w w:val="100"/>
          <w:position w:val="0"/>
        </w:rPr>
        <w:t>外币财务报表的折算</w:t>
      </w:r>
    </w:p>
    <w:p>
      <w:pPr>
        <w:pStyle w:val="Style53"/>
        <w:keepNext w:val="0"/>
        <w:keepLines w:val="0"/>
        <w:widowControl w:val="0"/>
        <w:shd w:val="clear" w:color="auto" w:fill="auto"/>
        <w:bidi w:val="0"/>
        <w:spacing w:before="0" w:after="620" w:line="301" w:lineRule="exact"/>
        <w:ind w:left="0" w:right="0" w:firstLine="460"/>
        <w:jc w:val="both"/>
      </w:pPr>
      <w:r>
        <w:rPr>
          <w:color w:val="000000"/>
          <w:spacing w:val="0"/>
          <w:w w:val="100"/>
          <w:position w:val="0"/>
        </w:rPr>
        <w:t>外币资产负债表中资产、负债类项目采用资产负债表日的即期汇率折算；所有者权益类项目除“未分配利 润”外，均按业务发生时的即期汇率折算；利润表中的收入与费用项目，采用交易发生日的即期汇率折算。上 述折算产生的外币报表折算差额，在其他综合收益项目中列示。外币现金流量采用现金流量发生日的即期汇率 折算。汇率变动对现金的影响额，在现金流量表中单独列示。</w:t>
      </w:r>
    </w:p>
    <w:p>
      <w:pPr>
        <w:pStyle w:val="Style32"/>
        <w:keepNext/>
        <w:keepLines/>
        <w:widowControl w:val="0"/>
        <w:shd w:val="clear" w:color="auto" w:fill="auto"/>
        <w:bidi w:val="0"/>
        <w:spacing w:before="0" w:after="280" w:line="312" w:lineRule="exact"/>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9</w:t>
      </w:r>
      <w:bookmarkEnd w:id="712"/>
      <w:r>
        <w:rPr>
          <w:color w:val="000000"/>
          <w:spacing w:val="0"/>
          <w:w w:val="100"/>
          <w:position w:val="0"/>
        </w:rPr>
        <w:t>、金融工具</w:t>
      </w:r>
      <w:bookmarkEnd w:id="710"/>
      <w:bookmarkEnd w:id="711"/>
      <w:bookmarkEnd w:id="713"/>
    </w:p>
    <w:p>
      <w:pPr>
        <w:pStyle w:val="Style53"/>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本公司成为金融工具合同的一方时确认一项金融资产或金融负债。</w:t>
      </w:r>
    </w:p>
    <w:p>
      <w:pPr>
        <w:pStyle w:val="Style53"/>
        <w:keepNext w:val="0"/>
        <w:keepLines w:val="0"/>
        <w:widowControl w:val="0"/>
        <w:shd w:val="clear" w:color="auto" w:fill="auto"/>
        <w:bidi w:val="0"/>
        <w:spacing w:before="0" w:after="100" w:line="312" w:lineRule="exact"/>
        <w:ind w:left="0" w:right="0" w:firstLine="0"/>
        <w:jc w:val="left"/>
      </w:pPr>
      <w:bookmarkStart w:id="714" w:name="bookmark714"/>
      <w:r>
        <w:rPr>
          <w:color w:val="000000"/>
          <w:spacing w:val="0"/>
          <w:w w:val="100"/>
          <w:position w:val="0"/>
          <w:sz w:val="20"/>
          <w:szCs w:val="20"/>
        </w:rPr>
        <w:t>（</w:t>
      </w:r>
      <w:bookmarkEnd w:id="714"/>
      <w:r>
        <w:rPr>
          <w:color w:val="000000"/>
          <w:spacing w:val="0"/>
          <w:w w:val="100"/>
          <w:position w:val="0"/>
          <w:sz w:val="20"/>
          <w:szCs w:val="20"/>
        </w:rPr>
        <w:t>1）</w:t>
      </w:r>
      <w:r>
        <w:rPr>
          <w:color w:val="000000"/>
          <w:spacing w:val="0"/>
          <w:w w:val="100"/>
          <w:position w:val="0"/>
        </w:rPr>
        <w:t>金融资产</w:t>
      </w:r>
    </w:p>
    <w:p>
      <w:pPr>
        <w:pStyle w:val="Style53"/>
        <w:keepNext w:val="0"/>
        <w:keepLines w:val="0"/>
        <w:widowControl w:val="0"/>
        <w:shd w:val="clear" w:color="auto" w:fill="auto"/>
        <w:bidi w:val="0"/>
        <w:spacing w:before="0" w:after="240" w:line="312" w:lineRule="exact"/>
        <w:ind w:left="0" w:right="0" w:firstLine="0"/>
        <w:jc w:val="left"/>
      </w:pPr>
      <w:bookmarkStart w:id="715" w:name="bookmark715"/>
      <w:r>
        <w:rPr>
          <w:color w:val="000000"/>
          <w:spacing w:val="0"/>
          <w:w w:val="100"/>
          <w:position w:val="0"/>
          <w:sz w:val="20"/>
          <w:szCs w:val="20"/>
        </w:rPr>
        <w:t>1</w:t>
      </w:r>
      <w:bookmarkEnd w:id="715"/>
      <w:r>
        <w:rPr>
          <w:color w:val="000000"/>
          <w:spacing w:val="0"/>
          <w:w w:val="100"/>
          <w:position w:val="0"/>
          <w:sz w:val="20"/>
          <w:szCs w:val="20"/>
        </w:rPr>
        <w:t>）</w:t>
      </w:r>
      <w:r>
        <w:rPr>
          <w:color w:val="000000"/>
          <w:spacing w:val="0"/>
          <w:w w:val="100"/>
          <w:position w:val="0"/>
        </w:rPr>
        <w:t>金融资产分类、确认依据和计量方法</w:t>
      </w:r>
    </w:p>
    <w:p>
      <w:pPr>
        <w:pStyle w:val="Style53"/>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本公司按投资目的和经济实质对拥有的金融资产分类为以公允价值计量且其变动计入当期损益的金融资 产、持有至到期投资、应收款项及可供出售金融资产。</w:t>
      </w:r>
    </w:p>
    <w:p>
      <w:pPr>
        <w:pStyle w:val="Style53"/>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 xml:space="preserve">以公允价值计量且其变动计入当期损益的金融资产，包括交易性金融资产和在初始确认时指定为以公允价 值计量且其变动计入当期损益的金融资产。本公司将满足下列条件之一的金融资产归类为交易性金融资产：取 得该金融资产的目的是为了在短期内出售；属于进行集中管理的可辨认金融工具组合的一部分，且有客观证据 表明公司近期采用短期获利方式对该组合进行管理；属于衍生工具，但是，被指定且为有效套期工具的衍生工 具、属于财务担保合同的衍生工具、与在活跃市场中没有报价且其公允价值不能可靠计量的权益工具投资挂钩 并须通过交付该权益工具结算的衍生工具除外。本公司将只有符合下列条件之一的金融工具，才可在初始确认 时指定为以公允价值计量且其变动计入当期损益的金融资产：该指定可以消除或明显减少由于该金融工具的计 量基础不同所导致的相关利得或损失在确认或计量方面不一致的情况；公司风险管理或投资策略的正式书面文 件已载明，该金融工具组合以公允价值为基础进行管理、评价并向关键管理人员报告；包含一项或多项嵌入衍 生工具的混合工具，除非嵌入衍生工具对混合工具的现金流量没有重大改变，或所嵌入的衍生工具明显不应当 从相关混合工具中分拆；包含需要分拆但无法在取得时或后续的资产负债表日对其进行单独计量的嵌入衍生工 </w:t>
      </w:r>
      <w:r>
        <w:rPr>
          <w:color w:val="000000"/>
          <w:spacing w:val="0"/>
          <w:w w:val="100"/>
          <w:position w:val="0"/>
        </w:rPr>
        <w:t>具的混合工具。本公司指定的该类金融资产主要包括属于交易性金融资产的上市的权益工具投资。对此类金融 资产，采用公允价值进行后续计量。公允价值变动计入公允价值变动损益；在资产持有期间所取得的利息或现 金股利，确认为投资收益；处置时，其公允价值与初始入账金额之间的差额确认为投资损益，同时调整公允价 值变动损益。</w:t>
      </w:r>
    </w:p>
    <w:p>
      <w:pPr>
        <w:pStyle w:val="Style53"/>
        <w:keepNext w:val="0"/>
        <w:keepLines w:val="0"/>
        <w:widowControl w:val="0"/>
        <w:shd w:val="clear" w:color="auto" w:fill="auto"/>
        <w:bidi w:val="0"/>
        <w:spacing w:before="0" w:after="100" w:line="310" w:lineRule="exact"/>
        <w:ind w:left="0" w:right="0"/>
        <w:jc w:val="both"/>
      </w:pPr>
      <w:r>
        <w:rPr>
          <w:color w:val="000000"/>
          <w:spacing w:val="0"/>
          <w:w w:val="100"/>
          <w:position w:val="0"/>
        </w:rPr>
        <w:t>持有至到期投资，是指到期日固定、回收金额固定或可确定，且本公司有明确意图和能力持有至到期的非 衍生金融资产。持有至到期投资采用实际利率法，按照摊余成本进行后续计量，其摊销或减值以及终止确认产 生的利得或损失，均计入当期损益。</w:t>
      </w:r>
    </w:p>
    <w:p>
      <w:pPr>
        <w:pStyle w:val="Style53"/>
        <w:keepNext w:val="0"/>
        <w:keepLines w:val="0"/>
        <w:widowControl w:val="0"/>
        <w:shd w:val="clear" w:color="auto" w:fill="auto"/>
        <w:bidi w:val="0"/>
        <w:spacing w:before="0" w:after="100" w:line="312" w:lineRule="exact"/>
        <w:ind w:left="0" w:right="0"/>
        <w:jc w:val="both"/>
      </w:pPr>
      <w:r>
        <w:rPr>
          <w:color w:val="000000"/>
          <w:spacing w:val="0"/>
          <w:w w:val="100"/>
          <w:position w:val="0"/>
        </w:rPr>
        <w:t>应收款项，是指在活跃市场中没有报价，回收金额固定或可确定的非衍生金融资产。采用实际利率法，按 照摊余成本进行后续计量，其摊销或减值以及终止确认产生的利得或损失，均计入当期损益。</w:t>
      </w:r>
    </w:p>
    <w:p>
      <w:pPr>
        <w:pStyle w:val="Style53"/>
        <w:keepNext w:val="0"/>
        <w:keepLines w:val="0"/>
        <w:widowControl w:val="0"/>
        <w:shd w:val="clear" w:color="auto" w:fill="auto"/>
        <w:bidi w:val="0"/>
        <w:spacing w:before="0" w:after="0" w:line="311" w:lineRule="exact"/>
        <w:ind w:left="0" w:right="0"/>
        <w:jc w:val="both"/>
      </w:pPr>
      <w:r>
        <w:rPr>
          <w:color w:val="000000"/>
          <w:spacing w:val="0"/>
          <w:w w:val="100"/>
          <w:position w:val="0"/>
        </w:rPr>
        <w:t>可供出售金融资产，是指初始确认时即被指定为可供出售的非衍生金融资产，以及未被划分为其他类的金 融资产。这类资产中，在活跃市场中没有报价且其公允价值不能可靠计量的权益工具投资以及与该权益工具挂 钩并须通过交付该权益工具结算的衍生金融资产，按成本进行后续计量；其他存在活跃市场报价或虽没有活跃 市场报价但公允价值能够可靠计量的，按公允价值计量，公允价值变动计入其他综合收益。对于此类金融资产 采用公允价值进行后续计量，除减值损失及外币货币性金融资产形成的汇兑损益外，可供出售金融资产公允价 值变动直接计入股东权益，待该金融资产终止确认时，原直接计入权益的公允价值变动累计额转入当期损益。 可供出售债务工具投资在持有期间按实际利率法计算的利息，以及被投资单位宣告发放的与可供出售权益工具 投资相关的现金股利，作为投资收益计入当期损益。对于在活跃市场中没有报价且其公允价值不能可靠计量的 权益工具投资，按成本计量。</w:t>
      </w:r>
    </w:p>
    <w:p>
      <w:pPr>
        <w:pStyle w:val="Style53"/>
        <w:keepNext w:val="0"/>
        <w:keepLines w:val="0"/>
        <w:widowControl w:val="0"/>
        <w:shd w:val="clear" w:color="auto" w:fill="auto"/>
        <w:tabs>
          <w:tab w:pos="318" w:val="left"/>
        </w:tabs>
        <w:bidi w:val="0"/>
        <w:spacing w:before="0" w:after="240" w:line="311" w:lineRule="exact"/>
        <w:ind w:left="0" w:right="0" w:firstLine="0"/>
        <w:jc w:val="left"/>
      </w:pPr>
      <w:bookmarkStart w:id="716" w:name="bookmark716"/>
      <w:r>
        <w:rPr>
          <w:color w:val="000000"/>
          <w:spacing w:val="0"/>
          <w:w w:val="100"/>
          <w:position w:val="0"/>
          <w:sz w:val="20"/>
          <w:szCs w:val="20"/>
        </w:rPr>
        <w:t>2</w:t>
      </w:r>
      <w:bookmarkEnd w:id="716"/>
      <w:r>
        <w:rPr>
          <w:color w:val="000000"/>
          <w:spacing w:val="0"/>
          <w:w w:val="100"/>
          <w:position w:val="0"/>
          <w:sz w:val="20"/>
          <w:szCs w:val="20"/>
        </w:rPr>
        <w:t>）</w:t>
        <w:tab/>
      </w:r>
      <w:r>
        <w:rPr>
          <w:color w:val="000000"/>
          <w:spacing w:val="0"/>
          <w:w w:val="100"/>
          <w:position w:val="0"/>
        </w:rPr>
        <w:t>金融资产转移的确认依据和计量方法</w:t>
      </w:r>
    </w:p>
    <w:p>
      <w:pPr>
        <w:pStyle w:val="Style53"/>
        <w:keepNext w:val="0"/>
        <w:keepLines w:val="0"/>
        <w:widowControl w:val="0"/>
        <w:shd w:val="clear" w:color="auto" w:fill="auto"/>
        <w:bidi w:val="0"/>
        <w:spacing w:before="0" w:after="240"/>
        <w:ind w:left="0" w:right="0"/>
        <w:jc w:val="both"/>
      </w:pPr>
      <w:r>
        <w:rPr>
          <w:color w:val="000000"/>
          <w:spacing w:val="0"/>
          <w:w w:val="100"/>
          <w:position w:val="0"/>
        </w:rPr>
        <w:t>金融资产满足下列条件之一的，予以终止确认：①收取该金融资产现金流量的合同权利终止；②该金融资 产已转移，且本公司将金融资产所有权上几乎所有的风险和报酬转移给转入方；③该金融资产已转移，虽然本 公司既没有转移也没有保留金融资产所有权上几乎所有的风险和报酬，但是放弃了对该金融资产控制。</w:t>
      </w:r>
    </w:p>
    <w:p>
      <w:pPr>
        <w:pStyle w:val="Style53"/>
        <w:keepNext w:val="0"/>
        <w:keepLines w:val="0"/>
        <w:widowControl w:val="0"/>
        <w:shd w:val="clear" w:color="auto" w:fill="auto"/>
        <w:bidi w:val="0"/>
        <w:spacing w:before="0" w:after="240" w:line="312" w:lineRule="exact"/>
        <w:ind w:left="0" w:right="0"/>
        <w:jc w:val="both"/>
      </w:pPr>
      <w:r>
        <w:rPr>
          <w:color w:val="000000"/>
          <w:spacing w:val="0"/>
          <w:w w:val="100"/>
          <w:position w:val="0"/>
        </w:rPr>
        <w:t>企业既没有转移也没有保留金融资产所有权上几乎所有的风险和报酬，且未放弃对该金融资产控制的，则 按照其继续涉入所转移金融资产的程度确认有关金融资产，并相应确认有关负债。</w:t>
      </w:r>
    </w:p>
    <w:p>
      <w:pPr>
        <w:pStyle w:val="Style53"/>
        <w:keepNext w:val="0"/>
        <w:keepLines w:val="0"/>
        <w:widowControl w:val="0"/>
        <w:shd w:val="clear" w:color="auto" w:fill="auto"/>
        <w:bidi w:val="0"/>
        <w:spacing w:before="0" w:after="100" w:line="312" w:lineRule="exact"/>
        <w:ind w:left="0" w:right="0"/>
        <w:jc w:val="both"/>
      </w:pPr>
      <w:r>
        <w:rPr>
          <w:color w:val="000000"/>
          <w:spacing w:val="0"/>
          <w:w w:val="100"/>
          <w:position w:val="0"/>
        </w:rPr>
        <w:t>金融资产整体转移满足终止确认条件的，将所转移金融资产的账面价值，与因转移而收到的对价及原计入 其他综合收益的公允价值变动累计额之和的差额计入当期损益。</w:t>
      </w:r>
    </w:p>
    <w:p>
      <w:pPr>
        <w:pStyle w:val="Style53"/>
        <w:keepNext w:val="0"/>
        <w:keepLines w:val="0"/>
        <w:widowControl w:val="0"/>
        <w:shd w:val="clear" w:color="auto" w:fill="auto"/>
        <w:bidi w:val="0"/>
        <w:spacing w:before="0" w:after="0"/>
        <w:ind w:left="0" w:right="0"/>
        <w:jc w:val="both"/>
      </w:pPr>
      <w:r>
        <w:rPr>
          <w:color w:val="000000"/>
          <w:spacing w:val="0"/>
          <w:w w:val="100"/>
          <w:position w:val="0"/>
        </w:rPr>
        <w:t>金融资产部分转移满足终止确认条件的，将所转移金融资产整体的账面价值，在终止确认部分和未终止确 认部分之间，按照各自的相对公允价值进行分摊，并将因转移而收到的对价及应分摊至终止确认部分的原计入 其他综合收益的公允价值变动累计额之和，与分摊的前述账面金额的差额计入当期损益。</w:t>
      </w:r>
    </w:p>
    <w:p>
      <w:pPr>
        <w:pStyle w:val="Style53"/>
        <w:keepNext w:val="0"/>
        <w:keepLines w:val="0"/>
        <w:widowControl w:val="0"/>
        <w:shd w:val="clear" w:color="auto" w:fill="auto"/>
        <w:tabs>
          <w:tab w:pos="318" w:val="left"/>
        </w:tabs>
        <w:bidi w:val="0"/>
        <w:spacing w:before="0" w:after="100"/>
        <w:ind w:left="0" w:right="0" w:firstLine="0"/>
        <w:jc w:val="left"/>
      </w:pPr>
      <w:bookmarkStart w:id="717" w:name="bookmark717"/>
      <w:r>
        <w:rPr>
          <w:color w:val="000000"/>
          <w:spacing w:val="0"/>
          <w:w w:val="100"/>
          <w:position w:val="0"/>
          <w:sz w:val="20"/>
          <w:szCs w:val="20"/>
        </w:rPr>
        <w:t>3</w:t>
      </w:r>
      <w:bookmarkEnd w:id="717"/>
      <w:r>
        <w:rPr>
          <w:color w:val="000000"/>
          <w:spacing w:val="0"/>
          <w:w w:val="100"/>
          <w:position w:val="0"/>
          <w:sz w:val="20"/>
          <w:szCs w:val="20"/>
        </w:rPr>
        <w:t>）</w:t>
        <w:tab/>
      </w:r>
      <w:r>
        <w:rPr>
          <w:color w:val="000000"/>
          <w:spacing w:val="0"/>
          <w:w w:val="100"/>
          <w:position w:val="0"/>
        </w:rPr>
        <w:t>金融资产减值的测试方法及会计处理方法</w:t>
      </w:r>
    </w:p>
    <w:p>
      <w:pPr>
        <w:pStyle w:val="Style53"/>
        <w:keepNext w:val="0"/>
        <w:keepLines w:val="0"/>
        <w:widowControl w:val="0"/>
        <w:shd w:val="clear" w:color="auto" w:fill="auto"/>
        <w:bidi w:val="0"/>
        <w:spacing w:before="0" w:after="240" w:line="312" w:lineRule="exact"/>
        <w:ind w:left="0" w:right="0"/>
        <w:jc w:val="both"/>
      </w:pPr>
      <w:r>
        <w:rPr>
          <w:color w:val="000000"/>
          <w:spacing w:val="0"/>
          <w:w w:val="100"/>
          <w:position w:val="0"/>
        </w:rPr>
        <w:t>除以公允价值计量且其变动计入当期损益的金融资产外，本公司于资产负债表日对其他金融资产的账面价 值进行检查，如果有客观证据表明某项金融资产发生减值的，计提减值准备。</w:t>
      </w:r>
    </w:p>
    <w:p>
      <w:pPr>
        <w:pStyle w:val="Style53"/>
        <w:keepNext w:val="0"/>
        <w:keepLines w:val="0"/>
        <w:widowControl w:val="0"/>
        <w:shd w:val="clear" w:color="auto" w:fill="auto"/>
        <w:bidi w:val="0"/>
        <w:spacing w:before="0" w:after="0" w:line="314" w:lineRule="exact"/>
        <w:ind w:left="0" w:right="0"/>
        <w:jc w:val="both"/>
      </w:pPr>
      <w:r>
        <w:rPr>
          <w:color w:val="000000"/>
          <w:spacing w:val="0"/>
          <w:w w:val="100"/>
          <w:position w:val="0"/>
        </w:rPr>
        <w:t>当可供出售金融资产发生减值，原直接计入所有者权益的因公允价值下降形成的累计损失予以转出并计入 减值损失。对已确认减值损失的可供出售债务工具投资，在期后公允价值上升且客观上与确认原减值损失后发 生的事项有关的，原确认的减值损失予以转回并计入当期损益。对已确认减值损失的可供出售权益工具投资， 期后公允价值上升直接计入所有者权益。</w:t>
      </w:r>
    </w:p>
    <w:p>
      <w:pPr>
        <w:pStyle w:val="Style53"/>
        <w:keepNext w:val="0"/>
        <w:keepLines w:val="0"/>
        <w:widowControl w:val="0"/>
        <w:shd w:val="clear" w:color="auto" w:fill="auto"/>
        <w:bidi w:val="0"/>
        <w:spacing w:before="0" w:after="240" w:line="312" w:lineRule="exact"/>
        <w:ind w:left="0" w:right="0" w:firstLine="0"/>
        <w:jc w:val="left"/>
      </w:pPr>
      <w:bookmarkStart w:id="718" w:name="bookmark718"/>
      <w:r>
        <w:rPr>
          <w:color w:val="000000"/>
          <w:spacing w:val="0"/>
          <w:w w:val="100"/>
          <w:position w:val="0"/>
          <w:sz w:val="20"/>
          <w:szCs w:val="20"/>
        </w:rPr>
        <w:t>（</w:t>
      </w:r>
      <w:bookmarkEnd w:id="718"/>
      <w:r>
        <w:rPr>
          <w:color w:val="000000"/>
          <w:spacing w:val="0"/>
          <w:w w:val="100"/>
          <w:position w:val="0"/>
          <w:sz w:val="20"/>
          <w:szCs w:val="20"/>
        </w:rPr>
        <w:t>2）</w:t>
      </w:r>
      <w:r>
        <w:rPr>
          <w:color w:val="000000"/>
          <w:spacing w:val="0"/>
          <w:w w:val="100"/>
          <w:position w:val="0"/>
        </w:rPr>
        <w:t>金融负债</w:t>
      </w:r>
    </w:p>
    <w:p>
      <w:pPr>
        <w:pStyle w:val="Style53"/>
        <w:keepNext w:val="0"/>
        <w:keepLines w:val="0"/>
        <w:widowControl w:val="0"/>
        <w:shd w:val="clear" w:color="auto" w:fill="auto"/>
        <w:bidi w:val="0"/>
        <w:spacing w:before="0" w:after="160" w:line="312" w:lineRule="exact"/>
        <w:ind w:left="0" w:right="0" w:firstLine="0"/>
        <w:jc w:val="left"/>
      </w:pPr>
      <w:r>
        <w:rPr>
          <w:color w:val="000000"/>
          <w:spacing w:val="0"/>
          <w:w w:val="100"/>
          <w:position w:val="0"/>
          <w:sz w:val="20"/>
          <w:szCs w:val="20"/>
        </w:rPr>
        <w:t>1）</w:t>
      </w:r>
      <w:r>
        <w:rPr>
          <w:color w:val="000000"/>
          <w:spacing w:val="0"/>
          <w:w w:val="100"/>
          <w:position w:val="0"/>
        </w:rPr>
        <w:t>金融负债分类、确认依据和计量方法</w:t>
      </w:r>
    </w:p>
    <w:p>
      <w:pPr>
        <w:pStyle w:val="Style53"/>
        <w:keepNext w:val="0"/>
        <w:keepLines w:val="0"/>
        <w:widowControl w:val="0"/>
        <w:shd w:val="clear" w:color="auto" w:fill="auto"/>
        <w:bidi w:val="0"/>
        <w:spacing w:before="0" w:after="220" w:line="312" w:lineRule="exact"/>
        <w:ind w:left="0" w:right="0"/>
        <w:jc w:val="both"/>
      </w:pPr>
      <w:r>
        <w:rPr>
          <w:color w:val="000000"/>
          <w:spacing w:val="0"/>
          <w:w w:val="100"/>
          <w:position w:val="0"/>
        </w:rPr>
        <w:t>本公司的金融负债于初始确认时分类为以公允价值计量且其变动计入当期损益的金融负债和其他金融负 债。</w:t>
      </w:r>
    </w:p>
    <w:p>
      <w:pPr>
        <w:pStyle w:val="Style53"/>
        <w:keepNext w:val="0"/>
        <w:keepLines w:val="0"/>
        <w:widowControl w:val="0"/>
        <w:shd w:val="clear" w:color="auto" w:fill="auto"/>
        <w:bidi w:val="0"/>
        <w:spacing w:before="0" w:after="220"/>
        <w:ind w:left="0" w:right="0"/>
        <w:jc w:val="both"/>
      </w:pPr>
      <w:r>
        <w:rPr>
          <w:color w:val="000000"/>
          <w:spacing w:val="0"/>
          <w:w w:val="100"/>
          <w:position w:val="0"/>
        </w:rPr>
        <w:t>以公允价值计量且其变动计入当期损益的金融负债，包括交易性金融负债和初始确认时指定为以公允价值 计量且其变动计入当期损益的金融负债。按照公允价值进行后续计量，公允价值变动形成的利得或损失以及与 该金融负债相关的股利和利息支出计入当期损益。</w:t>
      </w:r>
    </w:p>
    <w:p>
      <w:pPr>
        <w:pStyle w:val="Style53"/>
        <w:keepNext w:val="0"/>
        <w:keepLines w:val="0"/>
        <w:widowControl w:val="0"/>
        <w:shd w:val="clear" w:color="auto" w:fill="auto"/>
        <w:bidi w:val="0"/>
        <w:spacing w:before="0" w:after="220" w:line="313" w:lineRule="exact"/>
        <w:ind w:left="0" w:right="0"/>
        <w:jc w:val="both"/>
      </w:pPr>
      <w:r>
        <w:rPr>
          <w:color w:val="000000"/>
          <w:spacing w:val="0"/>
          <w:w w:val="100"/>
          <w:position w:val="0"/>
        </w:rPr>
        <w:t>其他金融负债采用实际利率法，按照摊余成本进行后续计量。</w:t>
      </w:r>
    </w:p>
    <w:p>
      <w:pPr>
        <w:pStyle w:val="Style53"/>
        <w:keepNext w:val="0"/>
        <w:keepLines w:val="0"/>
        <w:widowControl w:val="0"/>
        <w:shd w:val="clear" w:color="auto" w:fill="auto"/>
        <w:bidi w:val="0"/>
        <w:spacing w:before="0" w:after="0" w:line="313" w:lineRule="exact"/>
        <w:ind w:left="0" w:right="0" w:firstLine="0"/>
        <w:jc w:val="both"/>
      </w:pPr>
      <w:r>
        <w:rPr>
          <w:color w:val="000000"/>
          <w:spacing w:val="0"/>
          <w:w w:val="100"/>
          <w:position w:val="0"/>
          <w:sz w:val="20"/>
          <w:szCs w:val="20"/>
        </w:rPr>
        <w:t>2）</w:t>
      </w:r>
      <w:r>
        <w:rPr>
          <w:color w:val="000000"/>
          <w:spacing w:val="0"/>
          <w:w w:val="100"/>
          <w:position w:val="0"/>
        </w:rPr>
        <w:t>金融负债终止确认条件</w:t>
      </w:r>
    </w:p>
    <w:p>
      <w:pPr>
        <w:pStyle w:val="Style53"/>
        <w:keepNext w:val="0"/>
        <w:keepLines w:val="0"/>
        <w:widowControl w:val="0"/>
        <w:shd w:val="clear" w:color="auto" w:fill="auto"/>
        <w:bidi w:val="0"/>
        <w:spacing w:before="0" w:after="300" w:line="313" w:lineRule="exact"/>
        <w:ind w:left="0" w:right="0"/>
        <w:jc w:val="both"/>
      </w:pPr>
      <w:r>
        <w:rPr>
          <w:color w:val="000000"/>
          <w:spacing w:val="0"/>
          <w:w w:val="100"/>
          <w:position w:val="0"/>
        </w:rPr>
        <w:t>当金融负债的现时义务全部或部分已经解除时，终止确认该金融负债或义务已解除的部分。公司与债权人 之间签订协议，以承担新金融负债方式替换现存金融负债，且新金融负债与现存金融负债的合同条款实质上不 同的，终止确认现存金融负债，并同时确认新金融负债。公司对现存金融负债全部或部分的合同条款作出实质 性修改的，终止确认现存金融负债或其一部分，同时将修改条款后的金融负债确认为一项新金融负债。终止确 认部分的账面价值与支付的对价之间的差额，计入当期损益。</w:t>
      </w:r>
    </w:p>
    <w:p>
      <w:pPr>
        <w:pStyle w:val="Style53"/>
        <w:keepNext w:val="0"/>
        <w:keepLines w:val="0"/>
        <w:widowControl w:val="0"/>
        <w:shd w:val="clear" w:color="auto" w:fill="auto"/>
        <w:bidi w:val="0"/>
        <w:spacing w:before="0" w:after="220" w:line="313" w:lineRule="exact"/>
        <w:ind w:left="0" w:right="0" w:firstLine="0"/>
        <w:jc w:val="left"/>
      </w:pPr>
      <w:bookmarkStart w:id="719" w:name="bookmark719"/>
      <w:r>
        <w:rPr>
          <w:color w:val="000000"/>
          <w:spacing w:val="0"/>
          <w:w w:val="100"/>
          <w:position w:val="0"/>
          <w:sz w:val="20"/>
          <w:szCs w:val="20"/>
        </w:rPr>
        <w:t>（</w:t>
      </w:r>
      <w:bookmarkEnd w:id="719"/>
      <w:r>
        <w:rPr>
          <w:color w:val="000000"/>
          <w:spacing w:val="0"/>
          <w:w w:val="100"/>
          <w:position w:val="0"/>
          <w:sz w:val="20"/>
          <w:szCs w:val="20"/>
        </w:rPr>
        <w:t>3）</w:t>
      </w:r>
      <w:r>
        <w:rPr>
          <w:color w:val="000000"/>
          <w:spacing w:val="0"/>
          <w:w w:val="100"/>
          <w:position w:val="0"/>
        </w:rPr>
        <w:t>金融资产和金融负债的公允价值确定方法</w:t>
      </w:r>
    </w:p>
    <w:p>
      <w:pPr>
        <w:pStyle w:val="Style53"/>
        <w:keepNext w:val="0"/>
        <w:keepLines w:val="0"/>
        <w:widowControl w:val="0"/>
        <w:shd w:val="clear" w:color="auto" w:fill="auto"/>
        <w:bidi w:val="0"/>
        <w:spacing w:before="0" w:after="500" w:line="313" w:lineRule="exact"/>
        <w:ind w:left="0" w:right="0"/>
        <w:jc w:val="both"/>
      </w:pPr>
      <w:r>
        <w:rPr>
          <w:color w:val="000000"/>
          <w:spacing w:val="0"/>
          <w:w w:val="100"/>
          <w:position w:val="0"/>
        </w:rPr>
        <w:t>本公司以公允价值计量且其变动计入当期损益的金融资产以主要市场的价格计量金融资产和金融负债的 公允价值，不存在主要市场的，以最有利市场的价格计量金融资产和金融负债的公允价值，并且采用当时适用 并且有足够可利用数据和其他信息支持的估值技术。公允价值计量所使用的输入值分为三个层次，即第一层次 输入值是计量日能够取得的相同资产或负债在活跃市场上未经调整的报价；第二层次输入值是除第一层次输入 值外相关资产或负债直接或间接可观察的输入值；第三层次输入值是相关资产或负债的不可观察输入值。本公 司优先使用第一层次输入值，最后再使用第三层次输入值，交易性金融资产中上市的权益工具投资使用第一层 次输入值。公允价值计量结果所属的层次，由对公允价值计量整体而言具有重大意义的输入值所属的最低层次 决定。</w:t>
      </w:r>
    </w:p>
    <w:p>
      <w:pPr>
        <w:pStyle w:val="Style32"/>
        <w:keepNext/>
        <w:keepLines/>
        <w:widowControl w:val="0"/>
        <w:shd w:val="clear" w:color="auto" w:fill="auto"/>
        <w:bidi w:val="0"/>
        <w:spacing w:before="0" w:after="300" w:line="416" w:lineRule="exact"/>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20"/>
      <w:bookmarkEnd w:id="721"/>
      <w:bookmarkEnd w:id="723"/>
    </w:p>
    <w:p>
      <w:pPr>
        <w:pStyle w:val="Style53"/>
        <w:keepNext w:val="0"/>
        <w:keepLines w:val="0"/>
        <w:widowControl w:val="0"/>
        <w:shd w:val="clear" w:color="auto" w:fill="auto"/>
        <w:bidi w:val="0"/>
        <w:spacing w:before="0" w:after="220" w:line="362" w:lineRule="exact"/>
        <w:ind w:left="0" w:right="0"/>
        <w:jc w:val="both"/>
      </w:pPr>
      <w:r>
        <w:rPr>
          <w:color w:val="000000"/>
          <w:spacing w:val="0"/>
          <w:w w:val="100"/>
          <w:position w:val="0"/>
        </w:rPr>
        <w:t>本公司将下列情形作为应收款项坏账损失确认标准：债务单位撤销、破产、资不抵债、现金流量严重不足、 发生严重自然灾害等导致停产而在可预见的时间内无法偿付债务等；债务单位逾期未履行偿债义务超过</w:t>
      </w:r>
      <w:r>
        <w:rPr>
          <w:color w:val="000000"/>
          <w:spacing w:val="0"/>
          <w:w w:val="100"/>
          <w:position w:val="0"/>
          <w:sz w:val="20"/>
          <w:szCs w:val="20"/>
        </w:rPr>
        <w:t>3</w:t>
      </w:r>
      <w:r>
        <w:rPr>
          <w:color w:val="000000"/>
          <w:spacing w:val="0"/>
          <w:w w:val="100"/>
          <w:position w:val="0"/>
        </w:rPr>
        <w:t>年；其 他确凿证据表明确实无法收回或收回的可能性不大。</w:t>
      </w:r>
    </w:p>
    <w:p>
      <w:pPr>
        <w:pStyle w:val="Style53"/>
        <w:keepNext w:val="0"/>
        <w:keepLines w:val="0"/>
        <w:widowControl w:val="0"/>
        <w:shd w:val="clear" w:color="auto" w:fill="auto"/>
        <w:bidi w:val="0"/>
        <w:spacing w:before="0" w:after="0" w:line="470" w:lineRule="exact"/>
        <w:ind w:left="0" w:right="0"/>
        <w:jc w:val="both"/>
      </w:pPr>
      <w:r>
        <w:rPr>
          <w:color w:val="000000"/>
          <w:spacing w:val="0"/>
          <w:w w:val="100"/>
          <w:position w:val="0"/>
        </w:rPr>
        <w:t>对可能发生的坏账损失采用备抵法核算，年末单独或按组合进行减值测试，计提坏账准备，计入当期损益。</w:t>
      </w:r>
    </w:p>
    <w:p>
      <w:pPr>
        <w:pStyle w:val="Style53"/>
        <w:keepNext w:val="0"/>
        <w:keepLines w:val="0"/>
        <w:widowControl w:val="0"/>
        <w:shd w:val="clear" w:color="auto" w:fill="auto"/>
        <w:bidi w:val="0"/>
        <w:spacing w:before="0" w:after="440" w:line="470" w:lineRule="exact"/>
        <w:ind w:left="0" w:right="0" w:firstLine="0"/>
        <w:jc w:val="both"/>
      </w:pPr>
      <w:r>
        <w:rPr>
          <w:color w:val="000000"/>
          <w:spacing w:val="0"/>
          <w:w w:val="100"/>
          <w:position w:val="0"/>
        </w:rPr>
        <w:t>对于有确凿证据表明确实无法收回的应收款项，经本公司按规定程序批准后作为坏账损失，冲销提取的坏账准 备。</w:t>
      </w:r>
    </w:p>
    <w:p>
      <w:pPr>
        <w:pStyle w:val="Style30"/>
        <w:keepNext w:val="0"/>
        <w:keepLines w:val="0"/>
        <w:widowControl w:val="0"/>
        <w:shd w:val="clear" w:color="auto" w:fill="auto"/>
        <w:bidi w:val="0"/>
        <w:spacing w:before="0" w:after="0" w:line="240" w:lineRule="auto"/>
        <w:ind w:left="0" w:right="0" w:firstLine="0"/>
        <w:jc w:val="center"/>
        <w:rPr>
          <w:sz w:val="20"/>
          <w:szCs w:val="20"/>
        </w:rPr>
      </w:pPr>
      <w:bookmarkStart w:id="724" w:name="bookmark72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2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将单项金额超过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万元的应收款项视为重大应收款项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根据其未来现金流量现值低于其账面价值的差额，计提坏账 准备</w:t>
            </w:r>
          </w:p>
        </w:tc>
      </w:tr>
    </w:tbl>
    <w:p>
      <w:pPr>
        <w:pStyle w:val="Style36"/>
        <w:keepNext/>
        <w:keepLines/>
        <w:widowControl w:val="0"/>
        <w:numPr>
          <w:ilvl w:val="0"/>
          <w:numId w:val="7"/>
        </w:numPr>
        <w:shd w:val="clear" w:color="auto" w:fill="auto"/>
        <w:bidi w:val="0"/>
        <w:spacing w:before="0" w:after="340" w:line="240" w:lineRule="auto"/>
        <w:ind w:left="0" w:right="0" w:firstLine="0"/>
        <w:jc w:val="left"/>
      </w:pPr>
      <w:bookmarkStart w:id="725" w:name="bookmark725"/>
      <w:bookmarkStart w:id="726" w:name="bookmark726"/>
      <w:bookmarkStart w:id="727" w:name="bookmark727"/>
      <w:bookmarkStart w:id="728" w:name="bookmark728"/>
      <w:bookmarkEnd w:id="727"/>
      <w:r>
        <w:rPr>
          <w:color w:val="000000"/>
          <w:spacing w:val="0"/>
          <w:w w:val="100"/>
          <w:position w:val="0"/>
        </w:rPr>
        <w:t>按信用风险特征组合计提坏账准备的应收款项</w:t>
      </w:r>
      <w:bookmarkEnd w:id="725"/>
      <w:bookmarkEnd w:id="726"/>
      <w:bookmarkEnd w:id="72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一般不计提坏账准备</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rPr>
          <w:sz w:val="17"/>
          <w:szCs w:val="17"/>
        </w:rPr>
      </w:pPr>
      <w:bookmarkStart w:id="729" w:name="bookmark729"/>
      <w:bookmarkStart w:id="730" w:name="bookmark730"/>
      <w:bookmarkStart w:id="731" w:name="bookmark731"/>
      <w:r>
        <w:rPr>
          <w:b w:val="0"/>
          <w:bCs w:val="0"/>
          <w:color w:val="000000"/>
          <w:spacing w:val="0"/>
          <w:w w:val="100"/>
          <w:position w:val="0"/>
          <w:sz w:val="17"/>
          <w:szCs w:val="17"/>
        </w:rPr>
        <w:t>合并范围内关联方之间的应收款项，发生坏账的可能性很小，故不计提坏帐准备。</w:t>
      </w:r>
      <w:bookmarkEnd w:id="729"/>
      <w:bookmarkEnd w:id="730"/>
      <w:bookmarkEnd w:id="731"/>
    </w:p>
    <w:p>
      <w:pPr>
        <w:pStyle w:val="Style36"/>
        <w:keepNext/>
        <w:keepLines/>
        <w:widowControl w:val="0"/>
        <w:shd w:val="clear" w:color="auto" w:fill="auto"/>
        <w:bidi w:val="0"/>
        <w:spacing w:before="0" w:after="340" w:line="240" w:lineRule="auto"/>
        <w:ind w:left="0" w:right="0" w:firstLine="0"/>
        <w:jc w:val="left"/>
        <w:rPr>
          <w:sz w:val="17"/>
          <w:szCs w:val="17"/>
        </w:rPr>
      </w:pPr>
      <w:bookmarkStart w:id="732" w:name="bookmark732"/>
      <w:bookmarkStart w:id="733" w:name="bookmark733"/>
      <w:bookmarkStart w:id="734" w:name="bookmark734"/>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7"/>
          <w:szCs w:val="17"/>
        </w:rPr>
        <w:t>)单项金额不重大但单独计提坏账准备的应收款项</w:t>
      </w:r>
      <w:bookmarkEnd w:id="732"/>
      <w:bookmarkEnd w:id="733"/>
      <w:bookmarkEnd w:id="734"/>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存在客观证据表明本公司将无法按应收款项的原有条款收回 款项</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根据其未来现金流量现值低于其账面价值的差额，计提坏账 准备</w:t>
            </w:r>
          </w:p>
        </w:tc>
      </w:tr>
    </w:tbl>
    <w:p>
      <w:pPr>
        <w:widowControl w:val="0"/>
        <w:spacing w:after="339" w:line="1" w:lineRule="exact"/>
      </w:pPr>
    </w:p>
    <w:p>
      <w:pPr>
        <w:pStyle w:val="Style32"/>
        <w:keepNext/>
        <w:keepLines/>
        <w:widowControl w:val="0"/>
        <w:shd w:val="clear" w:color="auto" w:fill="auto"/>
        <w:bidi w:val="0"/>
        <w:spacing w:before="0" w:after="24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735"/>
      <w:bookmarkEnd w:id="736"/>
      <w:bookmarkEnd w:id="738"/>
    </w:p>
    <w:p>
      <w:pPr>
        <w:pStyle w:val="Style26"/>
        <w:keepNext w:val="0"/>
        <w:keepLines w:val="0"/>
        <w:widowControl w:val="0"/>
        <w:shd w:val="clear" w:color="auto" w:fill="auto"/>
        <w:bidi w:val="0"/>
        <w:spacing w:before="0" w:line="315" w:lineRule="exact"/>
        <w:ind w:left="0" w:right="0" w:firstLine="440"/>
        <w:jc w:val="left"/>
      </w:pPr>
      <w:r>
        <w:rPr>
          <w:color w:val="000000"/>
          <w:spacing w:val="0"/>
          <w:w w:val="100"/>
          <w:position w:val="0"/>
        </w:rPr>
        <w:t>本公司长期股权投资主要是对子公司的投资、对联营企业的投资和对合营企业的投资。</w:t>
      </w:r>
    </w:p>
    <w:p>
      <w:pPr>
        <w:pStyle w:val="Style26"/>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本公司对共同控制的判断依据是所有参与方或参与方组合集体控制该安排，并且该安排相关活动的政策必须经过这些 集体控制该安排的参与方一致同意。</w:t>
      </w:r>
    </w:p>
    <w:p>
      <w:pPr>
        <w:pStyle w:val="Style26"/>
        <w:keepNext w:val="0"/>
        <w:keepLines w:val="0"/>
        <w:widowControl w:val="0"/>
        <w:shd w:val="clear" w:color="auto" w:fill="auto"/>
        <w:bidi w:val="0"/>
        <w:spacing w:before="0" w:line="315" w:lineRule="exact"/>
        <w:ind w:left="0" w:right="0" w:firstLine="440"/>
        <w:jc w:val="both"/>
      </w:pPr>
      <w:r>
        <w:rPr>
          <w:color w:val="000000"/>
          <w:spacing w:val="0"/>
          <w:w w:val="100"/>
          <w:position w:val="0"/>
        </w:rPr>
        <w:t>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的表决权时，通常认为对被投资单位具有重 大影响。持有被投资单位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 投资单位财务和经营政策制定过程、或与被投资单位之间发生重要交易、或向被投资单位派出管理人员、或向被投资单位提 供关键技术资料等事实和情况判断对被投资单位具有重大影响。</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对被投资单位形成控制的，为本公司的子公司。通过同一控制下的企业合并取得的长期股权投资，在合并日按照取得 被合并方在最终控制方合并报表中净资产的账面价值的份额作为长期股权投资的初始投资成本。被合并方在合并日的净资产 </w:t>
      </w:r>
      <w:r>
        <w:rPr>
          <w:color w:val="000000"/>
          <w:spacing w:val="0"/>
          <w:w w:val="100"/>
          <w:position w:val="0"/>
        </w:rPr>
        <w:t>账面价值为负数的，长期股权投资成本按零确定。</w:t>
      </w:r>
    </w:p>
    <w:p>
      <w:pPr>
        <w:pStyle w:val="Style26"/>
        <w:keepNext w:val="0"/>
        <w:keepLines w:val="0"/>
        <w:widowControl w:val="0"/>
        <w:shd w:val="clear" w:color="auto" w:fill="auto"/>
        <w:bidi w:val="0"/>
        <w:spacing w:before="0" w:after="100" w:line="305" w:lineRule="exact"/>
        <w:ind w:left="0" w:right="0" w:firstLine="440"/>
        <w:jc w:val="both"/>
      </w:pPr>
      <w:r>
        <w:rPr>
          <w:color w:val="000000"/>
          <w:spacing w:val="0"/>
          <w:w w:val="100"/>
          <w:position w:val="0"/>
        </w:rPr>
        <w:t>通过多次交易分步取得同一控制下被投资单位的股权，最终形成企业合并的，应在取得控制权的报告期，补充披露在 母公司财务报表中的长期股权投资的处理方法。例如：通过多次交易分步取得同一控制下被投资单位的股权，最终形成企业 合并，属于一揽子交易的，本公司将各项交易作为一项取得控制权的交易进行会计处理。不属于一览交易的，在合并日，根 据合并后享有被合并方净资产在最终控制方合并财务报表中的账面价值的份额作为长期股权投资的的初始投资成本。初始投 资成本与达到合并前的长期股权投资账面价值加上合并日进一步取得股份新支付对价的账面价值之和的差额，调整资本公积, 资本公积不足冲减的，冲减留存收益。</w:t>
      </w:r>
    </w:p>
    <w:p>
      <w:pPr>
        <w:pStyle w:val="Style26"/>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通过非同一控制下的企业合并取得的长期股权投资，以合并成本作为初始投资成本。</w:t>
      </w:r>
    </w:p>
    <w:p>
      <w:pPr>
        <w:pStyle w:val="Style2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通过多次交易分步取得非同一控制下被投资单位的股权，最终形成企业合并的，应在取得控制权的报告期，补充披露 在母公司财务报表中的长期股权投资成本处理方法。例如：通过多次交易分步取得非同一控制下被投资单位的股权，最终形 成企业合并，属于一揽子交易的，本公司将各项交易作为一项取得控制权的交易进行会计处理。不属于一览交易的，按照原 持有的股权投资账面价值加上新增投资成本之和，作为改按成本法核算的初始投资成本。购买日之前持有的股权采用权益法 核算的，原权益法核算的相关其他综合收益暂不做调整，在处置该项投资时采用与被投资单位直接处置相关资产或负债相同 的基础进行会计处理。购买日之前持有的股权在可供出售金融资产中采用公允价值核算的，原计入其他综合收益的累计公允 价值变动在合并日转入当期投资损益。</w:t>
      </w:r>
    </w:p>
    <w:p>
      <w:pPr>
        <w:pStyle w:val="Style26"/>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按照投资合同或协议约定的价值作为投资成本；公司如有以债务重组、非货币性资产交换等方式取得的长期股权投资，应根 据相关企业会计准则的规定并结合公司的实际情况披露确定投资成本的方法。</w:t>
      </w:r>
    </w:p>
    <w:p>
      <w:pPr>
        <w:pStyle w:val="Style26"/>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本公司对子公司投资采用成本法核算，对合营企业及联营企业投资采用权益法核算。</w:t>
      </w:r>
    </w:p>
    <w:p>
      <w:pPr>
        <w:pStyle w:val="Style26"/>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后续计量采用成本法核算的长期股权投资，在追加投资时，按照追加投资支付的成本额公允价值及发生的相关交易费 用增加长期股权投资成本的账面价值。被投资单位宣告分派的现金股利或利润，按照应享有的金额确认为当期投资收益。</w:t>
      </w:r>
    </w:p>
    <w:p>
      <w:pPr>
        <w:pStyle w:val="Style26"/>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后续计量采用权益法核算的长期股权投资，随着被他投资单位所有者权益的变动相应调整增加或减少长期股权投资的 账面价值。其中在确认应享有被投资单位净损益的份额时，以取得投资时被投资单位各项可辨认资产等的公允价值为基础， 按照本公司的会计政策及会计期间，并抵销与联营企业及合营企业之间发生的内部交易损益按照持股比例计算归属于投资企 业的部分，对被投资单位的净利润进行调整后确认。</w:t>
      </w:r>
    </w:p>
    <w:p>
      <w:pPr>
        <w:pStyle w:val="Style26"/>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处置长期股权投资，其账面价值与实际取得价款的差额，计入当期投资收益。采用权益法核算的长期股权投资，因被 投资单位除净损益以外所有者权益的其他变动而计入所有者权益的,处置该项投资时将原计入所有者权益的部分按相应比例 转入当期投资损益。</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因处置部分股权投资等原因丧失了对被投资单位的共同控制或重大影响的，处置后的剩余股权改按可供出售金融资产 核算，剩余股权在丧失共同控制或重大影响之日的公允价值与账面价值之间的差额计入当期损益。原股权投资因采用权益法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核算而确认的其他综合收益，在终止采用权益法核算时采用与被投资单位直接处置相关资产或负债相同的基础进行会计处理。</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因处置部分长期股权投资丧失了对被投资单位控制的，处置后的剩余股权能够对被投资单位实施共同控制或施加重大 影响的，改按权益法核算，处置股权账面价值和处置对价的差额计入投资收益，并对该剩余股权视同自取得时即采用权益法 核算进行调整；处置后的剩余股权不能对被投资单位实施共同控制或施加重大影响的，改按可供出售金融资产的有关规定进 行会计处理，处置股权账面价值和处置对价的差额计入投资收益，剩余股权在丧失控制之日的公允价值与账面价值间的差额 计入当期投资损益。</w:t>
      </w:r>
    </w:p>
    <w:p>
      <w:pPr>
        <w:pStyle w:val="Style26"/>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本公司对于分步处置股权至丧失控股权的各项交易不属于一揽子交易的，对每一项交易分别进行会计处理。属于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的，将各项交易作为一项处置子公司并丧失控制权的交易进行会计处理，但是，在丧失控制权之前每一次交易处置价款 与所处置的股权对应的长期股权投资账面价值之间的差额，确认为其他综合收益，到丧失控制权时再一并转入丧失控制权的 当期损益。</w:t>
      </w:r>
    </w:p>
    <w:p>
      <w:pPr>
        <w:pStyle w:val="Style32"/>
        <w:keepNext/>
        <w:keepLines/>
        <w:widowControl w:val="0"/>
        <w:shd w:val="clear" w:color="auto" w:fill="auto"/>
        <w:bidi w:val="0"/>
        <w:spacing w:before="0" w:after="38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739"/>
      <w:bookmarkEnd w:id="740"/>
      <w:bookmarkEnd w:id="742"/>
    </w:p>
    <w:p>
      <w:pPr>
        <w:pStyle w:val="Style36"/>
        <w:keepNext/>
        <w:keepLines/>
        <w:widowControl w:val="0"/>
        <w:shd w:val="clear" w:color="auto" w:fill="auto"/>
        <w:tabs>
          <w:tab w:pos="493" w:val="left"/>
        </w:tabs>
        <w:bidi w:val="0"/>
        <w:spacing w:before="0" w:after="280" w:line="240" w:lineRule="auto"/>
        <w:ind w:left="0" w:right="0" w:firstLine="0"/>
        <w:jc w:val="both"/>
      </w:pPr>
      <w:bookmarkStart w:id="743" w:name="bookmark743"/>
      <w:bookmarkStart w:id="744" w:name="bookmark744"/>
      <w:bookmarkStart w:id="745" w:name="bookmark745"/>
      <w:bookmarkStart w:id="746" w:name="bookmark746"/>
      <w:r>
        <w:rPr>
          <w:color w:val="000000"/>
          <w:spacing w:val="0"/>
          <w:w w:val="100"/>
          <w:position w:val="0"/>
        </w:rPr>
        <w:t>（</w:t>
      </w:r>
      <w:bookmarkEnd w:id="745"/>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743"/>
      <w:bookmarkEnd w:id="744"/>
      <w:bookmarkEnd w:id="746"/>
    </w:p>
    <w:p>
      <w:pPr>
        <w:pStyle w:val="Style26"/>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本公司固定资产是指同时具有以下特征，即为游戏开发及运营、提供劳务、出租或经营管理而持有的，使用年限超过 一年的有形资产。固定资产在与其有关的经济利益很可能流入本公司、且其成本能够可靠计量时予以确认。本公司固定资产 包括房屋及建筑物、机器设备、运输设备、电子办公设备和其他设备。</w:t>
      </w:r>
    </w:p>
    <w:p>
      <w:pPr>
        <w:pStyle w:val="Style36"/>
        <w:keepNext/>
        <w:keepLines/>
        <w:widowControl w:val="0"/>
        <w:shd w:val="clear" w:color="auto" w:fill="auto"/>
        <w:tabs>
          <w:tab w:pos="493" w:val="left"/>
        </w:tabs>
        <w:bidi w:val="0"/>
        <w:spacing w:before="0" w:line="240" w:lineRule="auto"/>
        <w:ind w:left="0" w:right="0" w:firstLine="0"/>
        <w:jc w:val="both"/>
      </w:pPr>
      <w:bookmarkStart w:id="747" w:name="bookmark747"/>
      <w:bookmarkStart w:id="748" w:name="bookmark748"/>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747"/>
      <w:bookmarkEnd w:id="748"/>
      <w:bookmarkEnd w:id="750"/>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除已提足折旧仍继续使用的固定资产和单独计价入账的土地外，本公司对所有固定资产计提折旧。</w:t>
      </w:r>
    </w:p>
    <w:p>
      <w:pPr>
        <w:widowControl w:val="0"/>
        <w:spacing w:after="219" w:line="1" w:lineRule="exact"/>
      </w:pPr>
    </w:p>
    <w:p>
      <w:pPr>
        <w:pStyle w:val="Style26"/>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本公司于每年年度终了，对固定资产的预计使用寿命、预计净残值和折旧方法进行复核，如发生改变，则作为会计估 计变更处理。</w:t>
      </w:r>
    </w:p>
    <w:p>
      <w:pPr>
        <w:pStyle w:val="Style36"/>
        <w:keepNext/>
        <w:keepLines/>
        <w:widowControl w:val="0"/>
        <w:shd w:val="clear" w:color="auto" w:fill="auto"/>
        <w:bidi w:val="0"/>
        <w:spacing w:before="0" w:after="280" w:line="240" w:lineRule="auto"/>
        <w:ind w:left="0" w:right="0" w:firstLine="0"/>
        <w:jc w:val="both"/>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51"/>
      <w:bookmarkEnd w:id="752"/>
      <w:bookmarkEnd w:id="754"/>
    </w:p>
    <w:p>
      <w:pPr>
        <w:pStyle w:val="Style26"/>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74" w:val="left"/>
        </w:tabs>
        <w:bidi w:val="0"/>
        <w:spacing w:before="0" w:after="280" w:line="240"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3</w:t>
      </w:r>
      <w:r>
        <w:rPr>
          <w:color w:val="000000"/>
          <w:spacing w:val="0"/>
          <w:w w:val="100"/>
          <w:position w:val="0"/>
        </w:rPr>
        <w:t>、</w:t>
        <w:tab/>
        <w:t>在建工程</w:t>
      </w:r>
      <w:bookmarkEnd w:id="755"/>
      <w:bookmarkEnd w:id="756"/>
      <w:bookmarkEnd w:id="758"/>
    </w:p>
    <w:p>
      <w:pPr>
        <w:pStyle w:val="Style26"/>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在建工程在达到预定可使用状态之日起，根据工程预算、造价或工程实际成本等，按估计的价值结转固定资产，次月 起开始计提折旧，待办理了竣工决算手续后再对固定资产原值差异进行调整。</w:t>
      </w:r>
    </w:p>
    <w:p>
      <w:pPr>
        <w:pStyle w:val="Style32"/>
        <w:keepNext/>
        <w:keepLines/>
        <w:widowControl w:val="0"/>
        <w:shd w:val="clear" w:color="auto" w:fill="auto"/>
        <w:tabs>
          <w:tab w:pos="474" w:val="left"/>
        </w:tabs>
        <w:bidi w:val="0"/>
        <w:spacing w:before="0" w:after="280" w:line="240" w:lineRule="auto"/>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759"/>
      <w:bookmarkEnd w:id="760"/>
      <w:bookmarkEnd w:id="762"/>
    </w:p>
    <w:p>
      <w:pPr>
        <w:pStyle w:val="Style26"/>
        <w:keepNext w:val="0"/>
        <w:keepLines w:val="0"/>
        <w:widowControl w:val="0"/>
        <w:shd w:val="clear" w:color="auto" w:fill="auto"/>
        <w:bidi w:val="0"/>
        <w:spacing w:before="0" w:after="220" w:line="311" w:lineRule="exact"/>
        <w:ind w:left="0" w:right="0" w:firstLine="44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年以上的购建或者生产活动才能达到预定可使用或者可销售状态的固定资产、投资性房 地产和存货等的借款费用，在资产支出已经发生、借款费用已经发生、为使资产达到预定可使用或可销售状态所必要的购建 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个月，暂停借款费用的资本化，直至资产的购建或生产活动重新开始。</w:t>
      </w:r>
    </w:p>
    <w:p>
      <w:pPr>
        <w:pStyle w:val="Style26"/>
        <w:keepNext w:val="0"/>
        <w:keepLines w:val="0"/>
        <w:widowControl w:val="0"/>
        <w:shd w:val="clear" w:color="auto" w:fill="auto"/>
        <w:bidi w:val="0"/>
        <w:spacing w:before="0" w:after="680" w:line="311" w:lineRule="exact"/>
        <w:ind w:left="0" w:right="0" w:firstLine="440"/>
        <w:jc w:val="both"/>
      </w:pPr>
      <w:r>
        <w:rPr>
          <w:color w:val="000000"/>
          <w:spacing w:val="0"/>
          <w:w w:val="100"/>
          <w:position w:val="0"/>
        </w:rPr>
        <w:t xml:space="preserve">专门借款当期实际发生的利息费用，扣除尚未动用的借款资金存入银行取得的利息收入或进行暂时性投资取得的投资 </w:t>
      </w:r>
      <w:r>
        <w:rPr>
          <w:color w:val="000000"/>
          <w:spacing w:val="0"/>
          <w:w w:val="100"/>
          <w:position w:val="0"/>
        </w:rPr>
        <w:t>收益后的金额予以资本化;一般借款根据累计资产支出超过专门借款部分的资产支出加权平均数乘以所占用一般借款的资本 化率，确定资本化金额。资本化率根据一般借款加权平均利率计算确定。</w:t>
      </w:r>
    </w:p>
    <w:p>
      <w:pPr>
        <w:pStyle w:val="Style32"/>
        <w:keepNext/>
        <w:keepLines/>
        <w:widowControl w:val="0"/>
        <w:shd w:val="clear" w:color="auto" w:fill="auto"/>
        <w:bidi w:val="0"/>
        <w:spacing w:before="0" w:after="380" w:line="240" w:lineRule="auto"/>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763"/>
      <w:bookmarkEnd w:id="764"/>
      <w:bookmarkEnd w:id="766"/>
    </w:p>
    <w:p>
      <w:pPr>
        <w:pStyle w:val="Style36"/>
        <w:keepNext/>
        <w:keepLines/>
        <w:widowControl w:val="0"/>
        <w:shd w:val="clear" w:color="auto" w:fill="auto"/>
        <w:bidi w:val="0"/>
        <w:spacing w:before="0" w:after="220" w:line="240" w:lineRule="auto"/>
        <w:ind w:left="0" w:right="0" w:firstLine="0"/>
        <w:jc w:val="both"/>
      </w:pPr>
      <w:bookmarkStart w:id="767" w:name="bookmark767"/>
      <w:bookmarkStart w:id="768" w:name="bookmark768"/>
      <w:bookmarkStart w:id="769" w:name="bookmark769"/>
      <w:bookmarkStart w:id="770" w:name="bookmark770"/>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67"/>
      <w:bookmarkEnd w:id="768"/>
      <w:bookmarkEnd w:id="770"/>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w:t>
      </w:r>
    </w:p>
    <w:p>
      <w:pPr>
        <w:pStyle w:val="Style26"/>
        <w:keepNext w:val="0"/>
        <w:keepLines w:val="0"/>
        <w:widowControl w:val="0"/>
        <w:shd w:val="clear" w:color="auto" w:fill="auto"/>
        <w:bidi w:val="0"/>
        <w:spacing w:before="0" w:after="220" w:line="314" w:lineRule="exact"/>
        <w:ind w:left="0" w:right="0" w:firstLine="0"/>
        <w:jc w:val="both"/>
      </w:pPr>
      <w:r>
        <w:rPr>
          <w:color w:val="000000"/>
          <w:spacing w:val="0"/>
          <w:w w:val="100"/>
          <w:position w:val="0"/>
        </w:rPr>
        <w:t>互联网游戏业</w:t>
      </w:r>
    </w:p>
    <w:p>
      <w:pPr>
        <w:pStyle w:val="Style26"/>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本公司无形资产包括系统软件、开发工具、游戏产品、运营工具、土地使用权、办公软件等。</w:t>
      </w:r>
    </w:p>
    <w:p>
      <w:pPr>
        <w:pStyle w:val="Style26"/>
        <w:keepNext w:val="0"/>
        <w:keepLines w:val="0"/>
        <w:widowControl w:val="0"/>
        <w:shd w:val="clear" w:color="auto" w:fill="auto"/>
        <w:tabs>
          <w:tab w:pos="829" w:val="left"/>
        </w:tabs>
        <w:bidi w:val="0"/>
        <w:spacing w:before="0" w:after="220" w:line="314" w:lineRule="exact"/>
        <w:ind w:left="0" w:right="0" w:firstLine="480"/>
        <w:jc w:val="both"/>
      </w:pPr>
      <w:bookmarkStart w:id="771" w:name="bookmark771"/>
      <w:r>
        <w:rPr>
          <w:rFonts w:ascii="Times New Roman" w:eastAsia="Times New Roman" w:hAnsi="Times New Roman" w:cs="Times New Roman"/>
          <w:color w:val="000000"/>
          <w:spacing w:val="0"/>
          <w:w w:val="100"/>
          <w:position w:val="0"/>
          <w:sz w:val="18"/>
          <w:szCs w:val="18"/>
        </w:rPr>
        <w:t>1</w:t>
      </w:r>
      <w:bookmarkEnd w:id="771"/>
      <w:r>
        <w:rPr>
          <w:color w:val="000000"/>
          <w:spacing w:val="0"/>
          <w:w w:val="100"/>
          <w:position w:val="0"/>
        </w:rPr>
        <w:t>）</w:t>
        <w:tab/>
        <w:t>无形资产的初始计量</w:t>
      </w:r>
    </w:p>
    <w:p>
      <w:pPr>
        <w:pStyle w:val="Style26"/>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26"/>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以同一控制下的企业吸收合并方式取得的无形资产按被合并方的账面价值确定其入账价值；以非同一控制下的企业吸 收合并方式取得的无形资产按公允价值确定其入账价值。</w:t>
      </w:r>
    </w:p>
    <w:p>
      <w:pPr>
        <w:pStyle w:val="Style26"/>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Style26"/>
        <w:keepNext w:val="0"/>
        <w:keepLines w:val="0"/>
        <w:widowControl w:val="0"/>
        <w:shd w:val="clear" w:color="auto" w:fill="auto"/>
        <w:tabs>
          <w:tab w:pos="848" w:val="left"/>
        </w:tabs>
        <w:bidi w:val="0"/>
        <w:spacing w:before="0" w:after="220" w:line="314" w:lineRule="exact"/>
        <w:ind w:left="0" w:right="0" w:firstLine="480"/>
        <w:jc w:val="both"/>
      </w:pPr>
      <w:bookmarkStart w:id="772" w:name="bookmark772"/>
      <w:r>
        <w:rPr>
          <w:rFonts w:ascii="Times New Roman" w:eastAsia="Times New Roman" w:hAnsi="Times New Roman" w:cs="Times New Roman"/>
          <w:color w:val="000000"/>
          <w:spacing w:val="0"/>
          <w:w w:val="100"/>
          <w:position w:val="0"/>
          <w:sz w:val="18"/>
          <w:szCs w:val="18"/>
        </w:rPr>
        <w:t>2</w:t>
      </w:r>
      <w:bookmarkEnd w:id="772"/>
      <w:r>
        <w:rPr>
          <w:color w:val="000000"/>
          <w:spacing w:val="0"/>
          <w:w w:val="100"/>
          <w:position w:val="0"/>
        </w:rPr>
        <w:t>）</w:t>
        <w:tab/>
        <w:t>无形资产的后续计量</w:t>
      </w:r>
    </w:p>
    <w:p>
      <w:pPr>
        <w:pStyle w:val="Style26"/>
        <w:keepNext w:val="0"/>
        <w:keepLines w:val="0"/>
        <w:widowControl w:val="0"/>
        <w:shd w:val="clear" w:color="auto" w:fill="auto"/>
        <w:bidi w:val="0"/>
        <w:spacing w:before="0" w:after="220" w:line="314" w:lineRule="exact"/>
        <w:ind w:left="0" w:right="0" w:firstLine="480"/>
        <w:jc w:val="left"/>
      </w:pPr>
      <w:r>
        <w:rPr>
          <w:color w:val="000000"/>
          <w:spacing w:val="0"/>
          <w:w w:val="100"/>
          <w:position w:val="0"/>
        </w:rPr>
        <w:t>本公司在取得无形资产时分析判断其使用寿命，划分为使用寿命有限和使用寿命不确定的无形资产。</w:t>
      </w:r>
    </w:p>
    <w:p>
      <w:pPr>
        <w:pStyle w:val="Style26"/>
        <w:keepNext w:val="0"/>
        <w:keepLines w:val="0"/>
        <w:widowControl w:val="0"/>
        <w:numPr>
          <w:ilvl w:val="0"/>
          <w:numId w:val="9"/>
        </w:numPr>
        <w:shd w:val="clear" w:color="auto" w:fill="auto"/>
        <w:bidi w:val="0"/>
        <w:spacing w:before="0" w:after="220" w:line="314" w:lineRule="exact"/>
        <w:ind w:left="0" w:right="0" w:firstLine="480"/>
        <w:jc w:val="both"/>
      </w:pPr>
      <w:bookmarkStart w:id="773" w:name="bookmark773"/>
      <w:bookmarkEnd w:id="773"/>
      <w:r>
        <w:rPr>
          <w:color w:val="000000"/>
          <w:spacing w:val="0"/>
          <w:w w:val="100"/>
          <w:position w:val="0"/>
        </w:rPr>
        <w:t>使用寿命有限的无形资产</w:t>
      </w:r>
    </w:p>
    <w:p>
      <w:pPr>
        <w:pStyle w:val="Style26"/>
        <w:keepNext w:val="0"/>
        <w:keepLines w:val="0"/>
        <w:widowControl w:val="0"/>
        <w:shd w:val="clear" w:color="auto" w:fill="auto"/>
        <w:bidi w:val="0"/>
        <w:spacing w:before="0" w:after="160" w:line="317" w:lineRule="exact"/>
        <w:ind w:left="0" w:right="0" w:firstLine="480"/>
        <w:jc w:val="both"/>
      </w:pPr>
      <w:r>
        <w:rPr>
          <w:color w:val="000000"/>
          <w:spacing w:val="0"/>
          <w:w w:val="100"/>
          <w:position w:val="0"/>
        </w:rPr>
        <w:t>对于使用寿命有限的无形资产，在为企业带来经济利益的期限内按直线法摊销。使用寿命有限的无形资产预计寿命及 依据如下：</w:t>
      </w:r>
    </w:p>
    <w:tbl>
      <w:tblPr>
        <w:tblOverlap w:val="never"/>
        <w:jc w:val="left"/>
        <w:tblLayout w:type="fixed"/>
      </w:tblPr>
      <w:tblGrid>
        <w:gridCol w:w="2875"/>
        <w:gridCol w:w="1915"/>
        <w:gridCol w:w="384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合同规定的受益年限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开发工具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预计使用年限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游戏产品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其中：客户端网络游戏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预计使用年限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预计使用年限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预计使用年限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社交游戏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运营工具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预计使用年限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系统软件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预计使用年限</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办公软件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预计使用年限</w:t>
            </w:r>
          </w:p>
        </w:tc>
      </w:tr>
    </w:tbl>
    <w:p>
      <w:pPr>
        <w:pStyle w:val="Style26"/>
        <w:keepNext w:val="0"/>
        <w:keepLines w:val="0"/>
        <w:widowControl w:val="0"/>
        <w:shd w:val="clear" w:color="auto" w:fill="auto"/>
        <w:bidi w:val="0"/>
        <w:spacing w:before="0" w:after="240" w:line="312" w:lineRule="exact"/>
        <w:ind w:left="0" w:right="0" w:firstLine="500"/>
        <w:jc w:val="both"/>
      </w:pPr>
      <w:r>
        <w:rPr>
          <w:color w:val="000000"/>
          <w:spacing w:val="0"/>
          <w:w w:val="100"/>
          <w:position w:val="0"/>
        </w:rPr>
        <w:t>每期末，对使用寿命有限的无形资产的使用寿命及摊销方法进行复核，如与原先估计数存在差异的，进行相应的调整。</w:t>
      </w:r>
    </w:p>
    <w:p>
      <w:pPr>
        <w:pStyle w:val="Style26"/>
        <w:keepNext w:val="0"/>
        <w:keepLines w:val="0"/>
        <w:widowControl w:val="0"/>
        <w:shd w:val="clear" w:color="auto" w:fill="auto"/>
        <w:bidi w:val="0"/>
        <w:spacing w:before="0" w:after="240" w:line="312" w:lineRule="exact"/>
        <w:ind w:left="0" w:right="0" w:firstLine="500"/>
        <w:jc w:val="both"/>
      </w:pPr>
      <w:r>
        <w:rPr>
          <w:color w:val="000000"/>
          <w:spacing w:val="0"/>
          <w:w w:val="100"/>
          <w:position w:val="0"/>
        </w:rPr>
        <w:t>经复核，本期期末无形资产的使用寿命及摊销方法与以前估计未有不同。</w:t>
      </w:r>
    </w:p>
    <w:p>
      <w:pPr>
        <w:pStyle w:val="Style26"/>
        <w:keepNext w:val="0"/>
        <w:keepLines w:val="0"/>
        <w:widowControl w:val="0"/>
        <w:numPr>
          <w:ilvl w:val="0"/>
          <w:numId w:val="11"/>
        </w:numPr>
        <w:shd w:val="clear" w:color="auto" w:fill="auto"/>
        <w:bidi w:val="0"/>
        <w:spacing w:before="0" w:after="240" w:line="312" w:lineRule="exact"/>
        <w:ind w:left="0" w:right="0" w:firstLine="500"/>
        <w:jc w:val="both"/>
      </w:pPr>
      <w:bookmarkStart w:id="774" w:name="bookmark774"/>
      <w:bookmarkEnd w:id="774"/>
      <w:r>
        <w:rPr>
          <w:color w:val="000000"/>
          <w:spacing w:val="0"/>
          <w:w w:val="100"/>
          <w:position w:val="0"/>
        </w:rPr>
        <w:t>使用寿命不确定的无形资产</w:t>
      </w:r>
    </w:p>
    <w:p>
      <w:pPr>
        <w:pStyle w:val="Style26"/>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本公司无使用寿命不确定的无形资产。</w:t>
      </w:r>
    </w:p>
    <w:p>
      <w:pPr>
        <w:pStyle w:val="Style36"/>
        <w:keepNext/>
        <w:keepLines/>
        <w:widowControl w:val="0"/>
        <w:shd w:val="clear" w:color="auto" w:fill="auto"/>
        <w:bidi w:val="0"/>
        <w:spacing w:before="0" w:after="40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775"/>
      <w:bookmarkEnd w:id="776"/>
      <w:bookmarkEnd w:id="778"/>
    </w:p>
    <w:p>
      <w:pPr>
        <w:pStyle w:val="Style26"/>
        <w:keepNext w:val="0"/>
        <w:keepLines w:val="0"/>
        <w:widowControl w:val="0"/>
        <w:shd w:val="clear" w:color="auto" w:fill="auto"/>
        <w:bidi w:val="0"/>
        <w:spacing w:before="0" w:after="100" w:line="360" w:lineRule="auto"/>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）划分公司内部研究开发项目的研究阶段和开发阶段具体标准</w:t>
      </w:r>
    </w:p>
    <w:p>
      <w:pPr>
        <w:pStyle w:val="Style26"/>
        <w:keepNext w:val="0"/>
        <w:keepLines w:val="0"/>
        <w:widowControl w:val="0"/>
        <w:shd w:val="clear" w:color="auto" w:fill="auto"/>
        <w:bidi w:val="0"/>
        <w:spacing w:before="0" w:after="240" w:line="317" w:lineRule="exact"/>
        <w:ind w:left="0" w:right="0" w:firstLine="440"/>
        <w:jc w:val="both"/>
      </w:pPr>
      <w:r>
        <w:rPr>
          <w:color w:val="000000"/>
          <w:spacing w:val="0"/>
          <w:w w:val="100"/>
          <w:position w:val="0"/>
        </w:rPr>
        <w:t>本公司根据《研发项目管理和会计核算制度》的流程，将内部研究开发项目划分研究阶段和开发阶段。其中，项目策 划阶段与项目立项阶段作为研究阶段；项目计划阶段、项目实施与执行阶段和项目验收阶段作为开发阶段。</w:t>
      </w:r>
    </w:p>
    <w:p>
      <w:pPr>
        <w:pStyle w:val="Style2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研究阶段起点为游戏策划，终点为立项评审通过，表明公司研发中心判断该项目在技术上、商业上等具有可行性；开 发阶段的起点为项目开发计划，终点为项目相关测试完成后可进入商业运营。研究阶段的项目支出直接记入当期损益；进入 开发阶段的项目支出，则予以资本化，先在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科目分项目进行明细核算，可商业运营时，再转入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科目分 项目进行明细核算。</w:t>
      </w:r>
    </w:p>
    <w:p>
      <w:pPr>
        <w:pStyle w:val="Style26"/>
        <w:keepNext w:val="0"/>
        <w:keepLines w:val="0"/>
        <w:widowControl w:val="0"/>
        <w:shd w:val="clear" w:color="auto" w:fill="auto"/>
        <w:bidi w:val="0"/>
        <w:spacing w:before="0" w:after="100" w:line="360" w:lineRule="auto"/>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）开发阶段支出符合资本化的具体标准</w:t>
      </w:r>
    </w:p>
    <w:p>
      <w:pPr>
        <w:pStyle w:val="Style26"/>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内部研究开发项目开发阶段的支出，同时满足下列条件时确认为无形资产：</w:t>
      </w:r>
    </w:p>
    <w:p>
      <w:pPr>
        <w:pStyle w:val="Style26"/>
        <w:keepNext w:val="0"/>
        <w:keepLines w:val="0"/>
        <w:widowControl w:val="0"/>
        <w:numPr>
          <w:ilvl w:val="0"/>
          <w:numId w:val="13"/>
        </w:numPr>
        <w:shd w:val="clear" w:color="auto" w:fill="auto"/>
        <w:tabs>
          <w:tab w:pos="813" w:val="left"/>
        </w:tabs>
        <w:bidi w:val="0"/>
        <w:spacing w:before="0" w:after="240" w:line="312" w:lineRule="exact"/>
        <w:ind w:left="0" w:right="0" w:firstLine="440"/>
        <w:jc w:val="both"/>
      </w:pPr>
      <w:bookmarkStart w:id="779" w:name="bookmark779"/>
      <w:bookmarkEnd w:id="779"/>
      <w:r>
        <w:rPr>
          <w:color w:val="000000"/>
          <w:spacing w:val="0"/>
          <w:w w:val="100"/>
          <w:position w:val="0"/>
        </w:rPr>
        <w:t>完成该无形资产以使其能够使用或出售在技术上具有可行性；</w:t>
      </w:r>
    </w:p>
    <w:p>
      <w:pPr>
        <w:pStyle w:val="Style26"/>
        <w:keepNext w:val="0"/>
        <w:keepLines w:val="0"/>
        <w:widowControl w:val="0"/>
        <w:numPr>
          <w:ilvl w:val="0"/>
          <w:numId w:val="13"/>
        </w:numPr>
        <w:shd w:val="clear" w:color="auto" w:fill="auto"/>
        <w:tabs>
          <w:tab w:pos="813" w:val="left"/>
        </w:tabs>
        <w:bidi w:val="0"/>
        <w:spacing w:before="0" w:after="240" w:line="312" w:lineRule="exact"/>
        <w:ind w:left="0" w:right="0" w:firstLine="440"/>
        <w:jc w:val="both"/>
      </w:pPr>
      <w:bookmarkStart w:id="780" w:name="bookmark780"/>
      <w:bookmarkEnd w:id="780"/>
      <w:r>
        <w:rPr>
          <w:color w:val="000000"/>
          <w:spacing w:val="0"/>
          <w:w w:val="100"/>
          <w:position w:val="0"/>
        </w:rPr>
        <w:t>具有完成该无形资产并使用或出售的意图；</w:t>
      </w:r>
    </w:p>
    <w:p>
      <w:pPr>
        <w:pStyle w:val="Style26"/>
        <w:keepNext w:val="0"/>
        <w:keepLines w:val="0"/>
        <w:widowControl w:val="0"/>
        <w:numPr>
          <w:ilvl w:val="0"/>
          <w:numId w:val="13"/>
        </w:numPr>
        <w:shd w:val="clear" w:color="auto" w:fill="auto"/>
        <w:tabs>
          <w:tab w:pos="786" w:val="left"/>
        </w:tabs>
        <w:bidi w:val="0"/>
        <w:spacing w:before="0" w:after="240" w:line="312" w:lineRule="exact"/>
        <w:ind w:left="0" w:right="0" w:firstLine="440"/>
        <w:jc w:val="both"/>
      </w:pPr>
      <w:bookmarkStart w:id="781" w:name="bookmark781"/>
      <w:bookmarkEnd w:id="781"/>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6"/>
        <w:keepNext w:val="0"/>
        <w:keepLines w:val="0"/>
        <w:widowControl w:val="0"/>
        <w:numPr>
          <w:ilvl w:val="0"/>
          <w:numId w:val="13"/>
        </w:numPr>
        <w:shd w:val="clear" w:color="auto" w:fill="auto"/>
        <w:tabs>
          <w:tab w:pos="813" w:val="left"/>
        </w:tabs>
        <w:bidi w:val="0"/>
        <w:spacing w:before="0" w:after="240" w:line="312" w:lineRule="exact"/>
        <w:ind w:left="0" w:right="0" w:firstLine="440"/>
        <w:jc w:val="both"/>
      </w:pPr>
      <w:bookmarkStart w:id="782" w:name="bookmark782"/>
      <w:bookmarkEnd w:id="782"/>
      <w:r>
        <w:rPr>
          <w:color w:val="000000"/>
          <w:spacing w:val="0"/>
          <w:w w:val="100"/>
          <w:position w:val="0"/>
        </w:rPr>
        <w:t>有足够的技术、财务资源和其他资源支持，以完成该无形资产的开发，并有能力使用或出售该无形资产；</w:t>
      </w:r>
    </w:p>
    <w:p>
      <w:pPr>
        <w:pStyle w:val="Style26"/>
        <w:keepNext w:val="0"/>
        <w:keepLines w:val="0"/>
        <w:widowControl w:val="0"/>
        <w:numPr>
          <w:ilvl w:val="0"/>
          <w:numId w:val="13"/>
        </w:numPr>
        <w:shd w:val="clear" w:color="auto" w:fill="auto"/>
        <w:tabs>
          <w:tab w:pos="813" w:val="left"/>
        </w:tabs>
        <w:bidi w:val="0"/>
        <w:spacing w:before="0" w:after="240" w:line="312" w:lineRule="exact"/>
        <w:ind w:left="0" w:right="0" w:firstLine="440"/>
        <w:jc w:val="both"/>
      </w:pPr>
      <w:bookmarkStart w:id="783" w:name="bookmark783"/>
      <w:bookmarkEnd w:id="783"/>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700" w:line="307" w:lineRule="exact"/>
        <w:ind w:left="0" w:right="0" w:firstLine="440"/>
        <w:jc w:val="both"/>
      </w:pPr>
      <w:r>
        <w:rPr>
          <w:color w:val="000000"/>
          <w:spacing w:val="0"/>
          <w:w w:val="100"/>
          <w:position w:val="0"/>
        </w:rPr>
        <w:t>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p>
    <w:p>
      <w:pPr>
        <w:pStyle w:val="Style32"/>
        <w:keepNext/>
        <w:keepLines/>
        <w:widowControl w:val="0"/>
        <w:shd w:val="clear" w:color="auto" w:fill="auto"/>
        <w:bidi w:val="0"/>
        <w:spacing w:before="0" w:after="280" w:line="240" w:lineRule="auto"/>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6</w:t>
      </w:r>
      <w:r>
        <w:rPr>
          <w:color w:val="000000"/>
          <w:spacing w:val="0"/>
          <w:w w:val="100"/>
          <w:position w:val="0"/>
        </w:rPr>
        <w:t>、长期资产减值</w:t>
      </w:r>
      <w:bookmarkEnd w:id="784"/>
      <w:bookmarkEnd w:id="785"/>
      <w:bookmarkEnd w:id="787"/>
    </w:p>
    <w:p>
      <w:pPr>
        <w:pStyle w:val="Style26"/>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6"/>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 xml:space="preserve">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减记的金额确认为资产减值损失，计入当期损益，同时计提相应的资产减值准备。资产减值损失一经确认，在以后会计期间 </w:t>
      </w:r>
      <w:r>
        <w:rPr>
          <w:color w:val="000000"/>
          <w:spacing w:val="0"/>
          <w:w w:val="100"/>
          <w:position w:val="0"/>
        </w:rPr>
        <w:t>不得转回。</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资产减值损失确认后，减值资产的折旧或者摊销费用在未来期间作相应调整，以使该资产在剩余使用寿命内，系统地 分摊调整后的资产账面价值（扣除预计净残值）。</w:t>
      </w:r>
    </w:p>
    <w:p>
      <w:pPr>
        <w:pStyle w:val="Style26"/>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因企业合并所形成的商誉和使用寿命不确定的无形资产，无论是否存在减值迹象，每年都进行减值测试。</w:t>
      </w:r>
    </w:p>
    <w:p>
      <w:pPr>
        <w:pStyle w:val="Style26"/>
        <w:keepNext w:val="0"/>
        <w:keepLines w:val="0"/>
        <w:widowControl w:val="0"/>
        <w:shd w:val="clear" w:color="auto" w:fill="auto"/>
        <w:bidi w:val="0"/>
        <w:spacing w:before="0" w:after="680" w:line="311" w:lineRule="exact"/>
        <w:ind w:left="0" w:right="0" w:firstLine="440"/>
        <w:jc w:val="both"/>
      </w:pPr>
      <w:r>
        <w:rPr>
          <w:color w:val="000000"/>
          <w:spacing w:val="0"/>
          <w:w w:val="100"/>
          <w:position w:val="0"/>
        </w:rPr>
        <w:t>商誉结合与其相关的资产组或者资产组组合进行减值测试。在对包含商誉的相关资产组或者资产组组合进行减值测试 时，如与商誉相关的资产组或者资产组组合存在减值迹象的，先对不包含商誉的资产组或者资产组组合进行减值测试，计算 可收回金额，并与相关账面价值相比较，确认相应的减值损失。再对包含商誉的资产组或者资产组组合进行减值测试，比较 这些相关资产组或者资产组组合的账面价值（包括所分摊的商誉的账面价值部分）与其可收回金额，如相关资产组或者资产 组组合的可收回金额低于其账面价值的，确认商誉的减值损失。</w:t>
      </w:r>
    </w:p>
    <w:p>
      <w:pPr>
        <w:pStyle w:val="Style32"/>
        <w:keepNext/>
        <w:keepLines/>
        <w:widowControl w:val="0"/>
        <w:shd w:val="clear" w:color="auto" w:fill="auto"/>
        <w:bidi w:val="0"/>
        <w:spacing w:before="0" w:after="26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788"/>
      <w:bookmarkEnd w:id="789"/>
      <w:bookmarkEnd w:id="791"/>
    </w:p>
    <w:p>
      <w:pPr>
        <w:pStyle w:val="Style26"/>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本公司的长期待摊费用包括版权金代理费和装修费等。该等费用在受益期内平均摊销，如果长期待摊费用项目不能使 以后会计期间受益，则将尚未摊销的该项目的摊余价值全部转入当期损益。摊销年限如下：</w:t>
      </w:r>
    </w:p>
    <w:tbl>
      <w:tblPr>
        <w:tblOverlap w:val="never"/>
        <w:jc w:val="left"/>
        <w:tblLayout w:type="fixed"/>
      </w:tblPr>
      <w:tblGrid>
        <w:gridCol w:w="2914"/>
        <w:gridCol w:w="2904"/>
        <w:gridCol w:w="291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摊销年限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备注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版权金代理费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按照游戏授权运营期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按照剩余租赁期</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按照实际受益期</w:t>
            </w:r>
          </w:p>
        </w:tc>
      </w:tr>
    </w:tbl>
    <w:p>
      <w:pPr>
        <w:widowControl w:val="0"/>
        <w:spacing w:after="639" w:line="1" w:lineRule="exact"/>
      </w:pPr>
    </w:p>
    <w:p>
      <w:pPr>
        <w:pStyle w:val="Style32"/>
        <w:keepNext/>
        <w:keepLines/>
        <w:widowControl w:val="0"/>
        <w:shd w:val="clear" w:color="auto" w:fill="auto"/>
        <w:bidi w:val="0"/>
        <w:spacing w:before="0" w:after="46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8</w:t>
      </w:r>
      <w:r>
        <w:rPr>
          <w:color w:val="000000"/>
          <w:spacing w:val="0"/>
          <w:w w:val="100"/>
          <w:position w:val="0"/>
        </w:rPr>
        <w:t>、职工薪酬</w:t>
      </w:r>
      <w:bookmarkEnd w:id="792"/>
      <w:bookmarkEnd w:id="793"/>
      <w:bookmarkEnd w:id="795"/>
    </w:p>
    <w:p>
      <w:pPr>
        <w:pStyle w:val="Style26"/>
        <w:keepNext w:val="0"/>
        <w:keepLines w:val="0"/>
        <w:widowControl w:val="0"/>
        <w:shd w:val="clear" w:color="auto" w:fill="auto"/>
        <w:bidi w:val="0"/>
        <w:spacing w:before="0" w:after="720" w:line="240" w:lineRule="auto"/>
        <w:ind w:left="0" w:right="0" w:firstLine="420"/>
        <w:jc w:val="both"/>
      </w:pPr>
      <w:r>
        <w:rPr>
          <w:color w:val="000000"/>
          <w:spacing w:val="0"/>
          <w:w w:val="100"/>
          <w:position w:val="0"/>
        </w:rPr>
        <w:t>本公司职工薪酬包括短期薪酬、离职后福利和辞退福利。</w:t>
      </w:r>
    </w:p>
    <w:p>
      <w:pPr>
        <w:pStyle w:val="Style36"/>
        <w:keepNext/>
        <w:keepLines/>
        <w:widowControl w:val="0"/>
        <w:shd w:val="clear" w:color="auto" w:fill="auto"/>
        <w:bidi w:val="0"/>
        <w:spacing w:before="0" w:after="26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796"/>
      <w:bookmarkEnd w:id="797"/>
      <w:bookmarkEnd w:id="799"/>
    </w:p>
    <w:p>
      <w:pPr>
        <w:pStyle w:val="Style26"/>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短期薪酬主要包括职工工资、奖金、津贴和补贴、职工福利费、医疗保险费、工伤保险费和生育保险费等社会保险费、 住房公积金、工会经费和职工教育经费、短期带薪缺勤以及其他短期薪酬等，在职工提供服务的会计期间，将实际发生的短 期薪酬确认为负债，并按照受益对象计入当期损益或相关资产成本。</w:t>
      </w:r>
    </w:p>
    <w:p>
      <w:pPr>
        <w:pStyle w:val="Style36"/>
        <w:keepNext/>
        <w:keepLines/>
        <w:widowControl w:val="0"/>
        <w:shd w:val="clear" w:color="auto" w:fill="auto"/>
        <w:bidi w:val="0"/>
        <w:spacing w:before="0" w:after="26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00"/>
      <w:bookmarkEnd w:id="801"/>
      <w:bookmarkEnd w:id="803"/>
    </w:p>
    <w:p>
      <w:pPr>
        <w:pStyle w:val="Style26"/>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离职后福利主要包括基本养老保险费、失业保险等，按照公司承担的风险和义务，分类为设定提存计划。对于设定提 存计划在根据在资产负债表日为换取职工在会计期间提供的服务而向单独主体缴存的提存金确认为负债，并按照受益对象计 入当期损益或相关资产成本。</w:t>
      </w:r>
    </w:p>
    <w:p>
      <w:pPr>
        <w:pStyle w:val="Style36"/>
        <w:keepNext/>
        <w:keepLines/>
        <w:widowControl w:val="0"/>
        <w:shd w:val="clear" w:color="auto" w:fill="auto"/>
        <w:bidi w:val="0"/>
        <w:spacing w:before="0" w:after="28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04"/>
      <w:bookmarkEnd w:id="805"/>
      <w:bookmarkEnd w:id="807"/>
    </w:p>
    <w:p>
      <w:pPr>
        <w:pStyle w:val="Style26"/>
        <w:keepNext w:val="0"/>
        <w:keepLines w:val="0"/>
        <w:widowControl w:val="0"/>
        <w:shd w:val="clear" w:color="auto" w:fill="auto"/>
        <w:bidi w:val="0"/>
        <w:spacing w:before="0" w:after="700" w:line="312" w:lineRule="exact"/>
        <w:ind w:left="0" w:right="0" w:firstLine="460"/>
        <w:jc w:val="both"/>
      </w:pPr>
      <w:r>
        <w:rPr>
          <w:color w:val="000000"/>
          <w:spacing w:val="0"/>
          <w:w w:val="100"/>
          <w:position w:val="0"/>
        </w:rPr>
        <w:t>辞退福利是由于因解除与职工的劳动关系而给予的补偿产生，在劳动合同解除日日确认辞退福利产生的职工薪酬负债, 并计入当期损益。</w:t>
      </w:r>
    </w:p>
    <w:p>
      <w:pPr>
        <w:pStyle w:val="Style36"/>
        <w:keepNext/>
        <w:keepLines/>
        <w:widowControl w:val="0"/>
        <w:shd w:val="clear" w:color="auto" w:fill="auto"/>
        <w:bidi w:val="0"/>
        <w:spacing w:before="0" w:after="28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w:t>
      </w:r>
      <w:bookmarkEnd w:id="810"/>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08"/>
      <w:bookmarkEnd w:id="809"/>
      <w:bookmarkEnd w:id="811"/>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2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812"/>
      <w:bookmarkEnd w:id="813"/>
      <w:bookmarkEnd w:id="815"/>
    </w:p>
    <w:p>
      <w:pPr>
        <w:pStyle w:val="Style26"/>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当与或有事项相关的业务同时符合以下条件时，本公司将其确认为负债：该义务是本公司承担的现时义务；该义务的 履行很可能导致经济利益流出企业；该义务的金额能够可靠地计量。</w:t>
      </w:r>
    </w:p>
    <w:p>
      <w:pPr>
        <w:pStyle w:val="Style26"/>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预计负债的计量方法：</w:t>
      </w:r>
    </w:p>
    <w:p>
      <w:pPr>
        <w:pStyle w:val="Style26"/>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本公司预计负债按履行相关现时义务所需的支出的最佳估计数进行初始计量。</w:t>
      </w:r>
    </w:p>
    <w:p>
      <w:pPr>
        <w:pStyle w:val="Style26"/>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26"/>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最佳估计数分别以下情况处理：</w:t>
      </w:r>
    </w:p>
    <w:p>
      <w:pPr>
        <w:pStyle w:val="Style26"/>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6"/>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6"/>
        <w:keepNext w:val="0"/>
        <w:keepLines w:val="0"/>
        <w:widowControl w:val="0"/>
        <w:shd w:val="clear" w:color="auto" w:fill="auto"/>
        <w:bidi w:val="0"/>
        <w:spacing w:before="0" w:after="700" w:line="312" w:lineRule="exact"/>
        <w:ind w:left="0" w:right="0" w:firstLine="46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2"/>
        <w:keepNext/>
        <w:keepLines/>
        <w:widowControl w:val="0"/>
        <w:shd w:val="clear" w:color="auto" w:fill="auto"/>
        <w:bidi w:val="0"/>
        <w:spacing w:before="0" w:after="2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rFonts w:ascii="Times New Roman" w:eastAsia="Times New Roman" w:hAnsi="Times New Roman" w:cs="Times New Roman"/>
          <w:color w:val="000000"/>
          <w:spacing w:val="0"/>
          <w:w w:val="100"/>
          <w:position w:val="0"/>
        </w:rPr>
        <w:t>0</w:t>
      </w:r>
      <w:r>
        <w:rPr>
          <w:color w:val="000000"/>
          <w:spacing w:val="0"/>
          <w:w w:val="100"/>
          <w:position w:val="0"/>
        </w:rPr>
        <w:t>、股份支付</w:t>
      </w:r>
      <w:bookmarkEnd w:id="816"/>
      <w:bookmarkEnd w:id="817"/>
      <w:bookmarkEnd w:id="819"/>
    </w:p>
    <w:p>
      <w:pPr>
        <w:pStyle w:val="Style26"/>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用以换取职工提供服务的以权益结算的股份支付，以授予职工权益工具在授予日的公允价值计量。该公允价值的金额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直线法计算计入相关成本或费用，相应增加资本公积。</w:t>
      </w:r>
    </w:p>
    <w:p>
      <w:pPr>
        <w:pStyle w:val="Style26"/>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以现金结算的股份支付，按照本公司承担的以股份或其他权益工具为基础确定的负债的公允价值计量。如授予后立即 可行权，在授予日以承担负债的公允价值计入相关成本或费用，相应增加负债；如需完成等待期内的服务或达到规定业绩条 件以后才可行权，在等待期的每个资产负债表日，以对可行权情况的最佳估计为基础，按照本公司承担负债的公允价值金额， 将当期取得的服务计入成本或费用，相应调整负债。</w:t>
      </w:r>
    </w:p>
    <w:p>
      <w:pPr>
        <w:pStyle w:val="Style26"/>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在相关负债结算前的每个资产负债表日以及结算日，对负债的公允价值重新计量，其变动计入当期损益。</w:t>
      </w:r>
    </w:p>
    <w:p>
      <w:pPr>
        <w:pStyle w:val="Style26"/>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本公司在等待期内取消所授予权益工具的（因未满足可行权条件而被取消的除外），作为加速行权处理，即视同剩余等 待期内的股权支付计划已经全部满足可行权条件，在取消所授予权益工具的当期确认剩余等待期内的所有费用。</w:t>
      </w:r>
    </w:p>
    <w:p>
      <w:pPr>
        <w:pStyle w:val="Style32"/>
        <w:keepNext/>
        <w:keepLines/>
        <w:widowControl w:val="0"/>
        <w:shd w:val="clear" w:color="auto" w:fill="auto"/>
        <w:bidi w:val="0"/>
        <w:spacing w:before="0" w:after="280" w:line="240" w:lineRule="auto"/>
        <w:ind w:left="0" w:right="0" w:firstLine="0"/>
        <w:jc w:val="both"/>
      </w:pPr>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820"/>
      <w:bookmarkEnd w:id="821"/>
      <w:bookmarkEnd w:id="822"/>
    </w:p>
    <w:p>
      <w:pPr>
        <w:pStyle w:val="Style26"/>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是</w:t>
      </w:r>
    </w:p>
    <w:p>
      <w:pPr>
        <w:pStyle w:val="Style26"/>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互联网游戏业</w:t>
      </w:r>
    </w:p>
    <w:p>
      <w:pPr>
        <w:pStyle w:val="Style26"/>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6"/>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本公司的营业收入主要包括网络游戏收入和让渡资产使用权收入。其中网络游戏收收入主要包括游戏运营和游戏著作 权、运营权转让，游戏运营模式主要包括官方运营（包括公司自主运营、与游戏平台联合运营）和分服运营。收入确认政策 如下：</w:t>
      </w:r>
    </w:p>
    <w:p>
      <w:pPr>
        <w:pStyle w:val="Style26"/>
        <w:keepNext w:val="0"/>
        <w:keepLines w:val="0"/>
        <w:widowControl w:val="0"/>
        <w:shd w:val="clear" w:color="auto" w:fill="auto"/>
        <w:bidi w:val="0"/>
        <w:spacing w:before="0" w:after="220" w:line="314" w:lineRule="exact"/>
        <w:ind w:left="0" w:right="0" w:firstLine="44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）网络游戏收入</w:t>
      </w:r>
    </w:p>
    <w:p>
      <w:pPr>
        <w:pStyle w:val="Style26"/>
        <w:keepNext w:val="0"/>
        <w:keepLines w:val="0"/>
        <w:widowControl w:val="0"/>
        <w:shd w:val="clear" w:color="auto" w:fill="auto"/>
        <w:bidi w:val="0"/>
        <w:spacing w:before="0" w:after="220" w:line="314"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）官方运营收入的确认原则、方式和流程</w:t>
      </w:r>
    </w:p>
    <w:p>
      <w:pPr>
        <w:pStyle w:val="Style26"/>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①公司自主运营收入的确认原则、方式和流程</w:t>
      </w:r>
    </w:p>
    <w:p>
      <w:pPr>
        <w:pStyle w:val="Style26"/>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公司是通过游戏玩家在网络游戏中购买虚拟游戏装备、某些特殊游戏功能模块或为游戏在线时间支付费用的方式取得 在线网络游戏运营收入。游戏玩家可以从公司的游戏点卡经销商处购得游戏点卡，也可以从公司的官方运营网站上通过银行 借记卡、信用卡、手机支付以及银行转账等方式购得游戏点卡。游戏玩家可以使用上述游戏点卡进入公司的运营网络游戏中 进行消费（如购买游戏虚拟装备及其他特殊游戏功能体验或购买游戏在线时间等）。</w:t>
      </w:r>
    </w:p>
    <w:p>
      <w:pPr>
        <w:pStyle w:val="Style26"/>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公司在道具收费模式下，游戏玩家可以免费体验公司在线运营的网络游戏的基本功能，只有游戏玩家购买游戏中的虚 拟道具时才需要支付费用。销售游戏虚拟道具所取得的收入在游戏玩家实际使用虚拟货币购买道具时予以确认。其收入确认 流程如下：</w:t>
      </w:r>
    </w:p>
    <w:p>
      <w:pPr>
        <w:widowControl w:val="0"/>
        <w:jc w:val="center"/>
        <w:rPr>
          <w:sz w:val="2"/>
          <w:szCs w:val="2"/>
        </w:rPr>
      </w:pPr>
      <w:r>
        <w:drawing>
          <wp:inline>
            <wp:extent cx="4852670" cy="277368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a:stretch/>
                  </pic:blipFill>
                  <pic:spPr>
                    <a:xfrm>
                      <a:ext cx="4852670" cy="2773680"/>
                    </a:xfrm>
                    <a:prstGeom prst="rect"/>
                  </pic:spPr>
                </pic:pic>
              </a:graphicData>
            </a:graphic>
          </wp:inline>
        </w:drawing>
      </w:r>
      <w:r>
        <w:br w:type="page"/>
      </w:r>
    </w:p>
    <w:p>
      <w:pPr>
        <w:pStyle w:val="Style26"/>
        <w:keepNext w:val="0"/>
        <w:keepLines w:val="0"/>
        <w:widowControl w:val="0"/>
        <w:shd w:val="clear" w:color="auto" w:fill="auto"/>
        <w:bidi w:val="0"/>
        <w:spacing w:before="0" w:after="240" w:line="311" w:lineRule="exact"/>
        <w:ind w:left="0" w:right="0" w:firstLine="440"/>
        <w:jc w:val="both"/>
      </w:pPr>
      <w:r>
        <w:rPr>
          <w:color w:val="000000"/>
          <w:spacing w:val="0"/>
          <w:w w:val="100"/>
          <w:position w:val="0"/>
        </w:rPr>
        <w:t>②与游戏平台联合运营收入的确认原则、方式和流程：</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公司与多家大型网络游戏平台签订合作运营网络游戏协议，其玩家通过平台的宣传了解公司游戏产品，直接通过平台 提供的游戏链接下载游戏客户端，注册后进入游戏。游戏用户通过购买平台发行的点卡充值到账户中兑换成虚拟货币，在游 戏中购买道具等虚拟物品。虽然游戏玩家购买的是平台发行的点卡，并通过平台的链接进入到游戏，但是游戏的服务器由公 司提供，游戏的维护、升级、客户服务等仍由公司负责。网络游戏平台将其在合作运营游戏中取得的收入按协议约定的比例 分成给公司，在双方核对数据确认无误后，公司确认营业收入。其收入确认流程如下：</w:t>
      </w:r>
    </w:p>
    <w:p>
      <w:pPr>
        <w:widowControl w:val="0"/>
        <w:spacing w:line="1" w:lineRule="exact"/>
        <w:sectPr>
          <w:footnotePr>
            <w:pos w:val="pageBottom"/>
            <w:numFmt w:val="decimal"/>
            <w:numRestart w:val="continuous"/>
          </w:footnotePr>
          <w:type w:val="continuous"/>
          <w:pgSz w:w="11900" w:h="16840"/>
          <w:pgMar w:top="1378" w:right="1019" w:bottom="1455" w:left="1017" w:header="0" w:footer="3" w:gutter="0"/>
          <w:cols w:space="720"/>
          <w:noEndnote/>
          <w:rtlGutter w:val="0"/>
          <w:docGrid w:linePitch="360"/>
        </w:sectPr>
      </w:pPr>
      <w:r>
        <w:drawing>
          <wp:anchor distT="127000" distB="350520" distL="36830" distR="0" simplePos="0" relativeHeight="125829402" behindDoc="0" locked="0" layoutInCell="1" allowOverlap="1">
            <wp:simplePos x="0" y="0"/>
            <wp:positionH relativeFrom="page">
              <wp:posOffset>1010285</wp:posOffset>
            </wp:positionH>
            <wp:positionV relativeFrom="paragraph">
              <wp:posOffset>127000</wp:posOffset>
            </wp:positionV>
            <wp:extent cx="5309870" cy="2938145"/>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3"/>
                    <a:stretch/>
                  </pic:blipFill>
                  <pic:spPr>
                    <a:xfrm>
                      <a:ext cx="5309870" cy="29381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973455</wp:posOffset>
                </wp:positionH>
                <wp:positionV relativeFrom="paragraph">
                  <wp:posOffset>3260090</wp:posOffset>
                </wp:positionV>
                <wp:extent cx="2374265" cy="152400"/>
                <wp:wrapNone/>
                <wp:docPr id="39" name="Shape 39"/>
                <a:graphic xmlns:a="http://schemas.openxmlformats.org/drawingml/2006/main">
                  <a:graphicData uri="http://schemas.microsoft.com/office/word/2010/wordprocessingShape">
                    <wps:wsp>
                      <wps:cNvSpPr txBox="1"/>
                      <wps:spPr>
                        <a:xfrm>
                          <a:ext cx="2374265" cy="15240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）分服运营服务收入的确认原则、方式和流程</w:t>
                            </w:r>
                          </w:p>
                        </w:txbxContent>
                      </wps:txbx>
                      <wps:bodyPr lIns="0" tIns="0" rIns="0" bIns="0">
                        <a:noAutoFit/>
                      </wps:bodyPr>
                    </wps:wsp>
                  </a:graphicData>
                </a:graphic>
              </wp:anchor>
            </w:drawing>
          </mc:Choice>
          <mc:Fallback>
            <w:pict>
              <v:shape id="_x0000_s1065" type="#_x0000_t202" style="position:absolute;margin-left:76.650000000000006pt;margin-top:256.69999999999999pt;width:186.95000000000002pt;height:12.pt;z-index:251657729;mso-wrap-distance-left:0;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）分服运营服务收入的确认原则、方式和流程</w:t>
                      </w:r>
                    </w:p>
                  </w:txbxContent>
                </v:textbox>
                <w10:wrap anchorx="page"/>
              </v:shape>
            </w:pict>
          </mc:Fallback>
        </mc:AlternateContent>
      </w:r>
    </w:p>
    <w:p>
      <w:pPr>
        <w:widowControl w:val="0"/>
        <w:spacing w:line="215" w:lineRule="exact"/>
        <w:rPr>
          <w:sz w:val="17"/>
          <w:szCs w:val="17"/>
        </w:rPr>
      </w:pPr>
    </w:p>
    <w:p>
      <w:pPr>
        <w:widowControl w:val="0"/>
        <w:spacing w:line="1" w:lineRule="exact"/>
        <w:sectPr>
          <w:footnotePr>
            <w:pos w:val="pageBottom"/>
            <w:numFmt w:val="decimal"/>
            <w:numRestart w:val="continuous"/>
          </w:footnotePr>
          <w:type w:val="continuous"/>
          <w:pgSz w:w="11900" w:h="16840"/>
          <w:pgMar w:top="1388" w:right="0" w:bottom="1388" w:left="0" w:header="0" w:footer="3" w:gutter="0"/>
          <w:cols w:space="720"/>
          <w:noEndnote/>
          <w:rtlGutter w:val="0"/>
          <w:docGrid w:linePitch="360"/>
        </w:sectPr>
      </w:pPr>
    </w:p>
    <w:p>
      <w:pPr>
        <w:pStyle w:val="Style2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公司与分服商签订合作运营协议，由公司为其提供约定的后续服务，分服商将其在合作运营游戏中取得的收入按协议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约定的比例分成给公司，在双方核对数据确认无误后，公司确认营业收入。其收入确认流程如下:</w:t>
      </w:r>
    </w:p>
    <w:p>
      <w:pPr>
        <w:widowControl w:val="0"/>
        <w:spacing w:line="1" w:lineRule="exact"/>
        <w:sectPr>
          <w:footnotePr>
            <w:pos w:val="pageBottom"/>
            <w:numFmt w:val="decimal"/>
            <w:numRestart w:val="continuous"/>
          </w:footnotePr>
          <w:type w:val="continuous"/>
          <w:pgSz w:w="11900" w:h="16840"/>
          <w:pgMar w:top="1388" w:right="1114" w:bottom="1388" w:left="1128" w:header="0" w:footer="3" w:gutter="0"/>
          <w:cols w:space="720"/>
          <w:noEndnote/>
          <w:rtlGutter w:val="0"/>
          <w:docGrid w:linePitch="360"/>
        </w:sectPr>
      </w:pPr>
      <w:r>
        <w:drawing>
          <wp:anchor distT="2368550" distB="0" distL="0" distR="0" simplePos="0" relativeHeight="125829403" behindDoc="0" locked="0" layoutInCell="1" allowOverlap="1">
            <wp:simplePos x="0" y="0"/>
            <wp:positionH relativeFrom="page">
              <wp:posOffset>1574165</wp:posOffset>
            </wp:positionH>
            <wp:positionV relativeFrom="paragraph">
              <wp:posOffset>2368550</wp:posOffset>
            </wp:positionV>
            <wp:extent cx="1615440" cy="33528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5"/>
                    <a:stretch/>
                  </pic:blipFill>
                  <pic:spPr>
                    <a:xfrm>
                      <a:ext cx="1615440" cy="335280"/>
                    </a:xfrm>
                    <a:prstGeom prst="rect"/>
                  </pic:spPr>
                </pic:pic>
              </a:graphicData>
            </a:graphic>
          </wp:anchor>
        </w:drawing>
      </w:r>
      <w:r>
        <w:drawing>
          <wp:anchor distT="685800" distB="42545" distL="0" distR="0" simplePos="0" relativeHeight="125829404" behindDoc="0" locked="0" layoutInCell="1" allowOverlap="1">
            <wp:simplePos x="0" y="0"/>
            <wp:positionH relativeFrom="page">
              <wp:posOffset>3201670</wp:posOffset>
            </wp:positionH>
            <wp:positionV relativeFrom="paragraph">
              <wp:posOffset>685800</wp:posOffset>
            </wp:positionV>
            <wp:extent cx="2212975" cy="197485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7"/>
                    <a:stretch/>
                  </pic:blipFill>
                  <pic:spPr>
                    <a:xfrm>
                      <a:ext cx="2212975" cy="1974850"/>
                    </a:xfrm>
                    <a:prstGeom prst="rect"/>
                  </pic:spPr>
                </pic:pic>
              </a:graphicData>
            </a:graphic>
          </wp:anchor>
        </w:drawing>
      </w:r>
    </w:p>
    <w:p>
      <w:pPr>
        <w:pStyle w:val="Style2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公司与分服运营商签订合作运营网络游戏协议，由于公司需后续不断提供服务，将一次性收取的版权金予以递延并列 为其他流动负债项下的递延收益，分别于协议约定的受益期间内对其按直线法摊销确认营业收入。</w:t>
      </w:r>
    </w:p>
    <w:p>
      <w:pPr>
        <w:pStyle w:val="Style26"/>
        <w:keepNext w:val="0"/>
        <w:keepLines w:val="0"/>
        <w:widowControl w:val="0"/>
        <w:shd w:val="clear" w:color="auto" w:fill="auto"/>
        <w:bidi w:val="0"/>
        <w:spacing w:before="0" w:after="120" w:line="360" w:lineRule="auto"/>
        <w:ind w:left="0" w:right="0" w:firstLine="4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）游戏产品著作权、运营权转让收入的确认原则、方式和流程</w:t>
      </w:r>
    </w:p>
    <w:p>
      <w:pPr>
        <w:pStyle w:val="Style26"/>
        <w:keepNext w:val="0"/>
        <w:keepLines w:val="0"/>
        <w:widowControl w:val="0"/>
        <w:shd w:val="clear" w:color="auto" w:fill="auto"/>
        <w:bidi w:val="0"/>
        <w:spacing w:before="0" w:after="220" w:line="307" w:lineRule="exact"/>
        <w:ind w:left="0" w:right="0" w:firstLine="440"/>
        <w:jc w:val="both"/>
      </w:pPr>
      <w:r>
        <w:rPr>
          <w:color w:val="000000"/>
          <w:spacing w:val="0"/>
          <w:w w:val="100"/>
          <w:position w:val="0"/>
        </w:rPr>
        <w:t>公司按照合同条款将游戏产品交付对方后，由于公司不再提供与该款游戏相关的任何服务，同时也不再享有该游戏相 关的权益，于对方验收合格后一次性确认营业收入。</w:t>
      </w:r>
    </w:p>
    <w:p>
      <w:pPr>
        <w:pStyle w:val="Style26"/>
        <w:keepNext w:val="0"/>
        <w:keepLines w:val="0"/>
        <w:widowControl w:val="0"/>
        <w:shd w:val="clear" w:color="auto" w:fill="auto"/>
        <w:bidi w:val="0"/>
        <w:spacing w:before="0" w:after="220" w:line="310" w:lineRule="exact"/>
        <w:ind w:left="0" w:right="0" w:firstLine="44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）让渡资产使用权收入</w:t>
      </w:r>
    </w:p>
    <w:p>
      <w:pPr>
        <w:pStyle w:val="Style26"/>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与交易相关的经济利益很可能流入企业，收入的金额能够可靠地计量时，分别下列情况确定让渡资产使用权收入金额：</w:t>
      </w:r>
    </w:p>
    <w:p>
      <w:pPr>
        <w:pStyle w:val="Style26"/>
        <w:keepNext w:val="0"/>
        <w:keepLines w:val="0"/>
        <w:widowControl w:val="0"/>
        <w:shd w:val="clear" w:color="auto" w:fill="auto"/>
        <w:tabs>
          <w:tab w:pos="789" w:val="left"/>
        </w:tabs>
        <w:bidi w:val="0"/>
        <w:spacing w:before="0" w:after="220" w:line="360" w:lineRule="auto"/>
        <w:ind w:left="0" w:right="0" w:firstLine="440"/>
        <w:jc w:val="both"/>
      </w:pPr>
      <w:bookmarkStart w:id="825" w:name="bookmark825"/>
      <w:r>
        <w:rPr>
          <w:rFonts w:ascii="Times New Roman" w:eastAsia="Times New Roman" w:hAnsi="Times New Roman" w:cs="Times New Roman"/>
          <w:color w:val="000000"/>
          <w:spacing w:val="0"/>
          <w:w w:val="100"/>
          <w:position w:val="0"/>
          <w:sz w:val="18"/>
          <w:szCs w:val="18"/>
        </w:rPr>
        <w:t>1</w:t>
      </w:r>
      <w:bookmarkEnd w:id="825"/>
      <w:r>
        <w:rPr>
          <w:color w:val="000000"/>
          <w:spacing w:val="0"/>
          <w:w w:val="100"/>
          <w:position w:val="0"/>
        </w:rPr>
        <w:t>）</w:t>
        <w:tab/>
        <w:t>利息收入金额，按照他人使用本企业货币资金的时间和实际利率计算确定。</w:t>
      </w:r>
    </w:p>
    <w:p>
      <w:pPr>
        <w:pStyle w:val="Style26"/>
        <w:keepNext w:val="0"/>
        <w:keepLines w:val="0"/>
        <w:widowControl w:val="0"/>
        <w:shd w:val="clear" w:color="auto" w:fill="auto"/>
        <w:tabs>
          <w:tab w:pos="808" w:val="left"/>
        </w:tabs>
        <w:bidi w:val="0"/>
        <w:spacing w:before="0" w:after="580" w:line="360" w:lineRule="auto"/>
        <w:ind w:left="0" w:right="0" w:firstLine="440"/>
        <w:jc w:val="both"/>
      </w:pPr>
      <w:bookmarkStart w:id="826" w:name="bookmark826"/>
      <w:r>
        <w:rPr>
          <w:rFonts w:ascii="Times New Roman" w:eastAsia="Times New Roman" w:hAnsi="Times New Roman" w:cs="Times New Roman"/>
          <w:color w:val="000000"/>
          <w:spacing w:val="0"/>
          <w:w w:val="100"/>
          <w:position w:val="0"/>
          <w:sz w:val="18"/>
          <w:szCs w:val="18"/>
        </w:rPr>
        <w:t>2</w:t>
      </w:r>
      <w:bookmarkEnd w:id="826"/>
      <w:r>
        <w:rPr>
          <w:color w:val="000000"/>
          <w:spacing w:val="0"/>
          <w:w w:val="100"/>
          <w:position w:val="0"/>
        </w:rPr>
        <w:t>）</w:t>
        <w:tab/>
        <w:t>使用费收入金额，按照有关合同或协议约定的收费时间和方法计算确定。</w:t>
      </w:r>
    </w:p>
    <w:p>
      <w:pPr>
        <w:pStyle w:val="Style32"/>
        <w:keepNext/>
        <w:keepLines/>
        <w:widowControl w:val="0"/>
        <w:shd w:val="clear" w:color="auto" w:fill="auto"/>
        <w:tabs>
          <w:tab w:pos="483" w:val="left"/>
        </w:tabs>
        <w:bidi w:val="0"/>
        <w:spacing w:before="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827"/>
      <w:bookmarkEnd w:id="828"/>
      <w:bookmarkEnd w:id="830"/>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本公司的政府补助包括增值税即征即退、发展专项资金、出口奖励和品牌培育资助等。</w:t>
      </w:r>
    </w:p>
    <w:p>
      <w:pPr>
        <w:pStyle w:val="Style26"/>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政府补助为货币性资产的，按照实际收到的金额计量，对于按照固定的定额标准拨付的补助，或对年末有确凿证据表明能够 符合财政扶持政策规定的相关条件且预计能够收到财政扶持资金时，按照应收的金额计量；政府补助为非货币性资产的， 按照公允价值计量，公允价值不能可靠取得的，按照名义金额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w:t>
      </w:r>
    </w:p>
    <w:p>
      <w:pPr>
        <w:pStyle w:val="Style36"/>
        <w:keepNext/>
        <w:keepLines/>
        <w:widowControl w:val="0"/>
        <w:shd w:val="clear" w:color="auto" w:fill="auto"/>
        <w:tabs>
          <w:tab w:pos="493" w:val="left"/>
        </w:tabs>
        <w:bidi w:val="0"/>
        <w:spacing w:before="0" w:after="28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31"/>
      <w:bookmarkEnd w:id="832"/>
      <w:bookmarkEnd w:id="834"/>
    </w:p>
    <w:p>
      <w:pPr>
        <w:pStyle w:val="Style26"/>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与资产相关的政府补助确认为递延收益，在相关资产使用寿命内平均分配计入当期损益。</w:t>
      </w:r>
    </w:p>
    <w:p>
      <w:pPr>
        <w:pStyle w:val="Style36"/>
        <w:keepNext/>
        <w:keepLines/>
        <w:widowControl w:val="0"/>
        <w:shd w:val="clear" w:color="auto" w:fill="auto"/>
        <w:tabs>
          <w:tab w:pos="493" w:val="left"/>
        </w:tabs>
        <w:bidi w:val="0"/>
        <w:spacing w:before="0" w:after="28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35"/>
      <w:bookmarkEnd w:id="836"/>
      <w:bookmarkEnd w:id="838"/>
    </w:p>
    <w:p>
      <w:pPr>
        <w:pStyle w:val="Style2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与收益相关的政府补助，用于补偿以后期间的相关费用或损失的，确认为递延收益，并在确认相关费用的期间计入当 期损益；用于补偿已发生的相关费用或损失的，直接计入当期损益。</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39"/>
      <w:bookmarkEnd w:id="840"/>
      <w:bookmarkEnd w:id="842"/>
    </w:p>
    <w:p>
      <w:pPr>
        <w:pStyle w:val="Style26"/>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本公司递延所得税资产和递延所得税负债根据资产和负债的计税基础与其账面价值的差额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 按照税法规定能够于以后年度抵减应纳税所得额的可抵扣亏损，确认相应的递延所得税资产。对于商誉的初始确认产生的暂 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pStyle w:val="Style2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本公司以很可能取得用来抵扣可抵扣暂时性差异、可抵扣亏损和税款抵减的未来应纳税所得额为限，确认递延所得税 资产。</w:t>
      </w:r>
    </w:p>
    <w:p>
      <w:pPr>
        <w:pStyle w:val="Style32"/>
        <w:keepNext/>
        <w:keepLines/>
        <w:widowControl w:val="0"/>
        <w:shd w:val="clear" w:color="auto" w:fill="auto"/>
        <w:tabs>
          <w:tab w:pos="483" w:val="left"/>
        </w:tabs>
        <w:bidi w:val="0"/>
        <w:spacing w:before="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843"/>
      <w:bookmarkEnd w:id="844"/>
      <w:bookmarkEnd w:id="846"/>
    </w:p>
    <w:p>
      <w:pPr>
        <w:pStyle w:val="Style36"/>
        <w:keepNext/>
        <w:keepLines/>
        <w:widowControl w:val="0"/>
        <w:shd w:val="clear" w:color="auto" w:fill="auto"/>
        <w:tabs>
          <w:tab w:pos="493" w:val="left"/>
        </w:tabs>
        <w:bidi w:val="0"/>
        <w:spacing w:before="0" w:after="36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847"/>
      <w:bookmarkEnd w:id="848"/>
      <w:bookmarkEnd w:id="850"/>
    </w:p>
    <w:p>
      <w:pPr>
        <w:pStyle w:val="Style26"/>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本公司的租赁业务包括经营租赁租入房屋建筑物。</w:t>
      </w:r>
    </w:p>
    <w:p>
      <w:pPr>
        <w:pStyle w:val="Style26"/>
        <w:keepNext w:val="0"/>
        <w:keepLines w:val="0"/>
        <w:widowControl w:val="0"/>
        <w:shd w:val="clear" w:color="auto" w:fill="auto"/>
        <w:bidi w:val="0"/>
        <w:spacing w:before="0" w:after="720" w:line="240" w:lineRule="auto"/>
        <w:ind w:left="0" w:right="0" w:firstLine="460"/>
        <w:jc w:val="left"/>
      </w:pPr>
      <w:r>
        <w:rPr>
          <w:color w:val="000000"/>
          <w:spacing w:val="0"/>
          <w:w w:val="100"/>
          <w:position w:val="0"/>
        </w:rPr>
        <w:t>本公司作为经营租赁承租方的租金在租赁期内的各个期间按直线法计入相关资产成本或当期损益。</w:t>
      </w:r>
    </w:p>
    <w:p>
      <w:pPr>
        <w:pStyle w:val="Style36"/>
        <w:keepNext/>
        <w:keepLines/>
        <w:widowControl w:val="0"/>
        <w:shd w:val="clear" w:color="auto" w:fill="auto"/>
        <w:tabs>
          <w:tab w:pos="493" w:val="left"/>
        </w:tabs>
        <w:bidi w:val="0"/>
        <w:spacing w:before="0" w:after="360" w:line="240" w:lineRule="auto"/>
        <w:ind w:left="0" w:right="0" w:firstLine="0"/>
        <w:jc w:val="both"/>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851"/>
      <w:bookmarkEnd w:id="852"/>
      <w:bookmarkEnd w:id="854"/>
    </w:p>
    <w:p>
      <w:pPr>
        <w:pStyle w:val="Style26"/>
        <w:keepNext w:val="0"/>
        <w:keepLines w:val="0"/>
        <w:widowControl w:val="0"/>
        <w:shd w:val="clear" w:color="auto" w:fill="auto"/>
        <w:bidi w:val="0"/>
        <w:spacing w:before="0" w:after="72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855"/>
      <w:bookmarkEnd w:id="856"/>
      <w:bookmarkEnd w:id="858"/>
    </w:p>
    <w:p>
      <w:pPr>
        <w:pStyle w:val="Style36"/>
        <w:keepNext/>
        <w:keepLines/>
        <w:widowControl w:val="0"/>
        <w:shd w:val="clear" w:color="auto" w:fill="auto"/>
        <w:tabs>
          <w:tab w:pos="493" w:val="left"/>
        </w:tabs>
        <w:bidi w:val="0"/>
        <w:spacing w:before="0" w:after="360" w:line="240" w:lineRule="auto"/>
        <w:ind w:left="0" w:right="0" w:firstLine="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859"/>
      <w:bookmarkEnd w:id="860"/>
      <w:bookmarkEnd w:id="862"/>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360" w:line="240" w:lineRule="auto"/>
        <w:ind w:left="0" w:right="0" w:firstLine="0"/>
        <w:jc w:val="both"/>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63"/>
      <w:bookmarkEnd w:id="864"/>
      <w:bookmarkEnd w:id="866"/>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867" w:name="bookmark867"/>
      <w:bookmarkStart w:id="868" w:name="bookmark868"/>
      <w:bookmarkStart w:id="869" w:name="bookmark869"/>
      <w:bookmarkStart w:id="870" w:name="bookmark870"/>
      <w:r>
        <w:rPr>
          <w:color w:val="000000"/>
          <w:spacing w:val="0"/>
          <w:w w:val="100"/>
          <w:position w:val="0"/>
          <w:sz w:val="24"/>
          <w:szCs w:val="24"/>
        </w:rPr>
        <w:t>六</w:t>
      </w:r>
      <w:bookmarkEnd w:id="869"/>
      <w:r>
        <w:rPr>
          <w:color w:val="000000"/>
          <w:spacing w:val="0"/>
          <w:w w:val="100"/>
          <w:position w:val="0"/>
          <w:sz w:val="24"/>
          <w:szCs w:val="24"/>
        </w:rPr>
        <w:t>、税项</w:t>
      </w:r>
      <w:bookmarkEnd w:id="867"/>
      <w:bookmarkEnd w:id="868"/>
      <w:bookmarkEnd w:id="870"/>
    </w:p>
    <w:p>
      <w:pPr>
        <w:pStyle w:val="Style32"/>
        <w:keepNext/>
        <w:keepLines/>
        <w:widowControl w:val="0"/>
        <w:shd w:val="clear" w:color="auto" w:fill="auto"/>
        <w:bidi w:val="0"/>
        <w:spacing w:before="0" w:line="240" w:lineRule="auto"/>
        <w:ind w:left="0" w:right="0" w:firstLine="0"/>
        <w:jc w:val="both"/>
      </w:pPr>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871"/>
      <w:bookmarkEnd w:id="872"/>
      <w:bookmarkEnd w:id="87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软件服务收入、转让无形资产、销售不 动产收入及租赁服务收入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现代服务业收入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经营自用的房屋，按照房产原值的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为纳税基准，税率为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；出租的房屋， 以租金收入为计税依据，税率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员工个人所得税由本公司代扣代缴。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深圳比格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福州卓越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深圳时代首游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上海集美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深圳五秒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中青宝文化科技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前海古今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天地间文化传媒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北京中青宝文化长城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CUPLAY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美国中青宝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韩国中青宝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香港中青宝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LEEPLAY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LEEGAME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874"/>
      <w:bookmarkEnd w:id="875"/>
      <w:bookmarkEnd w:id="876"/>
    </w:p>
    <w:p>
      <w:pPr>
        <w:pStyle w:val="Style26"/>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增值税</w:t>
      </w:r>
    </w:p>
    <w:p>
      <w:pPr>
        <w:pStyle w:val="Style26"/>
        <w:keepNext w:val="0"/>
        <w:keepLines w:val="0"/>
        <w:widowControl w:val="0"/>
        <w:shd w:val="clear" w:color="auto" w:fill="auto"/>
        <w:tabs>
          <w:tab w:pos="932" w:val="left"/>
        </w:tabs>
        <w:bidi w:val="0"/>
        <w:spacing w:before="0" w:after="120" w:line="310" w:lineRule="exact"/>
        <w:ind w:left="0" w:right="0" w:firstLine="46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根椐国发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号《国务院关于印发进一步鼓励软件产业和集成电路产业发展若干政策的通知》、财税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号《关于软件产品增值税政策的通知》及《深圳市软件产品增值税即征即退管理办法》对增值税一般纳税人销售其自行 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6"/>
        <w:keepNext w:val="0"/>
        <w:keepLines w:val="0"/>
        <w:widowControl w:val="0"/>
        <w:shd w:val="clear" w:color="auto" w:fill="auto"/>
        <w:tabs>
          <w:tab w:pos="8761" w:val="left"/>
        </w:tabs>
        <w:bidi w:val="0"/>
        <w:spacing w:before="0" w:after="120" w:line="312" w:lineRule="exact"/>
        <w:ind w:left="0" w:right="0" w:firstLine="46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根据《财政部、国家税务总局关于在全国开展交通运输业和部分现代服务业营业税改征增值税试点税收政策的通 知》（财税〔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号）及《国家税务总局关于印发</w:t>
      </w:r>
      <w:r>
        <w:rPr>
          <w:color w:val="000000"/>
          <w:spacing w:val="0"/>
          <w:w w:val="100"/>
          <w:position w:val="0"/>
          <w:sz w:val="18"/>
          <w:szCs w:val="18"/>
        </w:rPr>
        <w:t>〈</w:t>
      </w:r>
      <w:r>
        <w:rPr>
          <w:color w:val="000000"/>
          <w:spacing w:val="0"/>
          <w:w w:val="100"/>
          <w:position w:val="0"/>
        </w:rPr>
        <w:t>税收减免管理办法（实行）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的通知》（国税发〔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号），技 术转让、技术开发和与之相关的技术咨询、技术服务免征增值税，已取得福田区国税局深国税福减免备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1663</w:t>
      </w:r>
      <w:r>
        <w:rPr>
          <w:color w:val="000000"/>
          <w:spacing w:val="0"/>
          <w:w w:val="100"/>
          <w:position w:val="0"/>
        </w:rPr>
        <w:t>号、深 国税福减免备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1664</w:t>
      </w:r>
      <w:r>
        <w:rPr>
          <w:color w:val="000000"/>
          <w:spacing w:val="0"/>
          <w:w w:val="100"/>
          <w:position w:val="0"/>
        </w:rPr>
        <w:t>号、深国税福减免备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2070</w:t>
      </w:r>
      <w:r>
        <w:rPr>
          <w:color w:val="000000"/>
          <w:spacing w:val="0"/>
          <w:w w:val="100"/>
          <w:position w:val="0"/>
        </w:rPr>
        <w:t>号增值税税收优惠备案通知书。</w:t>
      </w:r>
    </w:p>
    <w:p>
      <w:pPr>
        <w:pStyle w:val="Style26"/>
        <w:keepNext w:val="0"/>
        <w:keepLines w:val="0"/>
        <w:widowControl w:val="0"/>
        <w:shd w:val="clear" w:color="auto" w:fill="auto"/>
        <w:tabs>
          <w:tab w:pos="851" w:val="left"/>
        </w:tabs>
        <w:bidi w:val="0"/>
        <w:spacing w:before="0" w:after="240" w:line="312" w:lineRule="exact"/>
        <w:ind w:left="0" w:right="0" w:firstLine="46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年度取得福田区国税局深国税福减免备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1343</w:t>
      </w:r>
      <w:r>
        <w:rPr>
          <w:color w:val="000000"/>
          <w:spacing w:val="0"/>
          <w:w w:val="100"/>
          <w:position w:val="0"/>
        </w:rPr>
        <w:t>号、深国税福减免备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0424</w:t>
      </w:r>
      <w:r>
        <w:rPr>
          <w:color w:val="000000"/>
          <w:spacing w:val="0"/>
          <w:w w:val="100"/>
          <w:position w:val="0"/>
        </w:rPr>
        <w:t xml:space="preserve">号、深国税福减免备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1506</w:t>
      </w:r>
      <w:r>
        <w:rPr>
          <w:color w:val="000000"/>
          <w:spacing w:val="0"/>
          <w:w w:val="100"/>
          <w:position w:val="0"/>
        </w:rPr>
        <w:t>号、上海市浦东新区国家税务局文书号为</w:t>
      </w:r>
      <w:r>
        <w:rPr>
          <w:rFonts w:ascii="Times New Roman" w:eastAsia="Times New Roman" w:hAnsi="Times New Roman" w:cs="Times New Roman"/>
          <w:color w:val="000000"/>
          <w:spacing w:val="0"/>
          <w:w w:val="100"/>
          <w:position w:val="0"/>
          <w:sz w:val="18"/>
          <w:szCs w:val="18"/>
        </w:rPr>
        <w:t>3101151412044520</w:t>
      </w:r>
      <w:r>
        <w:rPr>
          <w:color w:val="000000"/>
          <w:spacing w:val="0"/>
          <w:w w:val="100"/>
          <w:position w:val="0"/>
        </w:rPr>
        <w:t>的增值税税收优惠备案通知书，软件出口免税。</w:t>
      </w:r>
    </w:p>
    <w:p>
      <w:pPr>
        <w:pStyle w:val="Style26"/>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企业所得税</w:t>
      </w:r>
    </w:p>
    <w:p>
      <w:pPr>
        <w:pStyle w:val="Style26"/>
        <w:keepNext w:val="0"/>
        <w:keepLines w:val="0"/>
        <w:widowControl w:val="0"/>
        <w:shd w:val="clear" w:color="auto" w:fill="auto"/>
        <w:tabs>
          <w:tab w:pos="932" w:val="left"/>
        </w:tabs>
        <w:bidi w:val="0"/>
        <w:spacing w:before="0" w:after="120" w:line="312" w:lineRule="exact"/>
        <w:ind w:left="0" w:right="0" w:firstLine="46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日，本公司高新技术企业资格复审合格，取得深圳市科技创新委员会、深圳市财政委员会、深圳市 国家税务局、深圳市地方税务局联合颁发的《高新技术企业证书》，证书编号：</w:t>
      </w:r>
      <w:r>
        <w:rPr>
          <w:rFonts w:ascii="Times New Roman" w:eastAsia="Times New Roman" w:hAnsi="Times New Roman" w:cs="Times New Roman"/>
          <w:color w:val="000000"/>
          <w:spacing w:val="0"/>
          <w:w w:val="100"/>
          <w:position w:val="0"/>
          <w:sz w:val="18"/>
          <w:szCs w:val="18"/>
        </w:rPr>
        <w:t>GR201444201357</w:t>
      </w:r>
      <w:r>
        <w:rPr>
          <w:color w:val="000000"/>
          <w:spacing w:val="0"/>
          <w:w w:val="100"/>
          <w:position w:val="0"/>
        </w:rPr>
        <w:t>，</w:t>
      </w:r>
      <w:r>
        <w:rPr>
          <w:color w:val="000000"/>
          <w:spacing w:val="0"/>
          <w:w w:val="100"/>
          <w:position w:val="0"/>
        </w:rPr>
        <w:t>企业所得税税率自</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年起（包括</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的优惠政策。</w:t>
      </w:r>
    </w:p>
    <w:p>
      <w:pPr>
        <w:pStyle w:val="Style26"/>
        <w:keepNext w:val="0"/>
        <w:keepLines w:val="0"/>
        <w:widowControl w:val="0"/>
        <w:shd w:val="clear" w:color="auto" w:fill="auto"/>
        <w:tabs>
          <w:tab w:pos="928" w:val="left"/>
        </w:tabs>
        <w:bidi w:val="0"/>
        <w:spacing w:before="0" w:after="100" w:line="317" w:lineRule="exact"/>
        <w:ind w:left="0" w:right="0" w:firstLine="46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日，本公司控股子公司上海美峰获得上海市科学技术局、上海市财政局、上海市国家税务局、上海 市地方税务局联合颁发的高新技术企业证书，证书编号：</w:t>
      </w:r>
      <w:r>
        <w:rPr>
          <w:rFonts w:ascii="Times New Roman" w:eastAsia="Times New Roman" w:hAnsi="Times New Roman" w:cs="Times New Roman"/>
          <w:color w:val="000000"/>
          <w:spacing w:val="0"/>
          <w:w w:val="100"/>
          <w:position w:val="0"/>
          <w:sz w:val="18"/>
          <w:szCs w:val="18"/>
        </w:rPr>
        <w:t>GR201531000655</w:t>
      </w:r>
      <w:r>
        <w:rPr>
          <w:color w:val="000000"/>
          <w:spacing w:val="0"/>
          <w:w w:val="100"/>
          <w:position w:val="0"/>
        </w:rPr>
        <w:t>,</w:t>
      </w:r>
      <w:r>
        <w:rPr>
          <w:color w:val="000000"/>
          <w:spacing w:val="0"/>
          <w:w w:val="100"/>
          <w:position w:val="0"/>
        </w:rPr>
        <w:t>企业所得税税率自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年起（包括</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的优惠政策。</w:t>
      </w:r>
    </w:p>
    <w:p>
      <w:pPr>
        <w:pStyle w:val="Style26"/>
        <w:keepNext w:val="0"/>
        <w:keepLines w:val="0"/>
        <w:widowControl w:val="0"/>
        <w:shd w:val="clear" w:color="auto" w:fill="auto"/>
        <w:tabs>
          <w:tab w:pos="932" w:val="left"/>
        </w:tabs>
        <w:bidi w:val="0"/>
        <w:spacing w:before="0" w:after="100" w:line="314" w:lineRule="exact"/>
        <w:ind w:left="0" w:right="0" w:firstLine="46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日，本公司控股孙公司深圳比格获得深圳市蛇口国家税务局税收优惠备案通知书，深国税蛇减免备 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号，核定深圳比格从开始获利年度起，两年免征企业所得税，三年减半征收企业所得税。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年为该公司的首 个获利年度，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年度按减半</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的税率征收企业所得税。</w:t>
      </w:r>
    </w:p>
    <w:p>
      <w:pPr>
        <w:pStyle w:val="Style26"/>
        <w:keepNext w:val="0"/>
        <w:keepLines w:val="0"/>
        <w:widowControl w:val="0"/>
        <w:shd w:val="clear" w:color="auto" w:fill="auto"/>
        <w:tabs>
          <w:tab w:pos="942" w:val="left"/>
        </w:tabs>
        <w:bidi w:val="0"/>
        <w:spacing w:before="0" w:after="100" w:line="312" w:lineRule="exact"/>
        <w:ind w:left="0" w:right="0" w:firstLine="46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日，本公司控股子公司福州卓越获得福建省信息化局颁发的《软件企业认定证书》，证书编号：闽 </w:t>
      </w:r>
      <w:r>
        <w:rPr>
          <w:rFonts w:ascii="Times New Roman" w:eastAsia="Times New Roman" w:hAnsi="Times New Roman" w:cs="Times New Roman"/>
          <w:color w:val="000000"/>
          <w:spacing w:val="0"/>
          <w:w w:val="100"/>
          <w:position w:val="0"/>
          <w:sz w:val="18"/>
          <w:szCs w:val="18"/>
        </w:rPr>
        <w:t>R20120079</w:t>
      </w:r>
      <w:r>
        <w:rPr>
          <w:color w:val="000000"/>
          <w:spacing w:val="0"/>
          <w:w w:val="100"/>
          <w:position w:val="0"/>
        </w:rPr>
        <w:t>,</w:t>
      </w:r>
      <w:r>
        <w:rPr>
          <w:color w:val="000000"/>
          <w:spacing w:val="0"/>
          <w:w w:val="100"/>
          <w:position w:val="0"/>
        </w:rPr>
        <w:t>核定福州卓越从开始获利年度起，两年免征企业所得税，三年减半征收企业所得税。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年为该公司的首个获 利年度，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年度按减半</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的税率征收企业所得税。</w:t>
      </w:r>
    </w:p>
    <w:p>
      <w:pPr>
        <w:pStyle w:val="Style26"/>
        <w:keepNext w:val="0"/>
        <w:keepLines w:val="0"/>
        <w:widowControl w:val="0"/>
        <w:shd w:val="clear" w:color="auto" w:fill="auto"/>
        <w:bidi w:val="0"/>
        <w:spacing w:before="0" w:after="100" w:line="314" w:lineRule="exact"/>
        <w:ind w:left="0" w:right="0" w:firstLine="46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根据深圳市南山区地方税务局的《税务事项通知书》（深地税南备</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2014]736</w:t>
      </w:r>
      <w:r>
        <w:rPr>
          <w:color w:val="000000"/>
          <w:spacing w:val="0"/>
          <w:w w:val="100"/>
          <w:position w:val="0"/>
        </w:rPr>
        <w:t>号），本公司之全资孙公司深圳时代 首游依法享受软件和集成电路企业所得税二免三减半的税收优惠政策，核定深圳时代首游从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日，按照二年免征三减半征收企业所得税，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年度按减半</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的税率征收企业所得税。</w:t>
      </w:r>
    </w:p>
    <w:p>
      <w:pPr>
        <w:pStyle w:val="Style26"/>
        <w:keepNext w:val="0"/>
        <w:keepLines w:val="0"/>
        <w:widowControl w:val="0"/>
        <w:shd w:val="clear" w:color="auto" w:fill="auto"/>
        <w:bidi w:val="0"/>
        <w:spacing w:before="0" w:after="100" w:line="312" w:lineRule="exact"/>
        <w:ind w:left="0" w:right="0" w:firstLine="46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日，控股孙公司上海集美获得上海市经济和信息化委员会颁发的编号为沪</w:t>
      </w:r>
      <w:r>
        <w:rPr>
          <w:rFonts w:ascii="Times New Roman" w:eastAsia="Times New Roman" w:hAnsi="Times New Roman" w:cs="Times New Roman"/>
          <w:color w:val="000000"/>
          <w:spacing w:val="0"/>
          <w:w w:val="100"/>
          <w:position w:val="0"/>
          <w:sz w:val="18"/>
          <w:szCs w:val="18"/>
        </w:rPr>
        <w:t>R20140098</w:t>
      </w:r>
      <w:r>
        <w:rPr>
          <w:color w:val="000000"/>
          <w:spacing w:val="0"/>
          <w:w w:val="100"/>
          <w:position w:val="0"/>
        </w:rPr>
        <w:t>的《软件企业 认定证书》，上海集美被认定为新办的符合条件的软件企业，自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年开始享受两免三减半的所得税优惠政策，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 减半</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的税率征收企业所得税。</w:t>
      </w:r>
    </w:p>
    <w:p>
      <w:pPr>
        <w:pStyle w:val="Style26"/>
        <w:keepNext w:val="0"/>
        <w:keepLines w:val="0"/>
        <w:widowControl w:val="0"/>
        <w:shd w:val="clear" w:color="auto" w:fill="auto"/>
        <w:tabs>
          <w:tab w:pos="937" w:val="left"/>
        </w:tabs>
        <w:bidi w:val="0"/>
        <w:spacing w:before="0" w:after="100" w:line="317" w:lineRule="exact"/>
        <w:ind w:left="0" w:right="0" w:firstLine="46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控股子公司深圳五秒</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日成立，属于全年应纳税所得税额不超过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万元的小型微利企业，减半征收企 业所得税，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26"/>
        <w:keepNext w:val="0"/>
        <w:keepLines w:val="0"/>
        <w:widowControl w:val="0"/>
        <w:shd w:val="clear" w:color="auto" w:fill="auto"/>
        <w:tabs>
          <w:tab w:pos="937" w:val="left"/>
        </w:tabs>
        <w:bidi w:val="0"/>
        <w:spacing w:before="0" w:after="100" w:line="312" w:lineRule="exact"/>
        <w:ind w:left="0" w:right="0" w:firstLine="46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控股子公司中青宝文化科技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日成立，属于全年应纳税所得税额不超过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万元的小型微利企业，减半 征收企业所得税，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26"/>
        <w:keepNext w:val="0"/>
        <w:keepLines w:val="0"/>
        <w:widowControl w:val="0"/>
        <w:shd w:val="clear" w:color="auto" w:fill="auto"/>
        <w:tabs>
          <w:tab w:pos="937" w:val="left"/>
        </w:tabs>
        <w:bidi w:val="0"/>
        <w:spacing w:before="0" w:after="100" w:line="317" w:lineRule="exact"/>
        <w:ind w:left="0" w:right="0" w:firstLine="46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控股子公司前海古今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日成立，属于全年应纳税所得税额不超过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万元的小型微利企业，减半征收企 业所得税，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26"/>
        <w:keepNext w:val="0"/>
        <w:keepLines w:val="0"/>
        <w:widowControl w:val="0"/>
        <w:shd w:val="clear" w:color="auto" w:fill="auto"/>
        <w:bidi w:val="0"/>
        <w:spacing w:before="0" w:after="100" w:line="312" w:lineRule="exact"/>
        <w:ind w:left="0" w:right="0" w:firstLine="46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控股子公司天地间文化传媒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日成立，属于全年应纳税所得税额不超过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万元的小型微利企业，减半 征收企业所得税，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26"/>
        <w:keepNext w:val="0"/>
        <w:keepLines w:val="0"/>
        <w:widowControl w:val="0"/>
        <w:shd w:val="clear" w:color="auto" w:fill="auto"/>
        <w:bidi w:val="0"/>
        <w:spacing w:before="0" w:after="680" w:line="317" w:lineRule="exact"/>
        <w:ind w:left="0" w:right="0" w:firstLine="46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控股子公司北京中青宝文化长城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日成立，属于全年应纳税所得税额不超过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万元的小型微利企业， 减半征收企业所得税，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32"/>
        <w:keepNext/>
        <w:keepLines/>
        <w:widowControl w:val="0"/>
        <w:shd w:val="clear" w:color="auto" w:fill="auto"/>
        <w:bidi w:val="0"/>
        <w:spacing w:before="0" w:after="22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color w:val="000000"/>
          <w:spacing w:val="0"/>
          <w:w w:val="100"/>
          <w:position w:val="0"/>
        </w:rPr>
        <w:t>、其他</w:t>
      </w:r>
      <w:bookmarkEnd w:id="891"/>
      <w:bookmarkEnd w:id="892"/>
      <w:bookmarkEnd w:id="894"/>
    </w:p>
    <w:p>
      <w:pPr>
        <w:pStyle w:val="Style26"/>
        <w:keepNext w:val="0"/>
        <w:keepLines w:val="0"/>
        <w:widowControl w:val="0"/>
        <w:shd w:val="clear" w:color="auto" w:fill="auto"/>
        <w:tabs>
          <w:tab w:pos="932" w:val="left"/>
        </w:tabs>
        <w:bidi w:val="0"/>
        <w:spacing w:before="0" w:after="220" w:line="326" w:lineRule="exact"/>
        <w:ind w:left="0" w:right="0" w:firstLine="46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本公司全资子公司</w:t>
      </w:r>
      <w:r>
        <w:rPr>
          <w:rFonts w:ascii="Times New Roman" w:eastAsia="Times New Roman" w:hAnsi="Times New Roman" w:cs="Times New Roman"/>
          <w:color w:val="000000"/>
          <w:spacing w:val="0"/>
          <w:w w:val="100"/>
          <w:position w:val="0"/>
          <w:sz w:val="18"/>
          <w:szCs w:val="18"/>
        </w:rPr>
        <w:t>CUPLAY</w:t>
      </w:r>
      <w:r>
        <w:rPr>
          <w:color w:val="000000"/>
          <w:spacing w:val="0"/>
          <w:w w:val="100"/>
          <w:position w:val="0"/>
        </w:rPr>
        <w:t>、</w:t>
      </w:r>
      <w:r>
        <w:rPr>
          <w:color w:val="000000"/>
          <w:spacing w:val="0"/>
          <w:w w:val="100"/>
          <w:position w:val="0"/>
        </w:rPr>
        <w:t>全资孙公司</w:t>
      </w:r>
      <w:r>
        <w:rPr>
          <w:rFonts w:ascii="Times New Roman" w:eastAsia="Times New Roman" w:hAnsi="Times New Roman" w:cs="Times New Roman"/>
          <w:color w:val="000000"/>
          <w:spacing w:val="0"/>
          <w:w w:val="100"/>
          <w:position w:val="0"/>
          <w:sz w:val="18"/>
          <w:szCs w:val="18"/>
        </w:rPr>
        <w:t>L EEPLAY</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L EEGAME</w:t>
      </w:r>
      <w:r>
        <w:rPr>
          <w:color w:val="000000"/>
          <w:spacing w:val="0"/>
          <w:w w:val="100"/>
          <w:position w:val="0"/>
        </w:rPr>
        <w:t>系在英属维尔京群岛、开曼群岛注册登记的公司， 该公司无需缴纳企业所得税。</w:t>
      </w:r>
    </w:p>
    <w:p>
      <w:pPr>
        <w:pStyle w:val="Style26"/>
        <w:keepNext w:val="0"/>
        <w:keepLines w:val="0"/>
        <w:widowControl w:val="0"/>
        <w:shd w:val="clear" w:color="auto" w:fill="auto"/>
        <w:tabs>
          <w:tab w:pos="859" w:val="left"/>
        </w:tabs>
        <w:bidi w:val="0"/>
        <w:spacing w:before="0" w:after="220" w:line="326" w:lineRule="exact"/>
        <w:ind w:left="0" w:right="0" w:firstLine="46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本公司全资孙公司美国中青宝按照美国政府税法规定，依法缴纳州税（加利福尼亚）和联邦企业所得税。</w:t>
      </w:r>
    </w:p>
    <w:p>
      <w:pPr>
        <w:pStyle w:val="Style26"/>
        <w:keepNext w:val="0"/>
        <w:keepLines w:val="0"/>
        <w:widowControl w:val="0"/>
        <w:shd w:val="clear" w:color="auto" w:fill="auto"/>
        <w:tabs>
          <w:tab w:pos="918" w:val="left"/>
        </w:tabs>
        <w:bidi w:val="0"/>
        <w:spacing w:before="0" w:after="220" w:line="312" w:lineRule="exact"/>
        <w:ind w:left="0" w:right="0" w:firstLine="46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本公司全资孙公司韩国中青宝的法人税采用三档累计税率：应纳税所得额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亿韩元以下（含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亿）的部分按照</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的税率缴纳法人税，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亿（含</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亿）韩元的部分按照</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的税率缴纳法人税，</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亿以上部分按</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的税率缴纳法人税。</w:t>
      </w:r>
    </w:p>
    <w:p>
      <w:pPr>
        <w:pStyle w:val="Style26"/>
        <w:keepNext w:val="0"/>
        <w:keepLines w:val="0"/>
        <w:widowControl w:val="0"/>
        <w:shd w:val="clear" w:color="auto" w:fill="auto"/>
        <w:tabs>
          <w:tab w:pos="918" w:val="left"/>
        </w:tabs>
        <w:bidi w:val="0"/>
        <w:spacing w:before="0" w:after="100" w:line="326" w:lineRule="exact"/>
        <w:ind w:left="0" w:right="0" w:firstLine="46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本公司全资子公司香港中青宝按照利润来源地征税的原则缴纳利得税，对于来源于香港地区的企业利得按照</w:t>
      </w: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rPr>
        <w:t>的税率缴纳利得税，对于来源于香港地区以外的利得则免交利得税。</w:t>
      </w:r>
      <w:r>
        <w:br w:type="page"/>
      </w:r>
    </w:p>
    <w:p>
      <w:pPr>
        <w:pStyle w:val="Style24"/>
        <w:keepNext/>
        <w:keepLines/>
        <w:widowControl w:val="0"/>
        <w:shd w:val="clear" w:color="auto" w:fill="auto"/>
        <w:bidi w:val="0"/>
        <w:spacing w:before="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sz w:val="24"/>
          <w:szCs w:val="24"/>
        </w:rPr>
        <w:t>七</w:t>
      </w:r>
      <w:bookmarkEnd w:id="901"/>
      <w:r>
        <w:rPr>
          <w:color w:val="000000"/>
          <w:spacing w:val="0"/>
          <w:w w:val="100"/>
          <w:position w:val="0"/>
          <w:sz w:val="24"/>
          <w:szCs w:val="24"/>
        </w:rPr>
        <w:t>、合并财务报表项目注释</w:t>
      </w:r>
      <w:bookmarkEnd w:id="899"/>
      <w:bookmarkEnd w:id="900"/>
      <w:bookmarkEnd w:id="902"/>
    </w:p>
    <w:p>
      <w:pPr>
        <w:pStyle w:val="Style32"/>
        <w:keepNext/>
        <w:keepLines/>
        <w:widowControl w:val="0"/>
        <w:shd w:val="clear" w:color="auto" w:fill="auto"/>
        <w:bidi w:val="0"/>
        <w:spacing w:before="0" w:line="240" w:lineRule="auto"/>
        <w:ind w:left="0" w:right="0" w:firstLine="0"/>
        <w:jc w:val="left"/>
      </w:pP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03"/>
      <w:bookmarkEnd w:id="904"/>
      <w:bookmarkEnd w:id="9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406,659.38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326,644.69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120,121,394.74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290,687,158.89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120,578,134.21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291,139,329.09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7,408,373.59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27,500,458.55</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日，本公司无使用权受限的货币资金。</w:t>
      </w:r>
    </w:p>
    <w:p>
      <w:pPr>
        <w:pStyle w:val="Style32"/>
        <w:keepNext/>
        <w:keepLines/>
        <w:widowControl w:val="0"/>
        <w:shd w:val="clear" w:color="auto" w:fill="auto"/>
        <w:bidi w:val="0"/>
        <w:spacing w:before="0" w:line="240" w:lineRule="auto"/>
        <w:ind w:left="0" w:right="0" w:firstLine="0"/>
        <w:jc w:val="left"/>
      </w:pPr>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06"/>
      <w:bookmarkEnd w:id="907"/>
      <w:bookmarkEnd w:id="908"/>
    </w:p>
    <w:p>
      <w:pPr>
        <w:pStyle w:val="Style36"/>
        <w:keepNext/>
        <w:keepLines/>
        <w:widowControl w:val="0"/>
        <w:numPr>
          <w:ilvl w:val="0"/>
          <w:numId w:val="15"/>
        </w:numPr>
        <w:shd w:val="clear" w:color="auto" w:fill="auto"/>
        <w:bidi w:val="0"/>
        <w:spacing w:before="0" w:after="360" w:line="240" w:lineRule="auto"/>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应收账款分类披露</w:t>
      </w:r>
      <w:bookmarkEnd w:id="909"/>
      <w:bookmarkEnd w:id="910"/>
      <w:bookmarkEnd w:id="9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40,507,6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40,507,6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108,862,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12,865,4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95,997,37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124,449,02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149,468,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53,471,2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95,997,37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124,449,02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环球互动数码科技有限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40,507,656.56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40,507,656.56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该公司业务缩减，预计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40,507,656.56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40,507,656.56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87,040,807.17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4,352,040.35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12,208,949.17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1,220,894.92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2,900,689.77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580,137.95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6,712,335.70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6,712,335.70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108,862,781.81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12,865,408.92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期末单项金额不重大并单独计提坏账准备的应收账款</w:t>
      </w:r>
    </w:p>
    <w:tbl>
      <w:tblPr>
        <w:tblOverlap w:val="never"/>
        <w:jc w:val="center"/>
        <w:tblLayout w:type="fixed"/>
      </w:tblPr>
      <w:tblGrid>
        <w:gridCol w:w="1867"/>
        <w:gridCol w:w="1411"/>
        <w:gridCol w:w="1560"/>
        <w:gridCol w:w="1781"/>
        <w:gridCol w:w="2894"/>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应收账款（按单位）</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b/>
                <w:bCs/>
                <w:color w:val="000000"/>
                <w:spacing w:val="0"/>
                <w:w w:val="100"/>
                <w:position w:val="0"/>
                <w:sz w:val="19"/>
                <w:szCs w:val="19"/>
              </w:rPr>
              <w:t>计提比例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计提理由</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环球互动数码科技有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98,166.34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98,166.34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该公司业务缩减，预计款项无法 收回</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98,166.34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98,166.34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13"/>
      <w:bookmarkEnd w:id="914"/>
      <w:bookmarkEnd w:id="91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39,712,528.20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tabs>
          <w:tab w:pos="493" w:val="left"/>
        </w:tabs>
        <w:bidi w:val="0"/>
        <w:spacing w:before="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917"/>
      <w:bookmarkEnd w:id="918"/>
      <w:bookmarkEnd w:id="92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after="600" w:line="240" w:lineRule="auto"/>
        <w:ind w:left="0" w:right="0" w:firstLine="0"/>
        <w:jc w:val="left"/>
      </w:pPr>
      <w:r>
        <w:rPr>
          <w:color w:val="000000"/>
          <w:spacing w:val="0"/>
          <w:w w:val="100"/>
          <w:position w:val="0"/>
        </w:rPr>
        <w:t>互联网游戏业</w:t>
      </w:r>
    </w:p>
    <w:tbl>
      <w:tblPr>
        <w:tblOverlap w:val="never"/>
        <w:jc w:val="center"/>
        <w:tblLayout w:type="fixed"/>
      </w:tblPr>
      <w:tblGrid>
        <w:gridCol w:w="2357"/>
        <w:gridCol w:w="1694"/>
        <w:gridCol w:w="1022"/>
        <w:gridCol w:w="1930"/>
        <w:gridCol w:w="2510"/>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b/>
                <w:bCs/>
                <w:color w:val="000000"/>
                <w:spacing w:val="0"/>
                <w:w w:val="100"/>
                <w:position w:val="0"/>
                <w:sz w:val="19"/>
                <w:szCs w:val="19"/>
              </w:rPr>
              <w:t>占应收账款期末余额 合计数的比例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坏账准备期末余额</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环球互动数码科技有限公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47,888.89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40,605,822.90</w:t>
            </w:r>
          </w:p>
        </w:tc>
      </w:tr>
    </w:tbl>
    <w:p>
      <w:pPr>
        <w:spacing w:lineRule="exact" w:line="1"/>
        <w:rPr>
          <w:sz w:val="2"/>
          <w:szCs w:val="2"/>
        </w:rPr>
      </w:pPr>
      <w:r>
        <w:br w:type="page"/>
      </w:r>
    </w:p>
    <w:tbl>
      <w:tblPr>
        <w:tblOverlap w:val="never"/>
        <w:jc w:val="center"/>
        <w:tblLayout w:type="fixed"/>
      </w:tblPr>
      <w:tblGrid>
        <w:gridCol w:w="2357"/>
        <w:gridCol w:w="1694"/>
        <w:gridCol w:w="1022"/>
        <w:gridCol w:w="1930"/>
        <w:gridCol w:w="251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40,557,934.01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成都兴兴四方科技有限公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25,196,490.00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1,259,824.50</w:t>
            </w:r>
          </w:p>
        </w:tc>
      </w:tr>
      <w:tr>
        <w:trPr>
          <w:trHeight w:val="34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9"/>
                <w:szCs w:val="19"/>
              </w:rPr>
            </w:pPr>
            <w:r>
              <w:rPr>
                <w:color w:val="000000"/>
                <w:spacing w:val="0"/>
                <w:w w:val="100"/>
                <w:position w:val="0"/>
                <w:sz w:val="19"/>
                <w:szCs w:val="19"/>
              </w:rPr>
              <w:t>深圳市腾讯计算机系统有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21,236,646.42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1,063,085.89</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大庆市萨尔图区世纪讯捷 电子产品经销部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19,079,788.20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953,989.41</w:t>
            </w:r>
          </w:p>
        </w:tc>
      </w:tr>
      <w:tr>
        <w:trPr>
          <w:trHeight w:val="34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杭州烈焰网络技术有限公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975,770.42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767,017.38</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7,182,288.56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b/>
                <w:bCs/>
                <w:color w:val="000000"/>
                <w:spacing w:val="0"/>
                <w:w w:val="100"/>
                <w:position w:val="0"/>
                <w:sz w:val="20"/>
                <w:szCs w:val="20"/>
              </w:rPr>
              <w:t>114,289,342.29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44,649,740.08</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color w:val="000000"/>
          <w:spacing w:val="0"/>
          <w:w w:val="100"/>
          <w:position w:val="0"/>
        </w:rPr>
        <w:t>、预付款项</w:t>
      </w:r>
      <w:bookmarkEnd w:id="921"/>
      <w:bookmarkEnd w:id="922"/>
      <w:bookmarkEnd w:id="924"/>
    </w:p>
    <w:p>
      <w:pPr>
        <w:pStyle w:val="Style36"/>
        <w:keepNext/>
        <w:keepLines/>
        <w:widowControl w:val="0"/>
        <w:shd w:val="clear" w:color="auto" w:fill="auto"/>
        <w:bidi w:val="0"/>
        <w:spacing w:before="0" w:after="34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25"/>
      <w:bookmarkEnd w:id="926"/>
      <w:bookmarkEnd w:id="9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16,259,341.86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20,675,478.71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898,994.84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13,811,633.32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859,146.51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100,914.75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18,118,397.96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34,592,726.78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本年无账龄超过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年的重要预付账款。</w:t>
      </w:r>
    </w:p>
    <w:p>
      <w:pPr>
        <w:pStyle w:val="Style36"/>
        <w:keepNext/>
        <w:keepLines/>
        <w:widowControl w:val="0"/>
        <w:shd w:val="clear" w:color="auto" w:fill="auto"/>
        <w:bidi w:val="0"/>
        <w:spacing w:before="0" w:after="34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29"/>
      <w:bookmarkEnd w:id="930"/>
      <w:bookmarkEnd w:id="932"/>
    </w:p>
    <w:tbl>
      <w:tblPr>
        <w:tblOverlap w:val="never"/>
        <w:jc w:val="center"/>
        <w:tblLayout w:type="fixed"/>
      </w:tblPr>
      <w:tblGrid>
        <w:gridCol w:w="3562"/>
        <w:gridCol w:w="1699"/>
        <w:gridCol w:w="1277"/>
        <w:gridCol w:w="2976"/>
      </w:tblGrid>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占预付款项年期余额合计数的比 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上海巨贤网络科技有限公司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2,897,658.33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15.99</w:t>
            </w:r>
            <w:r>
              <w:rPr>
                <w:rFonts w:ascii="Times New Roman" w:eastAsia="Times New Roman" w:hAnsi="Times New Roman" w:cs="Times New Roman"/>
                <w:b/>
                <w:bCs/>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杭州泛城科技有限公司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2,264,150.88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w:t>
            </w:r>
            <w:r>
              <w:rPr>
                <w:rFonts w:ascii="Times New Roman" w:eastAsia="Times New Roman" w:hAnsi="Times New Roman" w:cs="Times New Roman"/>
                <w:b/>
                <w:bCs/>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北京京西北房地产开发集团有限公司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9.93</w:t>
            </w:r>
            <w:r>
              <w:rPr>
                <w:rFonts w:ascii="Times New Roman" w:eastAsia="Times New Roman" w:hAnsi="Times New Roman" w:cs="Times New Roman"/>
                <w:b/>
                <w:bCs/>
                <w:color w:val="000000"/>
                <w:spacing w:val="0"/>
                <w:w w:val="100"/>
                <w:position w:val="0"/>
                <w:sz w:val="20"/>
                <w:szCs w:val="20"/>
              </w:rPr>
              <w:t>%</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深圳市腾讯计算机系统有限公司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961,300.93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8.45</w:t>
            </w:r>
            <w:r>
              <w:rPr>
                <w:rFonts w:ascii="Times New Roman" w:eastAsia="Times New Roman" w:hAnsi="Times New Roman" w:cs="Times New Roman"/>
                <w:b/>
                <w:bCs/>
                <w:color w:val="000000"/>
                <w:spacing w:val="0"/>
                <w:w w:val="100"/>
                <w:position w:val="0"/>
                <w:sz w:val="20"/>
                <w:szCs w:val="20"/>
              </w:rPr>
              <w:t>%</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570,579.54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年</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猫鼬互动（北京）科技有限公司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5.52</w:t>
            </w:r>
            <w:r>
              <w:rPr>
                <w:rFonts w:ascii="Times New Roman" w:eastAsia="Times New Roman" w:hAnsi="Times New Roman" w:cs="Times New Roman"/>
                <w:b/>
                <w:bCs/>
                <w:color w:val="000000"/>
                <w:spacing w:val="0"/>
                <w:w w:val="100"/>
                <w:position w:val="0"/>
                <w:sz w:val="20"/>
                <w:szCs w:val="20"/>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b/>
                <w:bCs/>
                <w:color w:val="000000"/>
                <w:spacing w:val="0"/>
                <w:w w:val="100"/>
                <w:position w:val="0"/>
                <w:sz w:val="20"/>
                <w:szCs w:val="20"/>
              </w:rPr>
              <w:t>9,493,689.68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52.39%</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4</w:t>
      </w:r>
      <w:bookmarkEnd w:id="935"/>
      <w:r>
        <w:rPr>
          <w:color w:val="000000"/>
          <w:spacing w:val="0"/>
          <w:w w:val="100"/>
          <w:position w:val="0"/>
        </w:rPr>
        <w:t>、应收利息</w:t>
      </w:r>
      <w:bookmarkEnd w:id="933"/>
      <w:bookmarkEnd w:id="934"/>
      <w:bookmarkEnd w:id="936"/>
    </w:p>
    <w:p>
      <w:pPr>
        <w:pStyle w:val="Style36"/>
        <w:keepNext/>
        <w:keepLines/>
        <w:widowControl w:val="0"/>
        <w:shd w:val="clear" w:color="auto" w:fill="auto"/>
        <w:bidi w:val="0"/>
        <w:spacing w:before="0" w:after="36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37"/>
      <w:bookmarkEnd w:id="938"/>
      <w:bookmarkEnd w:id="94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5</w:t>
      </w:r>
      <w:bookmarkEnd w:id="943"/>
      <w:r>
        <w:rPr>
          <w:color w:val="000000"/>
          <w:spacing w:val="0"/>
          <w:w w:val="100"/>
          <w:position w:val="0"/>
        </w:rPr>
        <w:t>、其他应收款</w:t>
      </w:r>
      <w:bookmarkEnd w:id="941"/>
      <w:bookmarkEnd w:id="942"/>
      <w:bookmarkEnd w:id="944"/>
    </w:p>
    <w:p>
      <w:pPr>
        <w:pStyle w:val="Style36"/>
        <w:keepNext/>
        <w:keepLines/>
        <w:widowControl w:val="0"/>
        <w:shd w:val="clear" w:color="auto" w:fill="auto"/>
        <w:bidi w:val="0"/>
        <w:spacing w:before="0" w:after="36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45"/>
      <w:bookmarkEnd w:id="946"/>
      <w:bookmarkEnd w:id="9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105,229,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112,395,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12,776,88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广州卓游网络科技有限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2,697,427.56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2,697,427.56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该公司业务缩减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预计款 项无法收回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北京创世奇迹广告有限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3,233,350.00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3,233,350.00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该公司业务缩减，预计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环球互动数码科技有限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1,235,214.97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1,235,214.97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该公司业务缩减，预计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7,165,992.53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7,165,992.53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组合中，按账龄分析法计提坏账准备的其他应收款:</w:t>
      </w:r>
      <w:r>
        <w:br w:type="page"/>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5,790,945.37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289,547.26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16,029,412.40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1,602,941.23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22,548,770.60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4,509,754.12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409,771.32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44,778,899.69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6,812,013.93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49"/>
      <w:bookmarkEnd w:id="950"/>
      <w:bookmarkEnd w:id="95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1,201,120.18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tabs>
          <w:tab w:pos="493" w:val="left"/>
        </w:tabs>
        <w:bidi w:val="0"/>
        <w:spacing w:before="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953"/>
      <w:bookmarkEnd w:id="954"/>
      <w:bookmarkEnd w:id="9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60,030,248.11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广告框架押金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15,460,721.67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14,133,350.00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待退回游戏版权金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13,484,130.61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预付分成款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8,472,229.63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2,697,427.56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4,575,000.00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2,897,092.75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2,211,330.88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2,752,251.04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324,021.31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1,839,947.07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1,270,801.15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1,315,429.58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1,235,214.97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1,093,609.87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642,978.59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394,548.92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112,395,140.33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121,404,673.38</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14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957"/>
      <w:bookmarkEnd w:id="958"/>
      <w:bookmarkEnd w:id="9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60,030,248.11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北京思恩客广告有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广告框架押金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尊岸广告（上海）有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广告框架押金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深圳市风影在线有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4,519,914.13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903,982.83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81,205,162.24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3,532,982.83</w:t>
            </w:r>
          </w:p>
        </w:tc>
      </w:tr>
    </w:tbl>
    <w:p>
      <w:pPr>
        <w:widowControl w:val="0"/>
        <w:spacing w:after="31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6</w:t>
      </w:r>
      <w:bookmarkEnd w:id="963"/>
      <w:r>
        <w:rPr>
          <w:color w:val="000000"/>
          <w:spacing w:val="0"/>
          <w:w w:val="100"/>
          <w:position w:val="0"/>
        </w:rPr>
        <w:t>、</w:t>
        <w:tab/>
        <w:t>存货</w:t>
      </w:r>
      <w:bookmarkEnd w:id="961"/>
      <w:bookmarkEnd w:id="962"/>
      <w:bookmarkEnd w:id="96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2"/>
        <w:keepNext/>
        <w:keepLines/>
        <w:widowControl w:val="0"/>
        <w:shd w:val="clear" w:color="auto" w:fill="auto"/>
        <w:tabs>
          <w:tab w:pos="378" w:val="left"/>
        </w:tabs>
        <w:bidi w:val="0"/>
        <w:spacing w:before="0" w:after="38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7</w:t>
      </w:r>
      <w:bookmarkEnd w:id="967"/>
      <w:r>
        <w:rPr>
          <w:color w:val="000000"/>
          <w:spacing w:val="0"/>
          <w:w w:val="100"/>
          <w:position w:val="0"/>
        </w:rPr>
        <w:t>、</w:t>
        <w:tab/>
        <w:t>一年内到期的非流动资产</w:t>
      </w:r>
      <w:bookmarkEnd w:id="965"/>
      <w:bookmarkEnd w:id="966"/>
      <w:bookmarkEnd w:id="9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将于一年内摊销的长期待摊费用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6,688,636.77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782,833.57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6,688,636.77</w:t>
            </w:r>
          </w:p>
        </w:tc>
      </w:tr>
    </w:tbl>
    <w:p>
      <w:pPr>
        <w:widowControl w:val="0"/>
        <w:spacing w:after="679" w:line="1" w:lineRule="exact"/>
      </w:pPr>
    </w:p>
    <w:p>
      <w:pPr>
        <w:pStyle w:val="Style32"/>
        <w:keepNext/>
        <w:keepLines/>
        <w:widowControl w:val="0"/>
        <w:shd w:val="clear" w:color="auto" w:fill="auto"/>
        <w:bidi w:val="0"/>
        <w:spacing w:before="0" w:after="38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8</w:t>
      </w:r>
      <w:bookmarkEnd w:id="971"/>
      <w:r>
        <w:rPr>
          <w:color w:val="000000"/>
          <w:spacing w:val="0"/>
          <w:w w:val="100"/>
          <w:position w:val="0"/>
        </w:rPr>
        <w:t>、其他流动资产</w:t>
      </w:r>
      <w:bookmarkEnd w:id="969"/>
      <w:bookmarkEnd w:id="970"/>
      <w:bookmarkEnd w:id="9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1,685,987.43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1,335,281.06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482,691.31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168,944.11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74,168,678.74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1,504,225.17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val="0"/>
        <w:keepLines w:val="0"/>
        <w:widowControl w:val="0"/>
        <w:shd w:val="clear" w:color="auto" w:fill="auto"/>
        <w:bidi w:val="0"/>
        <w:spacing w:before="0" w:after="700" w:line="240" w:lineRule="auto"/>
        <w:ind w:left="0" w:right="0" w:firstLine="460"/>
        <w:jc w:val="left"/>
      </w:pPr>
      <w:r>
        <w:rPr>
          <w:color w:val="000000"/>
          <w:spacing w:val="0"/>
          <w:w w:val="100"/>
          <w:position w:val="0"/>
        </w:rPr>
        <w:t>银行理财产品为期限较短或可以随时赎回的保本浮动型或保本保证收益性产品，到期一次还本付息。</w:t>
      </w:r>
    </w:p>
    <w:p>
      <w:pPr>
        <w:pStyle w:val="Style32"/>
        <w:keepNext/>
        <w:keepLines/>
        <w:widowControl w:val="0"/>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9</w:t>
      </w:r>
      <w:bookmarkEnd w:id="975"/>
      <w:r>
        <w:rPr>
          <w:color w:val="000000"/>
          <w:spacing w:val="0"/>
          <w:w w:val="100"/>
          <w:position w:val="0"/>
        </w:rPr>
        <w:t>、可供出售金融资产</w:t>
      </w:r>
      <w:bookmarkEnd w:id="973"/>
      <w:bookmarkEnd w:id="974"/>
      <w:bookmarkEnd w:id="976"/>
    </w:p>
    <w:p>
      <w:pPr>
        <w:pStyle w:val="Style36"/>
        <w:keepNext/>
        <w:keepLines/>
        <w:widowControl w:val="0"/>
        <w:shd w:val="clear" w:color="auto" w:fill="auto"/>
        <w:bidi w:val="0"/>
        <w:spacing w:before="0" w:line="240" w:lineRule="auto"/>
        <w:ind w:left="0" w:right="0" w:firstLine="0"/>
        <w:jc w:val="left"/>
      </w:pPr>
      <w:bookmarkStart w:id="977" w:name="bookmark977"/>
      <w:bookmarkStart w:id="978" w:name="bookmark978"/>
      <w:bookmarkStart w:id="979" w:name="bookmark9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977"/>
      <w:bookmarkEnd w:id="978"/>
      <w:bookmarkEnd w:id="9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225,702,486.70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225,702,486.70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193,202,486.70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193,202,486.70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225,702,486.70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225,702,486.70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193,202,486.70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193,202,486.70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225,702,486.70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225,702,486.70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193,202,486.70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193,202,486.70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980"/>
      <w:bookmarkEnd w:id="981"/>
      <w:bookmarkEnd w:id="9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 海鹏德移 动互联网 创业投资 基金（有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广东超级 队长教育 咨询有限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深圳纽信 恒志投资 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上海侠娱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苏州热力 时光文化 科技投资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上海绮秀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文化传播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上海传翔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APPCROS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上海跳跃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181,972,22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181,972,22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193,202,48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225,702,48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1</w:t>
      </w:r>
      <w:bookmarkEnd w:id="986"/>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984"/>
      <w:bookmarkEnd w:id="985"/>
      <w:bookmarkEnd w:id="9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深圳游嘻 宝创业投 资企业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35,205,64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-1,409,15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35,205,64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-1,409,15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上海声聚 网络科技 有限公司</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775,632.4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上海磐火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-1,242,14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6,757,859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上海乐矩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深圳维爱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8,862,735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特科技有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湖北今古 时代文化 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5,390,500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5,534,168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贵州国信 通电子商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7,834,948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7,982,762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8,610,581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26,890,50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-2,951,87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31,773,57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43,816,22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30,520,50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-4,361,03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6"/>
        <w:keepNext w:val="0"/>
        <w:keepLines w:val="0"/>
        <w:widowControl w:val="0"/>
        <w:shd w:val="clear" w:color="auto" w:fill="auto"/>
        <w:bidi w:val="0"/>
        <w:spacing w:before="0" w:after="7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系上海声聚网络科技有限公司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日注销，公司将长期股权投资账面价值转入投资收益。</w:t>
      </w:r>
    </w:p>
    <w:p>
      <w:pPr>
        <w:pStyle w:val="Style32"/>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988"/>
      <w:bookmarkEnd w:id="989"/>
      <w:bookmarkEnd w:id="991"/>
    </w:p>
    <w:p>
      <w:pPr>
        <w:pStyle w:val="Style36"/>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4" w:name="bookmark9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92"/>
      <w:bookmarkEnd w:id="993"/>
      <w:bookmarkEnd w:id="9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电子办公设备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3,914,443.67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41,330,169.87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4,131,604.93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16,313,940.38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1,687,152.09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67,377,310.94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646,290.56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895,490.56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646,290.56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876,290.56</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1,062,955.58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122,776.16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1,189,241.74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1,062,955.58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103,576.16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1,170,041.74</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3,914,443.67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40,286,414.29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4,361,604.93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16,837,454.78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1,683,642.09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67,083,559.76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1,056,108.48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23,409,899.11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3,328,521.39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10,199,394.42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1,372,694.10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39,366,617.50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187,893.36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6,414,559.78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310,263.29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2,305,852.57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9,289,355.07</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6,397,991.78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310,263.29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2,305,852.57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9,272,787.07</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878,165.74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987,098.61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878,165.74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970,530.61</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1,244,001.84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28,946,293.15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3,638,784.68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12,399,648.62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47,668,873.96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949,374.85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949,374.85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1,344,138.56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1,344,138.56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1,344,138.56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1,344,138.56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2,284,306.85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2,284,306.85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2,670,441.83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9,055,814.29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4,437,806.16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17,130,378.95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2,858,335.19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16,970,895.91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803,083.54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6,114,545.96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314,457.99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27,061,318.59</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995"/>
      <w:bookmarkEnd w:id="996"/>
      <w:bookmarkEnd w:id="9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16,318,547.17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13,467,387.15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2,284,306.85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566,853.17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16,318,547.17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13,467,387.15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2,284,306.85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566,853.17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001"/>
      <w:bookmarkEnd w:id="998"/>
      <w:bookmarkEnd w:id="9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1,402,518.20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处房产，全部系深圳人才安居房， 无房屋产权证</w:t>
            </w:r>
          </w:p>
        </w:tc>
      </w:tr>
    </w:tbl>
    <w:p>
      <w:pPr>
        <w:sectPr>
          <w:footnotePr>
            <w:pos w:val="pageBottom"/>
            <w:numFmt w:val="decimal"/>
            <w:numRestart w:val="continuous"/>
          </w:footnotePr>
          <w:pgSz w:w="11900" w:h="16840"/>
          <w:pgMar w:top="1364" w:right="822" w:bottom="1445" w:left="855" w:header="0" w:footer="3" w:gutter="0"/>
          <w:cols w:space="720"/>
          <w:noEndnote/>
          <w:rtlGutter w:val="0"/>
          <w:docGrid w:linePitch="360"/>
        </w:sectPr>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1,402,518.20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2"/>
        <w:keepNext/>
        <w:keepLines/>
        <w:widowControl w:val="0"/>
        <w:shd w:val="clear" w:color="auto" w:fill="auto"/>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02"/>
      <w:bookmarkEnd w:id="1003"/>
      <w:bookmarkEnd w:id="1005"/>
    </w:p>
    <w:p>
      <w:pPr>
        <w:pStyle w:val="Style36"/>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06"/>
      <w:bookmarkEnd w:id="1007"/>
      <w:bookmarkEnd w:id="10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北京八达岭水关 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九腾九州</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4,718,818.59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4,718,818.59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4,718,818.59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4,718,818.59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09"/>
      <w:bookmarkEnd w:id="1010"/>
      <w:bookmarkEnd w:id="10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北京八 达岭水 关长城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九腾九 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4,718,81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4,718,81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bookmarkEnd w:id="101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12"/>
      <w:bookmarkEnd w:id="1013"/>
      <w:bookmarkEnd w:id="1015"/>
    </w:p>
    <w:p>
      <w:pPr>
        <w:pStyle w:val="Style36"/>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16"/>
      <w:bookmarkEnd w:id="1017"/>
      <w:bookmarkEnd w:id="101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tbl>
      <w:tblPr>
        <w:tblOverlap w:val="never"/>
        <w:jc w:val="center"/>
        <w:tblLayout w:type="fixed"/>
      </w:tblPr>
      <w:tblGrid>
        <w:gridCol w:w="1138"/>
        <w:gridCol w:w="1277"/>
        <w:gridCol w:w="1133"/>
        <w:gridCol w:w="1421"/>
        <w:gridCol w:w="1555"/>
        <w:gridCol w:w="1560"/>
        <w:gridCol w:w="15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游戏产品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运营工具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3,149,418.80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32,329,605.32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337,211,287.80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26,656,014.39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2,509,892.41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401,856,218.72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11,689,236.11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244,179.49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11,933,415.60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244,179.49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244,179.49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11,689,236.11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11,689,236.11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3,149,418.80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32,329,605.32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348,900,523.91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26,656,014.39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2,754,071.90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413,789,634.32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3,077,707.51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23,591,496.19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181,783,004.15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11,024,556.17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1,674,456.13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221,151,220.15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59,422.62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4,732,926.36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30,744,410.60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5,059,479.44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418,360.64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41,014,599.66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59,422.62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4,732,926.36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30,744,410.60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5,059,479.44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418,360.64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41,014,599.66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3,137,130.13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28,324,422.55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212,527,414.75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16,084,035.61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2,092,816.77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262,165,819.81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77,232,969.20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77,232,969.20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16,415,732.59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16,415,732.59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10,609,167.54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10,609,167.54</w:t>
            </w:r>
          </w:p>
        </w:tc>
      </w:tr>
    </w:tbl>
    <w:p>
      <w:pPr>
        <w:spacing w:lineRule="exact" w:line="1"/>
        <w:rPr>
          <w:sz w:val="2"/>
          <w:szCs w:val="2"/>
        </w:rPr>
      </w:pPr>
      <w:r>
        <w:br w:type="page"/>
      </w:r>
    </w:p>
    <w:tbl>
      <w:tblPr>
        <w:tblOverlap w:val="never"/>
        <w:jc w:val="center"/>
        <w:tblLayout w:type="fixed"/>
      </w:tblPr>
      <w:tblGrid>
        <w:gridCol w:w="1138"/>
        <w:gridCol w:w="1277"/>
        <w:gridCol w:w="1133"/>
        <w:gridCol w:w="1421"/>
        <w:gridCol w:w="1555"/>
        <w:gridCol w:w="1560"/>
        <w:gridCol w:w="157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5,806,565.05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5,806,565.05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93,648,701.79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93,648,701.79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4,005,182.77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42,724,407.37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10,571,978.78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661,255.13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57,975,112.72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71,711.29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8,738,109.13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78,195,314.45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15,631,458.22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835,436.28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103,472,029.37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84.32%</w:t>
      </w:r>
      <w:r>
        <w:rPr>
          <w:color w:val="000000"/>
          <w:spacing w:val="0"/>
          <w:w w:val="100"/>
          <w:position w:val="0"/>
        </w:rPr>
        <w:t>。</w:t>
      </w:r>
    </w:p>
    <w:p>
      <w:pPr>
        <w:widowControl w:val="0"/>
        <w:spacing w:after="339" w:line="1" w:lineRule="exact"/>
      </w:pPr>
    </w:p>
    <w:p>
      <w:pPr>
        <w:pStyle w:val="Style36"/>
        <w:keepNext/>
        <w:keepLines/>
        <w:widowControl w:val="0"/>
        <w:shd w:val="clear" w:color="auto" w:fill="auto"/>
        <w:bidi w:val="0"/>
        <w:spacing w:before="0" w:after="340" w:line="240" w:lineRule="auto"/>
        <w:ind w:left="0" w:right="0" w:firstLine="260"/>
        <w:jc w:val="left"/>
      </w:pPr>
      <w:bookmarkStart w:id="1019" w:name="bookmark1019"/>
      <w:bookmarkStart w:id="1020" w:name="bookmark1020"/>
      <w:bookmarkStart w:id="1021" w:name="bookmark10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)期末无形资产前五名游戏情况:</w:t>
      </w:r>
      <w:bookmarkEnd w:id="1019"/>
      <w:bookmarkEnd w:id="1020"/>
      <w:bookmarkEnd w:id="1021"/>
    </w:p>
    <w:tbl>
      <w:tblPr>
        <w:tblOverlap w:val="never"/>
        <w:jc w:val="center"/>
        <w:tblLayout w:type="fixed"/>
      </w:tblPr>
      <w:tblGrid>
        <w:gridCol w:w="1565"/>
        <w:gridCol w:w="1843"/>
        <w:gridCol w:w="1843"/>
        <w:gridCol w:w="1699"/>
        <w:gridCol w:w="1704"/>
        <w:gridCol w:w="157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b/>
                <w:bCs/>
                <w:color w:val="000000"/>
                <w:spacing w:val="0"/>
                <w:w w:val="100"/>
                <w:position w:val="0"/>
                <w:sz w:val="19"/>
                <w:szCs w:val="19"/>
              </w:rPr>
              <w:t>游戏名称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b/>
                <w:bCs/>
                <w:color w:val="000000"/>
                <w:spacing w:val="0"/>
                <w:w w:val="100"/>
                <w:position w:val="0"/>
                <w:sz w:val="19"/>
                <w:szCs w:val="19"/>
              </w:rPr>
              <w:t>占游戏产品比重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累计摊销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rPr>
              <w:t>账面价值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战争世界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39,615,912.46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18,442,094.94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13,689,334.77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7,484,482.75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兵王</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22,001,410.25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7,700,493.57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14,300,916.68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裂天之刃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19,507,941.26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5,824,267.63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13,683,673.63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二战</w:t>
            </w:r>
            <w:r>
              <w:rPr>
                <w:rFonts w:ascii="Times New Roman" w:eastAsia="Times New Roman" w:hAnsi="Times New Roman" w:cs="Times New Roman"/>
                <w:color w:val="000000"/>
                <w:spacing w:val="0"/>
                <w:w w:val="100"/>
                <w:position w:val="0"/>
                <w:sz w:val="20"/>
                <w:szCs w:val="20"/>
              </w:rPr>
              <w:t>OL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15,237,047.69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7,141,766.55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7,107,030.07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988,251.07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热血世界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11,261,326.72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3,738,673.28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b/>
                <w:bCs/>
                <w:color w:val="000000"/>
                <w:spacing w:val="0"/>
                <w:w w:val="100"/>
                <w:position w:val="0"/>
                <w:sz w:val="20"/>
                <w:szCs w:val="20"/>
              </w:rPr>
              <w:t>111,362,311.66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b/>
                <w:bCs/>
                <w:color w:val="000000"/>
                <w:spacing w:val="0"/>
                <w:w w:val="100"/>
                <w:position w:val="0"/>
                <w:sz w:val="20"/>
                <w:szCs w:val="20"/>
              </w:rPr>
              <w:t>31.92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0"/>
                <w:szCs w:val="20"/>
              </w:rPr>
              <w:t>50,369,949.41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b/>
                <w:bCs/>
                <w:color w:val="000000"/>
                <w:spacing w:val="0"/>
                <w:w w:val="100"/>
                <w:position w:val="0"/>
                <w:sz w:val="20"/>
                <w:szCs w:val="20"/>
              </w:rPr>
              <w:t>38,218,711.75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rPr>
              <w:t>22,773,650.50</w:t>
            </w:r>
          </w:p>
        </w:tc>
      </w:tr>
    </w:tbl>
    <w:p>
      <w:pPr>
        <w:widowControl w:val="0"/>
        <w:spacing w:after="639" w:line="1" w:lineRule="exact"/>
      </w:pPr>
    </w:p>
    <w:p>
      <w:pPr>
        <w:pStyle w:val="Style32"/>
        <w:keepNext/>
        <w:keepLines/>
        <w:widowControl w:val="0"/>
        <w:shd w:val="clear" w:color="auto" w:fill="auto"/>
        <w:bidi w:val="0"/>
        <w:spacing w:before="0" w:after="34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1</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022"/>
      <w:bookmarkEnd w:id="1023"/>
      <w:bookmarkEnd w:id="102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66"/>
        <w:gridCol w:w="1205"/>
        <w:gridCol w:w="1277"/>
        <w:gridCol w:w="1133"/>
        <w:gridCol w:w="1138"/>
        <w:gridCol w:w="1277"/>
        <w:gridCol w:w="1416"/>
        <w:gridCol w:w="15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其他转出</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开发支出原 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96,350,533.58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94,980,077.76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11,956,274.11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95,795,533.69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83,578,803.54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(1)MMO </w:t>
            </w:r>
            <w:r>
              <w:rPr>
                <w:color w:val="000000"/>
                <w:spacing w:val="0"/>
                <w:w w:val="100"/>
                <w:position w:val="0"/>
              </w:rPr>
              <w:t>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20,868,798.09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9,250,770.00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10,006,264.57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20,113,303.52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4,874,715.11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4,874,715.11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社交游戏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10,880,914.64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198,728.18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10,880,914.64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手机游戏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59,726,105.74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84,839,210.78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11,956,274.11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84,899,172.14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47,709,870.27</w:t>
            </w:r>
          </w:p>
        </w:tc>
      </w:tr>
    </w:tbl>
    <w:p>
      <w:pPr>
        <w:spacing w:lineRule="exact" w:line="1"/>
        <w:rPr>
          <w:sz w:val="2"/>
          <w:szCs w:val="2"/>
        </w:rPr>
      </w:pPr>
      <w:r>
        <w:br w:type="page"/>
      </w:r>
    </w:p>
    <w:tbl>
      <w:tblPr>
        <w:tblOverlap w:val="never"/>
        <w:jc w:val="center"/>
        <w:tblLayout w:type="fixed"/>
      </w:tblPr>
      <w:tblGrid>
        <w:gridCol w:w="1066"/>
        <w:gridCol w:w="1205"/>
        <w:gridCol w:w="1277"/>
        <w:gridCol w:w="1133"/>
        <w:gridCol w:w="1138"/>
        <w:gridCol w:w="1277"/>
        <w:gridCol w:w="1416"/>
        <w:gridCol w:w="15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开发支出减 值准备合计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82,301,986.42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7,457,335.79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1,404,098.93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5,806,565.05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1,778,052.55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83,578,803.54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(1)MMO </w:t>
            </w:r>
            <w:r>
              <w:rPr>
                <w:color w:val="000000"/>
                <w:spacing w:val="0"/>
                <w:w w:val="100"/>
                <w:position w:val="0"/>
              </w:rPr>
              <w:t>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18,609,076.81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1,504,226.71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20,113,303.52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4,874,715.11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4,874,715.11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社交游戏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10,880,914.64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10,880,914.64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47,937,279.86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5,953,109.08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1,404,098.93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5,806,565.05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1,778,052.55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47,709,870.27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开发支出账 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14,048,547.16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(1)MMO </w:t>
            </w:r>
            <w:r>
              <w:rPr>
                <w:color w:val="000000"/>
                <w:spacing w:val="0"/>
                <w:w w:val="100"/>
                <w:position w:val="0"/>
              </w:rPr>
              <w:t>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2,259,721.28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网页游戏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社交游戏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11,788,825.88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开发支出减值准备其他转入系汇率变动影响；其他转出系本年转让的游戏项目，结转相应的减值准备。</w:t>
      </w:r>
    </w:p>
    <w:p>
      <w:pPr>
        <w:pStyle w:val="Style32"/>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026"/>
      <w:bookmarkEnd w:id="1027"/>
      <w:bookmarkEnd w:id="1028"/>
    </w:p>
    <w:p>
      <w:pPr>
        <w:pStyle w:val="Style36"/>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29"/>
      <w:bookmarkEnd w:id="1030"/>
      <w:bookmarkEnd w:id="103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西安掌控力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1,491,581.17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1,491,581.17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339,623,757.28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339,623,757.28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77,605,352.01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77,605,352.01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418,720,690.46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418,720,690.46</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032" w:name="bookmark1032"/>
      <w:bookmarkStart w:id="1033" w:name="bookmark1033"/>
      <w:bookmarkStart w:id="1034" w:name="bookmark10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032"/>
      <w:bookmarkEnd w:id="1033"/>
      <w:bookmarkEnd w:id="103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tbl>
      <w:tblPr>
        <w:tblOverlap w:val="never"/>
        <w:jc w:val="center"/>
        <w:tblLayout w:type="fixed"/>
      </w:tblPr>
      <w:tblGrid>
        <w:gridCol w:w="1373"/>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西安掌控力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1,491,581.17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159,107,532.00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60,030,248.11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219,137,780.11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26,095,400.00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14,115,775.58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40,211,175.58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186,694,513.17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74,146,023.69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260,840,536.86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widowControl w:val="0"/>
        <w:spacing w:after="219" w:line="1" w:lineRule="exact"/>
      </w:pPr>
    </w:p>
    <w:p>
      <w:pPr>
        <w:pStyle w:val="Style26"/>
        <w:keepNext w:val="0"/>
        <w:keepLines w:val="0"/>
        <w:widowControl w:val="0"/>
        <w:shd w:val="clear" w:color="auto" w:fill="auto"/>
        <w:bidi w:val="0"/>
        <w:spacing w:before="0" w:after="220" w:line="312" w:lineRule="exact"/>
        <w:ind w:left="0" w:right="0" w:firstLine="460"/>
        <w:jc w:val="both"/>
      </w:pPr>
      <w:bookmarkStart w:id="1035" w:name="bookmark1035"/>
      <w:r>
        <w:rPr>
          <w:rFonts w:ascii="Times New Roman" w:eastAsia="Times New Roman" w:hAnsi="Times New Roman" w:cs="Times New Roman"/>
          <w:color w:val="000000"/>
          <w:spacing w:val="0"/>
          <w:w w:val="100"/>
          <w:position w:val="0"/>
          <w:sz w:val="18"/>
          <w:szCs w:val="18"/>
        </w:rPr>
        <w:t>（</w:t>
      </w:r>
      <w:bookmarkEnd w:id="10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）西安掌控力商誉减值</w:t>
      </w:r>
    </w:p>
    <w:p>
      <w:pPr>
        <w:pStyle w:val="Style26"/>
        <w:keepNext w:val="0"/>
        <w:keepLines w:val="0"/>
        <w:widowControl w:val="0"/>
        <w:shd w:val="clear" w:color="auto" w:fill="auto"/>
        <w:bidi w:val="0"/>
        <w:spacing w:before="0" w:after="220" w:line="307" w:lineRule="exact"/>
        <w:ind w:left="0" w:right="0" w:firstLine="460"/>
        <w:jc w:val="both"/>
      </w:pPr>
      <w:r>
        <w:rPr>
          <w:color w:val="000000"/>
          <w:spacing w:val="0"/>
          <w:w w:val="100"/>
          <w:position w:val="0"/>
        </w:rPr>
        <w:t>西安掌控力计划注销，通过预测其未来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年的净现金流量，以该净现金流量的现值作为未来可收回金额，对于可收回金 额低于商誉账面价值的部分，计提减值准备。按照该方法，截至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日已对西安掌控力的商誉全额计提减值准备。</w:t>
      </w:r>
    </w:p>
    <w:p>
      <w:pPr>
        <w:pStyle w:val="Style26"/>
        <w:keepNext w:val="0"/>
        <w:keepLines w:val="0"/>
        <w:widowControl w:val="0"/>
        <w:shd w:val="clear" w:color="auto" w:fill="auto"/>
        <w:tabs>
          <w:tab w:pos="844" w:val="left"/>
        </w:tabs>
        <w:bidi w:val="0"/>
        <w:spacing w:before="0" w:after="220" w:line="312" w:lineRule="exact"/>
        <w:ind w:left="0" w:right="0" w:firstLine="46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上海美峰商誉减值</w:t>
      </w:r>
    </w:p>
    <w:p>
      <w:pPr>
        <w:pStyle w:val="Style26"/>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日与上海美峰股东李杰、郭瑜、钟松签订了关于股权收购协议之补充协议，根据协议约定，李杰 向本公司承诺上海美峰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年经各方认可的、具有证券期货从业资格的会计师事务所审计的净利润（以下简称实际 净利润）分别不应低于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万元（以下简称承诺净利润）。若上海美峰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年度实际净利润之和未达到 </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万元，则李杰以所获得的本公司股票对上述差额部分向本公司进行补偿，如以所获得股票无法弥补上述差额的，或因 任何原因导致后续收购标的资产未完成的，李杰应当以现金进行补足。经计算，李杰就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年业绩不足部分应补偿 本公司 </w:t>
      </w:r>
      <w:r>
        <w:rPr>
          <w:rFonts w:ascii="Times New Roman" w:eastAsia="Times New Roman" w:hAnsi="Times New Roman" w:cs="Times New Roman"/>
          <w:color w:val="000000"/>
          <w:spacing w:val="0"/>
          <w:w w:val="100"/>
          <w:position w:val="0"/>
          <w:sz w:val="18"/>
          <w:szCs w:val="18"/>
        </w:rPr>
        <w:t xml:space="preserve">60,030,248.11 </w:t>
      </w:r>
      <w:r>
        <w:rPr>
          <w:color w:val="000000"/>
          <w:spacing w:val="0"/>
          <w:w w:val="100"/>
          <w:position w:val="0"/>
        </w:rPr>
        <w:t>元。</w:t>
      </w:r>
    </w:p>
    <w:p>
      <w:pPr>
        <w:pStyle w:val="Style26"/>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根据企业会计准则规定，在非同一控制下企业合并中已确认的商誉，在会计期末，若因被收购方未实现业绩承诺，除 影响企业合并交易中或有对价的确认和计量外，还应计提商誉减值准备，因此本公司将业绩承诺不足部分</w:t>
      </w:r>
      <w:r>
        <w:rPr>
          <w:rFonts w:ascii="Times New Roman" w:eastAsia="Times New Roman" w:hAnsi="Times New Roman" w:cs="Times New Roman"/>
          <w:color w:val="000000"/>
          <w:spacing w:val="0"/>
          <w:w w:val="100"/>
          <w:position w:val="0"/>
          <w:sz w:val="18"/>
          <w:szCs w:val="18"/>
        </w:rPr>
        <w:t>60,030,248.11</w:t>
      </w:r>
      <w:r>
        <w:rPr>
          <w:color w:val="000000"/>
          <w:spacing w:val="0"/>
          <w:w w:val="100"/>
          <w:position w:val="0"/>
        </w:rPr>
        <w:t>元计 提商誉减值准备。</w:t>
      </w:r>
    </w:p>
    <w:p>
      <w:pPr>
        <w:pStyle w:val="Style26"/>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同时经收益法评估，截至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日上海美峰股东全部权益价值的评估结果为</w:t>
      </w:r>
      <w:r>
        <w:rPr>
          <w:rFonts w:ascii="Times New Roman" w:eastAsia="Times New Roman" w:hAnsi="Times New Roman" w:cs="Times New Roman"/>
          <w:color w:val="000000"/>
          <w:spacing w:val="0"/>
          <w:w w:val="100"/>
          <w:position w:val="0"/>
          <w:sz w:val="18"/>
          <w:szCs w:val="18"/>
        </w:rPr>
        <w:t>26,324.45</w:t>
      </w:r>
      <w:r>
        <w:rPr>
          <w:color w:val="000000"/>
          <w:spacing w:val="0"/>
          <w:w w:val="100"/>
          <w:position w:val="0"/>
        </w:rPr>
        <w:t>万元，中瑞国际资产评估 （北京）有限公司于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日出具了编号为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中瑞评报字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的评估报告。除因业绩承诺不足引起的商誉 减值外，经测算，无需额外计提商誉减值。</w:t>
      </w:r>
    </w:p>
    <w:p>
      <w:pPr>
        <w:pStyle w:val="Style26"/>
        <w:keepNext w:val="0"/>
        <w:keepLines w:val="0"/>
        <w:widowControl w:val="0"/>
        <w:shd w:val="clear" w:color="auto" w:fill="auto"/>
        <w:tabs>
          <w:tab w:pos="844" w:val="left"/>
        </w:tabs>
        <w:bidi w:val="0"/>
        <w:spacing w:before="0" w:after="220" w:line="312" w:lineRule="exact"/>
        <w:ind w:left="0" w:right="0" w:firstLine="46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深圳苏摩商誉减值</w:t>
      </w:r>
    </w:p>
    <w:p>
      <w:pPr>
        <w:pStyle w:val="Style26"/>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评估方法：根据企业的资产构成和主营业务特点，首先按受益途径采用现金流折现方法，估算企业的经营性资产的价 值，再加上基准日的其他非经营性、溢余资产的价值得到企业的整体价值，最后由企业整体价值扣减付息债务价值后，得出 企业的股东全部权益价值。</w:t>
      </w:r>
    </w:p>
    <w:p>
      <w:pPr>
        <w:pStyle w:val="Style26"/>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经收益法评估，截至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日深圳苏摩股东全部权益价值的评估结果为</w:t>
      </w:r>
      <w:r>
        <w:rPr>
          <w:rFonts w:ascii="Times New Roman" w:eastAsia="Times New Roman" w:hAnsi="Times New Roman" w:cs="Times New Roman"/>
          <w:color w:val="000000"/>
          <w:spacing w:val="0"/>
          <w:w w:val="100"/>
          <w:position w:val="0"/>
          <w:sz w:val="18"/>
          <w:szCs w:val="18"/>
        </w:rPr>
        <w:t>10,110.74</w:t>
      </w:r>
      <w:r>
        <w:rPr>
          <w:color w:val="000000"/>
          <w:spacing w:val="0"/>
          <w:w w:val="100"/>
          <w:position w:val="0"/>
        </w:rPr>
        <w:t>万元，中瑞国际资产评估（北 京）有限公司于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日出具了编号为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中瑞评报字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的评估报告。本公司董事会认为，基于上述评估， 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日对深圳苏摩商誉补计提</w:t>
      </w:r>
      <w:r>
        <w:rPr>
          <w:rFonts w:ascii="Times New Roman" w:eastAsia="Times New Roman" w:hAnsi="Times New Roman" w:cs="Times New Roman"/>
          <w:color w:val="000000"/>
          <w:spacing w:val="0"/>
          <w:w w:val="100"/>
          <w:position w:val="0"/>
          <w:sz w:val="18"/>
          <w:szCs w:val="18"/>
        </w:rPr>
        <w:t>14,115,775.58</w:t>
      </w:r>
      <w:r>
        <w:rPr>
          <w:color w:val="000000"/>
          <w:spacing w:val="0"/>
          <w:w w:val="100"/>
          <w:position w:val="0"/>
        </w:rPr>
        <w:t>元减值准备。</w:t>
      </w:r>
    </w:p>
    <w:p>
      <w:pPr>
        <w:pStyle w:val="Style32"/>
        <w:keepNext/>
        <w:keepLines/>
        <w:widowControl w:val="0"/>
        <w:shd w:val="clear" w:color="auto" w:fill="auto"/>
        <w:bidi w:val="0"/>
        <w:spacing w:before="0" w:after="2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038"/>
      <w:bookmarkEnd w:id="1039"/>
      <w:bookmarkEnd w:id="1041"/>
    </w:p>
    <w:p>
      <w:pPr>
        <w:pStyle w:val="Style26"/>
        <w:keepNext w:val="0"/>
        <w:keepLines w:val="0"/>
        <w:widowControl w:val="0"/>
        <w:shd w:val="clear" w:color="auto" w:fill="auto"/>
        <w:bidi w:val="0"/>
        <w:spacing w:before="0" w:line="312" w:lineRule="exact"/>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64" w:right="822" w:bottom="1445" w:left="855" w:header="0" w:footer="3" w:gutter="0"/>
          <w:cols w:space="720"/>
          <w:noEndnote/>
          <w:titlePg/>
          <w:rtlGutter w:val="0"/>
          <w:docGrid w:linePitch="360"/>
        </w:sectPr>
      </w:pP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版权金代理费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3,649,262.83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3,986,438.53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6,007,015.65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949,325.23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679,360.48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448,808.31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4,408,246.18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4,175,117.77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6,195,694.85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1,259,500.31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1,128,168.79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1</w:t>
      </w:r>
      <w:bookmarkEnd w:id="1044"/>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2"/>
      <w:bookmarkEnd w:id="1043"/>
      <w:bookmarkEnd w:id="1045"/>
    </w:p>
    <w:p>
      <w:pPr>
        <w:pStyle w:val="Style36"/>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46"/>
      <w:bookmarkEnd w:id="1047"/>
      <w:bookmarkEnd w:id="10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73,261,088.93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11,184,199.29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152,398,246.19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22,559,444.71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1,647,338.80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5,031,545.47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754,731.82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2,103,963.95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525,990.99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51,502,683.80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8,345,328.05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无形资产摊销额大于税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法摊销未转回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74,503,406.79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11,603,385.61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76,778,926.89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11,070,233.05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广告费用超支部分未转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16,848,084.75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2,527,212.71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2,138,310.19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320,746.53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31,038,580.75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4,655,787.11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34,421,796.32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5,218,051.27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期权成本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长期待摊费用摊销额大 于税法摊销未转回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1,834,381.55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458,595.39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199,402,463.97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30,743,676.53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324,295,447.51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48,755,564.39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49"/>
      <w:bookmarkEnd w:id="1050"/>
      <w:bookmarkEnd w:id="10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因长期股权投资转为可 供出售金融资产按公允 价值重新计量确认的递 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179,982,226.70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26,997,334.01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179,982,226.70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26,997,334.01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179,982,226.70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26,997,334.01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179,982,226.70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26,997,334.01</w:t>
            </w:r>
          </w:p>
        </w:tc>
      </w:tr>
    </w:tbl>
    <w:p>
      <w:pPr>
        <w:widowControl w:val="0"/>
        <w:spacing w:after="319" w:line="1" w:lineRule="exact"/>
      </w:pPr>
    </w:p>
    <w:p>
      <w:pPr>
        <w:pStyle w:val="Style36"/>
        <w:keepNext/>
        <w:keepLines/>
        <w:widowControl w:val="0"/>
        <w:numPr>
          <w:ilvl w:val="0"/>
          <w:numId w:val="17"/>
        </w:numPr>
        <w:shd w:val="clear" w:color="auto" w:fill="auto"/>
        <w:bidi w:val="0"/>
        <w:spacing w:before="0" w:after="34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以抵销后净额列示的递延所得税资产或负债</w:t>
      </w:r>
      <w:bookmarkEnd w:id="1052"/>
      <w:bookmarkEnd w:id="1053"/>
      <w:bookmarkEnd w:id="1055"/>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30,743,676.53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48,755,564.39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26,997,334.01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26,997,334.01</w:t>
            </w:r>
          </w:p>
        </w:tc>
      </w:tr>
    </w:tbl>
    <w:p>
      <w:pPr>
        <w:widowControl w:val="0"/>
        <w:spacing w:after="319" w:line="1" w:lineRule="exact"/>
      </w:pPr>
    </w:p>
    <w:p>
      <w:pPr>
        <w:pStyle w:val="Style36"/>
        <w:keepNext/>
        <w:keepLines/>
        <w:widowControl w:val="0"/>
        <w:numPr>
          <w:ilvl w:val="0"/>
          <w:numId w:val="17"/>
        </w:numPr>
        <w:shd w:val="clear" w:color="auto" w:fill="auto"/>
        <w:bidi w:val="0"/>
        <w:spacing w:before="0" w:after="36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未确认递延所得税资产明细</w:t>
      </w:r>
      <w:bookmarkEnd w:id="1056"/>
      <w:bookmarkEnd w:id="1057"/>
      <w:bookmarkEnd w:id="105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143,949,330.38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36,564,798.65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343,136,324.80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31,207,495.48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487,085,655.18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67,772,294.13</w:t>
            </w:r>
          </w:p>
        </w:tc>
      </w:tr>
    </w:tbl>
    <w:p>
      <w:pPr>
        <w:widowControl w:val="0"/>
        <w:spacing w:after="319" w:line="1" w:lineRule="exact"/>
      </w:pPr>
    </w:p>
    <w:p>
      <w:pPr>
        <w:pStyle w:val="Style36"/>
        <w:keepNext/>
        <w:keepLines/>
        <w:widowControl w:val="0"/>
        <w:numPr>
          <w:ilvl w:val="0"/>
          <w:numId w:val="17"/>
        </w:numPr>
        <w:shd w:val="clear" w:color="auto" w:fill="auto"/>
        <w:bidi w:val="0"/>
        <w:spacing w:before="0" w:after="36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未确认递延所得税资产的可抵扣亏损将于以下年度到期</w:t>
      </w:r>
      <w:bookmarkEnd w:id="1060"/>
      <w:bookmarkEnd w:id="1061"/>
      <w:bookmarkEnd w:id="10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425,244.59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115,780.69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1,946,656.17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3,498,050.23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6,168,160.83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8,001,932.36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9,090,884.82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60,487,623.77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18,933,852.24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71,845,943.33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143,949,330.38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36,564,798.65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064"/>
      <w:bookmarkEnd w:id="1065"/>
      <w:bookmarkEnd w:id="10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购置房屋建筑物预付款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5,852,720.00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16,213,252.71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132,198,882.26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22,065,972.71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6"/>
        <w:keepNext w:val="0"/>
        <w:keepLines w:val="0"/>
        <w:widowControl w:val="0"/>
        <w:shd w:val="clear" w:color="auto" w:fill="auto"/>
        <w:bidi w:val="0"/>
        <w:spacing w:before="0" w:after="340" w:line="298" w:lineRule="exact"/>
        <w:ind w:left="0" w:right="0" w:firstLine="460"/>
        <w:jc w:val="left"/>
      </w:pPr>
      <w:r>
        <w:rPr>
          <w:color w:val="000000"/>
          <w:spacing w:val="0"/>
          <w:w w:val="100"/>
          <w:position w:val="0"/>
        </w:rPr>
        <w:t>预付股权转让款系本公司向宝德科技支付的收购宝腾互联的第一期现金价款，具体详见附注十五、其他重要事项</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)以现金收购宝腾互联股权。</w:t>
      </w:r>
      <w:r>
        <w:br w:type="page"/>
      </w:r>
    </w:p>
    <w:p>
      <w:pPr>
        <w:pStyle w:val="Style32"/>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068"/>
      <w:bookmarkEnd w:id="1069"/>
      <w:bookmarkEnd w:id="1071"/>
    </w:p>
    <w:p>
      <w:pPr>
        <w:pStyle w:val="Style36"/>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72"/>
      <w:bookmarkEnd w:id="1073"/>
      <w:bookmarkEnd w:id="10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339" w:line="1" w:lineRule="exact"/>
      </w:pPr>
    </w:p>
    <w:p>
      <w:pPr>
        <w:pStyle w:val="Style58"/>
        <w:keepNext w:val="0"/>
        <w:keepLines w:val="0"/>
        <w:widowControl w:val="0"/>
        <w:shd w:val="clear" w:color="auto" w:fill="auto"/>
        <w:bidi w:val="0"/>
        <w:spacing w:before="0" w:after="0" w:line="614" w:lineRule="exact"/>
        <w:ind w:left="0" w:right="0" w:firstLine="0"/>
        <w:jc w:val="left"/>
        <w:rPr>
          <w:sz w:val="17"/>
          <w:szCs w:val="17"/>
        </w:rPr>
      </w:pPr>
      <w:bookmarkStart w:id="1075" w:name="bookmark1075"/>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)已逾期未偿还的短期借款情况 </w:t>
      </w:r>
      <w:r>
        <w:rPr>
          <w:b w:val="0"/>
          <w:bCs w:val="0"/>
          <w:color w:val="000000"/>
          <w:spacing w:val="0"/>
          <w:w w:val="100"/>
          <w:position w:val="0"/>
          <w:sz w:val="17"/>
          <w:szCs w:val="17"/>
        </w:rPr>
        <w:t>本年无逾期未偿还的短期借款。</w:t>
      </w:r>
      <w:bookmarkEnd w:id="1075"/>
    </w:p>
    <w:p>
      <w:pPr>
        <w:pStyle w:val="Style32"/>
        <w:keepNext/>
        <w:keepLines/>
        <w:widowControl w:val="0"/>
        <w:shd w:val="clear" w:color="auto" w:fill="auto"/>
        <w:bidi w:val="0"/>
        <w:spacing w:before="0" w:after="0" w:line="614" w:lineRule="exact"/>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076"/>
      <w:bookmarkEnd w:id="1077"/>
      <w:bookmarkEnd w:id="1079"/>
    </w:p>
    <w:p>
      <w:pPr>
        <w:pStyle w:val="Style36"/>
        <w:keepNext/>
        <w:keepLines/>
        <w:widowControl w:val="0"/>
        <w:shd w:val="clear" w:color="auto" w:fill="auto"/>
        <w:bidi w:val="0"/>
        <w:spacing w:before="0" w:after="340" w:line="614" w:lineRule="exact"/>
        <w:ind w:left="0" w:right="0" w:firstLine="0"/>
        <w:jc w:val="left"/>
      </w:pPr>
      <w:bookmarkStart w:id="1080" w:name="bookmark1080"/>
      <w:bookmarkStart w:id="1081" w:name="bookmark1081"/>
      <w:bookmarkStart w:id="1082" w:name="bookmark10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80"/>
      <w:bookmarkEnd w:id="1081"/>
      <w:bookmarkEnd w:id="108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25,078,251.97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9,390,522.91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3,903,050.71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9,360,128.60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应付服务器托管费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1,482,905.45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2,195,065.75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1,955,847.88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2,272,760.00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1,057,985.87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1,426,772.28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32,324,921.64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26,601,097.42</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140"/>
        <w:jc w:val="left"/>
      </w:pPr>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083"/>
      <w:bookmarkEnd w:id="1084"/>
      <w:bookmarkEnd w:id="1085"/>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本年无账龄超过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年的重要应付账款。</w:t>
      </w:r>
      <w:r>
        <w:br w:type="page"/>
      </w:r>
    </w:p>
    <w:p>
      <w:pPr>
        <w:pStyle w:val="Style32"/>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086"/>
      <w:bookmarkEnd w:id="1087"/>
      <w:bookmarkEnd w:id="1089"/>
    </w:p>
    <w:p>
      <w:pPr>
        <w:pStyle w:val="Style36"/>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090"/>
      <w:bookmarkEnd w:id="1091"/>
      <w:bookmarkEnd w:id="10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2,195,661.25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946,942.14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380,131.44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149,462.46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3,282,424.60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1,518,657.19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093"/>
      <w:bookmarkEnd w:id="1094"/>
      <w:bookmarkEnd w:id="1095"/>
    </w:p>
    <w:p>
      <w:pPr>
        <w:pStyle w:val="Style26"/>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本年无账龄超过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年的重要预收款项。</w:t>
      </w:r>
    </w:p>
    <w:p>
      <w:pPr>
        <w:pStyle w:val="Style32"/>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096"/>
      <w:bookmarkEnd w:id="1097"/>
      <w:bookmarkEnd w:id="1099"/>
    </w:p>
    <w:p>
      <w:pPr>
        <w:pStyle w:val="Style36"/>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00"/>
      <w:bookmarkEnd w:id="1101"/>
      <w:bookmarkEnd w:id="11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12,618,244.43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124,426,527.16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124,543,928.63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12,500,842.96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59,736.96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7,371,265.01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7,364,139.87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12,677,981.39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131,852,792.17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131,963,068.50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12,567,705.06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03"/>
      <w:bookmarkEnd w:id="1104"/>
      <w:bookmarkEnd w:id="11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12,261,369.11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112,247,224.33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112,283,016.54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12,225,576.90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4,209,319.43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4,201,996.51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79,606.83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4,924,425.15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4,987,318.93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16,713.05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76,698.20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4,091,233.34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4,151,518.45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16,413.09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488,254.46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488,629.95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3,031,560.14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3,057,598.54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148,813.60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13,998.11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12,618,244.43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124,426,527.16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124,543,928.63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12,500,842.96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06"/>
      <w:bookmarkEnd w:id="1107"/>
      <w:bookmarkEnd w:id="110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7,089,567.75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7,079,934.46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284,205.41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7,371,265.01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7,364,139.87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66,862.10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110"/>
      <w:bookmarkEnd w:id="1111"/>
      <w:bookmarkEnd w:id="11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6,865,527.44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5,155,875.22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5,082,032.95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6,651,115.63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927,050.07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1,008,058.97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368,285.91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272,363.01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263,061.37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13,532,646.01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13,298,155.86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114"/>
      <w:bookmarkEnd w:id="1115"/>
      <w:bookmarkEnd w:id="1117"/>
    </w:p>
    <w:p>
      <w:pPr>
        <w:pStyle w:val="Style36"/>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18"/>
      <w:bookmarkEnd w:id="1119"/>
      <w:bookmarkEnd w:id="112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1,114,805.85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1,882,682.72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283,382.37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233,443.61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信用卡欠款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248,778.99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175,242.33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142,827.97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304,141.84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627,783.95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2,093,937.02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2,945,655.90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21"/>
      <w:bookmarkEnd w:id="1122"/>
      <w:bookmarkEnd w:id="1123"/>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年的重要其他应付款。</w:t>
      </w:r>
    </w:p>
    <w:p>
      <w:pPr>
        <w:pStyle w:val="Style32"/>
        <w:keepNext/>
        <w:keepLines/>
        <w:widowControl w:val="0"/>
        <w:shd w:val="clear" w:color="auto" w:fill="auto"/>
        <w:bidi w:val="0"/>
        <w:spacing w:before="0" w:after="38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bookmarkEnd w:id="1126"/>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124"/>
      <w:bookmarkEnd w:id="1125"/>
      <w:bookmarkEnd w:id="11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预收的游戏卡未实现收入产生的递延收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20,565,775.37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7,557,808.03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2,558,133.13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4,755,600.07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特许费收入(授权金)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3,956,202.02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5,633,184.67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27,080,110.52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17,946,592.77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58"/>
        <w:keepNext w:val="0"/>
        <w:keepLines w:val="0"/>
        <w:widowControl w:val="0"/>
        <w:shd w:val="clear" w:color="auto" w:fill="auto"/>
        <w:bidi w:val="0"/>
        <w:spacing w:before="0" w:after="0" w:line="240" w:lineRule="auto"/>
        <w:ind w:left="0" w:right="0" w:firstLine="0"/>
        <w:jc w:val="both"/>
        <w:rPr>
          <w:sz w:val="20"/>
          <w:szCs w:val="20"/>
        </w:rPr>
      </w:pPr>
      <w:r>
        <w:rPr>
          <w:b w:val="0"/>
          <w:bCs w:val="0"/>
          <w:color w:val="000000"/>
          <w:spacing w:val="0"/>
          <w:w w:val="100"/>
          <w:position w:val="0"/>
          <w:sz w:val="20"/>
          <w:szCs w:val="20"/>
        </w:rPr>
        <w:t>政府补助</w:t>
      </w:r>
    </w:p>
    <w:tbl>
      <w:tblPr>
        <w:tblOverlap w:val="never"/>
        <w:jc w:val="center"/>
        <w:tblLayout w:type="fixed"/>
      </w:tblPr>
      <w:tblGrid>
        <w:gridCol w:w="1421"/>
        <w:gridCol w:w="1277"/>
        <w:gridCol w:w="994"/>
        <w:gridCol w:w="1699"/>
        <w:gridCol w:w="1277"/>
        <w:gridCol w:w="1416"/>
        <w:gridCol w:w="1714"/>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9"/>
                <w:szCs w:val="19"/>
              </w:rPr>
            </w:pPr>
            <w:r>
              <w:rPr>
                <w:b/>
                <w:bCs/>
                <w:color w:val="000000"/>
                <w:spacing w:val="0"/>
                <w:w w:val="100"/>
                <w:position w:val="0"/>
                <w:sz w:val="19"/>
                <w:szCs w:val="19"/>
              </w:rPr>
              <w:t>政府补助项目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9"/>
                <w:szCs w:val="19"/>
              </w:rPr>
            </w:pPr>
            <w:r>
              <w:rPr>
                <w:b/>
                <w:bCs/>
                <w:color w:val="000000"/>
                <w:spacing w:val="0"/>
                <w:w w:val="100"/>
                <w:position w:val="0"/>
                <w:sz w:val="19"/>
                <w:szCs w:val="19"/>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本年新增 补助金额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b/>
                <w:bCs/>
                <w:color w:val="000000"/>
                <w:spacing w:val="0"/>
                <w:w w:val="100"/>
                <w:position w:val="0"/>
                <w:sz w:val="19"/>
                <w:szCs w:val="19"/>
              </w:rPr>
              <w:t>本年计入营业外收 入金额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220" w:firstLine="0"/>
              <w:jc w:val="right"/>
              <w:rPr>
                <w:sz w:val="19"/>
                <w:szCs w:val="19"/>
              </w:rPr>
            </w:pPr>
            <w:r>
              <w:rPr>
                <w:b/>
                <w:bCs/>
                <w:color w:val="000000"/>
                <w:spacing w:val="0"/>
                <w:w w:val="100"/>
                <w:position w:val="0"/>
                <w:sz w:val="19"/>
                <w:szCs w:val="19"/>
              </w:rPr>
              <w:t>其他变动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与资产相关</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9"/>
                <w:szCs w:val="19"/>
              </w:rPr>
              <w:t>与收益 相关</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新宋演义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与资产相关</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梦回山海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416,666.79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416,666.79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与资产相关</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中青宝游戏云 服务开放平台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与资产相关</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幻</w:t>
            </w:r>
            <w:r>
              <w:rPr>
                <w:rFonts w:ascii="Times New Roman" w:eastAsia="Times New Roman" w:hAnsi="Times New Roman" w:cs="Times New Roman"/>
                <w:color w:val="000000"/>
                <w:spacing w:val="0"/>
                <w:w w:val="100"/>
                <w:position w:val="0"/>
                <w:sz w:val="20"/>
                <w:szCs w:val="20"/>
              </w:rPr>
              <w:t>online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与资产相关</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移动互联跨平 台</w:t>
            </w:r>
            <w:r>
              <w:rPr>
                <w:rFonts w:ascii="Times New Roman" w:eastAsia="Times New Roman" w:hAnsi="Times New Roman" w:cs="Times New Roman"/>
                <w:color w:val="000000"/>
                <w:spacing w:val="0"/>
                <w:w w:val="100"/>
                <w:position w:val="0"/>
                <w:sz w:val="20"/>
                <w:szCs w:val="20"/>
              </w:rPr>
              <w:t>3D</w:t>
            </w:r>
            <w:r>
              <w:rPr>
                <w:color w:val="000000"/>
                <w:spacing w:val="0"/>
                <w:w w:val="100"/>
                <w:position w:val="0"/>
                <w:sz w:val="19"/>
                <w:szCs w:val="19"/>
              </w:rPr>
              <w:t>游戏引擎 技术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999,999.96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999,999.96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999,999.96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999,999.96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与资产相关</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幻世英雄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与资产相关</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裂天之刃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与资产相关</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邪域战灵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183,999.96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与资产相关</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但丁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533,333.32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533,333.32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与资产相关</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工程技术研究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521,600.04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521,600.04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478,133.17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478,133.17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与资产相关</w:t>
            </w:r>
          </w:p>
        </w:tc>
      </w:tr>
    </w:tbl>
    <w:p>
      <w:pPr>
        <w:spacing w:lineRule="exact" w:line="1"/>
        <w:rPr>
          <w:sz w:val="2"/>
          <w:szCs w:val="2"/>
        </w:rPr>
      </w:pPr>
      <w:r>
        <w:br w:type="page"/>
      </w:r>
    </w:p>
    <w:tbl>
      <w:tblPr>
        <w:tblOverlap w:val="never"/>
        <w:jc w:val="center"/>
        <w:tblLayout w:type="fixed"/>
      </w:tblPr>
      <w:tblGrid>
        <w:gridCol w:w="1421"/>
        <w:gridCol w:w="1277"/>
        <w:gridCol w:w="994"/>
        <w:gridCol w:w="1699"/>
        <w:gridCol w:w="1277"/>
        <w:gridCol w:w="1416"/>
        <w:gridCol w:w="171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开发中心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4,755,600.07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4,755,600.07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2,558,133.13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2,558,133.13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3"/>
        <w:keepNext w:val="0"/>
        <w:keepLines w:val="0"/>
        <w:widowControl w:val="0"/>
        <w:shd w:val="clear" w:color="auto" w:fill="auto"/>
        <w:bidi w:val="0"/>
        <w:spacing w:before="0" w:after="680" w:line="240" w:lineRule="auto"/>
        <w:ind w:left="0" w:right="0" w:firstLine="460"/>
        <w:jc w:val="left"/>
      </w:pPr>
      <w:r>
        <w:rPr>
          <w:color w:val="000000"/>
          <w:spacing w:val="0"/>
          <w:w w:val="100"/>
          <w:position w:val="0"/>
        </w:rPr>
        <w:t>其他变动系递延收益重分类，见附注七、</w:t>
      </w:r>
      <w:r>
        <w:rPr>
          <w:color w:val="000000"/>
          <w:spacing w:val="0"/>
          <w:w w:val="100"/>
          <w:position w:val="0"/>
          <w:sz w:val="20"/>
          <w:szCs w:val="20"/>
        </w:rPr>
        <w:t>26</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128"/>
      <w:bookmarkEnd w:id="1129"/>
      <w:bookmarkEnd w:id="113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14,544,349.76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5,831,016.31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8,713,333.45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尚未满足确认损益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的政府补助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4,696,735.57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6,665,037.16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9,335,260.40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2,026,512.33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未摊销完的游戏版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19,241,085.33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6,665,037.16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15,166,276.71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10,739,845.78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新宋演义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1,916,666.78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工程技术研究开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478,133.17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嘻哈堂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397,216.38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397,216.38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中青宝游戏云服 务开放平台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幻 </w:t>
            </w:r>
            <w:r>
              <w:rPr>
                <w:rFonts w:ascii="Times New Roman" w:eastAsia="Times New Roman" w:hAnsi="Times New Roman" w:cs="Times New Roman"/>
                <w:color w:val="000000"/>
                <w:spacing w:val="0"/>
                <w:w w:val="100"/>
                <w:position w:val="0"/>
                <w:sz w:val="18"/>
                <w:szCs w:val="18"/>
              </w:rPr>
              <w:t>online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移动互联跨平台</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游戏引擎技 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2,833,333.42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1,833,333.46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幻世英雄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裂天之刃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236,666.56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236,666.56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邪域战灵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337,333.46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337,333.46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虚拟化技术工程 实验室补助资金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黑夜传说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14,544,349.76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3,272,883.18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2,558,133.13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8,713,333.45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53"/>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其他变动系转入其他流动负债，见附注七、</w:t>
      </w:r>
      <w:r>
        <w:rPr>
          <w:color w:val="000000"/>
          <w:spacing w:val="0"/>
          <w:w w:val="100"/>
          <w:position w:val="0"/>
          <w:sz w:val="20"/>
          <w:szCs w:val="20"/>
        </w:rPr>
        <w:t>25</w:t>
      </w:r>
      <w:r>
        <w:rPr>
          <w:color w:val="000000"/>
          <w:spacing w:val="0"/>
          <w:w w:val="100"/>
          <w:position w:val="0"/>
        </w:rPr>
        <w:t>。</w:t>
      </w:r>
      <w:r>
        <w:br w:type="page"/>
      </w:r>
    </w:p>
    <w:p>
      <w:pPr>
        <w:pStyle w:val="Style32"/>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27</w:t>
      </w:r>
      <w:r>
        <w:rPr>
          <w:color w:val="000000"/>
          <w:spacing w:val="0"/>
          <w:w w:val="100"/>
          <w:position w:val="0"/>
        </w:rPr>
        <w:t>、股本</w:t>
      </w:r>
      <w:bookmarkEnd w:id="1132"/>
      <w:bookmarkEnd w:id="1133"/>
      <w:bookmarkEnd w:id="1134"/>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261,038,600.00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261,038,600.00</w:t>
            </w:r>
          </w:p>
        </w:tc>
      </w:tr>
    </w:tbl>
    <w:p>
      <w:pPr>
        <w:widowControl w:val="0"/>
        <w:spacing w:after="679" w:line="1" w:lineRule="exact"/>
      </w:pPr>
    </w:p>
    <w:p>
      <w:pPr>
        <w:pStyle w:val="Style32"/>
        <w:keepNext/>
        <w:keepLines/>
        <w:widowControl w:val="0"/>
        <w:shd w:val="clear" w:color="auto" w:fill="auto"/>
        <w:bidi w:val="0"/>
        <w:spacing w:before="0" w:after="380" w:line="240" w:lineRule="auto"/>
        <w:ind w:left="0" w:right="0" w:firstLine="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135"/>
      <w:bookmarkEnd w:id="1136"/>
      <w:bookmarkEnd w:id="11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576,981,261.86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576,981,261.86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14,514,563.70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20,055,678.60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591,495,825.56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597,036,940.46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19" w:line="1" w:lineRule="exact"/>
      </w:pPr>
    </w:p>
    <w:p>
      <w:pPr>
        <w:pStyle w:val="Style26"/>
        <w:keepNext w:val="0"/>
        <w:keepLines w:val="0"/>
        <w:widowControl w:val="0"/>
        <w:shd w:val="clear" w:color="auto" w:fill="auto"/>
        <w:bidi w:val="0"/>
        <w:spacing w:before="0" w:after="680" w:line="319" w:lineRule="exact"/>
        <w:ind w:left="0" w:right="0" w:firstLine="460"/>
        <w:jc w:val="both"/>
      </w:pPr>
      <w:r>
        <w:rPr>
          <w:color w:val="000000"/>
          <w:spacing w:val="0"/>
          <w:w w:val="100"/>
          <w:position w:val="0"/>
        </w:rPr>
        <w:t>其他增加</w:t>
      </w:r>
      <w:r>
        <w:rPr>
          <w:rFonts w:ascii="Times New Roman" w:eastAsia="Times New Roman" w:hAnsi="Times New Roman" w:cs="Times New Roman"/>
          <w:color w:val="000000"/>
          <w:spacing w:val="0"/>
          <w:w w:val="100"/>
          <w:position w:val="0"/>
          <w:sz w:val="18"/>
          <w:szCs w:val="18"/>
        </w:rPr>
        <w:t>5,730,672.00</w:t>
      </w:r>
      <w:r>
        <w:rPr>
          <w:color w:val="000000"/>
          <w:spacing w:val="0"/>
          <w:w w:val="100"/>
          <w:position w:val="0"/>
        </w:rPr>
        <w:t>元，系上海美峰股东对应收环球数码《君王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》软件著作权转让余款的兜底还款协议所支付的 </w:t>
      </w:r>
      <w:r>
        <w:rPr>
          <w:rFonts w:ascii="Times New Roman" w:eastAsia="Times New Roman" w:hAnsi="Times New Roman" w:cs="Times New Roman"/>
          <w:color w:val="000000"/>
          <w:spacing w:val="0"/>
          <w:w w:val="100"/>
          <w:position w:val="0"/>
          <w:sz w:val="18"/>
          <w:szCs w:val="18"/>
        </w:rPr>
        <w:t>8,000,000.00</w:t>
      </w:r>
      <w:r>
        <w:rPr>
          <w:color w:val="000000"/>
          <w:spacing w:val="0"/>
          <w:w w:val="100"/>
          <w:position w:val="0"/>
        </w:rPr>
        <w:t>元，按持股比例</w:t>
      </w:r>
      <w:r>
        <w:rPr>
          <w:rFonts w:ascii="Times New Roman" w:eastAsia="Times New Roman" w:hAnsi="Times New Roman" w:cs="Times New Roman"/>
          <w:color w:val="000000"/>
          <w:spacing w:val="0"/>
          <w:w w:val="100"/>
          <w:position w:val="0"/>
          <w:sz w:val="18"/>
          <w:szCs w:val="18"/>
        </w:rPr>
        <w:t>70.6334%</w:t>
      </w:r>
      <w:r>
        <w:rPr>
          <w:color w:val="000000"/>
          <w:spacing w:val="0"/>
          <w:w w:val="100"/>
          <w:position w:val="0"/>
        </w:rPr>
        <w:t>计算归属于母公司部分，详见本详见附注十五、其他重要事项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）与上海美 峰股东签订兜底还款协议。</w:t>
      </w:r>
    </w:p>
    <w:p>
      <w:pPr>
        <w:pStyle w:val="Style32"/>
        <w:keepNext/>
        <w:keepLines/>
        <w:widowControl w:val="0"/>
        <w:shd w:val="clear" w:color="auto" w:fill="auto"/>
        <w:bidi w:val="0"/>
        <w:spacing w:before="0" w:after="380" w:line="240" w:lineRule="auto"/>
        <w:ind w:left="0" w:right="0" w:firstLine="0"/>
        <w:jc w:val="both"/>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2</w:t>
      </w:r>
      <w:bookmarkEnd w:id="1141"/>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139"/>
      <w:bookmarkEnd w:id="1140"/>
      <w:bookmarkEnd w:id="11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其中：重新计算设定受益计划净负 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560"/>
              <w:jc w:val="both"/>
            </w:pPr>
            <w:r>
              <w:rPr>
                <w:color w:val="000000"/>
                <w:spacing w:val="0"/>
                <w:w w:val="100"/>
                <w:position w:val="0"/>
              </w:rPr>
              <w:t>权益法下在被投资单位不能 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-981,279.19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其中：权益法下在被投资单位以后 将重分类进损益的其他综合收益中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13"/>
        <w:gridCol w:w="1070"/>
        <w:gridCol w:w="936"/>
        <w:gridCol w:w="1152"/>
        <w:gridCol w:w="936"/>
        <w:gridCol w:w="936"/>
        <w:gridCol w:w="931"/>
        <w:gridCol w:w="80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rPr>
              <w:t>持有至到期投资重分类为可 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现金流量套期损益的有效部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-981,279.19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-981,279.19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r>
    </w:tbl>
    <w:p>
      <w:pPr>
        <w:widowControl w:val="0"/>
        <w:spacing w:after="659" w:line="1" w:lineRule="exact"/>
      </w:pPr>
    </w:p>
    <w:p>
      <w:pPr>
        <w:pStyle w:val="Style32"/>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3</w:t>
      </w:r>
      <w:bookmarkEnd w:id="1145"/>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143"/>
      <w:bookmarkEnd w:id="1144"/>
      <w:bookmarkEnd w:id="114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53,066,539.08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53,066,539.08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53,066,539.08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53,066,539.08</w:t>
            </w:r>
          </w:p>
        </w:tc>
      </w:tr>
    </w:tbl>
    <w:p>
      <w:pPr>
        <w:widowControl w:val="0"/>
        <w:spacing w:after="659" w:line="1" w:lineRule="exact"/>
      </w:pPr>
    </w:p>
    <w:p>
      <w:pPr>
        <w:pStyle w:val="Style32"/>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147"/>
      <w:bookmarkEnd w:id="1148"/>
      <w:bookmarkEnd w:id="11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97,378,741.96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67,104,048.90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97,378,741.96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67,104,048.90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-49,729,289.85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65,202,765.48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34,928,072.42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5,220,772.00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42,428,680.11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97,378,741.96</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20" w:line="240" w:lineRule="auto"/>
        <w:ind w:left="0" w:right="0" w:firstLine="0"/>
        <w:jc w:val="left"/>
      </w:pPr>
      <w:bookmarkStart w:id="1151" w:name="bookmark1151"/>
      <w:r>
        <w:rPr>
          <w:rFonts w:ascii="Times New Roman" w:eastAsia="Times New Roman" w:hAnsi="Times New Roman" w:cs="Times New Roman"/>
          <w:color w:val="000000"/>
          <w:spacing w:val="0"/>
          <w:w w:val="100"/>
          <w:position w:val="0"/>
          <w:sz w:val="18"/>
          <w:szCs w:val="18"/>
        </w:rPr>
        <w:t>1</w:t>
      </w:r>
      <w:bookmarkEnd w:id="11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152" w:name="bookmark1152"/>
      <w:r>
        <w:rPr>
          <w:rFonts w:ascii="Times New Roman" w:eastAsia="Times New Roman" w:hAnsi="Times New Roman" w:cs="Times New Roman"/>
          <w:color w:val="000000"/>
          <w:spacing w:val="0"/>
          <w:w w:val="100"/>
          <w:position w:val="0"/>
          <w:sz w:val="18"/>
          <w:szCs w:val="18"/>
        </w:rPr>
        <w:t>2</w:t>
      </w:r>
      <w:bookmarkEnd w:id="11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153" w:name="bookmark1153"/>
      <w:r>
        <w:rPr>
          <w:rFonts w:ascii="Times New Roman" w:eastAsia="Times New Roman" w:hAnsi="Times New Roman" w:cs="Times New Roman"/>
          <w:color w:val="000000"/>
          <w:spacing w:val="0"/>
          <w:w w:val="100"/>
          <w:position w:val="0"/>
          <w:sz w:val="18"/>
          <w:szCs w:val="18"/>
        </w:rPr>
        <w:t>3</w:t>
      </w:r>
      <w:bookmarkEnd w:id="11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154" w:name="bookmark1154"/>
      <w:r>
        <w:rPr>
          <w:rFonts w:ascii="Times New Roman" w:eastAsia="Times New Roman" w:hAnsi="Times New Roman" w:cs="Times New Roman"/>
          <w:color w:val="000000"/>
          <w:spacing w:val="0"/>
          <w:w w:val="100"/>
          <w:position w:val="0"/>
          <w:sz w:val="18"/>
          <w:szCs w:val="18"/>
        </w:rPr>
        <w:t>4</w:t>
      </w:r>
      <w:bookmarkEnd w:id="11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155" w:name="bookmark1155"/>
      <w:r>
        <w:rPr>
          <w:rFonts w:ascii="Times New Roman" w:eastAsia="Times New Roman" w:hAnsi="Times New Roman" w:cs="Times New Roman"/>
          <w:color w:val="000000"/>
          <w:spacing w:val="0"/>
          <w:w w:val="100"/>
          <w:position w:val="0"/>
          <w:sz w:val="18"/>
          <w:szCs w:val="18"/>
        </w:rPr>
        <w:t>5</w:t>
      </w:r>
      <w:bookmarkEnd w:id="11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2"/>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156"/>
      <w:bookmarkEnd w:id="1157"/>
      <w:bookmarkEnd w:id="115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315,425,255.23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117,172,971.90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337,654,277.83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190,354,546.27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5,922,801.93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5,913,124.81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5,436,659.48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4,944,459.31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321,348,057.16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123,086,096.71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343,090,937.31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195,299,005.58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160"/>
      <w:bookmarkEnd w:id="1161"/>
      <w:bookmarkEnd w:id="11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835,251.22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347,535.14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596,455.81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348,948.24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18,134.62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1,044,093.92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1,798,789.89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164"/>
      <w:bookmarkEnd w:id="1165"/>
      <w:bookmarkEnd w:id="11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31,650,043.08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32,235,590.25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广告推广、业务宣传、展览费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28,304,223.00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48,443,277.02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1,931,670.43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1,666,057.09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折旧费及长期资产摊销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1,305,344.50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2,051,665.47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1,090,984.72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1,111,487.40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970,800.34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1,077,533.17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642,896.35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709,709.54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1,237,996.62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2,172,438.37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67,133,959.04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89,467,758.31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3</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168"/>
      <w:bookmarkEnd w:id="1169"/>
      <w:bookmarkEnd w:id="11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89,406,068.32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70,416,153.57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19,435,678.98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21,875,270.59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5,158,608.98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5,356,102.61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4,414,171.44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4,026,346.77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2,387,710.23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2,903,596.89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2,687,441.35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3,120,044.44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1,269,260.75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1,447,600.55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1,119,072.51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1,739,248.19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-8,303,213.22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2,692,429.52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2,536,223.99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128,380,884.98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105,117,374.38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172"/>
      <w:bookmarkEnd w:id="1173"/>
      <w:bookmarkEnd w:id="11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1,110,011.11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19,552,397.99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1,509,455.22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1,936,583.52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-7,561,213.07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5,210,481.50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1,185,174.57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617,919.89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-5,294,810.55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9,487,346.72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176"/>
      <w:bookmarkEnd w:id="1177"/>
      <w:bookmarkEnd w:id="11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40,803,280.69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7,950,397.60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1,344,138.56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160,902.83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10,609,167.54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19,573,488.58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74,146,023.69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186,694,513.17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7,457,335.79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68,008,348.23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134,359,946.27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282,387,650.41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3</w:t>
      </w:r>
      <w:bookmarkEnd w:id="118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180"/>
      <w:bookmarkEnd w:id="1181"/>
      <w:bookmarkEnd w:id="1183"/>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-4,361,033.63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12,608,042.35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94,670,231.14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832,172.89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长期股权投资转可供出售金融资产的投资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141,592,095.55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-4,306,175.72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248,870,369.04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3</w:t>
      </w:r>
      <w:bookmarkEnd w:id="1186"/>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184"/>
      <w:bookmarkEnd w:id="1185"/>
      <w:bookmarkEnd w:id="11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17,022,925.74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14,180,179.85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14,948,889.99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4,338,821.56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133,339,500.00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4,338,821.56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业绩承诺补偿款</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60,030,248.11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60,030,248.11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定向分红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28,665,000.00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3,302,178.08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2,544,001.00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3,302,178.08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1,673,787.52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1,120,190.24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1,673,787.52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86,461,478.82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179,905,816.04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84,387,443.07</w:t>
            </w:r>
          </w:p>
        </w:tc>
      </w:tr>
    </w:tbl>
    <w:p>
      <w:pPr>
        <w:pStyle w:val="Style26"/>
        <w:keepNext w:val="0"/>
        <w:keepLines w:val="0"/>
        <w:widowControl w:val="0"/>
        <w:shd w:val="clear" w:color="auto" w:fill="auto"/>
        <w:bidi w:val="0"/>
        <w:spacing w:before="0" w:after="140" w:line="36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：业绩承诺补偿款详见附注七、</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商誉减值准备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）上海美峰商誉减值。 计入当期损益的政府补助：</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新宋演义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深发改</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[2010]1852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2,916,666.74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 值税即征即 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深国税福退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抵税</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[2015]5387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[2015]5675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[2015]6088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2,074,035.75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2,197,846.58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[2015]6244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收市文化创 意产业专项 资金（</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年第二批、第 三批扶持计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关于办理文 化创意产业 专项资金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年第二 批和第三批 扶持计划使 用手续的通 知、市文化创 意产业发展 专项资金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 批资助计划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收深圳市经 济贸易和信 息化委员会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年文化 服务出口资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关于做好</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年度文 化服务出口 奖励资金申 报工作的紧 急通知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移动互联跨 平台</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 引擎技术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深发改</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[2012]1283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收深圳市福 田区国库支 付中心互联 网和电子商 务企业运营 支持补贴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年福田 区产业发展 专项资金科 技创新分项 第四批拟支 持企业及项 目汇总表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收深圳市福 田区科创局 科技金融信 贷贴息支持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福田区产业 发展专项资 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 四批拟支持 企业及项目 汇总表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年文化 产业发展分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关于办理</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年区自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鼓励和扶持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项资金资助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主创新产业 发展专项资 金文化产业 分项资金第 二批资助项 目资金拨付 手续的通知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幻 </w:t>
            </w:r>
            <w:r>
              <w:rPr>
                <w:rFonts w:ascii="Times New Roman" w:eastAsia="Times New Roman" w:hAnsi="Times New Roman" w:cs="Times New Roman"/>
                <w:color w:val="000000"/>
                <w:spacing w:val="0"/>
                <w:w w:val="100"/>
                <w:position w:val="0"/>
                <w:sz w:val="18"/>
                <w:szCs w:val="18"/>
              </w:rPr>
              <w:t>online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深发改</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[2011]1799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但丁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深发改</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[2014]939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266,666.68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工程技术研 究开发中心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深发改</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521,600.04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邪域战灵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深圳市文化 创意发展专 项资金</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年第一批扶 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521,333.42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上海市浦东 新区财政局 浦东科技基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年度浦 东科技发展 基金重点科 技创业企业 专项资金拟 立项项目公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梦回山海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深发改</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[2010]1932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416,666.79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嘻哈堂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深文体旅</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[2011]108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黑夜传说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深财科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[2015]150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收深圳市经 济贸易和信 息化委员会 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深圳市经贸 信息委关于 战略性新兴 产业发展专 项资金互联 网项目资助 申请的批复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裂天之刃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深圳市文化 创意发展专 项资金</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年第二批扶 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256,666.60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中青宝游戏 云服务开放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深发改</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[2011]1673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266,666.67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幻世英雄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深发改</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[2012]1065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收深圳市福 田区国库中 心企业资质 认定支持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福田区产业 发展专项资 金文化产业 分项第二批 拟支持企业 及项目汇总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上海市浦东 新区世博地 区开发管理 委员会开发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浦东新区财 政扶持综合 评价表、申请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张江高科技 园区管理委 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第二批支持 企业资金人 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张江园管扶 认字（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0333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收到社保局 支付失业稳 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《深圳市财 政委员会关 于做好失业 保险支持企 业稳定岗位 工作的通知》 深人社规</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度我市符合 发放稳岗补 贴的企业名 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度我市符合 发放稳岗补 贴的企业名 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收深圳市财 政委员会高 新技术产业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1" w:lineRule="exact"/>
              <w:ind w:left="0" w:right="0" w:firstLine="0"/>
              <w:jc w:val="left"/>
              <w:rPr>
                <w:sz w:val="18"/>
                <w:szCs w:val="18"/>
              </w:rPr>
            </w:pPr>
            <w:r>
              <w:rPr>
                <w:color w:val="000000"/>
                <w:spacing w:val="0"/>
                <w:w w:val="100"/>
                <w:position w:val="0"/>
                <w:sz w:val="17"/>
                <w:szCs w:val="17"/>
              </w:rPr>
              <w:t>关于下达深 圳市高新技 术产业专项 资金（第二 批）的通知， 深财科</w:t>
            </w:r>
            <w:r>
              <w:rPr>
                <w:rFonts w:ascii="Times New Roman" w:eastAsia="Times New Roman" w:hAnsi="Times New Roman" w:cs="Times New Roman"/>
                <w:color w:val="000000"/>
                <w:spacing w:val="0"/>
                <w:w w:val="100"/>
                <w:position w:val="0"/>
                <w:sz w:val="18"/>
                <w:szCs w:val="18"/>
              </w:rPr>
              <w:t>2016 216</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16R0001268</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年国家 文化产业发 展专项资金 出口奖励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文化贸易出 口奖励情况 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年品牌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培育资助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年深圳 市战略性新 兴产业发展 专项资金品 牌培育资助 项目公示表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合金大作战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深发改</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[2014]939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号、深南文产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[2014]7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上海浦东新 区财政局开 发扶持资金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浦张江园管 扶认字</w:t>
            </w:r>
          </w:p>
          <w:p>
            <w:pPr>
              <w:pStyle w:val="Style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0117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年文化 创意产业百 强奖励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深圳市文化 创意产业发 展专项资金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年第三 批扶持计划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张江高科技 园区管理委 员会软件企 业增值税补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张江园管扶 认字（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0196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御剑三国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深圳市南山 区财政局自 主创新转款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佥</w:t>
            </w:r>
            <w:r>
              <w:rPr>
                <w:rFonts w:ascii="Times New Roman" w:eastAsia="Times New Roman" w:hAnsi="Times New Roman" w:cs="Times New Roman"/>
                <w:color w:val="000000"/>
                <w:spacing w:val="0"/>
                <w:w w:val="100"/>
                <w:position w:val="0"/>
                <w:sz w:val="18"/>
                <w:szCs w:val="18"/>
              </w:rPr>
              <w:t xml:space="preserve">U </w:t>
            </w:r>
            <w:r>
              <w:rPr>
                <w:color w:val="000000"/>
                <w:spacing w:val="0"/>
                <w:w w:val="100"/>
                <w:position w:val="0"/>
                <w:sz w:val="17"/>
                <w:szCs w:val="17"/>
              </w:rPr>
              <w:t xml:space="preserve">舞 </w:t>
            </w:r>
            <w:r>
              <w:rPr>
                <w:rFonts w:ascii="Times New Roman" w:eastAsia="Times New Roman" w:hAnsi="Times New Roman" w:cs="Times New Roman"/>
                <w:color w:val="000000"/>
                <w:spacing w:val="0"/>
                <w:w w:val="100"/>
                <w:position w:val="0"/>
                <w:sz w:val="18"/>
                <w:szCs w:val="18"/>
              </w:rPr>
              <w:t>online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福田区产业 发展专项资 金支持文化 产业项目资 金使用合同， 合同编号：</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201201003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上海财政局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所得税财政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浦张江园管 扶认字</w:t>
            </w:r>
          </w:p>
          <w:p>
            <w:pPr>
              <w:pStyle w:val="Style2"/>
              <w:keepNext w:val="0"/>
              <w:keepLines w:val="0"/>
              <w:widowControl w:val="0"/>
              <w:shd w:val="clear" w:color="auto" w:fill="auto"/>
              <w:bidi w:val="0"/>
              <w:spacing w:before="0" w:after="12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0117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知识产权专 项奖励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关于福田区 产业发展专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鼓励和扶持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项资金</w:t>
            </w: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年第一批支 持企业及项 目的公告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17,022,925.7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14,180,179.8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19" w:line="1" w:lineRule="exact"/>
      </w:pPr>
    </w:p>
    <w:p>
      <w:pPr>
        <w:pStyle w:val="Style32"/>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188"/>
      <w:bookmarkEnd w:id="1189"/>
      <w:bookmarkEnd w:id="11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14,404.92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533,808.27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14,404.92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533,808.27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14,404.92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罚款支出（及违约金）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2,199,055.00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2,199,055.00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55,605.65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253,998.26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55,605.65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2,270,868.11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788,221.69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2,270,868.11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4</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192"/>
      <w:bookmarkEnd w:id="1193"/>
      <w:bookmarkEnd w:id="1195"/>
    </w:p>
    <w:p>
      <w:pPr>
        <w:pStyle w:val="Style36"/>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96"/>
      <w:bookmarkEnd w:id="1197"/>
      <w:bookmarkEnd w:id="11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3,679,354.56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18,011,887.86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21,234,687.36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18,097,531.58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24,914,041.92</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199"/>
      <w:bookmarkEnd w:id="1200"/>
      <w:bookmarkEnd w:id="12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-47,477,678.22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-7,121,651.74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-1,955,488.48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-5,895,272.82</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29,011,814.45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10,672,193.76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-6,614,063.59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18,097,531.58</w:t>
            </w:r>
          </w:p>
        </w:tc>
      </w:tr>
    </w:tbl>
    <w:p>
      <w:pPr>
        <w:widowControl w:val="0"/>
        <w:spacing w:after="319" w:line="1" w:lineRule="exact"/>
      </w:pPr>
    </w:p>
    <w:p>
      <w:pPr>
        <w:pStyle w:val="Style32"/>
        <w:keepNext/>
        <w:keepLines/>
        <w:widowControl w:val="0"/>
        <w:shd w:val="clear" w:color="auto" w:fill="auto"/>
        <w:tabs>
          <w:tab w:pos="483" w:val="left"/>
        </w:tabs>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4</w:t>
      </w:r>
      <w:bookmarkEnd w:id="1204"/>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202"/>
      <w:bookmarkEnd w:id="1203"/>
      <w:bookmarkEnd w:id="120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206"/>
      <w:bookmarkEnd w:id="1207"/>
      <w:bookmarkEnd w:id="1209"/>
    </w:p>
    <w:p>
      <w:pPr>
        <w:pStyle w:val="Style36"/>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10"/>
      <w:bookmarkEnd w:id="1211"/>
      <w:bookmarkEnd w:id="12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8,084,175.88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28,134,174.91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6,929,826.99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6,378,400.00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1,509,455.22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2,090,269.99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262,748.39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2,857,448.09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16,786,206.48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39,481,172.99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213" w:name="bookmark1213"/>
      <w:bookmarkStart w:id="1214" w:name="bookmark1214"/>
      <w:bookmarkStart w:id="1215" w:name="bookmark12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13"/>
      <w:bookmarkEnd w:id="1214"/>
      <w:bookmarkEnd w:id="121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21,453,990.16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10,532,771.91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28,912,403.18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48,949,514.61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12,762,214.58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10,580,593.61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8,270,501.50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8,364,584.14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3,144,080.60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4,378,993.51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2,240,061.09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2,525,133.71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2,236,397.23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650,754.56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2,210,057.23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2,850,735.59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2,021,865.59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2,595,987.93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470,723.31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137,930.64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315,115.06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617,919.89</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271,185.18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476,372.17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1,309,829.18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2,931,240.09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85,618,423.89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95,592,532.36</w:t>
            </w:r>
          </w:p>
        </w:tc>
      </w:tr>
    </w:tbl>
    <w:p>
      <w:pPr>
        <w:widowControl w:val="0"/>
        <w:spacing w:after="319" w:line="1" w:lineRule="exact"/>
      </w:pPr>
    </w:p>
    <w:p>
      <w:pPr>
        <w:pStyle w:val="Style36"/>
        <w:keepNext/>
        <w:keepLines/>
        <w:widowControl w:val="0"/>
        <w:numPr>
          <w:ilvl w:val="0"/>
          <w:numId w:val="19"/>
        </w:numPr>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收到的其他与投资活动有关的现金</w:t>
      </w:r>
      <w:bookmarkEnd w:id="1216"/>
      <w:bookmarkEnd w:id="1217"/>
      <w:bookmarkEnd w:id="12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收回股权投资款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93,299,178.08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87,344,001.00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93,299,178.08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87,344,001.00</w:t>
            </w:r>
          </w:p>
        </w:tc>
      </w:tr>
    </w:tbl>
    <w:p>
      <w:pPr>
        <w:widowControl w:val="0"/>
        <w:spacing w:after="319" w:line="1" w:lineRule="exact"/>
      </w:pPr>
    </w:p>
    <w:p>
      <w:pPr>
        <w:pStyle w:val="Style36"/>
        <w:keepNext/>
        <w:keepLines/>
        <w:widowControl w:val="0"/>
        <w:numPr>
          <w:ilvl w:val="0"/>
          <w:numId w:val="19"/>
        </w:numPr>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支付的其他与投资活动有关的现金</w:t>
      </w:r>
      <w:bookmarkEnd w:id="1220"/>
      <w:bookmarkEnd w:id="1221"/>
      <w:bookmarkEnd w:id="12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2,098,000.00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bl>
    <w:p>
      <w:pPr>
        <w:widowControl w:val="0"/>
        <w:spacing w:after="319" w:line="1" w:lineRule="exact"/>
      </w:pPr>
    </w:p>
    <w:p>
      <w:pPr>
        <w:pStyle w:val="Style36"/>
        <w:keepNext/>
        <w:keepLines/>
        <w:widowControl w:val="0"/>
        <w:numPr>
          <w:ilvl w:val="0"/>
          <w:numId w:val="19"/>
        </w:numPr>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收到的其他与筹资活动有关的现金</w:t>
      </w:r>
      <w:bookmarkEnd w:id="1224"/>
      <w:bookmarkEnd w:id="1225"/>
      <w:bookmarkEnd w:id="12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股东代偿款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4</w:t>
      </w:r>
      <w:bookmarkEnd w:id="1230"/>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228"/>
      <w:bookmarkEnd w:id="1229"/>
      <w:bookmarkEnd w:id="1231"/>
    </w:p>
    <w:p>
      <w:pPr>
        <w:pStyle w:val="Style36"/>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32"/>
      <w:bookmarkEnd w:id="1233"/>
      <w:bookmarkEnd w:id="12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-65,575,209.80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62,606,933.49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134,359,946.27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282,387,650.41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9,272,787.07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10,588,474.06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41,014,599.66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60,066,770.03</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12,884,331.62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42,983,378.04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476,863.32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-3,167,936.45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19,549,039.57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4,306,175.72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-248,870,369.04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18,011,887.86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-5,762,653.26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26,997,334.01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-79,697,016.81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79,962,974.60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18,299,172.88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-151,540,578.28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2,653,245.25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-8,303,213.22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92,282,870.38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171,142,603.73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120,578,134.21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291,139,329.09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291,139,329.09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211,346,220.78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-170,561,194.88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79,793,108.31</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235"/>
      <w:bookmarkEnd w:id="1236"/>
      <w:bookmarkEnd w:id="123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120,578,134.21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291,139,329.09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406,659.38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326,644.69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120,121,394.74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290,687,158.89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125,525.51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120,578,134.21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291,139,329.09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238"/>
      <w:bookmarkEnd w:id="1239"/>
      <w:bookmarkEnd w:id="12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1,402,518.20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深圳人才住房，只有使用权没有处置权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1,402,518.20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242"/>
      <w:bookmarkEnd w:id="1243"/>
      <w:bookmarkEnd w:id="1245"/>
    </w:p>
    <w:p>
      <w:pPr>
        <w:pStyle w:val="Style36"/>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46"/>
      <w:bookmarkEnd w:id="1247"/>
      <w:bookmarkEnd w:id="12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10,246,944.43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985,113.13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6,833,729.78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3,785,168.68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3,385,833.38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4,720,908.00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15,242,931.14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2,160,334.47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14,986,240.22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283,719.81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253,787.37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500,612.00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13,751,574.78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1,963,706.30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13,622,230.60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22,300,720.00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129,344.18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4,070,713.88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586,806.69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4,070,678.01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54,900,532.21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7,902,674.53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54,820,853.21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13,390,753.00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77,666.37</w:t>
            </w:r>
          </w:p>
        </w:tc>
      </w:tr>
    </w:tbl>
    <w:p>
      <w:pPr>
        <w:widowControl w:val="0"/>
        <w:spacing w:after="259" w:line="1" w:lineRule="exact"/>
      </w:pPr>
    </w:p>
    <w:p>
      <w:pPr>
        <w:pStyle w:val="Style36"/>
        <w:keepNext/>
        <w:keepLines/>
        <w:widowControl w:val="0"/>
        <w:shd w:val="clear" w:color="auto" w:fill="auto"/>
        <w:bidi w:val="0"/>
        <w:spacing w:before="0" w:after="260" w:line="322" w:lineRule="exact"/>
        <w:ind w:left="0" w:right="0" w:firstLine="0"/>
        <w:jc w:val="left"/>
      </w:pPr>
      <w:bookmarkStart w:id="1249" w:name="bookmark1249"/>
      <w:bookmarkStart w:id="1250" w:name="bookmark1250"/>
      <w:bookmarkStart w:id="1251" w:name="bookmark12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49"/>
      <w:bookmarkEnd w:id="1250"/>
      <w:bookmarkEnd w:id="1251"/>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公司主要的境外经营实体有全资子公司</w:t>
      </w:r>
      <w:r>
        <w:rPr>
          <w:rFonts w:ascii="Times New Roman" w:eastAsia="Times New Roman" w:hAnsi="Times New Roman" w:cs="Times New Roman"/>
          <w:color w:val="000000"/>
          <w:spacing w:val="0"/>
          <w:w w:val="100"/>
          <w:position w:val="0"/>
          <w:sz w:val="18"/>
          <w:szCs w:val="18"/>
        </w:rPr>
        <w:t>CUPLAY</w:t>
      </w:r>
      <w:r>
        <w:rPr>
          <w:color w:val="000000"/>
          <w:spacing w:val="0"/>
          <w:w w:val="100"/>
          <w:position w:val="0"/>
        </w:rPr>
        <w:t>和全资子公司美国中青宝，</w:t>
      </w:r>
      <w:r>
        <w:rPr>
          <w:rFonts w:ascii="Times New Roman" w:eastAsia="Times New Roman" w:hAnsi="Times New Roman" w:cs="Times New Roman"/>
          <w:color w:val="000000"/>
          <w:spacing w:val="0"/>
          <w:w w:val="100"/>
          <w:position w:val="0"/>
          <w:sz w:val="18"/>
          <w:szCs w:val="18"/>
        </w:rPr>
        <w:t>CUPLAY</w:t>
      </w:r>
      <w:r>
        <w:rPr>
          <w:color w:val="000000"/>
          <w:spacing w:val="0"/>
          <w:w w:val="100"/>
          <w:position w:val="0"/>
        </w:rPr>
        <w:t>系在英属维尔京群岛注册的境外 公司，其主要经营地在中国大陆，选择人民币作为记账本位币。美国中青宝系在美国加利福尼亚州注册的境外公司，其主要 经营地在美国加利福尼亚州，选择美元作为记账本位币。</w:t>
      </w:r>
    </w:p>
    <w:p>
      <w:pPr>
        <w:pStyle w:val="Style24"/>
        <w:keepNext/>
        <w:keepLines/>
        <w:widowControl w:val="0"/>
        <w:shd w:val="clear" w:color="auto" w:fill="auto"/>
        <w:bidi w:val="0"/>
        <w:spacing w:before="0" w:after="26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sz w:val="24"/>
          <w:szCs w:val="24"/>
        </w:rPr>
        <w:t>八</w:t>
      </w:r>
      <w:bookmarkEnd w:id="1254"/>
      <w:r>
        <w:rPr>
          <w:color w:val="000000"/>
          <w:spacing w:val="0"/>
          <w:w w:val="100"/>
          <w:position w:val="0"/>
          <w:sz w:val="24"/>
          <w:szCs w:val="24"/>
        </w:rPr>
        <w:t>、合并范围的变更</w:t>
      </w:r>
      <w:bookmarkEnd w:id="1252"/>
      <w:bookmarkEnd w:id="1253"/>
      <w:bookmarkEnd w:id="1255"/>
    </w:p>
    <w:p>
      <w:pPr>
        <w:pStyle w:val="Style32"/>
        <w:keepNext/>
        <w:keepLines/>
        <w:widowControl w:val="0"/>
        <w:shd w:val="clear" w:color="auto" w:fill="auto"/>
        <w:bidi w:val="0"/>
        <w:spacing w:before="0" w:after="260" w:line="322" w:lineRule="exact"/>
        <w:ind w:left="0" w:right="0" w:firstLine="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256"/>
      <w:bookmarkEnd w:id="1257"/>
      <w:bookmarkEnd w:id="1258"/>
    </w:p>
    <w:p>
      <w:pPr>
        <w:pStyle w:val="Style26"/>
        <w:keepNext w:val="0"/>
        <w:keepLines w:val="0"/>
        <w:widowControl w:val="0"/>
        <w:shd w:val="clear" w:color="auto" w:fill="auto"/>
        <w:bidi w:val="0"/>
        <w:spacing w:before="0" w:after="260" w:line="317" w:lineRule="exact"/>
        <w:ind w:left="0" w:right="0" w:firstLine="0"/>
        <w:jc w:val="left"/>
      </w:pPr>
      <w:r>
        <w:rPr>
          <w:color w:val="000000"/>
          <w:spacing w:val="0"/>
          <w:w w:val="100"/>
          <w:position w:val="0"/>
        </w:rPr>
        <w:t>说明其他原因导致的合并范围变动（如，新设子公司、清算子公司等）及其相关情况：</w:t>
      </w:r>
      <w:r>
        <w:br w:type="page"/>
      </w:r>
    </w:p>
    <w:p>
      <w:pPr>
        <w:pStyle w:val="Style30"/>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)新设子公司</w:t>
      </w:r>
    </w:p>
    <w:tbl>
      <w:tblPr>
        <w:tblOverlap w:val="never"/>
        <w:jc w:val="center"/>
        <w:tblLayout w:type="fixed"/>
      </w:tblPr>
      <w:tblGrid>
        <w:gridCol w:w="1877"/>
        <w:gridCol w:w="1637"/>
        <w:gridCol w:w="2170"/>
        <w:gridCol w:w="1680"/>
        <w:gridCol w:w="188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b/>
                <w:bCs/>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9"/>
                <w:szCs w:val="19"/>
              </w:rPr>
            </w:pPr>
            <w:r>
              <w:rPr>
                <w:b/>
                <w:bCs/>
                <w:color w:val="000000"/>
                <w:spacing w:val="0"/>
                <w:w w:val="100"/>
                <w:position w:val="0"/>
                <w:sz w:val="19"/>
                <w:szCs w:val="19"/>
              </w:rPr>
              <w:t>出资额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出资比例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中青宝文化科技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新设子公司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前海今古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新设子公司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天地间文化传媒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新设子公司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北京中青宝长城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新设子公司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19"/>
                <w:szCs w:val="19"/>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13,650,000.00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r>
    </w:tbl>
    <w:p>
      <w:pPr>
        <w:widowControl w:val="0"/>
        <w:spacing w:after="259" w:line="1" w:lineRule="exact"/>
      </w:pPr>
    </w:p>
    <w:p>
      <w:pPr>
        <w:pStyle w:val="Style30"/>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)注销子公司</w:t>
      </w:r>
    </w:p>
    <w:tbl>
      <w:tblPr>
        <w:tblOverlap w:val="never"/>
        <w:jc w:val="center"/>
        <w:tblLayout w:type="fixed"/>
      </w:tblPr>
      <w:tblGrid>
        <w:gridCol w:w="5419"/>
        <w:gridCol w:w="380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注销时间</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北京乐乐堂科技有限责任公司(以下简称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北京乐乐堂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月注销</w:t>
            </w:r>
          </w:p>
        </w:tc>
      </w:tr>
    </w:tbl>
    <w:p>
      <w:pPr>
        <w:widowControl w:val="0"/>
        <w:spacing w:after="619" w:line="1" w:lineRule="exact"/>
      </w:pPr>
    </w:p>
    <w:p>
      <w:pPr>
        <w:pStyle w:val="Style24"/>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sz w:val="24"/>
          <w:szCs w:val="24"/>
        </w:rPr>
        <w:t>九</w:t>
      </w:r>
      <w:bookmarkEnd w:id="1261"/>
      <w:r>
        <w:rPr>
          <w:color w:val="000000"/>
          <w:spacing w:val="0"/>
          <w:w w:val="100"/>
          <w:position w:val="0"/>
          <w:sz w:val="24"/>
          <w:szCs w:val="24"/>
        </w:rPr>
        <w:t>、在其他主体中的权益</w:t>
      </w:r>
      <w:bookmarkEnd w:id="1259"/>
      <w:bookmarkEnd w:id="1260"/>
      <w:bookmarkEnd w:id="1262"/>
    </w:p>
    <w:p>
      <w:pPr>
        <w:pStyle w:val="Style32"/>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63"/>
      <w:bookmarkEnd w:id="1264"/>
      <w:bookmarkEnd w:id="1265"/>
    </w:p>
    <w:p>
      <w:pPr>
        <w:pStyle w:val="Style36"/>
        <w:keepNext/>
        <w:keepLines/>
        <w:widowControl w:val="0"/>
        <w:shd w:val="clear" w:color="auto" w:fill="auto"/>
        <w:bidi w:val="0"/>
        <w:spacing w:before="0" w:after="320" w:line="240" w:lineRule="auto"/>
        <w:ind w:left="0" w:right="0" w:firstLine="0"/>
        <w:jc w:val="left"/>
      </w:pPr>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66"/>
      <w:bookmarkEnd w:id="1267"/>
      <w:bookmarkEnd w:id="1268"/>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深圳卓页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成都卓页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深圳创想时空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苏州中青宝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深圳时代首游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深圳中青聚宝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深圳幻游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西安掌控力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深圳中富彩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深圳乔戈里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CUPLAY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美国中青宝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加利福尼亚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加利福尼亚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韩国中青宝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老友互动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福州卓越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上海集美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通过子公司间接 持有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深圳比格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通过子公司间接 持有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深圳米斗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香港中青宝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LEEPLAY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英属维京群岛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LEEGAME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深圳五秒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从事广告业务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中青宝文化科技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前海今古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天地间文化传媒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北京中青宝长城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tabs>
          <w:tab w:pos="809" w:val="left"/>
        </w:tabs>
        <w:bidi w:val="0"/>
        <w:spacing w:before="0" w:after="300" w:line="312" w:lineRule="exact"/>
        <w:ind w:left="0" w:right="0" w:firstLine="460"/>
        <w:jc w:val="left"/>
      </w:pPr>
      <w:bookmarkStart w:id="1269" w:name="bookmark1269"/>
      <w:r>
        <w:rPr>
          <w:rFonts w:ascii="Times New Roman" w:eastAsia="Times New Roman" w:hAnsi="Times New Roman" w:cs="Times New Roman"/>
          <w:color w:val="000000"/>
          <w:spacing w:val="0"/>
          <w:w w:val="100"/>
          <w:position w:val="0"/>
          <w:sz w:val="18"/>
          <w:szCs w:val="18"/>
        </w:rPr>
        <w:t>1</w:t>
      </w:r>
      <w:bookmarkEnd w:id="1269"/>
      <w:r>
        <w:rPr>
          <w:color w:val="000000"/>
          <w:spacing w:val="0"/>
          <w:w w:val="100"/>
          <w:position w:val="0"/>
        </w:rPr>
        <w:t>）</w:t>
        <w:tab/>
        <w:t>深圳卓页</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全称：深圳市卓页互动网络科技有限公司</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深圳卓页于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914403007979711887</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万元，法定代表人：申睿。截至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和通过子公司深圳中青聚宝间接持股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p>
      <w:pPr>
        <w:pStyle w:val="Style26"/>
        <w:keepNext w:val="0"/>
        <w:keepLines w:val="0"/>
        <w:widowControl w:val="0"/>
        <w:shd w:val="clear" w:color="auto" w:fill="auto"/>
        <w:tabs>
          <w:tab w:pos="809" w:val="left"/>
        </w:tabs>
        <w:bidi w:val="0"/>
        <w:spacing w:before="0" w:after="200" w:line="360" w:lineRule="auto"/>
        <w:ind w:left="0" w:right="0" w:firstLine="460"/>
        <w:jc w:val="left"/>
      </w:pPr>
      <w:bookmarkStart w:id="1270" w:name="bookmark1270"/>
      <w:r>
        <w:rPr>
          <w:rFonts w:ascii="Times New Roman" w:eastAsia="Times New Roman" w:hAnsi="Times New Roman" w:cs="Times New Roman"/>
          <w:color w:val="000000"/>
          <w:spacing w:val="0"/>
          <w:w w:val="100"/>
          <w:position w:val="0"/>
          <w:sz w:val="18"/>
          <w:szCs w:val="18"/>
        </w:rPr>
        <w:t>2</w:t>
      </w:r>
      <w:bookmarkEnd w:id="12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成都卓页</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全称：成都市卓页网络科技有限公司</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成都卓页于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日经成都市工商行政管理局批准成立，统一社会信用代码</w:t>
      </w:r>
      <w:r>
        <w:rPr>
          <w:rFonts w:ascii="Times New Roman" w:eastAsia="Times New Roman" w:hAnsi="Times New Roman" w:cs="Times New Roman"/>
          <w:color w:val="000000"/>
          <w:spacing w:val="0"/>
          <w:w w:val="100"/>
          <w:position w:val="0"/>
          <w:sz w:val="18"/>
          <w:szCs w:val="18"/>
        </w:rPr>
        <w:t>91510100553591832L</w:t>
      </w:r>
      <w:r>
        <w:rPr>
          <w:color w:val="000000"/>
          <w:spacing w:val="0"/>
          <w:w w:val="100"/>
          <w:position w:val="0"/>
        </w:rPr>
        <w:t>，</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125,000.00</w:t>
      </w:r>
      <w:r>
        <w:rPr>
          <w:color w:val="000000"/>
          <w:spacing w:val="0"/>
          <w:w w:val="100"/>
          <w:position w:val="0"/>
        </w:rPr>
        <w:t>元，法定代表人：郑楠芳。截至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日，本公司通过子公司深圳卓页间接持股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p>
      <w:pPr>
        <w:pStyle w:val="Style26"/>
        <w:keepNext w:val="0"/>
        <w:keepLines w:val="0"/>
        <w:widowControl w:val="0"/>
        <w:shd w:val="clear" w:color="auto" w:fill="auto"/>
        <w:tabs>
          <w:tab w:pos="818" w:val="left"/>
        </w:tabs>
        <w:bidi w:val="0"/>
        <w:spacing w:before="0" w:after="300" w:line="312" w:lineRule="exact"/>
        <w:ind w:left="0" w:right="0" w:firstLine="460"/>
        <w:jc w:val="left"/>
      </w:pPr>
      <w:bookmarkStart w:id="1271" w:name="bookmark1271"/>
      <w:r>
        <w:rPr>
          <w:rFonts w:ascii="Times New Roman" w:eastAsia="Times New Roman" w:hAnsi="Times New Roman" w:cs="Times New Roman"/>
          <w:color w:val="000000"/>
          <w:spacing w:val="0"/>
          <w:w w:val="100"/>
          <w:position w:val="0"/>
          <w:sz w:val="18"/>
          <w:szCs w:val="18"/>
        </w:rPr>
        <w:t>3</w:t>
      </w:r>
      <w:bookmarkEnd w:id="1271"/>
      <w:r>
        <w:rPr>
          <w:color w:val="000000"/>
          <w:spacing w:val="0"/>
          <w:w w:val="100"/>
          <w:position w:val="0"/>
        </w:rPr>
        <w:t>）</w:t>
        <w:tab/>
        <w:t>深圳创想时空</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全称：深圳市创想时空科技有限公司</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深圳创想时空于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91440300567066836U</w:t>
      </w:r>
      <w:r>
        <w:rPr>
          <w:color w:val="000000"/>
          <w:spacing w:val="0"/>
          <w:w w:val="100"/>
          <w:position w:val="0"/>
        </w:rPr>
        <w:t>，</w:t>
      </w:r>
      <w:r>
        <w:rPr>
          <w:color w:val="000000"/>
          <w:spacing w:val="0"/>
          <w:w w:val="100"/>
          <w:position w:val="0"/>
        </w:rPr>
        <w:t>注册资 本</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元，法定代表人：申睿。截至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日，本公司通过子公司深圳卓页间接持股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shd w:val="clear" w:color="auto" w:fill="auto"/>
        <w:tabs>
          <w:tab w:pos="848" w:val="left"/>
        </w:tabs>
        <w:bidi w:val="0"/>
        <w:spacing w:before="0" w:after="300" w:line="312" w:lineRule="exact"/>
        <w:ind w:left="0" w:right="0" w:firstLine="480"/>
        <w:jc w:val="left"/>
      </w:pPr>
      <w:bookmarkStart w:id="1272" w:name="bookmark1272"/>
      <w:r>
        <w:rPr>
          <w:rFonts w:ascii="Times New Roman" w:eastAsia="Times New Roman" w:hAnsi="Times New Roman" w:cs="Times New Roman"/>
          <w:color w:val="000000"/>
          <w:spacing w:val="0"/>
          <w:w w:val="100"/>
          <w:position w:val="0"/>
          <w:sz w:val="18"/>
          <w:szCs w:val="18"/>
        </w:rPr>
        <w:t>4</w:t>
      </w:r>
      <w:bookmarkEnd w:id="1272"/>
      <w:r>
        <w:rPr>
          <w:color w:val="000000"/>
          <w:spacing w:val="0"/>
          <w:w w:val="100"/>
          <w:position w:val="0"/>
        </w:rPr>
        <w:t>）</w:t>
        <w:tab/>
        <w:t>杭州九锡</w:t>
      </w:r>
    </w:p>
    <w:p>
      <w:pPr>
        <w:pStyle w:val="Style26"/>
        <w:keepNext w:val="0"/>
        <w:keepLines w:val="0"/>
        <w:widowControl w:val="0"/>
        <w:shd w:val="clear" w:color="auto" w:fill="auto"/>
        <w:bidi w:val="0"/>
        <w:spacing w:before="0" w:after="300" w:line="312" w:lineRule="exact"/>
        <w:ind w:left="0" w:right="0" w:firstLine="480"/>
        <w:jc w:val="left"/>
      </w:pPr>
      <w:r>
        <w:rPr>
          <w:color w:val="000000"/>
          <w:spacing w:val="0"/>
          <w:w w:val="100"/>
          <w:position w:val="0"/>
        </w:rPr>
        <w:t>全称：杭州九锡网络科技有限公司</w:t>
      </w:r>
    </w:p>
    <w:p>
      <w:pPr>
        <w:pStyle w:val="Style26"/>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杭州九锡于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日经杭州市下城区市场监督管理局批准成立，注册号</w:t>
      </w:r>
      <w:r>
        <w:rPr>
          <w:rFonts w:ascii="Times New Roman" w:eastAsia="Times New Roman" w:hAnsi="Times New Roman" w:cs="Times New Roman"/>
          <w:color w:val="000000"/>
          <w:spacing w:val="0"/>
          <w:w w:val="100"/>
          <w:position w:val="0"/>
          <w:sz w:val="18"/>
          <w:szCs w:val="18"/>
        </w:rPr>
        <w:t>330108000067375</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 xml:space="preserve">100,000.00 </w:t>
      </w:r>
      <w:r>
        <w:rPr>
          <w:color w:val="000000"/>
          <w:spacing w:val="0"/>
          <w:w w:val="100"/>
          <w:position w:val="0"/>
        </w:rPr>
        <w:t>元，法定代表人：郑楠芳。截至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日，本公司通过子公司深圳卓页间接持股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p>
      <w:pPr>
        <w:pStyle w:val="Style26"/>
        <w:keepNext w:val="0"/>
        <w:keepLines w:val="0"/>
        <w:widowControl w:val="0"/>
        <w:shd w:val="clear" w:color="auto" w:fill="auto"/>
        <w:tabs>
          <w:tab w:pos="848" w:val="left"/>
        </w:tabs>
        <w:bidi w:val="0"/>
        <w:spacing w:before="0" w:after="300" w:line="312" w:lineRule="exact"/>
        <w:ind w:left="0" w:right="0" w:firstLine="480"/>
        <w:jc w:val="left"/>
      </w:pPr>
      <w:bookmarkStart w:id="1273" w:name="bookmark1273"/>
      <w:r>
        <w:rPr>
          <w:rFonts w:ascii="Times New Roman" w:eastAsia="Times New Roman" w:hAnsi="Times New Roman" w:cs="Times New Roman"/>
          <w:color w:val="000000"/>
          <w:spacing w:val="0"/>
          <w:w w:val="100"/>
          <w:position w:val="0"/>
          <w:sz w:val="18"/>
          <w:szCs w:val="18"/>
        </w:rPr>
        <w:t>5</w:t>
      </w:r>
      <w:bookmarkEnd w:id="1273"/>
      <w:r>
        <w:rPr>
          <w:color w:val="000000"/>
          <w:spacing w:val="0"/>
          <w:w w:val="100"/>
          <w:position w:val="0"/>
        </w:rPr>
        <w:t>）</w:t>
        <w:tab/>
        <w:t>苏州华娱</w:t>
      </w:r>
    </w:p>
    <w:p>
      <w:pPr>
        <w:pStyle w:val="Style26"/>
        <w:keepNext w:val="0"/>
        <w:keepLines w:val="0"/>
        <w:widowControl w:val="0"/>
        <w:shd w:val="clear" w:color="auto" w:fill="auto"/>
        <w:bidi w:val="0"/>
        <w:spacing w:before="0" w:after="300" w:line="312" w:lineRule="exact"/>
        <w:ind w:left="0" w:right="0" w:firstLine="480"/>
        <w:jc w:val="left"/>
      </w:pPr>
      <w:r>
        <w:rPr>
          <w:color w:val="000000"/>
          <w:spacing w:val="0"/>
          <w:w w:val="100"/>
          <w:position w:val="0"/>
        </w:rPr>
        <w:t>全称：苏州华娱创新投资发展有限公司</w:t>
      </w:r>
    </w:p>
    <w:p>
      <w:pPr>
        <w:pStyle w:val="Style26"/>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苏州华娱于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日经江苏省苏州工业园区工商行政管理局批准成立，统一社会信用代码</w:t>
      </w:r>
      <w:r>
        <w:rPr>
          <w:rFonts w:ascii="Times New Roman" w:eastAsia="Times New Roman" w:hAnsi="Times New Roman" w:cs="Times New Roman"/>
          <w:color w:val="000000"/>
          <w:spacing w:val="0"/>
          <w:w w:val="100"/>
          <w:position w:val="0"/>
          <w:sz w:val="18"/>
          <w:szCs w:val="18"/>
        </w:rPr>
        <w:t>91320594687181994F</w:t>
      </w:r>
      <w:r>
        <w:rPr>
          <w:color w:val="000000"/>
          <w:spacing w:val="0"/>
          <w:w w:val="100"/>
          <w:position w:val="0"/>
        </w:rPr>
        <w:t xml:space="preserve">， </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37,500,000.00</w:t>
      </w:r>
      <w:r>
        <w:rPr>
          <w:color w:val="000000"/>
          <w:spacing w:val="0"/>
          <w:w w:val="100"/>
          <w:position w:val="0"/>
        </w:rPr>
        <w:t>元，法定代表人：夏玄。截至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shd w:val="clear" w:color="auto" w:fill="auto"/>
        <w:tabs>
          <w:tab w:pos="848" w:val="left"/>
        </w:tabs>
        <w:bidi w:val="0"/>
        <w:spacing w:before="0" w:after="300" w:line="312" w:lineRule="exact"/>
        <w:ind w:left="0" w:right="0" w:firstLine="480"/>
        <w:jc w:val="left"/>
      </w:pPr>
      <w:bookmarkStart w:id="1274" w:name="bookmark1274"/>
      <w:r>
        <w:rPr>
          <w:rFonts w:ascii="Times New Roman" w:eastAsia="Times New Roman" w:hAnsi="Times New Roman" w:cs="Times New Roman"/>
          <w:color w:val="000000"/>
          <w:spacing w:val="0"/>
          <w:w w:val="100"/>
          <w:position w:val="0"/>
          <w:sz w:val="18"/>
          <w:szCs w:val="18"/>
        </w:rPr>
        <w:t>6</w:t>
      </w:r>
      <w:bookmarkEnd w:id="1274"/>
      <w:r>
        <w:rPr>
          <w:color w:val="000000"/>
          <w:spacing w:val="0"/>
          <w:w w:val="100"/>
          <w:position w:val="0"/>
        </w:rPr>
        <w:t>）</w:t>
        <w:tab/>
        <w:t>苏州中青宝</w:t>
      </w:r>
    </w:p>
    <w:p>
      <w:pPr>
        <w:pStyle w:val="Style26"/>
        <w:keepNext w:val="0"/>
        <w:keepLines w:val="0"/>
        <w:widowControl w:val="0"/>
        <w:shd w:val="clear" w:color="auto" w:fill="auto"/>
        <w:bidi w:val="0"/>
        <w:spacing w:before="0" w:after="300" w:line="312" w:lineRule="exact"/>
        <w:ind w:left="0" w:right="0" w:firstLine="480"/>
        <w:jc w:val="left"/>
      </w:pPr>
      <w:r>
        <w:rPr>
          <w:color w:val="000000"/>
          <w:spacing w:val="0"/>
          <w:w w:val="100"/>
          <w:position w:val="0"/>
        </w:rPr>
        <w:t>全称：苏州中青宝网互动科技有限公司</w:t>
      </w:r>
    </w:p>
    <w:p>
      <w:pPr>
        <w:pStyle w:val="Style26"/>
        <w:keepNext w:val="0"/>
        <w:keepLines w:val="0"/>
        <w:widowControl w:val="0"/>
        <w:shd w:val="clear" w:color="auto" w:fill="auto"/>
        <w:bidi w:val="0"/>
        <w:spacing w:before="0" w:after="300" w:line="312" w:lineRule="exact"/>
        <w:ind w:left="0" w:right="0" w:firstLine="480"/>
        <w:jc w:val="left"/>
      </w:pPr>
      <w:r>
        <w:rPr>
          <w:color w:val="000000"/>
          <w:spacing w:val="0"/>
          <w:w w:val="100"/>
          <w:position w:val="0"/>
        </w:rPr>
        <w:t>苏州中青宝于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日经江苏省苏州工业园区工商行政管理局批准成立，统一社会信用代码 </w:t>
      </w:r>
      <w:r>
        <w:rPr>
          <w:rFonts w:ascii="Times New Roman" w:eastAsia="Times New Roman" w:hAnsi="Times New Roman" w:cs="Times New Roman"/>
          <w:color w:val="000000"/>
          <w:spacing w:val="0"/>
          <w:w w:val="100"/>
          <w:position w:val="0"/>
          <w:sz w:val="18"/>
          <w:szCs w:val="18"/>
        </w:rPr>
        <w:t>91320594693382629C</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元，法定代表人：夏玄。截至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shd w:val="clear" w:color="auto" w:fill="auto"/>
        <w:tabs>
          <w:tab w:pos="848" w:val="left"/>
        </w:tabs>
        <w:bidi w:val="0"/>
        <w:spacing w:before="0" w:after="300" w:line="312" w:lineRule="exact"/>
        <w:ind w:left="0" w:right="0" w:firstLine="480"/>
        <w:jc w:val="left"/>
      </w:pPr>
      <w:bookmarkStart w:id="1275" w:name="bookmark1275"/>
      <w:r>
        <w:rPr>
          <w:rFonts w:ascii="Times New Roman" w:eastAsia="Times New Roman" w:hAnsi="Times New Roman" w:cs="Times New Roman"/>
          <w:color w:val="000000"/>
          <w:spacing w:val="0"/>
          <w:w w:val="100"/>
          <w:position w:val="0"/>
          <w:sz w:val="18"/>
          <w:szCs w:val="18"/>
        </w:rPr>
        <w:t>7</w:t>
      </w:r>
      <w:bookmarkEnd w:id="1275"/>
      <w:r>
        <w:rPr>
          <w:color w:val="000000"/>
          <w:spacing w:val="0"/>
          <w:w w:val="100"/>
          <w:position w:val="0"/>
        </w:rPr>
        <w:t>）</w:t>
        <w:tab/>
        <w:t>深圳时代首游</w:t>
      </w:r>
    </w:p>
    <w:p>
      <w:pPr>
        <w:pStyle w:val="Style26"/>
        <w:keepNext w:val="0"/>
        <w:keepLines w:val="0"/>
        <w:widowControl w:val="0"/>
        <w:shd w:val="clear" w:color="auto" w:fill="auto"/>
        <w:bidi w:val="0"/>
        <w:spacing w:before="0" w:after="300" w:line="312" w:lineRule="exact"/>
        <w:ind w:left="0" w:right="0" w:firstLine="480"/>
        <w:jc w:val="left"/>
      </w:pPr>
      <w:r>
        <w:rPr>
          <w:color w:val="000000"/>
          <w:spacing w:val="0"/>
          <w:w w:val="100"/>
          <w:position w:val="0"/>
        </w:rPr>
        <w:t>全称：深圳时代首游互动科技有限公司</w:t>
      </w:r>
    </w:p>
    <w:p>
      <w:pPr>
        <w:pStyle w:val="Style26"/>
        <w:keepNext w:val="0"/>
        <w:keepLines w:val="0"/>
        <w:widowControl w:val="0"/>
        <w:shd w:val="clear" w:color="auto" w:fill="auto"/>
        <w:bidi w:val="0"/>
        <w:spacing w:before="0" w:after="300" w:line="312" w:lineRule="exact"/>
        <w:ind w:left="0" w:right="0" w:firstLine="480"/>
        <w:jc w:val="left"/>
        <w:rPr>
          <w:sz w:val="18"/>
          <w:szCs w:val="18"/>
        </w:rPr>
      </w:pPr>
      <w:r>
        <w:rPr>
          <w:color w:val="000000"/>
          <w:spacing w:val="0"/>
          <w:w w:val="100"/>
          <w:position w:val="0"/>
          <w:sz w:val="17"/>
          <w:szCs w:val="17"/>
        </w:rPr>
        <w:t>深圳时代首游于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91440300590713237D</w:t>
      </w:r>
      <w:r>
        <w:rPr>
          <w:color w:val="000000"/>
          <w:spacing w:val="0"/>
          <w:w w:val="100"/>
          <w:position w:val="0"/>
          <w:sz w:val="17"/>
          <w:szCs w:val="17"/>
        </w:rPr>
        <w:t>，</w:t>
      </w:r>
      <w:r>
        <w:rPr>
          <w:color w:val="000000"/>
          <w:spacing w:val="0"/>
          <w:w w:val="100"/>
          <w:position w:val="0"/>
          <w:sz w:val="17"/>
          <w:szCs w:val="17"/>
        </w:rPr>
        <w:t>注册资 本</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sz w:val="17"/>
          <w:szCs w:val="17"/>
        </w:rPr>
        <w:t>元，法定代表人：朱亮。截至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日，本公司通过子公司苏州中青宝间接持股</w:t>
      </w:r>
      <w:r>
        <w:rPr>
          <w:rFonts w:ascii="Times New Roman" w:eastAsia="Times New Roman" w:hAnsi="Times New Roman" w:cs="Times New Roman"/>
          <w:color w:val="000000"/>
          <w:spacing w:val="0"/>
          <w:w w:val="100"/>
          <w:position w:val="0"/>
          <w:sz w:val="18"/>
          <w:szCs w:val="18"/>
        </w:rPr>
        <w:t>100%</w:t>
      </w:r>
    </w:p>
    <w:p>
      <w:pPr>
        <w:pStyle w:val="Style26"/>
        <w:keepNext w:val="0"/>
        <w:keepLines w:val="0"/>
        <w:widowControl w:val="0"/>
        <w:shd w:val="clear" w:color="auto" w:fill="auto"/>
        <w:tabs>
          <w:tab w:pos="848" w:val="left"/>
        </w:tabs>
        <w:bidi w:val="0"/>
        <w:spacing w:before="0" w:after="300" w:line="312" w:lineRule="exact"/>
        <w:ind w:left="0" w:right="0" w:firstLine="480"/>
        <w:jc w:val="left"/>
      </w:pPr>
      <w:bookmarkStart w:id="1276" w:name="bookmark1276"/>
      <w:r>
        <w:rPr>
          <w:rFonts w:ascii="Times New Roman" w:eastAsia="Times New Roman" w:hAnsi="Times New Roman" w:cs="Times New Roman"/>
          <w:color w:val="000000"/>
          <w:spacing w:val="0"/>
          <w:w w:val="100"/>
          <w:position w:val="0"/>
          <w:sz w:val="18"/>
          <w:szCs w:val="18"/>
        </w:rPr>
        <w:t>8</w:t>
      </w:r>
      <w:bookmarkEnd w:id="1276"/>
      <w:r>
        <w:rPr>
          <w:color w:val="000000"/>
          <w:spacing w:val="0"/>
          <w:w w:val="100"/>
          <w:position w:val="0"/>
        </w:rPr>
        <w:t>）</w:t>
        <w:tab/>
        <w:t>深圳中青聚宝</w:t>
      </w:r>
    </w:p>
    <w:p>
      <w:pPr>
        <w:pStyle w:val="Style26"/>
        <w:keepNext w:val="0"/>
        <w:keepLines w:val="0"/>
        <w:widowControl w:val="0"/>
        <w:shd w:val="clear" w:color="auto" w:fill="auto"/>
        <w:bidi w:val="0"/>
        <w:spacing w:before="0" w:after="300" w:line="312" w:lineRule="exact"/>
        <w:ind w:left="0" w:right="0" w:firstLine="480"/>
        <w:jc w:val="left"/>
      </w:pPr>
      <w:r>
        <w:rPr>
          <w:color w:val="000000"/>
          <w:spacing w:val="0"/>
          <w:w w:val="100"/>
          <w:position w:val="0"/>
        </w:rPr>
        <w:t>全称：深圳中青聚宝信息技术有限公司</w:t>
      </w:r>
    </w:p>
    <w:p>
      <w:pPr>
        <w:pStyle w:val="Style26"/>
        <w:keepNext w:val="0"/>
        <w:keepLines w:val="0"/>
        <w:widowControl w:val="0"/>
        <w:shd w:val="clear" w:color="auto" w:fill="auto"/>
        <w:bidi w:val="0"/>
        <w:spacing w:before="0" w:after="300" w:line="312" w:lineRule="exact"/>
        <w:ind w:left="0" w:right="0" w:firstLine="480"/>
        <w:jc w:val="left"/>
      </w:pPr>
      <w:r>
        <w:rPr>
          <w:color w:val="000000"/>
          <w:spacing w:val="0"/>
          <w:w w:val="100"/>
          <w:position w:val="0"/>
        </w:rPr>
        <w:t>深圳中青聚宝于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914403005615463883</w:t>
      </w:r>
      <w:r>
        <w:rPr>
          <w:color w:val="000000"/>
          <w:spacing w:val="0"/>
          <w:w w:val="100"/>
          <w:position w:val="0"/>
        </w:rPr>
        <w:t>，注册资 本</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元，法定代表人：张超玉。截至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shd w:val="clear" w:color="auto" w:fill="auto"/>
        <w:tabs>
          <w:tab w:pos="848" w:val="left"/>
        </w:tabs>
        <w:bidi w:val="0"/>
        <w:spacing w:before="0" w:after="300" w:line="312" w:lineRule="exact"/>
        <w:ind w:left="0" w:right="0" w:firstLine="480"/>
        <w:jc w:val="both"/>
      </w:pPr>
      <w:bookmarkStart w:id="1277" w:name="bookmark1277"/>
      <w:r>
        <w:rPr>
          <w:rFonts w:ascii="Times New Roman" w:eastAsia="Times New Roman" w:hAnsi="Times New Roman" w:cs="Times New Roman"/>
          <w:color w:val="000000"/>
          <w:spacing w:val="0"/>
          <w:w w:val="100"/>
          <w:position w:val="0"/>
          <w:sz w:val="18"/>
          <w:szCs w:val="18"/>
        </w:rPr>
        <w:t>9</w:t>
      </w:r>
      <w:bookmarkEnd w:id="1277"/>
      <w:r>
        <w:rPr>
          <w:color w:val="000000"/>
          <w:spacing w:val="0"/>
          <w:w w:val="100"/>
          <w:position w:val="0"/>
        </w:rPr>
        <w:t>）</w:t>
        <w:tab/>
        <w:t>深圳幻游</w:t>
      </w:r>
    </w:p>
    <w:p>
      <w:pPr>
        <w:pStyle w:val="Style26"/>
        <w:keepNext w:val="0"/>
        <w:keepLines w:val="0"/>
        <w:widowControl w:val="0"/>
        <w:shd w:val="clear" w:color="auto" w:fill="auto"/>
        <w:bidi w:val="0"/>
        <w:spacing w:before="0" w:after="300" w:line="312" w:lineRule="exact"/>
        <w:ind w:left="0" w:right="0" w:firstLine="480"/>
        <w:jc w:val="left"/>
      </w:pPr>
      <w:r>
        <w:rPr>
          <w:color w:val="000000"/>
          <w:spacing w:val="0"/>
          <w:w w:val="100"/>
          <w:position w:val="0"/>
        </w:rPr>
        <w:t>全称：深圳市幻游科技有限公司</w:t>
      </w:r>
    </w:p>
    <w:p>
      <w:pPr>
        <w:pStyle w:val="Style26"/>
        <w:keepNext w:val="0"/>
        <w:keepLines w:val="0"/>
        <w:widowControl w:val="0"/>
        <w:shd w:val="clear" w:color="auto" w:fill="auto"/>
        <w:bidi w:val="0"/>
        <w:spacing w:before="0" w:after="400" w:line="312" w:lineRule="exact"/>
        <w:ind w:left="0" w:right="0" w:firstLine="480"/>
        <w:jc w:val="left"/>
      </w:pPr>
      <w:r>
        <w:rPr>
          <w:color w:val="000000"/>
          <w:spacing w:val="0"/>
          <w:w w:val="100"/>
          <w:position w:val="0"/>
        </w:rPr>
        <w:t>深圳幻游于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91440300553878948Q</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6,130,000.00</w:t>
      </w:r>
      <w:r>
        <w:rPr>
          <w:color w:val="000000"/>
          <w:spacing w:val="0"/>
          <w:w w:val="100"/>
          <w:position w:val="0"/>
        </w:rPr>
        <w:t>元，法定代表人：江雷。截至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日，本公司通过子公司深圳中青聚宝间接持股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shd w:val="clear" w:color="auto" w:fill="auto"/>
        <w:tabs>
          <w:tab w:pos="920" w:val="left"/>
        </w:tabs>
        <w:bidi w:val="0"/>
        <w:spacing w:before="0" w:after="300" w:line="360" w:lineRule="auto"/>
        <w:ind w:left="0" w:right="0" w:firstLine="480"/>
        <w:jc w:val="left"/>
      </w:pPr>
      <w:bookmarkStart w:id="1278" w:name="bookmark1278"/>
      <w:r>
        <w:rPr>
          <w:rFonts w:ascii="Times New Roman" w:eastAsia="Times New Roman" w:hAnsi="Times New Roman" w:cs="Times New Roman"/>
          <w:color w:val="000000"/>
          <w:spacing w:val="0"/>
          <w:w w:val="100"/>
          <w:position w:val="0"/>
          <w:sz w:val="18"/>
          <w:szCs w:val="18"/>
        </w:rPr>
        <w:t>1</w:t>
      </w:r>
      <w:bookmarkEnd w:id="1278"/>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西安掌控力</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全称：西安掌控力数码文化发展有限公司</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西安掌控力于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日经西安市工商行政管理局批准成立，统一社会信用代码</w:t>
      </w:r>
      <w:r>
        <w:rPr>
          <w:rFonts w:ascii="Times New Roman" w:eastAsia="Times New Roman" w:hAnsi="Times New Roman" w:cs="Times New Roman"/>
          <w:color w:val="000000"/>
          <w:spacing w:val="0"/>
          <w:w w:val="100"/>
          <w:position w:val="0"/>
          <w:sz w:val="18"/>
          <w:szCs w:val="18"/>
        </w:rPr>
        <w:t>91610131566004502U</w:t>
      </w:r>
      <w:r>
        <w:rPr>
          <w:color w:val="000000"/>
          <w:spacing w:val="0"/>
          <w:w w:val="100"/>
          <w:position w:val="0"/>
        </w:rPr>
        <w:t>，</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2,040,800.00</w:t>
      </w:r>
      <w:r>
        <w:rPr>
          <w:color w:val="000000"/>
          <w:spacing w:val="0"/>
          <w:w w:val="100"/>
          <w:position w:val="0"/>
        </w:rPr>
        <w:t>元，法定代表人：陈建辉。</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日深圳中青聚宝与西安掌控力、陈建辉、徐晓亮、栾伟签订增资协议， 深圳中青聚宝同意向西安掌控力增资人民币</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万元，该笔增资款中</w:t>
      </w:r>
      <w:r>
        <w:rPr>
          <w:rFonts w:ascii="Times New Roman" w:eastAsia="Times New Roman" w:hAnsi="Times New Roman" w:cs="Times New Roman"/>
          <w:color w:val="000000"/>
          <w:spacing w:val="0"/>
          <w:w w:val="100"/>
          <w:position w:val="0"/>
          <w:sz w:val="18"/>
          <w:szCs w:val="18"/>
        </w:rPr>
        <w:t>104.08</w:t>
      </w:r>
      <w:r>
        <w:rPr>
          <w:color w:val="000000"/>
          <w:spacing w:val="0"/>
          <w:w w:val="100"/>
          <w:position w:val="0"/>
        </w:rPr>
        <w:t>万元计入注册资本金，余下</w:t>
      </w:r>
      <w:r>
        <w:rPr>
          <w:rFonts w:ascii="Times New Roman" w:eastAsia="Times New Roman" w:hAnsi="Times New Roman" w:cs="Times New Roman"/>
          <w:color w:val="000000"/>
          <w:spacing w:val="0"/>
          <w:w w:val="100"/>
          <w:position w:val="0"/>
          <w:sz w:val="18"/>
          <w:szCs w:val="18"/>
        </w:rPr>
        <w:t>295.9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万元计入资本公 积金。完成增资后深圳中青聚宝持有西安掌控力</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的股权，陈建辉、徐晓亮、栾伟合计持有西安掌控力</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xml:space="preserve">的股权。截至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日，本公司通过子公司深圳中青聚宝间接持股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6"/>
        <w:keepNext w:val="0"/>
        <w:keepLines w:val="0"/>
        <w:widowControl w:val="0"/>
        <w:shd w:val="clear" w:color="auto" w:fill="auto"/>
        <w:tabs>
          <w:tab w:pos="890" w:val="left"/>
        </w:tabs>
        <w:bidi w:val="0"/>
        <w:spacing w:before="0" w:after="180" w:line="360" w:lineRule="auto"/>
        <w:ind w:left="0" w:right="0" w:firstLine="460"/>
        <w:jc w:val="left"/>
      </w:pPr>
      <w:bookmarkStart w:id="1279" w:name="bookmark1279"/>
      <w:r>
        <w:rPr>
          <w:rFonts w:ascii="Times New Roman" w:eastAsia="Times New Roman" w:hAnsi="Times New Roman" w:cs="Times New Roman"/>
          <w:color w:val="000000"/>
          <w:spacing w:val="0"/>
          <w:w w:val="100"/>
          <w:position w:val="0"/>
          <w:sz w:val="18"/>
          <w:szCs w:val="18"/>
        </w:rPr>
        <w:t>1</w:t>
      </w:r>
      <w:bookmarkEnd w:id="12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深圳中富彩</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全称：深圳市中富彩网络技术有限公司</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深圳中富彩于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91440300080789477K</w:t>
      </w:r>
      <w:r>
        <w:rPr>
          <w:color w:val="000000"/>
          <w:spacing w:val="0"/>
          <w:w w:val="100"/>
          <w:position w:val="0"/>
        </w:rPr>
        <w:t>，</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元，法定代表人：张超玉。截至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日，本公司通过子公司深圳中青聚宝间接持股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6"/>
        <w:keepNext w:val="0"/>
        <w:keepLines w:val="0"/>
        <w:widowControl w:val="0"/>
        <w:shd w:val="clear" w:color="auto" w:fill="auto"/>
        <w:tabs>
          <w:tab w:pos="900" w:val="left"/>
        </w:tabs>
        <w:bidi w:val="0"/>
        <w:spacing w:before="0" w:after="180" w:line="360" w:lineRule="auto"/>
        <w:ind w:left="0" w:right="0" w:firstLine="460"/>
        <w:jc w:val="left"/>
      </w:pPr>
      <w:bookmarkStart w:id="1280" w:name="bookmark1280"/>
      <w:r>
        <w:rPr>
          <w:rFonts w:ascii="Times New Roman" w:eastAsia="Times New Roman" w:hAnsi="Times New Roman" w:cs="Times New Roman"/>
          <w:color w:val="000000"/>
          <w:spacing w:val="0"/>
          <w:w w:val="100"/>
          <w:position w:val="0"/>
          <w:sz w:val="18"/>
          <w:szCs w:val="18"/>
        </w:rPr>
        <w:t>1</w:t>
      </w:r>
      <w:bookmarkEnd w:id="12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深圳乔戈里</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全称：深圳乔戈里投资有限公司</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深圳乔戈里于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914403003985944425</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元，法定代表人：江雷。截至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日，本公司通过子公司深圳中青聚宝间接持股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78"/>
        <w:keepNext w:val="0"/>
        <w:keepLines w:val="0"/>
        <w:widowControl w:val="0"/>
        <w:shd w:val="clear" w:color="auto" w:fill="auto"/>
        <w:tabs>
          <w:tab w:pos="900" w:val="left"/>
        </w:tabs>
        <w:bidi w:val="0"/>
        <w:spacing w:before="0" w:after="180" w:line="360" w:lineRule="auto"/>
        <w:ind w:left="0" w:right="0"/>
        <w:jc w:val="left"/>
      </w:pPr>
      <w:bookmarkStart w:id="1281" w:name="bookmark1281"/>
      <w:r>
        <w:rPr>
          <w:color w:val="000000"/>
          <w:spacing w:val="0"/>
          <w:w w:val="100"/>
          <w:position w:val="0"/>
        </w:rPr>
        <w:t>1</w:t>
      </w:r>
      <w:bookmarkEnd w:id="1281"/>
      <w:r>
        <w:rPr>
          <w:color w:val="000000"/>
          <w:spacing w:val="0"/>
          <w:w w:val="100"/>
          <w:position w:val="0"/>
        </w:rPr>
        <w:t>3</w:t>
      </w:r>
      <w:r>
        <w:rPr>
          <w:rFonts w:ascii="SimSun" w:eastAsia="SimSun" w:hAnsi="SimSun" w:cs="SimSun"/>
          <w:color w:val="000000"/>
          <w:spacing w:val="0"/>
          <w:w w:val="100"/>
          <w:position w:val="0"/>
          <w:sz w:val="17"/>
          <w:szCs w:val="17"/>
        </w:rPr>
        <w:t>）</w:t>
        <w:tab/>
      </w:r>
      <w:r>
        <w:rPr>
          <w:color w:val="000000"/>
          <w:spacing w:val="0"/>
          <w:w w:val="100"/>
          <w:position w:val="0"/>
        </w:rPr>
        <w:t>CUPLAY</w:t>
      </w:r>
    </w:p>
    <w:p>
      <w:pPr>
        <w:pStyle w:val="Style78"/>
        <w:keepNext w:val="0"/>
        <w:keepLines w:val="0"/>
        <w:widowControl w:val="0"/>
        <w:shd w:val="clear" w:color="auto" w:fill="auto"/>
        <w:bidi w:val="0"/>
        <w:spacing w:before="0" w:line="317" w:lineRule="exact"/>
        <w:ind w:left="0" w:right="0"/>
        <w:jc w:val="left"/>
      </w:pPr>
      <w:r>
        <w:rPr>
          <w:rFonts w:ascii="SimSun" w:eastAsia="SimSun" w:hAnsi="SimSun" w:cs="SimSun"/>
          <w:color w:val="000000"/>
          <w:spacing w:val="0"/>
          <w:w w:val="100"/>
          <w:position w:val="0"/>
          <w:sz w:val="17"/>
          <w:szCs w:val="17"/>
        </w:rPr>
        <w:t>全称：</w:t>
      </w:r>
      <w:r>
        <w:rPr>
          <w:color w:val="000000"/>
          <w:spacing w:val="0"/>
          <w:w w:val="100"/>
          <w:position w:val="0"/>
        </w:rPr>
        <w:t>CUPLAYCO.,LTD</w:t>
      </w:r>
    </w:p>
    <w:p>
      <w:pPr>
        <w:pStyle w:val="Style78"/>
        <w:keepNext w:val="0"/>
        <w:keepLines w:val="0"/>
        <w:widowControl w:val="0"/>
        <w:shd w:val="clear" w:color="auto" w:fill="auto"/>
        <w:bidi w:val="0"/>
        <w:spacing w:before="0" w:after="420" w:line="317" w:lineRule="exact"/>
        <w:ind w:left="0" w:right="0"/>
        <w:jc w:val="left"/>
        <w:rPr>
          <w:sz w:val="17"/>
          <w:szCs w:val="17"/>
        </w:rPr>
      </w:pPr>
      <w:r>
        <w:rPr>
          <w:color w:val="000000"/>
          <w:spacing w:val="0"/>
          <w:w w:val="100"/>
          <w:position w:val="0"/>
          <w:sz w:val="18"/>
          <w:szCs w:val="18"/>
        </w:rPr>
        <w:t>CUPLAY</w:t>
      </w:r>
      <w:r>
        <w:rPr>
          <w:rFonts w:ascii="SimSun" w:eastAsia="SimSun" w:hAnsi="SimSun" w:cs="SimSun"/>
          <w:color w:val="000000"/>
          <w:spacing w:val="0"/>
          <w:w w:val="100"/>
          <w:position w:val="0"/>
          <w:sz w:val="17"/>
          <w:szCs w:val="17"/>
        </w:rPr>
        <w:t>于</w:t>
      </w:r>
      <w:r>
        <w:rPr>
          <w:color w:val="000000"/>
          <w:spacing w:val="0"/>
          <w:w w:val="100"/>
          <w:position w:val="0"/>
          <w:sz w:val="18"/>
          <w:szCs w:val="18"/>
        </w:rPr>
        <w:t>2010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日经</w:t>
      </w:r>
      <w:r>
        <w:rPr>
          <w:color w:val="000000"/>
          <w:spacing w:val="0"/>
          <w:w w:val="100"/>
          <w:position w:val="0"/>
          <w:sz w:val="18"/>
          <w:szCs w:val="18"/>
        </w:rPr>
        <w:t>Registrar of Corporate Affairs</w:t>
      </w:r>
      <w:r>
        <w:rPr>
          <w:rFonts w:ascii="SimSun" w:eastAsia="SimSun" w:hAnsi="SimSun" w:cs="SimSun"/>
          <w:color w:val="000000"/>
          <w:spacing w:val="0"/>
          <w:w w:val="100"/>
          <w:position w:val="0"/>
          <w:sz w:val="17"/>
          <w:szCs w:val="17"/>
        </w:rPr>
        <w:t>批准成立，注册资本</w:t>
      </w:r>
      <w:r>
        <w:rPr>
          <w:color w:val="000000"/>
          <w:spacing w:val="0"/>
          <w:w w:val="100"/>
          <w:position w:val="0"/>
          <w:sz w:val="18"/>
          <w:szCs w:val="18"/>
        </w:rPr>
        <w:t>5,989,965.20</w:t>
      </w:r>
      <w:r>
        <w:rPr>
          <w:rFonts w:ascii="SimSun" w:eastAsia="SimSun" w:hAnsi="SimSun" w:cs="SimSun"/>
          <w:color w:val="000000"/>
          <w:spacing w:val="0"/>
          <w:w w:val="100"/>
          <w:position w:val="0"/>
          <w:sz w:val="17"/>
          <w:szCs w:val="17"/>
        </w:rPr>
        <w:t>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 本公司直接持股</w:t>
      </w:r>
      <w:r>
        <w:rPr>
          <w:color w:val="000000"/>
          <w:spacing w:val="0"/>
          <w:w w:val="100"/>
          <w:position w:val="0"/>
          <w:sz w:val="18"/>
          <w:szCs w:val="18"/>
        </w:rPr>
        <w:t>100%</w:t>
      </w:r>
      <w:r>
        <w:rPr>
          <w:rFonts w:ascii="SimSun" w:eastAsia="SimSun" w:hAnsi="SimSun" w:cs="SimSun"/>
          <w:color w:val="000000"/>
          <w:spacing w:val="0"/>
          <w:w w:val="100"/>
          <w:position w:val="0"/>
          <w:sz w:val="17"/>
          <w:szCs w:val="17"/>
        </w:rPr>
        <w:t>。</w:t>
      </w:r>
    </w:p>
    <w:p>
      <w:pPr>
        <w:pStyle w:val="Style26"/>
        <w:keepNext w:val="0"/>
        <w:keepLines w:val="0"/>
        <w:widowControl w:val="0"/>
        <w:shd w:val="clear" w:color="auto" w:fill="auto"/>
        <w:tabs>
          <w:tab w:pos="900" w:val="left"/>
        </w:tabs>
        <w:bidi w:val="0"/>
        <w:spacing w:before="0" w:after="180" w:line="360" w:lineRule="auto"/>
        <w:ind w:left="0" w:right="0" w:firstLine="460"/>
        <w:jc w:val="left"/>
      </w:pPr>
      <w:bookmarkStart w:id="1282" w:name="bookmark1282"/>
      <w:r>
        <w:rPr>
          <w:rFonts w:ascii="Times New Roman" w:eastAsia="Times New Roman" w:hAnsi="Times New Roman" w:cs="Times New Roman"/>
          <w:color w:val="000000"/>
          <w:spacing w:val="0"/>
          <w:w w:val="100"/>
          <w:position w:val="0"/>
          <w:sz w:val="18"/>
          <w:szCs w:val="18"/>
        </w:rPr>
        <w:t>1</w:t>
      </w:r>
      <w:bookmarkEnd w:id="1282"/>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美国中青宝</w:t>
      </w:r>
    </w:p>
    <w:p>
      <w:pPr>
        <w:pStyle w:val="Style78"/>
        <w:keepNext w:val="0"/>
        <w:keepLines w:val="0"/>
        <w:widowControl w:val="0"/>
        <w:shd w:val="clear" w:color="auto" w:fill="auto"/>
        <w:bidi w:val="0"/>
        <w:spacing w:before="0" w:line="317" w:lineRule="exact"/>
        <w:ind w:left="0" w:right="0"/>
        <w:jc w:val="left"/>
      </w:pPr>
      <w:r>
        <w:rPr>
          <w:rFonts w:ascii="SimSun" w:eastAsia="SimSun" w:hAnsi="SimSun" w:cs="SimSun"/>
          <w:color w:val="000000"/>
          <w:spacing w:val="0"/>
          <w:w w:val="100"/>
          <w:position w:val="0"/>
          <w:sz w:val="17"/>
          <w:szCs w:val="17"/>
        </w:rPr>
        <w:t>全称：</w:t>
      </w:r>
      <w:r>
        <w:rPr>
          <w:color w:val="000000"/>
          <w:spacing w:val="0"/>
          <w:w w:val="100"/>
          <w:position w:val="0"/>
        </w:rPr>
        <w:t>ZQ GAME Inc</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美国中青宝系于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日由本公司在美国投资成立的全资子公司，已由</w:t>
      </w:r>
      <w:r>
        <w:rPr>
          <w:rFonts w:ascii="Times New Roman" w:eastAsia="Times New Roman" w:hAnsi="Times New Roman" w:cs="Times New Roman"/>
          <w:color w:val="000000"/>
          <w:spacing w:val="0"/>
          <w:w w:val="100"/>
          <w:position w:val="0"/>
          <w:sz w:val="18"/>
          <w:szCs w:val="18"/>
        </w:rPr>
        <w:t>CUPLAY</w:t>
      </w:r>
      <w:r>
        <w:rPr>
          <w:color w:val="000000"/>
          <w:spacing w:val="0"/>
          <w:w w:val="100"/>
          <w:position w:val="0"/>
        </w:rPr>
        <w:t>发行及足缴股本为</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美元, 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shd w:val="clear" w:color="auto" w:fill="auto"/>
        <w:tabs>
          <w:tab w:pos="876" w:val="left"/>
        </w:tabs>
        <w:bidi w:val="0"/>
        <w:spacing w:before="0" w:after="180" w:line="360" w:lineRule="auto"/>
        <w:ind w:left="0" w:right="0" w:firstLine="460"/>
        <w:jc w:val="left"/>
      </w:pPr>
      <w:bookmarkStart w:id="1283" w:name="bookmark1283"/>
      <w:r>
        <w:rPr>
          <w:rFonts w:ascii="Times New Roman" w:eastAsia="Times New Roman" w:hAnsi="Times New Roman" w:cs="Times New Roman"/>
          <w:color w:val="000000"/>
          <w:spacing w:val="0"/>
          <w:w w:val="100"/>
          <w:position w:val="0"/>
          <w:sz w:val="18"/>
          <w:szCs w:val="18"/>
        </w:rPr>
        <w:t>1</w:t>
      </w:r>
      <w:bookmarkEnd w:id="1283"/>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韩国中青宝</w:t>
      </w:r>
    </w:p>
    <w:p>
      <w:pPr>
        <w:pStyle w:val="Style78"/>
        <w:keepNext w:val="0"/>
        <w:keepLines w:val="0"/>
        <w:widowControl w:val="0"/>
        <w:shd w:val="clear" w:color="auto" w:fill="auto"/>
        <w:bidi w:val="0"/>
        <w:spacing w:before="0" w:line="317" w:lineRule="exact"/>
        <w:ind w:left="0" w:right="0"/>
        <w:jc w:val="left"/>
      </w:pPr>
      <w:r>
        <w:rPr>
          <w:rFonts w:ascii="SimSun" w:eastAsia="SimSun" w:hAnsi="SimSun" w:cs="SimSun"/>
          <w:color w:val="000000"/>
          <w:spacing w:val="0"/>
          <w:w w:val="100"/>
          <w:position w:val="0"/>
          <w:sz w:val="17"/>
          <w:szCs w:val="17"/>
        </w:rPr>
        <w:t>全称：</w:t>
      </w:r>
      <w:r>
        <w:rPr>
          <w:color w:val="000000"/>
          <w:spacing w:val="0"/>
          <w:w w:val="100"/>
          <w:position w:val="0"/>
        </w:rPr>
        <w:t>ZQ Game Korea Co.,Ltd</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韩国中青宝系于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日由</w:t>
      </w:r>
      <w:r>
        <w:rPr>
          <w:rFonts w:ascii="Times New Roman" w:eastAsia="Times New Roman" w:hAnsi="Times New Roman" w:cs="Times New Roman"/>
          <w:color w:val="000000"/>
          <w:spacing w:val="0"/>
          <w:w w:val="100"/>
          <w:position w:val="0"/>
          <w:sz w:val="18"/>
          <w:szCs w:val="18"/>
        </w:rPr>
        <w:t>CUPLAY</w:t>
      </w:r>
      <w:r>
        <w:rPr>
          <w:color w:val="000000"/>
          <w:spacing w:val="0"/>
          <w:w w:val="100"/>
          <w:position w:val="0"/>
        </w:rPr>
        <w:t>在韩国投资设立的全资子公司，已发行及足缴股本为</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 xml:space="preserve">韩币。截至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w:t>
      </w:r>
      <w:r>
        <w:rPr>
          <w:rFonts w:ascii="Times New Roman" w:eastAsia="Times New Roman" w:hAnsi="Times New Roman" w:cs="Times New Roman"/>
          <w:color w:val="000000"/>
          <w:spacing w:val="0"/>
          <w:w w:val="100"/>
          <w:position w:val="0"/>
          <w:sz w:val="18"/>
          <w:szCs w:val="18"/>
        </w:rPr>
        <w:t>CUPLAY</w:t>
      </w:r>
      <w:r>
        <w:rPr>
          <w:color w:val="000000"/>
          <w:spacing w:val="0"/>
          <w:w w:val="100"/>
          <w:position w:val="0"/>
        </w:rPr>
        <w:t>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shd w:val="clear" w:color="auto" w:fill="auto"/>
        <w:tabs>
          <w:tab w:pos="876" w:val="left"/>
        </w:tabs>
        <w:bidi w:val="0"/>
        <w:spacing w:before="0" w:after="300" w:line="360" w:lineRule="auto"/>
        <w:ind w:left="0" w:right="0" w:firstLine="460"/>
        <w:jc w:val="left"/>
      </w:pPr>
      <w:bookmarkStart w:id="1284" w:name="bookmark1284"/>
      <w:r>
        <w:rPr>
          <w:rFonts w:ascii="Times New Roman" w:eastAsia="Times New Roman" w:hAnsi="Times New Roman" w:cs="Times New Roman"/>
          <w:color w:val="000000"/>
          <w:spacing w:val="0"/>
          <w:w w:val="100"/>
          <w:position w:val="0"/>
          <w:sz w:val="18"/>
          <w:szCs w:val="18"/>
        </w:rPr>
        <w:t>1</w:t>
      </w:r>
      <w:bookmarkEnd w:id="1284"/>
      <w:r>
        <w:rPr>
          <w:rFonts w:ascii="Times New Roman" w:eastAsia="Times New Roman" w:hAnsi="Times New Roman" w:cs="Times New Roman"/>
          <w:color w:val="000000"/>
          <w:spacing w:val="0"/>
          <w:w w:val="100"/>
          <w:position w:val="0"/>
          <w:sz w:val="18"/>
          <w:szCs w:val="18"/>
        </w:rPr>
        <w:t>6）</w:t>
        <w:tab/>
      </w:r>
      <w:r>
        <w:rPr>
          <w:color w:val="000000"/>
          <w:spacing w:val="0"/>
          <w:w w:val="100"/>
          <w:position w:val="0"/>
        </w:rPr>
        <w:t>老友互动</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全称：深圳市老友互动科技有限公司</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老友互动于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91440300568538129N</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元，法定代表人：杜卓。截至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shd w:val="clear" w:color="auto" w:fill="auto"/>
        <w:tabs>
          <w:tab w:pos="881" w:val="left"/>
        </w:tabs>
        <w:bidi w:val="0"/>
        <w:spacing w:before="0" w:after="200" w:line="360" w:lineRule="auto"/>
        <w:ind w:left="0" w:right="0" w:firstLine="460"/>
        <w:jc w:val="left"/>
      </w:pPr>
      <w:bookmarkStart w:id="1285" w:name="bookmark1285"/>
      <w:r>
        <w:rPr>
          <w:rFonts w:ascii="Times New Roman" w:eastAsia="Times New Roman" w:hAnsi="Times New Roman" w:cs="Times New Roman"/>
          <w:color w:val="000000"/>
          <w:spacing w:val="0"/>
          <w:w w:val="100"/>
          <w:position w:val="0"/>
          <w:sz w:val="18"/>
          <w:szCs w:val="18"/>
        </w:rPr>
        <w:t>1</w:t>
      </w:r>
      <w:bookmarkEnd w:id="128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福州卓越</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全称：福州卓越无限软件开发有限公司</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福州卓越于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日经福州市鼓楼区工商行政管理局批准成立，统一社会信用代码</w:t>
      </w:r>
      <w:r>
        <w:rPr>
          <w:rFonts w:ascii="Times New Roman" w:eastAsia="Times New Roman" w:hAnsi="Times New Roman" w:cs="Times New Roman"/>
          <w:color w:val="000000"/>
          <w:spacing w:val="0"/>
          <w:w w:val="100"/>
          <w:position w:val="0"/>
          <w:sz w:val="18"/>
          <w:szCs w:val="18"/>
        </w:rPr>
        <w:t>9135010258311579XK</w:t>
      </w:r>
      <w:r>
        <w:rPr>
          <w:color w:val="000000"/>
          <w:spacing w:val="0"/>
          <w:w w:val="100"/>
          <w:position w:val="0"/>
        </w:rPr>
        <w:t>，</w:t>
      </w:r>
      <w:r>
        <w:rPr>
          <w:color w:val="000000"/>
          <w:spacing w:val="0"/>
          <w:w w:val="100"/>
          <w:position w:val="0"/>
        </w:rPr>
        <w:t>注册 资本</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元，法定代表人：张云霞。截至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6"/>
        <w:keepNext w:val="0"/>
        <w:keepLines w:val="0"/>
        <w:widowControl w:val="0"/>
        <w:shd w:val="clear" w:color="auto" w:fill="auto"/>
        <w:tabs>
          <w:tab w:pos="881" w:val="left"/>
        </w:tabs>
        <w:bidi w:val="0"/>
        <w:spacing w:before="0" w:after="200" w:line="360" w:lineRule="auto"/>
        <w:ind w:left="0" w:right="0" w:firstLine="460"/>
        <w:jc w:val="left"/>
      </w:pPr>
      <w:bookmarkStart w:id="1286" w:name="bookmark1286"/>
      <w:r>
        <w:rPr>
          <w:rFonts w:ascii="Times New Roman" w:eastAsia="Times New Roman" w:hAnsi="Times New Roman" w:cs="Times New Roman"/>
          <w:color w:val="000000"/>
          <w:spacing w:val="0"/>
          <w:w w:val="100"/>
          <w:position w:val="0"/>
          <w:sz w:val="18"/>
          <w:szCs w:val="18"/>
        </w:rPr>
        <w:t>1</w:t>
      </w:r>
      <w:bookmarkEnd w:id="128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上海美峰</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全称：上海美峰数码科技有限公司</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上海美峰于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日经上海市工商行政管理局浦东新区分局批准成立，统一社会信用代码</w:t>
      </w:r>
      <w:r>
        <w:rPr>
          <w:rFonts w:ascii="Times New Roman" w:eastAsia="Times New Roman" w:hAnsi="Times New Roman" w:cs="Times New Roman"/>
          <w:color w:val="000000"/>
          <w:spacing w:val="0"/>
          <w:w w:val="100"/>
          <w:position w:val="0"/>
          <w:sz w:val="18"/>
          <w:szCs w:val="18"/>
        </w:rPr>
        <w:t>9131000076838518XT</w:t>
      </w:r>
      <w:r>
        <w:rPr>
          <w:color w:val="000000"/>
          <w:spacing w:val="0"/>
          <w:w w:val="100"/>
          <w:position w:val="0"/>
        </w:rPr>
        <w:t xml:space="preserve">， </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0,000,000.00</w:t>
      </w:r>
      <w:r>
        <w:rPr>
          <w:color w:val="000000"/>
          <w:spacing w:val="0"/>
          <w:w w:val="100"/>
          <w:position w:val="0"/>
        </w:rPr>
        <w:t>元，法定代表人：李德新。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日本公司与李德新、郭瑜、钟松签订了股权转让协议，以</w:t>
      </w:r>
      <w:r>
        <w:rPr>
          <w:rFonts w:ascii="Times New Roman" w:eastAsia="Times New Roman" w:hAnsi="Times New Roman" w:cs="Times New Roman"/>
          <w:color w:val="000000"/>
          <w:spacing w:val="0"/>
          <w:w w:val="100"/>
          <w:position w:val="0"/>
          <w:sz w:val="18"/>
          <w:szCs w:val="18"/>
        </w:rPr>
        <w:t xml:space="preserve">35,700 </w:t>
      </w:r>
      <w:r>
        <w:rPr>
          <w:color w:val="000000"/>
          <w:spacing w:val="0"/>
          <w:w w:val="100"/>
          <w:position w:val="0"/>
        </w:rPr>
        <w:t>亿元收购上海美峰</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的股权，其中李德新转让</w:t>
      </w:r>
      <w:r>
        <w:rPr>
          <w:rFonts w:ascii="Times New Roman" w:eastAsia="Times New Roman" w:hAnsi="Times New Roman" w:cs="Times New Roman"/>
          <w:color w:val="000000"/>
          <w:spacing w:val="0"/>
          <w:w w:val="100"/>
          <w:position w:val="0"/>
          <w:sz w:val="18"/>
          <w:szCs w:val="18"/>
        </w:rPr>
        <w:t>24.6942%</w:t>
      </w:r>
      <w:r>
        <w:rPr>
          <w:color w:val="000000"/>
          <w:spacing w:val="0"/>
          <w:w w:val="100"/>
          <w:position w:val="0"/>
        </w:rPr>
        <w:t>，价款</w:t>
      </w:r>
      <w:r>
        <w:rPr>
          <w:rFonts w:ascii="Times New Roman" w:eastAsia="Times New Roman" w:hAnsi="Times New Roman" w:cs="Times New Roman"/>
          <w:color w:val="000000"/>
          <w:spacing w:val="0"/>
          <w:w w:val="100"/>
          <w:position w:val="0"/>
          <w:sz w:val="18"/>
          <w:szCs w:val="18"/>
        </w:rPr>
        <w:t>17,285.94</w:t>
      </w:r>
      <w:r>
        <w:rPr>
          <w:color w:val="000000"/>
          <w:spacing w:val="0"/>
          <w:w w:val="100"/>
          <w:position w:val="0"/>
        </w:rPr>
        <w:t>万元；郭瑜转让</w:t>
      </w:r>
      <w:r>
        <w:rPr>
          <w:rFonts w:ascii="Times New Roman" w:eastAsia="Times New Roman" w:hAnsi="Times New Roman" w:cs="Times New Roman"/>
          <w:color w:val="000000"/>
          <w:spacing w:val="0"/>
          <w:w w:val="100"/>
          <w:position w:val="0"/>
          <w:sz w:val="18"/>
          <w:szCs w:val="18"/>
        </w:rPr>
        <w:t>22.7817%</w:t>
      </w:r>
      <w:r>
        <w:rPr>
          <w:color w:val="000000"/>
          <w:spacing w:val="0"/>
          <w:w w:val="100"/>
          <w:position w:val="0"/>
        </w:rPr>
        <w:t>，价款</w:t>
      </w:r>
      <w:r>
        <w:rPr>
          <w:rFonts w:ascii="Times New Roman" w:eastAsia="Times New Roman" w:hAnsi="Times New Roman" w:cs="Times New Roman"/>
          <w:color w:val="000000"/>
          <w:spacing w:val="0"/>
          <w:w w:val="100"/>
          <w:position w:val="0"/>
          <w:sz w:val="18"/>
          <w:szCs w:val="18"/>
        </w:rPr>
        <w:t>15,947.19</w:t>
      </w:r>
      <w:r>
        <w:rPr>
          <w:color w:val="000000"/>
          <w:spacing w:val="0"/>
          <w:w w:val="100"/>
          <w:position w:val="0"/>
        </w:rPr>
        <w:t>万元；钟 松转让</w:t>
      </w:r>
      <w:r>
        <w:rPr>
          <w:rFonts w:ascii="Times New Roman" w:eastAsia="Times New Roman" w:hAnsi="Times New Roman" w:cs="Times New Roman"/>
          <w:color w:val="000000"/>
          <w:spacing w:val="0"/>
          <w:w w:val="100"/>
          <w:position w:val="0"/>
          <w:sz w:val="18"/>
          <w:szCs w:val="18"/>
        </w:rPr>
        <w:t>3.5241%</w:t>
      </w:r>
      <w:r>
        <w:rPr>
          <w:color w:val="000000"/>
          <w:spacing w:val="0"/>
          <w:w w:val="100"/>
          <w:position w:val="0"/>
        </w:rPr>
        <w:t>，价款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,466.87</w:t>
      </w:r>
      <w:r>
        <w:rPr>
          <w:color w:val="000000"/>
          <w:spacing w:val="0"/>
          <w:w w:val="100"/>
          <w:position w:val="0"/>
        </w:rPr>
        <w:t>万元。</w:t>
      </w:r>
    </w:p>
    <w:p>
      <w:pPr>
        <w:pStyle w:val="Style26"/>
        <w:keepNext w:val="0"/>
        <w:keepLines w:val="0"/>
        <w:widowControl w:val="0"/>
        <w:shd w:val="clear" w:color="auto" w:fill="auto"/>
        <w:bidi w:val="0"/>
        <w:spacing w:before="0" w:after="420" w:line="312" w:lineRule="exact"/>
        <w:ind w:left="0" w:right="0" w:firstLine="4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日本公司与李杰、郭瑜、钟松签订了关于股权收购协议之补充协议李杰、郭瑜、钟松将其合计持有的上海 美峰</w:t>
      </w:r>
      <w:r>
        <w:rPr>
          <w:rFonts w:ascii="Times New Roman" w:eastAsia="Times New Roman" w:hAnsi="Times New Roman" w:cs="Times New Roman"/>
          <w:color w:val="000000"/>
          <w:spacing w:val="0"/>
          <w:w w:val="100"/>
          <w:position w:val="0"/>
          <w:sz w:val="18"/>
          <w:szCs w:val="18"/>
        </w:rPr>
        <w:t>20.6334%</w:t>
      </w:r>
      <w:r>
        <w:rPr>
          <w:color w:val="000000"/>
          <w:spacing w:val="0"/>
          <w:w w:val="100"/>
          <w:position w:val="0"/>
        </w:rPr>
        <w:t>股权无偿转让给本公司。截至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71.6334%</w:t>
      </w:r>
      <w:r>
        <w:rPr>
          <w:color w:val="000000"/>
          <w:spacing w:val="0"/>
          <w:w w:val="100"/>
          <w:position w:val="0"/>
        </w:rPr>
        <w:t>。</w:t>
      </w:r>
    </w:p>
    <w:p>
      <w:pPr>
        <w:pStyle w:val="Style26"/>
        <w:keepNext w:val="0"/>
        <w:keepLines w:val="0"/>
        <w:widowControl w:val="0"/>
        <w:shd w:val="clear" w:color="auto" w:fill="auto"/>
        <w:tabs>
          <w:tab w:pos="881" w:val="left"/>
        </w:tabs>
        <w:bidi w:val="0"/>
        <w:spacing w:before="0" w:after="200" w:line="360" w:lineRule="auto"/>
        <w:ind w:left="0" w:right="0" w:firstLine="460"/>
        <w:jc w:val="left"/>
      </w:pPr>
      <w:bookmarkStart w:id="1287" w:name="bookmark1287"/>
      <w:r>
        <w:rPr>
          <w:rFonts w:ascii="Times New Roman" w:eastAsia="Times New Roman" w:hAnsi="Times New Roman" w:cs="Times New Roman"/>
          <w:color w:val="000000"/>
          <w:spacing w:val="0"/>
          <w:w w:val="100"/>
          <w:position w:val="0"/>
          <w:sz w:val="18"/>
          <w:szCs w:val="18"/>
        </w:rPr>
        <w:t>1</w:t>
      </w:r>
      <w:bookmarkEnd w:id="1287"/>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上海集美</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全称：上海集美信息技术有限公司</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上海集美于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日经上海市浦东新区市场监督管理局批准成立，统一社会信用代码</w:t>
      </w:r>
      <w:r>
        <w:rPr>
          <w:rFonts w:ascii="Times New Roman" w:eastAsia="Times New Roman" w:hAnsi="Times New Roman" w:cs="Times New Roman"/>
          <w:color w:val="000000"/>
          <w:spacing w:val="0"/>
          <w:w w:val="100"/>
          <w:position w:val="0"/>
          <w:sz w:val="18"/>
          <w:szCs w:val="18"/>
        </w:rPr>
        <w:t>91310115076407472D</w:t>
      </w:r>
      <w:r>
        <w:rPr>
          <w:color w:val="000000"/>
          <w:spacing w:val="0"/>
          <w:w w:val="100"/>
          <w:position w:val="0"/>
        </w:rPr>
        <w:t>，注 册资本</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元，法定代表人：李杰。截至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日，本公司通过子公司上海美峰间接持股</w:t>
      </w:r>
      <w:r>
        <w:rPr>
          <w:rFonts w:ascii="Times New Roman" w:eastAsia="Times New Roman" w:hAnsi="Times New Roman" w:cs="Times New Roman"/>
          <w:color w:val="000000"/>
          <w:spacing w:val="0"/>
          <w:w w:val="100"/>
          <w:position w:val="0"/>
          <w:sz w:val="18"/>
          <w:szCs w:val="18"/>
        </w:rPr>
        <w:t>71.6334%</w:t>
      </w:r>
      <w:r>
        <w:rPr>
          <w:color w:val="000000"/>
          <w:spacing w:val="0"/>
          <w:w w:val="100"/>
          <w:position w:val="0"/>
        </w:rPr>
        <w:t>。</w:t>
      </w:r>
    </w:p>
    <w:p>
      <w:pPr>
        <w:pStyle w:val="Style26"/>
        <w:keepNext w:val="0"/>
        <w:keepLines w:val="0"/>
        <w:widowControl w:val="0"/>
        <w:shd w:val="clear" w:color="auto" w:fill="auto"/>
        <w:tabs>
          <w:tab w:pos="900" w:val="left"/>
        </w:tabs>
        <w:bidi w:val="0"/>
        <w:spacing w:before="0" w:after="200" w:line="360" w:lineRule="auto"/>
        <w:ind w:left="0" w:right="0" w:firstLine="460"/>
        <w:jc w:val="left"/>
      </w:pPr>
      <w:bookmarkStart w:id="1288" w:name="bookmark1288"/>
      <w:r>
        <w:rPr>
          <w:rFonts w:ascii="Times New Roman" w:eastAsia="Times New Roman" w:hAnsi="Times New Roman" w:cs="Times New Roman"/>
          <w:color w:val="000000"/>
          <w:spacing w:val="0"/>
          <w:w w:val="100"/>
          <w:position w:val="0"/>
          <w:sz w:val="18"/>
          <w:szCs w:val="18"/>
        </w:rPr>
        <w:t>2</w:t>
      </w:r>
      <w:bookmarkEnd w:id="1288"/>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深圳苏摩</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全称：深圳市苏摩科技有限公司</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深圳苏摩于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91440300683780375D</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元，法定代表人：陈雷。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日本公司与陈雷、郝聃、姚君林、深圳市腾讯计算机系统有限公司、深 圳市世纪汇祥科技有限公司签订了股权转让协议，以</w:t>
      </w:r>
      <w:r>
        <w:rPr>
          <w:rFonts w:ascii="Times New Roman" w:eastAsia="Times New Roman" w:hAnsi="Times New Roman" w:cs="Times New Roman"/>
          <w:color w:val="000000"/>
          <w:spacing w:val="0"/>
          <w:w w:val="100"/>
          <w:position w:val="0"/>
          <w:sz w:val="18"/>
          <w:szCs w:val="18"/>
        </w:rPr>
        <w:t>8,746.50</w:t>
      </w:r>
      <w:r>
        <w:rPr>
          <w:color w:val="000000"/>
          <w:spacing w:val="0"/>
          <w:w w:val="100"/>
          <w:position w:val="0"/>
        </w:rPr>
        <w:t>万元收购深圳苏摩</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的股权，其中陈雷转让</w:t>
      </w:r>
      <w:r>
        <w:rPr>
          <w:rFonts w:ascii="Times New Roman" w:eastAsia="Times New Roman" w:hAnsi="Times New Roman" w:cs="Times New Roman"/>
          <w:color w:val="000000"/>
          <w:spacing w:val="0"/>
          <w:w w:val="100"/>
          <w:position w:val="0"/>
          <w:sz w:val="18"/>
          <w:szCs w:val="18"/>
        </w:rPr>
        <w:t>37.71%</w:t>
      </w:r>
      <w:r>
        <w:rPr>
          <w:color w:val="000000"/>
          <w:spacing w:val="0"/>
          <w:w w:val="100"/>
          <w:position w:val="0"/>
        </w:rPr>
        <w:t xml:space="preserve">，价款 </w:t>
      </w:r>
      <w:r>
        <w:rPr>
          <w:rFonts w:ascii="Times New Roman" w:eastAsia="Times New Roman" w:hAnsi="Times New Roman" w:cs="Times New Roman"/>
          <w:color w:val="000000"/>
          <w:spacing w:val="0"/>
          <w:w w:val="100"/>
          <w:position w:val="0"/>
          <w:sz w:val="18"/>
          <w:szCs w:val="18"/>
        </w:rPr>
        <w:t>6,467.26</w:t>
      </w:r>
      <w:r>
        <w:rPr>
          <w:color w:val="000000"/>
          <w:spacing w:val="0"/>
          <w:w w:val="100"/>
          <w:position w:val="0"/>
        </w:rPr>
        <w:t>万元；好聃转让</w:t>
      </w:r>
      <w:r>
        <w:rPr>
          <w:rFonts w:ascii="Times New Roman" w:eastAsia="Times New Roman" w:hAnsi="Times New Roman" w:cs="Times New Roman"/>
          <w:color w:val="000000"/>
          <w:spacing w:val="0"/>
          <w:w w:val="100"/>
          <w:position w:val="0"/>
          <w:sz w:val="18"/>
          <w:szCs w:val="18"/>
        </w:rPr>
        <w:t>4.34%</w:t>
      </w:r>
      <w:r>
        <w:rPr>
          <w:color w:val="000000"/>
          <w:spacing w:val="0"/>
          <w:w w:val="100"/>
          <w:position w:val="0"/>
        </w:rPr>
        <w:t>，价款</w:t>
      </w:r>
      <w:r>
        <w:rPr>
          <w:rFonts w:ascii="Times New Roman" w:eastAsia="Times New Roman" w:hAnsi="Times New Roman" w:cs="Times New Roman"/>
          <w:color w:val="000000"/>
          <w:spacing w:val="0"/>
          <w:w w:val="100"/>
          <w:position w:val="0"/>
          <w:sz w:val="18"/>
          <w:szCs w:val="18"/>
        </w:rPr>
        <w:t>744.31</w:t>
      </w:r>
      <w:r>
        <w:rPr>
          <w:color w:val="000000"/>
          <w:spacing w:val="0"/>
          <w:w w:val="100"/>
          <w:position w:val="0"/>
        </w:rPr>
        <w:t>万元；姚君林转让</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，价款</w:t>
      </w:r>
      <w:r>
        <w:rPr>
          <w:rFonts w:ascii="Times New Roman" w:eastAsia="Times New Roman" w:hAnsi="Times New Roman" w:cs="Times New Roman"/>
          <w:color w:val="000000"/>
          <w:spacing w:val="0"/>
          <w:w w:val="100"/>
          <w:position w:val="0"/>
          <w:sz w:val="18"/>
          <w:szCs w:val="18"/>
        </w:rPr>
        <w:t>222.95</w:t>
      </w:r>
      <w:r>
        <w:rPr>
          <w:color w:val="000000"/>
          <w:spacing w:val="0"/>
          <w:w w:val="100"/>
          <w:position w:val="0"/>
        </w:rPr>
        <w:t>万元；深圳市腾讯计算机系统有限公司转 让</w:t>
      </w:r>
      <w:r>
        <w:rPr>
          <w:rFonts w:ascii="Times New Roman" w:eastAsia="Times New Roman" w:hAnsi="Times New Roman" w:cs="Times New Roman"/>
          <w:color w:val="000000"/>
          <w:spacing w:val="0"/>
          <w:w w:val="100"/>
          <w:position w:val="0"/>
          <w:sz w:val="18"/>
          <w:szCs w:val="18"/>
        </w:rPr>
        <w:t>6.15%</w:t>
      </w:r>
      <w:r>
        <w:rPr>
          <w:color w:val="000000"/>
          <w:spacing w:val="0"/>
          <w:w w:val="100"/>
          <w:position w:val="0"/>
        </w:rPr>
        <w:t>，价款</w:t>
      </w:r>
      <w:r>
        <w:rPr>
          <w:rFonts w:ascii="Times New Roman" w:eastAsia="Times New Roman" w:hAnsi="Times New Roman" w:cs="Times New Roman"/>
          <w:color w:val="000000"/>
          <w:spacing w:val="0"/>
          <w:w w:val="100"/>
          <w:position w:val="0"/>
          <w:sz w:val="18"/>
          <w:szCs w:val="18"/>
        </w:rPr>
        <w:t>1,054.725</w:t>
      </w:r>
      <w:r>
        <w:rPr>
          <w:color w:val="000000"/>
          <w:spacing w:val="0"/>
          <w:w w:val="100"/>
          <w:position w:val="0"/>
        </w:rPr>
        <w:t>万元；深圳市世纪汇祥科技有限公司转让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，价款</w:t>
      </w:r>
      <w:r>
        <w:rPr>
          <w:rFonts w:ascii="Times New Roman" w:eastAsia="Times New Roman" w:hAnsi="Times New Roman" w:cs="Times New Roman"/>
          <w:color w:val="000000"/>
          <w:spacing w:val="0"/>
          <w:w w:val="100"/>
          <w:position w:val="0"/>
          <w:sz w:val="18"/>
          <w:szCs w:val="18"/>
        </w:rPr>
        <w:t>257.255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 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6"/>
        <w:keepNext w:val="0"/>
        <w:keepLines w:val="0"/>
        <w:widowControl w:val="0"/>
        <w:shd w:val="clear" w:color="auto" w:fill="auto"/>
        <w:bidi w:val="0"/>
        <w:spacing w:before="0" w:after="30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）深圳比格</w:t>
      </w:r>
    </w:p>
    <w:p>
      <w:pPr>
        <w:pStyle w:val="Style26"/>
        <w:keepNext w:val="0"/>
        <w:keepLines w:val="0"/>
        <w:widowControl w:val="0"/>
        <w:shd w:val="clear" w:color="auto" w:fill="auto"/>
        <w:bidi w:val="0"/>
        <w:spacing w:before="0" w:after="300" w:line="314" w:lineRule="exact"/>
        <w:ind w:left="0" w:right="0" w:firstLine="460"/>
        <w:jc w:val="left"/>
      </w:pPr>
      <w:r>
        <w:rPr>
          <w:color w:val="000000"/>
          <w:spacing w:val="0"/>
          <w:w w:val="100"/>
          <w:position w:val="0"/>
        </w:rPr>
        <w:t>全称：深圳市比格互动科技有限公司</w:t>
      </w:r>
    </w:p>
    <w:p>
      <w:pPr>
        <w:pStyle w:val="Style26"/>
        <w:keepNext w:val="0"/>
        <w:keepLines w:val="0"/>
        <w:widowControl w:val="0"/>
        <w:shd w:val="clear" w:color="auto" w:fill="auto"/>
        <w:bidi w:val="0"/>
        <w:spacing w:before="0" w:after="420" w:line="317" w:lineRule="exact"/>
        <w:ind w:left="0" w:right="0" w:firstLine="460"/>
        <w:jc w:val="left"/>
      </w:pPr>
      <w:r>
        <w:rPr>
          <w:color w:val="000000"/>
          <w:spacing w:val="0"/>
          <w:w w:val="100"/>
          <w:position w:val="0"/>
        </w:rPr>
        <w:t>深圳比格于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91440300581551029N</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1,300,000.00</w:t>
      </w:r>
      <w:r>
        <w:rPr>
          <w:color w:val="000000"/>
          <w:spacing w:val="0"/>
          <w:w w:val="100"/>
          <w:position w:val="0"/>
        </w:rPr>
        <w:t>元，法定代表人：陈雷。截至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日，本公司通过子公司深圳苏摩间接持股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6"/>
        <w:keepNext w:val="0"/>
        <w:keepLines w:val="0"/>
        <w:widowControl w:val="0"/>
        <w:shd w:val="clear" w:color="auto" w:fill="auto"/>
        <w:tabs>
          <w:tab w:pos="919" w:val="left"/>
        </w:tabs>
        <w:bidi w:val="0"/>
        <w:spacing w:before="0" w:after="200" w:line="360" w:lineRule="auto"/>
        <w:ind w:left="0" w:right="0" w:firstLine="460"/>
        <w:jc w:val="left"/>
      </w:pPr>
      <w:bookmarkStart w:id="1289" w:name="bookmark1289"/>
      <w:r>
        <w:rPr>
          <w:rFonts w:ascii="Times New Roman" w:eastAsia="Times New Roman" w:hAnsi="Times New Roman" w:cs="Times New Roman"/>
          <w:color w:val="000000"/>
          <w:spacing w:val="0"/>
          <w:w w:val="100"/>
          <w:position w:val="0"/>
          <w:sz w:val="18"/>
          <w:szCs w:val="18"/>
        </w:rPr>
        <w:t>2</w:t>
      </w:r>
      <w:bookmarkEnd w:id="12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深圳米斗</w:t>
      </w:r>
    </w:p>
    <w:p>
      <w:pPr>
        <w:pStyle w:val="Style26"/>
        <w:keepNext w:val="0"/>
        <w:keepLines w:val="0"/>
        <w:widowControl w:val="0"/>
        <w:shd w:val="clear" w:color="auto" w:fill="auto"/>
        <w:bidi w:val="0"/>
        <w:spacing w:before="0" w:after="300" w:line="314" w:lineRule="exact"/>
        <w:ind w:left="0" w:right="0" w:firstLine="460"/>
        <w:jc w:val="left"/>
      </w:pPr>
      <w:r>
        <w:rPr>
          <w:color w:val="000000"/>
          <w:spacing w:val="0"/>
          <w:w w:val="100"/>
          <w:position w:val="0"/>
        </w:rPr>
        <w:t>全称：深圳市米斗科技有限公司</w:t>
      </w:r>
    </w:p>
    <w:p>
      <w:pPr>
        <w:pStyle w:val="Style26"/>
        <w:keepNext w:val="0"/>
        <w:keepLines w:val="0"/>
        <w:widowControl w:val="0"/>
        <w:shd w:val="clear" w:color="auto" w:fill="auto"/>
        <w:bidi w:val="0"/>
        <w:spacing w:before="0" w:after="420" w:line="312" w:lineRule="exact"/>
        <w:ind w:left="0" w:right="0" w:firstLine="460"/>
        <w:jc w:val="left"/>
      </w:pPr>
      <w:r>
        <w:rPr>
          <w:color w:val="000000"/>
          <w:spacing w:val="0"/>
          <w:w w:val="100"/>
          <w:position w:val="0"/>
        </w:rPr>
        <w:t>深圳米斗于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91440300306093166F</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元，法定代表人：陈雷。截至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日，本公司通过子公司深圳苏摩间接持股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6"/>
        <w:keepNext w:val="0"/>
        <w:keepLines w:val="0"/>
        <w:widowControl w:val="0"/>
        <w:shd w:val="clear" w:color="auto" w:fill="auto"/>
        <w:tabs>
          <w:tab w:pos="919" w:val="left"/>
        </w:tabs>
        <w:bidi w:val="0"/>
        <w:spacing w:before="0" w:after="200" w:line="360" w:lineRule="auto"/>
        <w:ind w:left="0" w:right="0" w:firstLine="460"/>
        <w:jc w:val="left"/>
      </w:pPr>
      <w:bookmarkStart w:id="1290" w:name="bookmark1290"/>
      <w:r>
        <w:rPr>
          <w:rFonts w:ascii="Times New Roman" w:eastAsia="Times New Roman" w:hAnsi="Times New Roman" w:cs="Times New Roman"/>
          <w:color w:val="000000"/>
          <w:spacing w:val="0"/>
          <w:w w:val="100"/>
          <w:position w:val="0"/>
          <w:sz w:val="18"/>
          <w:szCs w:val="18"/>
        </w:rPr>
        <w:t>2</w:t>
      </w:r>
      <w:bookmarkEnd w:id="12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香港中青宝</w:t>
      </w:r>
    </w:p>
    <w:p>
      <w:pPr>
        <w:pStyle w:val="Style78"/>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sz w:val="17"/>
          <w:szCs w:val="17"/>
        </w:rPr>
        <w:t>全称：</w:t>
      </w:r>
      <w:r>
        <w:rPr>
          <w:color w:val="000000"/>
          <w:spacing w:val="0"/>
          <w:w w:val="100"/>
          <w:position w:val="0"/>
        </w:rPr>
        <w:t>Zqgame Hong Kong Co., LTD</w:t>
      </w:r>
    </w:p>
    <w:p>
      <w:pPr>
        <w:pStyle w:val="Style26"/>
        <w:keepNext w:val="0"/>
        <w:keepLines w:val="0"/>
        <w:widowControl w:val="0"/>
        <w:shd w:val="clear" w:color="auto" w:fill="auto"/>
        <w:bidi w:val="0"/>
        <w:spacing w:before="0" w:after="420" w:line="317" w:lineRule="exact"/>
        <w:ind w:left="0" w:right="0" w:firstLine="460"/>
        <w:jc w:val="left"/>
      </w:pPr>
      <w:r>
        <w:rPr>
          <w:color w:val="000000"/>
          <w:spacing w:val="0"/>
          <w:w w:val="100"/>
          <w:position w:val="0"/>
        </w:rPr>
        <w:t>香港中青宝于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日经香港特别行政区公司注册处批准成立，注册资本</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 司直接持股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78"/>
        <w:keepNext w:val="0"/>
        <w:keepLines w:val="0"/>
        <w:widowControl w:val="0"/>
        <w:shd w:val="clear" w:color="auto" w:fill="auto"/>
        <w:tabs>
          <w:tab w:pos="919" w:val="left"/>
        </w:tabs>
        <w:bidi w:val="0"/>
        <w:spacing w:before="0" w:after="200" w:line="360" w:lineRule="auto"/>
        <w:ind w:left="0" w:right="0"/>
        <w:jc w:val="both"/>
      </w:pPr>
      <w:bookmarkStart w:id="1291" w:name="bookmark1291"/>
      <w:r>
        <w:rPr>
          <w:color w:val="000000"/>
          <w:spacing w:val="0"/>
          <w:w w:val="100"/>
          <w:position w:val="0"/>
        </w:rPr>
        <w:t>2</w:t>
      </w:r>
      <w:bookmarkEnd w:id="1291"/>
      <w:r>
        <w:rPr>
          <w:color w:val="000000"/>
          <w:spacing w:val="0"/>
          <w:w w:val="100"/>
          <w:position w:val="0"/>
        </w:rPr>
        <w:t>4</w:t>
      </w:r>
      <w:r>
        <w:rPr>
          <w:rFonts w:ascii="SimSun" w:eastAsia="SimSun" w:hAnsi="SimSun" w:cs="SimSun"/>
          <w:color w:val="000000"/>
          <w:spacing w:val="0"/>
          <w:w w:val="100"/>
          <w:position w:val="0"/>
          <w:sz w:val="17"/>
          <w:szCs w:val="17"/>
        </w:rPr>
        <w:t>）</w:t>
        <w:tab/>
      </w:r>
      <w:r>
        <w:rPr>
          <w:color w:val="000000"/>
          <w:spacing w:val="0"/>
          <w:w w:val="100"/>
          <w:position w:val="0"/>
        </w:rPr>
        <w:t>LEEPLAY</w:t>
      </w:r>
    </w:p>
    <w:p>
      <w:pPr>
        <w:pStyle w:val="Style78"/>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sz w:val="17"/>
          <w:szCs w:val="17"/>
        </w:rPr>
        <w:t>全称：</w:t>
      </w:r>
      <w:r>
        <w:rPr>
          <w:color w:val="000000"/>
          <w:spacing w:val="0"/>
          <w:w w:val="100"/>
          <w:position w:val="0"/>
        </w:rPr>
        <w:t>LeePlay International Ltd</w:t>
      </w:r>
    </w:p>
    <w:p>
      <w:pPr>
        <w:pStyle w:val="Style78"/>
        <w:keepNext w:val="0"/>
        <w:keepLines w:val="0"/>
        <w:widowControl w:val="0"/>
        <w:shd w:val="clear" w:color="auto" w:fill="auto"/>
        <w:bidi w:val="0"/>
        <w:spacing w:before="0" w:after="420"/>
        <w:ind w:left="0" w:right="0"/>
        <w:jc w:val="both"/>
        <w:rPr>
          <w:sz w:val="17"/>
          <w:szCs w:val="17"/>
        </w:rPr>
      </w:pPr>
      <w:r>
        <w:rPr>
          <w:color w:val="000000"/>
          <w:spacing w:val="0"/>
          <w:w w:val="100"/>
          <w:position w:val="0"/>
          <w:sz w:val="18"/>
          <w:szCs w:val="18"/>
        </w:rPr>
        <w:t>LEEPLAY</w:t>
      </w:r>
      <w:r>
        <w:rPr>
          <w:rFonts w:ascii="SimSun" w:eastAsia="SimSun" w:hAnsi="SimSun" w:cs="SimSun"/>
          <w:color w:val="000000"/>
          <w:spacing w:val="0"/>
          <w:w w:val="100"/>
          <w:position w:val="0"/>
          <w:sz w:val="17"/>
          <w:szCs w:val="17"/>
        </w:rPr>
        <w:t>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日经</w:t>
      </w:r>
      <w:r>
        <w:rPr>
          <w:color w:val="000000"/>
          <w:spacing w:val="0"/>
          <w:w w:val="100"/>
          <w:position w:val="0"/>
          <w:sz w:val="18"/>
          <w:szCs w:val="18"/>
        </w:rPr>
        <w:t>Registrarof Corporate Affairs</w:t>
      </w:r>
      <w:r>
        <w:rPr>
          <w:rFonts w:ascii="SimSun" w:eastAsia="SimSun" w:hAnsi="SimSun" w:cs="SimSun"/>
          <w:color w:val="000000"/>
          <w:spacing w:val="0"/>
          <w:w w:val="100"/>
          <w:position w:val="0"/>
          <w:sz w:val="17"/>
          <w:szCs w:val="17"/>
        </w:rPr>
        <w:t>批准成立注册资本</w:t>
      </w:r>
      <w:r>
        <w:rPr>
          <w:color w:val="000000"/>
          <w:spacing w:val="0"/>
          <w:w w:val="100"/>
          <w:position w:val="0"/>
          <w:sz w:val="18"/>
          <w:szCs w:val="18"/>
        </w:rPr>
        <w:t>0</w:t>
      </w:r>
      <w:r>
        <w:rPr>
          <w:color w:val="000000"/>
          <w:spacing w:val="0"/>
          <w:w w:val="100"/>
          <w:position w:val="0"/>
          <w:sz w:val="18"/>
          <w:szCs w:val="18"/>
        </w:rPr>
        <w:t>.00</w:t>
      </w:r>
      <w:r>
        <w:rPr>
          <w:rFonts w:ascii="SimSun" w:eastAsia="SimSun" w:hAnsi="SimSun" w:cs="SimSun"/>
          <w:color w:val="000000"/>
          <w:spacing w:val="0"/>
          <w:w w:val="100"/>
          <w:position w:val="0"/>
          <w:sz w:val="17"/>
          <w:szCs w:val="17"/>
        </w:rPr>
        <w:t>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日，本公司通 过子公司香港中青宝间接持股</w:t>
      </w:r>
      <w:r>
        <w:rPr>
          <w:color w:val="000000"/>
          <w:spacing w:val="0"/>
          <w:w w:val="100"/>
          <w:position w:val="0"/>
          <w:sz w:val="18"/>
          <w:szCs w:val="18"/>
        </w:rPr>
        <w:t>100%</w:t>
      </w:r>
      <w:r>
        <w:rPr>
          <w:rFonts w:ascii="SimSun" w:eastAsia="SimSun" w:hAnsi="SimSun" w:cs="SimSun"/>
          <w:color w:val="000000"/>
          <w:spacing w:val="0"/>
          <w:w w:val="100"/>
          <w:position w:val="0"/>
          <w:sz w:val="17"/>
          <w:szCs w:val="17"/>
        </w:rPr>
        <w:t>。</w:t>
      </w:r>
    </w:p>
    <w:p>
      <w:pPr>
        <w:pStyle w:val="Style78"/>
        <w:keepNext w:val="0"/>
        <w:keepLines w:val="0"/>
        <w:widowControl w:val="0"/>
        <w:shd w:val="clear" w:color="auto" w:fill="auto"/>
        <w:tabs>
          <w:tab w:pos="919" w:val="left"/>
        </w:tabs>
        <w:bidi w:val="0"/>
        <w:spacing w:before="0" w:after="200" w:line="360" w:lineRule="auto"/>
        <w:ind w:left="0" w:right="0"/>
        <w:jc w:val="left"/>
      </w:pPr>
      <w:bookmarkStart w:id="1292" w:name="bookmark1292"/>
      <w:r>
        <w:rPr>
          <w:color w:val="000000"/>
          <w:spacing w:val="0"/>
          <w:w w:val="100"/>
          <w:position w:val="0"/>
        </w:rPr>
        <w:t>2</w:t>
      </w:r>
      <w:bookmarkEnd w:id="1292"/>
      <w:r>
        <w:rPr>
          <w:color w:val="000000"/>
          <w:spacing w:val="0"/>
          <w:w w:val="100"/>
          <w:position w:val="0"/>
        </w:rPr>
        <w:t>5）</w:t>
        <w:tab/>
        <w:t>LEEGAME</w:t>
      </w:r>
    </w:p>
    <w:p>
      <w:pPr>
        <w:pStyle w:val="Style78"/>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sz w:val="17"/>
          <w:szCs w:val="17"/>
        </w:rPr>
        <w:t>全称：</w:t>
      </w:r>
      <w:r>
        <w:rPr>
          <w:color w:val="000000"/>
          <w:spacing w:val="0"/>
          <w:w w:val="100"/>
          <w:position w:val="0"/>
        </w:rPr>
        <w:t>LeeGame International Ltd</w:t>
      </w:r>
    </w:p>
    <w:p>
      <w:pPr>
        <w:pStyle w:val="Style78"/>
        <w:keepNext w:val="0"/>
        <w:keepLines w:val="0"/>
        <w:widowControl w:val="0"/>
        <w:shd w:val="clear" w:color="auto" w:fill="auto"/>
        <w:bidi w:val="0"/>
        <w:spacing w:before="0" w:after="420"/>
        <w:ind w:left="0" w:right="0"/>
        <w:jc w:val="left"/>
        <w:rPr>
          <w:sz w:val="17"/>
          <w:szCs w:val="17"/>
        </w:rPr>
      </w:pPr>
      <w:r>
        <w:rPr>
          <w:color w:val="000000"/>
          <w:spacing w:val="0"/>
          <w:w w:val="100"/>
          <w:position w:val="0"/>
          <w:sz w:val="18"/>
          <w:szCs w:val="18"/>
        </w:rPr>
        <w:t xml:space="preserve">LEEGAME </w:t>
      </w:r>
      <w:r>
        <w:rPr>
          <w:rFonts w:ascii="SimSun" w:eastAsia="SimSun" w:hAnsi="SimSun" w:cs="SimSun"/>
          <w:color w:val="000000"/>
          <w:spacing w:val="0"/>
          <w:w w:val="100"/>
          <w:position w:val="0"/>
          <w:sz w:val="17"/>
          <w:szCs w:val="17"/>
        </w:rPr>
        <w:t xml:space="preserve">于 </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 xml:space="preserve">日经 </w:t>
      </w:r>
      <w:r>
        <w:rPr>
          <w:color w:val="000000"/>
          <w:spacing w:val="0"/>
          <w:w w:val="100"/>
          <w:position w:val="0"/>
          <w:sz w:val="18"/>
          <w:szCs w:val="18"/>
        </w:rPr>
        <w:t xml:space="preserve">Assistant Registrar of Companies,Cayman Islands </w:t>
      </w:r>
      <w:r>
        <w:rPr>
          <w:rFonts w:ascii="SimSun" w:eastAsia="SimSun" w:hAnsi="SimSun" w:cs="SimSun"/>
          <w:color w:val="000000"/>
          <w:spacing w:val="0"/>
          <w:w w:val="100"/>
          <w:position w:val="0"/>
          <w:sz w:val="17"/>
          <w:szCs w:val="17"/>
        </w:rPr>
        <w:t xml:space="preserve">批准成立，注册资本 </w:t>
      </w:r>
      <w:r>
        <w:rPr>
          <w:color w:val="000000"/>
          <w:spacing w:val="0"/>
          <w:w w:val="100"/>
          <w:position w:val="0"/>
          <w:sz w:val="18"/>
          <w:szCs w:val="18"/>
        </w:rPr>
        <w:t xml:space="preserve">0.00 </w:t>
      </w:r>
      <w:r>
        <w:rPr>
          <w:rFonts w:ascii="SimSun" w:eastAsia="SimSun" w:hAnsi="SimSun" w:cs="SimSun"/>
          <w:color w:val="000000"/>
          <w:spacing w:val="0"/>
          <w:w w:val="100"/>
          <w:position w:val="0"/>
          <w:sz w:val="17"/>
          <w:szCs w:val="17"/>
        </w:rPr>
        <w:t xml:space="preserve">元。截至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日，本公司通过子公司香港中青宝间接持股</w:t>
      </w:r>
      <w:r>
        <w:rPr>
          <w:color w:val="000000"/>
          <w:spacing w:val="0"/>
          <w:w w:val="100"/>
          <w:position w:val="0"/>
          <w:sz w:val="18"/>
          <w:szCs w:val="18"/>
        </w:rPr>
        <w:t>100%</w:t>
      </w:r>
      <w:r>
        <w:rPr>
          <w:rFonts w:ascii="SimSun" w:eastAsia="SimSun" w:hAnsi="SimSun" w:cs="SimSun"/>
          <w:color w:val="000000"/>
          <w:spacing w:val="0"/>
          <w:w w:val="100"/>
          <w:position w:val="0"/>
          <w:sz w:val="17"/>
          <w:szCs w:val="17"/>
        </w:rPr>
        <w:t>。</w:t>
      </w:r>
    </w:p>
    <w:p>
      <w:pPr>
        <w:pStyle w:val="Style26"/>
        <w:keepNext w:val="0"/>
        <w:keepLines w:val="0"/>
        <w:widowControl w:val="0"/>
        <w:shd w:val="clear" w:color="auto" w:fill="auto"/>
        <w:bidi w:val="0"/>
        <w:spacing w:before="0" w:after="200" w:line="360" w:lineRule="auto"/>
        <w:ind w:left="0" w:right="0" w:firstLine="460"/>
        <w:jc w:val="left"/>
      </w:pPr>
      <w:r>
        <w:rPr>
          <w:rFonts w:ascii="Times New Roman" w:eastAsia="Times New Roman" w:hAnsi="Times New Roman" w:cs="Times New Roman"/>
          <w:color w:val="000000"/>
          <w:spacing w:val="0"/>
          <w:w w:val="100"/>
          <w:position w:val="0"/>
          <w:sz w:val="18"/>
          <w:szCs w:val="18"/>
        </w:rPr>
        <w:t>26 ）</w:t>
      </w:r>
      <w:r>
        <w:rPr>
          <w:color w:val="000000"/>
          <w:spacing w:val="0"/>
          <w:w w:val="100"/>
          <w:position w:val="0"/>
        </w:rPr>
        <w:t>深圳五秒</w:t>
      </w:r>
    </w:p>
    <w:p>
      <w:pPr>
        <w:pStyle w:val="Style26"/>
        <w:keepNext w:val="0"/>
        <w:keepLines w:val="0"/>
        <w:widowControl w:val="0"/>
        <w:shd w:val="clear" w:color="auto" w:fill="auto"/>
        <w:bidi w:val="0"/>
        <w:spacing w:before="0" w:after="300" w:line="314" w:lineRule="exact"/>
        <w:ind w:left="0" w:right="0" w:firstLine="460"/>
        <w:jc w:val="left"/>
      </w:pPr>
      <w:r>
        <w:rPr>
          <w:color w:val="000000"/>
          <w:spacing w:val="0"/>
          <w:w w:val="100"/>
          <w:position w:val="0"/>
        </w:rPr>
        <w:t>全称：深圳市五秒传媒科技有限公司</w:t>
      </w:r>
    </w:p>
    <w:p>
      <w:pPr>
        <w:pStyle w:val="Style26"/>
        <w:keepNext w:val="0"/>
        <w:keepLines w:val="0"/>
        <w:widowControl w:val="0"/>
        <w:shd w:val="clear" w:color="auto" w:fill="auto"/>
        <w:bidi w:val="0"/>
        <w:spacing w:before="0" w:after="420" w:line="312" w:lineRule="exact"/>
        <w:ind w:left="0" w:right="0" w:firstLine="460"/>
        <w:jc w:val="both"/>
      </w:pPr>
      <w:r>
        <w:rPr>
          <w:color w:val="000000"/>
          <w:spacing w:val="0"/>
          <w:w w:val="100"/>
          <w:position w:val="0"/>
        </w:rPr>
        <w:t>深圳五秒于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日经深圳市市场监督管理局批准成立，统一社会信用代码</w:t>
      </w:r>
      <w:r>
        <w:rPr>
          <w:rFonts w:ascii="Times New Roman" w:eastAsia="Times New Roman" w:hAnsi="Times New Roman" w:cs="Times New Roman"/>
          <w:color w:val="000000"/>
          <w:spacing w:val="0"/>
          <w:w w:val="100"/>
          <w:position w:val="0"/>
          <w:sz w:val="18"/>
          <w:szCs w:val="18"/>
        </w:rPr>
        <w:t>91440300349960768W</w:t>
      </w:r>
      <w:r>
        <w:rPr>
          <w:color w:val="000000"/>
          <w:spacing w:val="0"/>
          <w:w w:val="100"/>
          <w:position w:val="0"/>
        </w:rPr>
        <w:t>，</w:t>
      </w: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111,111.00</w:t>
      </w:r>
      <w:r>
        <w:rPr>
          <w:color w:val="000000"/>
          <w:spacing w:val="0"/>
          <w:w w:val="100"/>
          <w:position w:val="0"/>
        </w:rPr>
        <w:t>元，法定代表人：游国良。截至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69.93%</w:t>
      </w:r>
      <w:r>
        <w:rPr>
          <w:color w:val="000000"/>
          <w:spacing w:val="0"/>
          <w:w w:val="100"/>
          <w:position w:val="0"/>
        </w:rPr>
        <w:t>。</w:t>
      </w:r>
    </w:p>
    <w:p>
      <w:pPr>
        <w:pStyle w:val="Style26"/>
        <w:keepNext w:val="0"/>
        <w:keepLines w:val="0"/>
        <w:widowControl w:val="0"/>
        <w:shd w:val="clear" w:color="auto" w:fill="auto"/>
        <w:bidi w:val="0"/>
        <w:spacing w:before="0" w:after="200" w:line="360" w:lineRule="auto"/>
        <w:ind w:left="0" w:right="0" w:firstLine="46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中青宝文化科技</w:t>
      </w:r>
    </w:p>
    <w:p>
      <w:pPr>
        <w:pStyle w:val="Style26"/>
        <w:keepNext w:val="0"/>
        <w:keepLines w:val="0"/>
        <w:widowControl w:val="0"/>
        <w:shd w:val="clear" w:color="auto" w:fill="auto"/>
        <w:bidi w:val="0"/>
        <w:spacing w:before="0" w:after="300" w:line="314" w:lineRule="exact"/>
        <w:ind w:left="0" w:right="0" w:firstLine="460"/>
        <w:jc w:val="left"/>
      </w:pPr>
      <w:r>
        <w:rPr>
          <w:color w:val="000000"/>
          <w:spacing w:val="0"/>
          <w:w w:val="100"/>
          <w:position w:val="0"/>
        </w:rPr>
        <w:t>全称：深圳中青宝文化科技有限公司</w:t>
      </w:r>
    </w:p>
    <w:p>
      <w:pPr>
        <w:pStyle w:val="Style26"/>
        <w:keepNext w:val="0"/>
        <w:keepLines w:val="0"/>
        <w:widowControl w:val="0"/>
        <w:shd w:val="clear" w:color="auto" w:fill="auto"/>
        <w:bidi w:val="0"/>
        <w:spacing w:before="0" w:after="320" w:line="302" w:lineRule="exact"/>
        <w:ind w:left="0" w:right="0" w:firstLine="460"/>
        <w:jc w:val="left"/>
      </w:pPr>
      <w:r>
        <w:rPr>
          <w:color w:val="000000"/>
          <w:spacing w:val="0"/>
          <w:w w:val="100"/>
          <w:position w:val="0"/>
        </w:rPr>
        <w:t>中青宝文化科技于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日经深圳市市场和质量监管委南山局批准成立，统一社会信用代码： </w:t>
      </w:r>
      <w:r>
        <w:rPr>
          <w:rFonts w:ascii="Times New Roman" w:eastAsia="Times New Roman" w:hAnsi="Times New Roman" w:cs="Times New Roman"/>
          <w:color w:val="000000"/>
          <w:spacing w:val="0"/>
          <w:w w:val="100"/>
          <w:position w:val="0"/>
          <w:sz w:val="18"/>
          <w:szCs w:val="18"/>
        </w:rPr>
        <w:t>91440300MA5DBC6K2R</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万人民币，法定代表人：梁建军。截至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numPr>
          <w:ilvl w:val="0"/>
          <w:numId w:val="21"/>
        </w:numPr>
        <w:shd w:val="clear" w:color="auto" w:fill="auto"/>
        <w:tabs>
          <w:tab w:pos="895" w:val="left"/>
        </w:tabs>
        <w:bidi w:val="0"/>
        <w:spacing w:before="0" w:after="320" w:line="307" w:lineRule="exact"/>
        <w:ind w:left="0" w:right="0" w:firstLine="460"/>
        <w:jc w:val="left"/>
      </w:pPr>
      <w:bookmarkStart w:id="1293" w:name="bookmark1293"/>
      <w:bookmarkEnd w:id="1293"/>
      <w:r>
        <w:rPr>
          <w:color w:val="000000"/>
          <w:spacing w:val="0"/>
          <w:w w:val="100"/>
          <w:position w:val="0"/>
        </w:rPr>
        <w:t>前海今古</w:t>
      </w:r>
    </w:p>
    <w:p>
      <w:pPr>
        <w:pStyle w:val="Style26"/>
        <w:keepNext w:val="0"/>
        <w:keepLines w:val="0"/>
        <w:widowControl w:val="0"/>
        <w:shd w:val="clear" w:color="auto" w:fill="auto"/>
        <w:bidi w:val="0"/>
        <w:spacing w:before="0" w:after="320" w:line="307" w:lineRule="exact"/>
        <w:ind w:left="0" w:right="0" w:firstLine="460"/>
        <w:jc w:val="left"/>
      </w:pPr>
      <w:r>
        <w:rPr>
          <w:color w:val="000000"/>
          <w:spacing w:val="0"/>
          <w:w w:val="100"/>
          <w:position w:val="0"/>
        </w:rPr>
        <w:t>全称：深圳前海今古时代文化传媒有限公司</w:t>
      </w:r>
    </w:p>
    <w:p>
      <w:pPr>
        <w:pStyle w:val="Style26"/>
        <w:keepNext w:val="0"/>
        <w:keepLines w:val="0"/>
        <w:widowControl w:val="0"/>
        <w:shd w:val="clear" w:color="auto" w:fill="auto"/>
        <w:bidi w:val="0"/>
        <w:spacing w:before="0" w:after="320" w:line="312" w:lineRule="exact"/>
        <w:ind w:left="0" w:right="0" w:firstLine="460"/>
        <w:jc w:val="both"/>
      </w:pPr>
      <w:r>
        <w:rPr>
          <w:color w:val="000000"/>
          <w:spacing w:val="0"/>
          <w:w w:val="100"/>
          <w:position w:val="0"/>
        </w:rPr>
        <w:t>前海古今于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日经深圳市市场和质量监管委南山局批准成立，统一社会信用代码：</w:t>
      </w:r>
      <w:r>
        <w:rPr>
          <w:rFonts w:ascii="Times New Roman" w:eastAsia="Times New Roman" w:hAnsi="Times New Roman" w:cs="Times New Roman"/>
          <w:color w:val="000000"/>
          <w:spacing w:val="0"/>
          <w:w w:val="100"/>
          <w:position w:val="0"/>
          <w:sz w:val="18"/>
          <w:szCs w:val="18"/>
        </w:rPr>
        <w:t>91440300MA5DC3KU4Q</w:t>
      </w:r>
      <w:r>
        <w:rPr>
          <w:color w:val="000000"/>
          <w:spacing w:val="0"/>
          <w:w w:val="100"/>
          <w:position w:val="0"/>
        </w:rPr>
        <w:t xml:space="preserve">， </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万元，法定代表人：杜卓。截至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numPr>
          <w:ilvl w:val="0"/>
          <w:numId w:val="21"/>
        </w:numPr>
        <w:shd w:val="clear" w:color="auto" w:fill="auto"/>
        <w:tabs>
          <w:tab w:pos="895" w:val="left"/>
        </w:tabs>
        <w:bidi w:val="0"/>
        <w:spacing w:before="0" w:after="320" w:line="307" w:lineRule="exact"/>
        <w:ind w:left="0" w:right="0" w:firstLine="460"/>
        <w:jc w:val="left"/>
      </w:pPr>
      <w:bookmarkStart w:id="1294" w:name="bookmark1294"/>
      <w:bookmarkEnd w:id="1294"/>
      <w:r>
        <w:rPr>
          <w:color w:val="000000"/>
          <w:spacing w:val="0"/>
          <w:w w:val="100"/>
          <w:position w:val="0"/>
        </w:rPr>
        <w:t>天地间文化传媒</w:t>
      </w:r>
    </w:p>
    <w:p>
      <w:pPr>
        <w:pStyle w:val="Style26"/>
        <w:keepNext w:val="0"/>
        <w:keepLines w:val="0"/>
        <w:widowControl w:val="0"/>
        <w:shd w:val="clear" w:color="auto" w:fill="auto"/>
        <w:bidi w:val="0"/>
        <w:spacing w:before="0" w:after="320" w:line="307" w:lineRule="exact"/>
        <w:ind w:left="0" w:right="0" w:firstLine="460"/>
        <w:jc w:val="left"/>
      </w:pPr>
      <w:r>
        <w:rPr>
          <w:color w:val="000000"/>
          <w:spacing w:val="0"/>
          <w:w w:val="100"/>
          <w:position w:val="0"/>
        </w:rPr>
        <w:t>全称：深圳市天地间文化传媒有限公司</w:t>
      </w:r>
    </w:p>
    <w:p>
      <w:pPr>
        <w:pStyle w:val="Style26"/>
        <w:keepNext w:val="0"/>
        <w:keepLines w:val="0"/>
        <w:widowControl w:val="0"/>
        <w:shd w:val="clear" w:color="auto" w:fill="auto"/>
        <w:bidi w:val="0"/>
        <w:spacing w:before="0" w:after="320" w:line="307" w:lineRule="exact"/>
        <w:ind w:left="0" w:right="0" w:firstLine="460"/>
        <w:jc w:val="both"/>
      </w:pPr>
      <w:r>
        <w:rPr>
          <w:color w:val="000000"/>
          <w:spacing w:val="0"/>
          <w:w w:val="100"/>
          <w:position w:val="0"/>
        </w:rPr>
        <w:t>天地间文化传媒于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日经深圳市市场和质量监管委南山局批准成立，统一社会信用代码： </w:t>
      </w:r>
      <w:r>
        <w:rPr>
          <w:rFonts w:ascii="Times New Roman" w:eastAsia="Times New Roman" w:hAnsi="Times New Roman" w:cs="Times New Roman"/>
          <w:color w:val="000000"/>
          <w:spacing w:val="0"/>
          <w:w w:val="100"/>
          <w:position w:val="0"/>
          <w:sz w:val="18"/>
          <w:szCs w:val="18"/>
        </w:rPr>
        <w:t>91440300MA5DDRCU4P</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万元，法定代表人：黄越。截至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w:t>
      </w:r>
    </w:p>
    <w:p>
      <w:pPr>
        <w:pStyle w:val="Style26"/>
        <w:keepNext w:val="0"/>
        <w:keepLines w:val="0"/>
        <w:widowControl w:val="0"/>
        <w:numPr>
          <w:ilvl w:val="0"/>
          <w:numId w:val="21"/>
        </w:numPr>
        <w:shd w:val="clear" w:color="auto" w:fill="auto"/>
        <w:tabs>
          <w:tab w:pos="895" w:val="left"/>
        </w:tabs>
        <w:bidi w:val="0"/>
        <w:spacing w:before="0" w:after="320" w:line="307" w:lineRule="exact"/>
        <w:ind w:left="0" w:right="0" w:firstLine="460"/>
        <w:jc w:val="left"/>
      </w:pPr>
      <w:bookmarkStart w:id="1295" w:name="bookmark1295"/>
      <w:bookmarkEnd w:id="1295"/>
      <w:r>
        <w:rPr>
          <w:color w:val="000000"/>
          <w:spacing w:val="0"/>
          <w:w w:val="100"/>
          <w:position w:val="0"/>
        </w:rPr>
        <w:t>北京中青宝长城</w:t>
      </w:r>
    </w:p>
    <w:p>
      <w:pPr>
        <w:pStyle w:val="Style26"/>
        <w:keepNext w:val="0"/>
        <w:keepLines w:val="0"/>
        <w:widowControl w:val="0"/>
        <w:shd w:val="clear" w:color="auto" w:fill="auto"/>
        <w:bidi w:val="0"/>
        <w:spacing w:before="0" w:after="320" w:line="307" w:lineRule="exact"/>
        <w:ind w:left="0" w:right="0" w:firstLine="460"/>
        <w:jc w:val="left"/>
      </w:pPr>
      <w:r>
        <w:rPr>
          <w:color w:val="000000"/>
          <w:spacing w:val="0"/>
          <w:w w:val="100"/>
          <w:position w:val="0"/>
        </w:rPr>
        <w:t>全称：北京中青宝长城文化科技有限公司</w:t>
      </w:r>
    </w:p>
    <w:p>
      <w:pPr>
        <w:pStyle w:val="Style26"/>
        <w:keepNext w:val="0"/>
        <w:keepLines w:val="0"/>
        <w:widowControl w:val="0"/>
        <w:shd w:val="clear" w:color="auto" w:fill="auto"/>
        <w:bidi w:val="0"/>
        <w:spacing w:before="0" w:after="680" w:line="307" w:lineRule="exact"/>
        <w:ind w:left="0" w:right="0" w:firstLine="460"/>
        <w:jc w:val="left"/>
      </w:pPr>
      <w:r>
        <w:rPr>
          <w:color w:val="000000"/>
          <w:spacing w:val="0"/>
          <w:w w:val="100"/>
          <w:position w:val="0"/>
        </w:rPr>
        <w:t>北京中青宝长城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日经北京市工商行政管理局延庆分局批准成立，统一社会信用代码： </w:t>
      </w:r>
      <w:r>
        <w:rPr>
          <w:rFonts w:ascii="Times New Roman" w:eastAsia="Times New Roman" w:hAnsi="Times New Roman" w:cs="Times New Roman"/>
          <w:color w:val="000000"/>
          <w:spacing w:val="0"/>
          <w:w w:val="100"/>
          <w:position w:val="0"/>
          <w:sz w:val="18"/>
          <w:szCs w:val="18"/>
        </w:rPr>
        <w:t>91110229MA006GNK3Q</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万人民币，法定代表人：李聪。截至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日，本公司直接持股</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w:t>
      </w:r>
    </w:p>
    <w:p>
      <w:pPr>
        <w:pStyle w:val="Style36"/>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296"/>
      <w:bookmarkEnd w:id="1297"/>
      <w:bookmarkEnd w:id="129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-20,638,427.22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1,091,879.48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3,688,657.83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13,614,887.86</w:t>
            </w:r>
          </w:p>
        </w:tc>
      </w:tr>
    </w:tbl>
    <w:p>
      <w:pPr>
        <w:widowControl w:val="0"/>
        <w:spacing w:after="319" w:line="1" w:lineRule="exact"/>
      </w:pPr>
    </w:p>
    <w:p>
      <w:pPr>
        <w:pStyle w:val="Style36"/>
        <w:keepNext/>
        <w:keepLines/>
        <w:widowControl w:val="0"/>
        <w:numPr>
          <w:ilvl w:val="0"/>
          <w:numId w:val="23"/>
        </w:numPr>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重要非全资子公司的主要财务信息</w:t>
      </w:r>
      <w:bookmarkEnd w:id="1299"/>
      <w:bookmarkEnd w:id="1300"/>
      <w:bookmarkEnd w:id="130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32,338,0</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峰</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26.13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03.78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3,082,61</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摩</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36.70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bl>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34,380,793.9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-72,756,083.6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-72,756,083.6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-20,655,841.9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49,727,474.1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-13,377,622.7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-13,377,622.7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9,134,747.79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19,256,069.8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7,527,873.13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7,527,873.13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7,651,433.92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19,894,881.2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11,030,449.6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11,030,449.6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9,916,340.26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03"/>
      <w:bookmarkEnd w:id="1304"/>
      <w:bookmarkEnd w:id="1305"/>
    </w:p>
    <w:p>
      <w:pPr>
        <w:pStyle w:val="Style36"/>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306"/>
      <w:bookmarkEnd w:id="1307"/>
      <w:bookmarkEnd w:id="130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37,426,486.21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35,205,641.15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-1,409,154.94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-3,581,358.85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-1,409,154.94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-3,581,358.85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31,773,570.01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8,610,581.18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-2,951,878.69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-1,606,457.96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-2,951,878.69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-1,606,457.96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6"/>
        <w:keepNext w:val="0"/>
        <w:keepLines w:val="0"/>
        <w:widowControl w:val="0"/>
        <w:shd w:val="clear" w:color="auto" w:fill="auto"/>
        <w:tabs>
          <w:tab w:pos="771" w:val="left"/>
        </w:tabs>
        <w:bidi w:val="0"/>
        <w:spacing w:before="0" w:after="320" w:line="312" w:lineRule="exact"/>
        <w:ind w:left="0" w:right="0" w:firstLine="460"/>
        <w:jc w:val="both"/>
      </w:pPr>
      <w:bookmarkStart w:id="1309" w:name="bookmark1309"/>
      <w:r>
        <w:rPr>
          <w:rFonts w:ascii="Times New Roman" w:eastAsia="Times New Roman" w:hAnsi="Times New Roman" w:cs="Times New Roman"/>
          <w:color w:val="000000"/>
          <w:spacing w:val="0"/>
          <w:w w:val="100"/>
          <w:position w:val="0"/>
          <w:sz w:val="18"/>
          <w:szCs w:val="18"/>
        </w:rPr>
        <w:t>1</w:t>
      </w:r>
      <w:bookmarkEnd w:id="1309"/>
      <w:r>
        <w:rPr>
          <w:color w:val="000000"/>
          <w:spacing w:val="0"/>
          <w:w w:val="100"/>
          <w:position w:val="0"/>
        </w:rPr>
        <w:t>）</w:t>
        <w:tab/>
        <w:t>深圳游嘻宝创业投资企业（有限合伙）（以下简称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深圳游嘻宝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）系本公司全资孙公司深圳乔戈里与王磊共同出资 设立，深圳乔戈里出资比例为</w:t>
      </w:r>
      <w:r>
        <w:rPr>
          <w:rFonts w:ascii="Times New Roman" w:eastAsia="Times New Roman" w:hAnsi="Times New Roman" w:cs="Times New Roman"/>
          <w:color w:val="000000"/>
          <w:spacing w:val="0"/>
          <w:w w:val="100"/>
          <w:position w:val="0"/>
          <w:sz w:val="18"/>
          <w:szCs w:val="18"/>
        </w:rPr>
        <w:t>98.40%</w:t>
      </w:r>
      <w:r>
        <w:rPr>
          <w:color w:val="000000"/>
          <w:spacing w:val="0"/>
          <w:w w:val="100"/>
          <w:position w:val="0"/>
        </w:rPr>
        <w:t>。根据合伙协议，合伙人对合伙企业有关事项作出决议，实行合伙人一人一票并经全 体合伙人过半数通过的表决方法。</w:t>
      </w:r>
    </w:p>
    <w:p>
      <w:pPr>
        <w:pStyle w:val="Style26"/>
        <w:keepNext w:val="0"/>
        <w:keepLines w:val="0"/>
        <w:widowControl w:val="0"/>
        <w:shd w:val="clear" w:color="auto" w:fill="auto"/>
        <w:bidi w:val="0"/>
        <w:spacing w:before="0" w:after="320" w:line="310" w:lineRule="exact"/>
        <w:ind w:left="0" w:right="0" w:firstLine="460"/>
        <w:jc w:val="both"/>
      </w:pPr>
      <w:bookmarkStart w:id="1310" w:name="bookmark1310"/>
      <w:r>
        <w:rPr>
          <w:rFonts w:ascii="Times New Roman" w:eastAsia="Times New Roman" w:hAnsi="Times New Roman" w:cs="Times New Roman"/>
          <w:color w:val="000000"/>
          <w:spacing w:val="0"/>
          <w:w w:val="100"/>
          <w:position w:val="0"/>
          <w:sz w:val="18"/>
          <w:szCs w:val="18"/>
        </w:rPr>
        <w:t>2</w:t>
      </w:r>
      <w:bookmarkEnd w:id="131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日，本公司全资子公司深圳卓页与上海顶势网络科技有限公司（以下简称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上海顶势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）、高磊、杨华共 同签订投资协议，深圳卓页公司向上海顶势增资人民币</w:t>
      </w:r>
      <w:r>
        <w:rPr>
          <w:rFonts w:ascii="Times New Roman" w:eastAsia="Times New Roman" w:hAnsi="Times New Roman" w:cs="Times New Roman"/>
          <w:color w:val="000000"/>
          <w:spacing w:val="0"/>
          <w:w w:val="100"/>
          <w:position w:val="0"/>
          <w:sz w:val="18"/>
          <w:szCs w:val="18"/>
        </w:rPr>
        <w:t>41.00</w:t>
      </w:r>
      <w:r>
        <w:rPr>
          <w:color w:val="000000"/>
          <w:spacing w:val="0"/>
          <w:w w:val="100"/>
          <w:position w:val="0"/>
        </w:rPr>
        <w:t>万元，完成增资后持有上海顶势</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的股权，高磊、杨华合 计持有</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的股权。</w:t>
      </w:r>
    </w:p>
    <w:p>
      <w:pPr>
        <w:pStyle w:val="Style26"/>
        <w:keepNext w:val="0"/>
        <w:keepLines w:val="0"/>
        <w:widowControl w:val="0"/>
        <w:shd w:val="clear" w:color="auto" w:fill="auto"/>
        <w:bidi w:val="0"/>
        <w:spacing w:before="0" w:after="320" w:line="317"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日，上海顶势净资产为</w:t>
      </w:r>
      <w:r>
        <w:rPr>
          <w:rFonts w:ascii="Times New Roman" w:eastAsia="Times New Roman" w:hAnsi="Times New Roman" w:cs="Times New Roman"/>
          <w:color w:val="000000"/>
          <w:spacing w:val="0"/>
          <w:w w:val="100"/>
          <w:position w:val="0"/>
          <w:sz w:val="18"/>
          <w:szCs w:val="18"/>
        </w:rPr>
        <w:t>-117,414.07</w:t>
      </w:r>
      <w:r>
        <w:rPr>
          <w:color w:val="000000"/>
          <w:spacing w:val="0"/>
          <w:w w:val="100"/>
          <w:position w:val="0"/>
        </w:rPr>
        <w:t>元，本公司已经对该公司的长期股权投资账面价值减记至零，本 公司累计未确认该项投资亏损为人民币</w:t>
      </w:r>
      <w:r>
        <w:rPr>
          <w:rFonts w:ascii="Times New Roman" w:eastAsia="Times New Roman" w:hAnsi="Times New Roman" w:cs="Times New Roman"/>
          <w:color w:val="000000"/>
          <w:spacing w:val="0"/>
          <w:w w:val="100"/>
          <w:position w:val="0"/>
          <w:sz w:val="18"/>
          <w:szCs w:val="18"/>
        </w:rPr>
        <w:t>71,215.29</w:t>
      </w:r>
      <w:r>
        <w:rPr>
          <w:color w:val="000000"/>
          <w:spacing w:val="0"/>
          <w:w w:val="100"/>
          <w:position w:val="0"/>
        </w:rPr>
        <w:t>元。</w:t>
      </w:r>
    </w:p>
    <w:p>
      <w:pPr>
        <w:pStyle w:val="Style26"/>
        <w:keepNext w:val="0"/>
        <w:keepLines w:val="0"/>
        <w:widowControl w:val="0"/>
        <w:shd w:val="clear" w:color="auto" w:fill="auto"/>
        <w:tabs>
          <w:tab w:pos="748" w:val="left"/>
        </w:tabs>
        <w:bidi w:val="0"/>
        <w:spacing w:before="0" w:after="300" w:line="312" w:lineRule="exact"/>
        <w:ind w:left="0" w:right="0" w:firstLine="460"/>
        <w:jc w:val="both"/>
      </w:pPr>
      <w:bookmarkStart w:id="1311" w:name="bookmark1311"/>
      <w:r>
        <w:rPr>
          <w:rFonts w:ascii="Times New Roman" w:eastAsia="Times New Roman" w:hAnsi="Times New Roman" w:cs="Times New Roman"/>
          <w:color w:val="000000"/>
          <w:spacing w:val="0"/>
          <w:w w:val="100"/>
          <w:position w:val="0"/>
          <w:sz w:val="18"/>
          <w:szCs w:val="18"/>
        </w:rPr>
        <w:t>3</w:t>
      </w:r>
      <w:bookmarkEnd w:id="131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日，本公司全资子公司深圳卓页公司与黄昱钊、唐丽霞、曾志峰、张璐共同出资在广州市设立广州卓 游网络科技有限公司（以下简称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广州卓游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），设立时注册资本和实收资本均为人民币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万元，其中：深圳卓页公司出资 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万元，出资比例为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，黄昱钊、唐丽霞、曾志峰、张璐共出资人民币</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万元，出资比例为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w:t>
      </w:r>
    </w:p>
    <w:p>
      <w:pPr>
        <w:pStyle w:val="Style26"/>
        <w:keepNext w:val="0"/>
        <w:keepLines w:val="0"/>
        <w:widowControl w:val="0"/>
        <w:shd w:val="clear" w:color="auto" w:fill="auto"/>
        <w:bidi w:val="0"/>
        <w:spacing w:before="0" w:after="300" w:line="317" w:lineRule="exact"/>
        <w:ind w:left="0" w:right="0" w:firstLine="460"/>
        <w:jc w:val="both"/>
      </w:pPr>
      <w:r>
        <w:rPr>
          <w:color w:val="000000"/>
          <w:spacing w:val="0"/>
          <w:w w:val="100"/>
          <w:position w:val="0"/>
        </w:rPr>
        <w:t>广州卓游目前已经停止经营，截至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日，净资产为</w:t>
      </w:r>
      <w:r>
        <w:rPr>
          <w:rFonts w:ascii="Times New Roman" w:eastAsia="Times New Roman" w:hAnsi="Times New Roman" w:cs="Times New Roman"/>
          <w:color w:val="000000"/>
          <w:spacing w:val="0"/>
          <w:w w:val="100"/>
          <w:position w:val="0"/>
          <w:sz w:val="18"/>
          <w:szCs w:val="18"/>
        </w:rPr>
        <w:t>-2,400,799.78</w:t>
      </w:r>
      <w:r>
        <w:rPr>
          <w:color w:val="000000"/>
          <w:spacing w:val="0"/>
          <w:w w:val="100"/>
          <w:position w:val="0"/>
        </w:rPr>
        <w:t>元，本公司已经对该公司的长期股权投资账 面价值减记至零，本公司累计未确认该项投资亏损为人民币</w:t>
      </w:r>
      <w:r>
        <w:rPr>
          <w:rFonts w:ascii="Times New Roman" w:eastAsia="Times New Roman" w:hAnsi="Times New Roman" w:cs="Times New Roman"/>
          <w:color w:val="000000"/>
          <w:spacing w:val="0"/>
          <w:w w:val="100"/>
          <w:position w:val="0"/>
          <w:sz w:val="18"/>
          <w:szCs w:val="18"/>
        </w:rPr>
        <w:t>750,239.93</w:t>
      </w:r>
      <w:r>
        <w:rPr>
          <w:color w:val="000000"/>
          <w:spacing w:val="0"/>
          <w:w w:val="100"/>
          <w:position w:val="0"/>
        </w:rPr>
        <w:t>元。</w:t>
      </w:r>
    </w:p>
    <w:p>
      <w:pPr>
        <w:pStyle w:val="Style26"/>
        <w:keepNext w:val="0"/>
        <w:keepLines w:val="0"/>
        <w:widowControl w:val="0"/>
        <w:shd w:val="clear" w:color="auto" w:fill="auto"/>
        <w:bidi w:val="0"/>
        <w:spacing w:before="0" w:after="300" w:line="317" w:lineRule="exact"/>
        <w:ind w:left="0" w:right="0" w:firstLine="460"/>
        <w:jc w:val="both"/>
      </w:pPr>
      <w:bookmarkStart w:id="1312" w:name="bookmark1312"/>
      <w:r>
        <w:rPr>
          <w:rFonts w:ascii="Times New Roman" w:eastAsia="Times New Roman" w:hAnsi="Times New Roman" w:cs="Times New Roman"/>
          <w:color w:val="000000"/>
          <w:spacing w:val="0"/>
          <w:w w:val="100"/>
          <w:position w:val="0"/>
          <w:sz w:val="18"/>
          <w:szCs w:val="18"/>
        </w:rPr>
        <w:t>4</w:t>
      </w:r>
      <w:bookmarkEnd w:id="131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日，本公司之全资孙公司深圳乔戈里与深圳游嘻宝、张立华、刘佳帅、杨俊华共同出资设立上海声聚 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上海声聚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。上海声聚于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日注销。</w:t>
      </w:r>
    </w:p>
    <w:p>
      <w:pPr>
        <w:pStyle w:val="Style26"/>
        <w:keepNext w:val="0"/>
        <w:keepLines w:val="0"/>
        <w:widowControl w:val="0"/>
        <w:shd w:val="clear" w:color="auto" w:fill="auto"/>
        <w:tabs>
          <w:tab w:pos="753" w:val="left"/>
        </w:tabs>
        <w:bidi w:val="0"/>
        <w:spacing w:before="0" w:after="300" w:line="312" w:lineRule="exact"/>
        <w:ind w:left="0" w:right="0" w:firstLine="460"/>
        <w:jc w:val="both"/>
      </w:pPr>
      <w:bookmarkStart w:id="1313" w:name="bookmark1313"/>
      <w:r>
        <w:rPr>
          <w:rFonts w:ascii="Times New Roman" w:eastAsia="Times New Roman" w:hAnsi="Times New Roman" w:cs="Times New Roman"/>
          <w:color w:val="000000"/>
          <w:spacing w:val="0"/>
          <w:w w:val="100"/>
          <w:position w:val="0"/>
          <w:sz w:val="18"/>
          <w:szCs w:val="18"/>
        </w:rPr>
        <w:t>5</w:t>
      </w:r>
      <w:bookmarkEnd w:id="131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日，公司与贵州国信通电子商务有限公司（以下简称贵州国信通）、彭愈、黄承扬、任琴、孙良涛、 刘晓娟、北京黑马拓新创业投资中心（有限合伙）、北京翔耀咨询有限公司签订了增资扩股协议，公司以</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万元增资贵州国 信通，其中</w:t>
      </w:r>
      <w:r>
        <w:rPr>
          <w:rFonts w:ascii="Times New Roman" w:eastAsia="Times New Roman" w:hAnsi="Times New Roman" w:cs="Times New Roman"/>
          <w:color w:val="000000"/>
          <w:spacing w:val="0"/>
          <w:w w:val="100"/>
          <w:position w:val="0"/>
          <w:sz w:val="18"/>
          <w:szCs w:val="18"/>
        </w:rPr>
        <w:t>313.39</w:t>
      </w:r>
      <w:r>
        <w:rPr>
          <w:color w:val="000000"/>
          <w:spacing w:val="0"/>
          <w:w w:val="100"/>
          <w:position w:val="0"/>
        </w:rPr>
        <w:t>万元计入注册资本，其余</w:t>
      </w:r>
      <w:r>
        <w:rPr>
          <w:rFonts w:ascii="Times New Roman" w:eastAsia="Times New Roman" w:hAnsi="Times New Roman" w:cs="Times New Roman"/>
          <w:color w:val="000000"/>
          <w:spacing w:val="0"/>
          <w:w w:val="100"/>
          <w:position w:val="0"/>
          <w:sz w:val="18"/>
          <w:szCs w:val="18"/>
        </w:rPr>
        <w:t>486.6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万元计入资本公积金，持股比例</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p>
      <w:pPr>
        <w:pStyle w:val="Style26"/>
        <w:keepNext w:val="0"/>
        <w:keepLines w:val="0"/>
        <w:widowControl w:val="0"/>
        <w:shd w:val="clear" w:color="auto" w:fill="auto"/>
        <w:tabs>
          <w:tab w:pos="748" w:val="left"/>
        </w:tabs>
        <w:bidi w:val="0"/>
        <w:spacing w:before="0" w:after="300" w:line="312" w:lineRule="exact"/>
        <w:ind w:left="0" w:right="0" w:firstLine="460"/>
        <w:jc w:val="both"/>
      </w:pPr>
      <w:bookmarkStart w:id="1314" w:name="bookmark1314"/>
      <w:r>
        <w:rPr>
          <w:rFonts w:ascii="Times New Roman" w:eastAsia="Times New Roman" w:hAnsi="Times New Roman" w:cs="Times New Roman"/>
          <w:color w:val="000000"/>
          <w:spacing w:val="0"/>
          <w:w w:val="100"/>
          <w:position w:val="0"/>
          <w:sz w:val="18"/>
          <w:szCs w:val="18"/>
        </w:rPr>
        <w:t>6</w:t>
      </w:r>
      <w:bookmarkEnd w:id="131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日，本公司之孙公司深圳乔戈里与上海磐火网络科技有限公司（以下简称上海磐火）、王雨、孙正签 订了增资扩股协议，深圳乔戈里以</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万元增资上海磐火，其中</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万入注册资本，其余</w:t>
      </w:r>
      <w:r>
        <w:rPr>
          <w:rFonts w:ascii="Times New Roman" w:eastAsia="Times New Roman" w:hAnsi="Times New Roman" w:cs="Times New Roman"/>
          <w:color w:val="000000"/>
          <w:spacing w:val="0"/>
          <w:w w:val="100"/>
          <w:position w:val="0"/>
          <w:sz w:val="18"/>
          <w:szCs w:val="18"/>
        </w:rPr>
        <w:t>785</w:t>
      </w:r>
      <w:r>
        <w:rPr>
          <w:color w:val="000000"/>
          <w:spacing w:val="0"/>
          <w:w w:val="100"/>
          <w:position w:val="0"/>
        </w:rPr>
        <w:t>万入资本公积，持股比例</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6"/>
        <w:keepNext w:val="0"/>
        <w:keepLines w:val="0"/>
        <w:widowControl w:val="0"/>
        <w:shd w:val="clear" w:color="auto" w:fill="auto"/>
        <w:tabs>
          <w:tab w:pos="748" w:val="left"/>
        </w:tabs>
        <w:bidi w:val="0"/>
        <w:spacing w:before="0" w:after="300" w:line="307" w:lineRule="exact"/>
        <w:ind w:left="0" w:right="0" w:firstLine="460"/>
        <w:jc w:val="both"/>
      </w:pPr>
      <w:bookmarkStart w:id="1315" w:name="bookmark1315"/>
      <w:r>
        <w:rPr>
          <w:rFonts w:ascii="Times New Roman" w:eastAsia="Times New Roman" w:hAnsi="Times New Roman" w:cs="Times New Roman"/>
          <w:color w:val="000000"/>
          <w:spacing w:val="0"/>
          <w:w w:val="100"/>
          <w:position w:val="0"/>
          <w:sz w:val="18"/>
          <w:szCs w:val="18"/>
        </w:rPr>
        <w:t>7</w:t>
      </w:r>
      <w:bookmarkEnd w:id="13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日，本公司之孙公司深圳乔戈里与上海乐矩网络科技有限公司（以下简称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上海乐矩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）、周云鹏、曹青 签订了增资扩股协议，深圳乔戈里以</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万元增资上海磐火，其中</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万入公司注册资本，</w:t>
      </w:r>
      <w:r>
        <w:rPr>
          <w:rFonts w:ascii="Times New Roman" w:eastAsia="Times New Roman" w:hAnsi="Times New Roman" w:cs="Times New Roman"/>
          <w:color w:val="000000"/>
          <w:spacing w:val="0"/>
          <w:w w:val="100"/>
          <w:position w:val="0"/>
          <w:sz w:val="18"/>
          <w:szCs w:val="18"/>
        </w:rPr>
        <w:t>485</w:t>
      </w:r>
      <w:r>
        <w:rPr>
          <w:color w:val="000000"/>
          <w:spacing w:val="0"/>
          <w:w w:val="100"/>
          <w:position w:val="0"/>
        </w:rPr>
        <w:t>万入资本公积，持股比例</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6"/>
        <w:keepNext w:val="0"/>
        <w:keepLines w:val="0"/>
        <w:widowControl w:val="0"/>
        <w:shd w:val="clear" w:color="auto" w:fill="auto"/>
        <w:bidi w:val="0"/>
        <w:spacing w:before="0" w:after="300" w:line="314" w:lineRule="exact"/>
        <w:ind w:left="0" w:right="0" w:firstLine="460"/>
        <w:jc w:val="both"/>
      </w:pPr>
      <w:bookmarkStart w:id="1316" w:name="bookmark1316"/>
      <w:r>
        <w:rPr>
          <w:rFonts w:ascii="Times New Roman" w:eastAsia="Times New Roman" w:hAnsi="Times New Roman" w:cs="Times New Roman"/>
          <w:color w:val="000000"/>
          <w:spacing w:val="0"/>
          <w:w w:val="100"/>
          <w:position w:val="0"/>
          <w:sz w:val="18"/>
          <w:szCs w:val="18"/>
        </w:rPr>
        <w:t>8</w:t>
      </w:r>
      <w:bookmarkEnd w:id="131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日，本公司之子公司深圳中青聚宝与薛振山、刘兴国、孙威、深圳维爱特科技有限公司（以下简称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圳维爱特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）共同签订增资扩股协议，深圳中青聚宝以</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万元增资深圳维爱特，其中</w:t>
      </w:r>
      <w:r>
        <w:rPr>
          <w:rFonts w:ascii="Times New Roman" w:eastAsia="Times New Roman" w:hAnsi="Times New Roman" w:cs="Times New Roman"/>
          <w:color w:val="000000"/>
          <w:spacing w:val="0"/>
          <w:w w:val="100"/>
          <w:position w:val="0"/>
          <w:sz w:val="18"/>
          <w:szCs w:val="18"/>
        </w:rPr>
        <w:t>277.75</w:t>
      </w:r>
      <w:r>
        <w:rPr>
          <w:color w:val="000000"/>
          <w:spacing w:val="0"/>
          <w:w w:val="100"/>
          <w:position w:val="0"/>
        </w:rPr>
        <w:t>万元计入注册资本，其余</w:t>
      </w:r>
      <w:r>
        <w:rPr>
          <w:rFonts w:ascii="Times New Roman" w:eastAsia="Times New Roman" w:hAnsi="Times New Roman" w:cs="Times New Roman"/>
          <w:color w:val="000000"/>
          <w:spacing w:val="0"/>
          <w:w w:val="100"/>
          <w:position w:val="0"/>
          <w:sz w:val="18"/>
          <w:szCs w:val="18"/>
        </w:rPr>
        <w:t xml:space="preserve">722.25 </w:t>
      </w:r>
      <w:r>
        <w:rPr>
          <w:color w:val="000000"/>
          <w:spacing w:val="0"/>
          <w:w w:val="100"/>
          <w:position w:val="0"/>
        </w:rPr>
        <w:t>万元计入资本公积金，持股比例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6"/>
        <w:keepNext w:val="0"/>
        <w:keepLines w:val="0"/>
        <w:widowControl w:val="0"/>
        <w:shd w:val="clear" w:color="auto" w:fill="auto"/>
        <w:tabs>
          <w:tab w:pos="753" w:val="left"/>
        </w:tabs>
        <w:bidi w:val="0"/>
        <w:spacing w:before="0" w:after="700" w:line="314" w:lineRule="exact"/>
        <w:ind w:left="0" w:right="0" w:firstLine="460"/>
        <w:jc w:val="both"/>
      </w:pPr>
      <w:bookmarkStart w:id="1317" w:name="bookmark1317"/>
      <w:r>
        <w:rPr>
          <w:rFonts w:ascii="Times New Roman" w:eastAsia="Times New Roman" w:hAnsi="Times New Roman" w:cs="Times New Roman"/>
          <w:color w:val="000000"/>
          <w:spacing w:val="0"/>
          <w:w w:val="100"/>
          <w:position w:val="0"/>
          <w:sz w:val="18"/>
          <w:szCs w:val="18"/>
        </w:rPr>
        <w:t>9</w:t>
      </w:r>
      <w:bookmarkEnd w:id="131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日，本公司之子公司深圳中青聚宝与冯知明签订股权转让协议，冯知明将其持有湖北今古传奇文化发展 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日更名为湖北今古时代文化传媒有限公司，以下简称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湖北今古时代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539.05</w:t>
      </w:r>
      <w:r>
        <w:rPr>
          <w:color w:val="000000"/>
          <w:spacing w:val="0"/>
          <w:w w:val="100"/>
          <w:position w:val="0"/>
        </w:rPr>
        <w:t>万元的对 价转让给深圳中青聚宝。</w:t>
      </w:r>
    </w:p>
    <w:p>
      <w:pPr>
        <w:pStyle w:val="Style36"/>
        <w:keepNext/>
        <w:keepLines/>
        <w:widowControl w:val="0"/>
        <w:shd w:val="clear" w:color="auto" w:fill="auto"/>
        <w:bidi w:val="0"/>
        <w:spacing w:before="0" w:line="240" w:lineRule="auto"/>
        <w:ind w:left="0" w:right="0" w:firstLine="140"/>
        <w:jc w:val="left"/>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r>
        <w:rPr>
          <w:color w:val="000000"/>
          <w:spacing w:val="0"/>
          <w:w w:val="100"/>
          <w:position w:val="0"/>
        </w:rPr>
        <w:t>）合营企业或联营企业发生的超额亏损</w:t>
      </w:r>
      <w:bookmarkEnd w:id="1318"/>
      <w:bookmarkEnd w:id="1319"/>
      <w:bookmarkEnd w:id="132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-750,239.93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-750,239.93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-210,286.43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-71,215.29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-960,526.36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-821,455.22</w:t>
            </w:r>
          </w:p>
        </w:tc>
      </w:tr>
    </w:tbl>
    <w:p>
      <w:pPr>
        <w:widowControl w:val="0"/>
        <w:spacing w:after="299" w:line="1" w:lineRule="exact"/>
      </w:pPr>
    </w:p>
    <w:p>
      <w:pPr>
        <w:pStyle w:val="Style24"/>
        <w:keepNext/>
        <w:keepLines/>
        <w:widowControl w:val="0"/>
        <w:shd w:val="clear" w:color="auto" w:fill="auto"/>
        <w:bidi w:val="0"/>
        <w:spacing w:before="0" w:after="240" w:line="240" w:lineRule="auto"/>
        <w:ind w:left="0" w:right="0" w:firstLine="0"/>
        <w:jc w:val="left"/>
      </w:pPr>
      <w:bookmarkStart w:id="1321" w:name="bookmark1321"/>
      <w:bookmarkStart w:id="1322" w:name="bookmark1322"/>
      <w:bookmarkStart w:id="1323" w:name="bookmark1323"/>
      <w:r>
        <w:rPr>
          <w:color w:val="000000"/>
          <w:spacing w:val="0"/>
          <w:w w:val="100"/>
          <w:position w:val="0"/>
          <w:sz w:val="24"/>
          <w:szCs w:val="24"/>
        </w:rPr>
        <w:t>十、与金融工具相关的风险</w:t>
      </w:r>
      <w:bookmarkEnd w:id="1321"/>
      <w:bookmarkEnd w:id="1322"/>
      <w:bookmarkEnd w:id="1323"/>
    </w:p>
    <w:p>
      <w:pPr>
        <w:pStyle w:val="Style26"/>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本公司的主要金融工具包括借款、应收款项、应付款项等，各项金融工具的详细情况说明见本附注六。与这些金融工 具有关的风险，以及本公司为降低这些风险所采取的风险管理政策如下所述。本公司管理层对这些风险敞口进行管理和监控 以确保将上述风险控制在限定的范围之内。</w:t>
      </w:r>
    </w:p>
    <w:p>
      <w:pPr>
        <w:pStyle w:val="Style26"/>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18"/>
          <w:szCs w:val="18"/>
        </w:rPr>
        <w:t>1.</w:t>
      </w:r>
      <w:r>
        <w:rPr>
          <w:color w:val="000000"/>
          <w:spacing w:val="0"/>
          <w:w w:val="100"/>
          <w:position w:val="0"/>
        </w:rPr>
        <w:t>各类风险管理目标和政策</w:t>
      </w:r>
    </w:p>
    <w:p>
      <w:pPr>
        <w:pStyle w:val="Style26"/>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本公司从事风险管理的目标是在风险和收益之间取得适当的平衡，将风险对本公司经营业绩的负面影响降低到最低水 平，使股东及其它权益投资者的利益最大化。基于该风险管理目标，本公司风险管理的基本策略是确定和分析本公司所面临 的各种风险，建立适当的风险承受底线并进行风险管理,并及时可靠地对各种风险进行监督，将风险控制在限定的范围之内。</w:t>
      </w:r>
    </w:p>
    <w:p>
      <w:pPr>
        <w:pStyle w:val="Style26"/>
        <w:keepNext w:val="0"/>
        <w:keepLines w:val="0"/>
        <w:widowControl w:val="0"/>
        <w:shd w:val="clear" w:color="auto" w:fill="auto"/>
        <w:bidi w:val="0"/>
        <w:spacing w:before="0" w:after="120" w:line="36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市场风险</w:t>
      </w:r>
    </w:p>
    <w:p>
      <w:pPr>
        <w:pStyle w:val="Style26"/>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)汇率风险</w:t>
      </w:r>
    </w:p>
    <w:p>
      <w:pPr>
        <w:pStyle w:val="Style26"/>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本公司承受汇率风险主要与美元、港币和韩元有关，除本公司及几个下属子公司以美元、港币、韩元进行采购和销售 外，本公司的其它主要业务活动以人民币计价结算。于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日，除下表所述资产及负债的美元余额、港币余额和韩 元余额外，本公司的资产及负债均为人民币余额。该美元余额、港币余额和韩元余额的资产和负债产生的汇率风险可能对本 公司的经营业绩产生影响。</w:t>
      </w:r>
    </w:p>
    <w:tbl>
      <w:tblPr>
        <w:tblOverlap w:val="never"/>
        <w:jc w:val="left"/>
        <w:tblLayout w:type="fixed"/>
      </w:tblPr>
      <w:tblGrid>
        <w:gridCol w:w="3710"/>
        <w:gridCol w:w="2501"/>
        <w:gridCol w:w="259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年末余额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年初余额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985,113.13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4,088,983.13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3,785,168.68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1,468,150.42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4,720,908.00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6,889,275.00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2,160,334.47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1,827,932.09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283,719.81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93,855.17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500,612.00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其它应收款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1,963,706.30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3,611,203.75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其它应收款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22,300,720.00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23,575,712.00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76,134.15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2,182,888.12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686,984.00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638,154.00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21,079.42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48,559.95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610,553.00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1,208,990.00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300,467.66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460,124.00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968,413.00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长期待摊费用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193,580.93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研发支出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3,198,940.51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586,806.69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1,390,403.84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其它应付款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7,902,674.53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60,123.74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其它应付款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其它应付款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13,390,753.00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12,184,433.00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26,116.07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45,158.98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500,612.00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应付职工薪酬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16,515.39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16,515.39</w:t>
            </w:r>
          </w:p>
        </w:tc>
      </w:tr>
    </w:tbl>
    <w:p>
      <w:pPr>
        <w:pStyle w:val="Style30"/>
        <w:keepNext w:val="0"/>
        <w:keepLines w:val="0"/>
        <w:widowControl w:val="0"/>
        <w:shd w:val="clear" w:color="auto" w:fill="auto"/>
        <w:bidi w:val="0"/>
        <w:spacing w:before="0" w:after="0" w:line="240" w:lineRule="auto"/>
        <w:ind w:left="427" w:right="0" w:firstLine="0"/>
        <w:jc w:val="left"/>
      </w:pPr>
      <w:r>
        <w:rPr>
          <w:color w:val="000000"/>
          <w:spacing w:val="0"/>
          <w:w w:val="100"/>
          <w:position w:val="0"/>
        </w:rPr>
        <w:t>本公司密切关注汇率变动对本公司的影响，本公司目前并未采取其他措施规避外汇风险。</w:t>
      </w:r>
    </w:p>
    <w:p>
      <w:pPr>
        <w:pStyle w:val="Style26"/>
        <w:keepNext w:val="0"/>
        <w:keepLines w:val="0"/>
        <w:widowControl w:val="0"/>
        <w:shd w:val="clear" w:color="auto" w:fill="auto"/>
        <w:tabs>
          <w:tab w:pos="785" w:val="left"/>
        </w:tabs>
        <w:bidi w:val="0"/>
        <w:spacing w:before="0" w:after="220" w:line="312" w:lineRule="exact"/>
        <w:ind w:left="0" w:right="0" w:firstLine="460"/>
        <w:jc w:val="both"/>
      </w:pPr>
      <w:bookmarkStart w:id="1324" w:name="bookmark1324"/>
      <w:r>
        <w:rPr>
          <w:rFonts w:ascii="Times New Roman" w:eastAsia="Times New Roman" w:hAnsi="Times New Roman" w:cs="Times New Roman"/>
          <w:color w:val="000000"/>
          <w:spacing w:val="0"/>
          <w:w w:val="100"/>
          <w:position w:val="0"/>
          <w:sz w:val="18"/>
          <w:szCs w:val="18"/>
        </w:rPr>
        <w:t>2</w:t>
      </w:r>
      <w:bookmarkEnd w:id="13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利率风险</w:t>
      </w:r>
    </w:p>
    <w:p>
      <w:pPr>
        <w:pStyle w:val="Style26"/>
        <w:keepNext w:val="0"/>
        <w:keepLines w:val="0"/>
        <w:widowControl w:val="0"/>
        <w:shd w:val="clear" w:color="auto" w:fill="auto"/>
        <w:bidi w:val="0"/>
        <w:spacing w:before="0" w:after="220" w:line="309" w:lineRule="exact"/>
        <w:ind w:left="0" w:right="0" w:firstLine="460"/>
        <w:jc w:val="both"/>
      </w:pPr>
      <w:r>
        <w:rPr>
          <w:color w:val="000000"/>
          <w:spacing w:val="0"/>
          <w:w w:val="100"/>
          <w:position w:val="0"/>
        </w:rPr>
        <w:t>本公司的利率风险产生于银行借款。浮动利率的金融负债使本公司面临现金流量利率风险，固定利率的金融负债使本 公司面临公允价值利率风险。本公司根据当时的市场环境来决定固定利率及浮动利率合同的相对比例。于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本公司的带息债务主要为人民币计价的浮动利率借款合同，金额合计为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元），及人民 币计价的固定利率合同，金额为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w:t>
      </w:r>
    </w:p>
    <w:p>
      <w:pPr>
        <w:pStyle w:val="Style26"/>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本公司因利率变动引起金融工具公允价值变动的风险主要与固定利率银行借款有关。对于固定利率借款，本公司的目 标是保持其浮动利率。</w:t>
      </w:r>
    </w:p>
    <w:p>
      <w:pPr>
        <w:pStyle w:val="Style26"/>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本公司因利率变动引起金融工具现金流量变动的风险主要与浮动利率银行借款有关。本公司的政策是保持这些借款的 浮动利率，以消除利率变动的公允价值风险。</w:t>
      </w:r>
    </w:p>
    <w:p>
      <w:pPr>
        <w:pStyle w:val="Style26"/>
        <w:keepNext w:val="0"/>
        <w:keepLines w:val="0"/>
        <w:widowControl w:val="0"/>
        <w:shd w:val="clear" w:color="auto" w:fill="auto"/>
        <w:tabs>
          <w:tab w:pos="794" w:val="left"/>
        </w:tabs>
        <w:bidi w:val="0"/>
        <w:spacing w:before="0" w:after="220" w:line="312" w:lineRule="exact"/>
        <w:ind w:left="0" w:right="0" w:firstLine="460"/>
        <w:jc w:val="left"/>
      </w:pPr>
      <w:bookmarkStart w:id="1325" w:name="bookmark1325"/>
      <w:r>
        <w:rPr>
          <w:rFonts w:ascii="Times New Roman" w:eastAsia="Times New Roman" w:hAnsi="Times New Roman" w:cs="Times New Roman"/>
          <w:color w:val="000000"/>
          <w:spacing w:val="0"/>
          <w:w w:val="100"/>
          <w:position w:val="0"/>
          <w:sz w:val="18"/>
          <w:szCs w:val="18"/>
        </w:rPr>
        <w:t>3</w:t>
      </w:r>
      <w:bookmarkEnd w:id="1325"/>
      <w:r>
        <w:rPr>
          <w:color w:val="000000"/>
          <w:spacing w:val="0"/>
          <w:w w:val="100"/>
          <w:position w:val="0"/>
        </w:rPr>
        <w:t>）</w:t>
        <w:tab/>
        <w:t>价格风险</w:t>
      </w:r>
    </w:p>
    <w:p>
      <w:pPr>
        <w:pStyle w:val="Style26"/>
        <w:keepNext w:val="0"/>
        <w:keepLines w:val="0"/>
        <w:widowControl w:val="0"/>
        <w:shd w:val="clear" w:color="auto" w:fill="auto"/>
        <w:bidi w:val="0"/>
        <w:spacing w:before="0" w:after="340" w:line="312" w:lineRule="exact"/>
        <w:ind w:left="0" w:right="0" w:firstLine="460"/>
        <w:jc w:val="left"/>
      </w:pPr>
      <w:r>
        <w:rPr>
          <w:color w:val="000000"/>
          <w:spacing w:val="0"/>
          <w:w w:val="100"/>
          <w:position w:val="0"/>
        </w:rPr>
        <w:t>本公司以市场价格运营游戏产品，因此受到此等价格波动的影响。</w:t>
      </w:r>
    </w:p>
    <w:p>
      <w:pPr>
        <w:pStyle w:val="Style26"/>
        <w:keepNext w:val="0"/>
        <w:keepLines w:val="0"/>
        <w:widowControl w:val="0"/>
        <w:shd w:val="clear" w:color="auto" w:fill="auto"/>
        <w:tabs>
          <w:tab w:pos="838" w:val="left"/>
        </w:tabs>
        <w:bidi w:val="0"/>
        <w:spacing w:before="0" w:after="120" w:line="360" w:lineRule="auto"/>
        <w:ind w:left="0" w:right="0" w:firstLine="460"/>
        <w:jc w:val="both"/>
      </w:pPr>
      <w:bookmarkStart w:id="1326" w:name="bookmark1326"/>
      <w:r>
        <w:rPr>
          <w:rFonts w:ascii="Times New Roman" w:eastAsia="Times New Roman" w:hAnsi="Times New Roman" w:cs="Times New Roman"/>
          <w:color w:val="000000"/>
          <w:spacing w:val="0"/>
          <w:w w:val="100"/>
          <w:position w:val="0"/>
          <w:sz w:val="18"/>
          <w:szCs w:val="18"/>
        </w:rPr>
        <w:t>（</w:t>
      </w:r>
      <w:bookmarkEnd w:id="132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信用风险</w:t>
      </w:r>
    </w:p>
    <w:p>
      <w:pPr>
        <w:pStyle w:val="Style26"/>
        <w:keepNext w:val="0"/>
        <w:keepLines w:val="0"/>
        <w:widowControl w:val="0"/>
        <w:shd w:val="clear" w:color="auto" w:fill="auto"/>
        <w:bidi w:val="0"/>
        <w:spacing w:before="0" w:after="220" w:line="326" w:lineRule="exact"/>
        <w:ind w:left="0" w:right="0" w:firstLine="4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 金融资产产生的损失，具体包括：</w:t>
      </w:r>
    </w:p>
    <w:p>
      <w:pPr>
        <w:pStyle w:val="Style26"/>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26"/>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为降低信用风险，本公司成立专门部门确定信用额度、进行信用审批，并执行其它监控程序以确保采取必要的措施回 收过期债权。此外，本公司于每个资产负债表日审核每一单项应收款的回收情况，以确保就无法回收的款项计提充分的坏账 准备。因此，本公司管理层认为本公司所承担的信用风险已经大为降低。</w:t>
      </w:r>
    </w:p>
    <w:p>
      <w:pPr>
        <w:pStyle w:val="Style26"/>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本公司的流动资金存放在信用评级较高的银行，故流动资金的信用风险较低。</w:t>
      </w:r>
    </w:p>
    <w:p>
      <w:pPr>
        <w:pStyle w:val="Style26"/>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由于本公司的风险敞口分布在多个合同方和多个客户，因此没有重大的信用集中风险。</w:t>
      </w:r>
    </w:p>
    <w:p>
      <w:pPr>
        <w:pStyle w:val="Style26"/>
        <w:keepNext w:val="0"/>
        <w:keepLines w:val="0"/>
        <w:widowControl w:val="0"/>
        <w:shd w:val="clear" w:color="auto" w:fill="auto"/>
        <w:bidi w:val="0"/>
        <w:spacing w:before="0" w:after="340" w:line="312" w:lineRule="exact"/>
        <w:ind w:left="0" w:right="0" w:firstLine="460"/>
        <w:jc w:val="left"/>
      </w:pPr>
      <w:r>
        <w:rPr>
          <w:color w:val="000000"/>
          <w:spacing w:val="0"/>
          <w:w w:val="100"/>
          <w:position w:val="0"/>
        </w:rPr>
        <w:t>应收账款前五名金额合计：</w:t>
      </w:r>
      <w:r>
        <w:rPr>
          <w:rFonts w:ascii="Times New Roman" w:eastAsia="Times New Roman" w:hAnsi="Times New Roman" w:cs="Times New Roman"/>
          <w:color w:val="000000"/>
          <w:spacing w:val="0"/>
          <w:w w:val="100"/>
          <w:position w:val="0"/>
          <w:sz w:val="18"/>
          <w:szCs w:val="18"/>
        </w:rPr>
        <w:t>114,289,342.29</w:t>
      </w:r>
      <w:r>
        <w:rPr>
          <w:color w:val="000000"/>
          <w:spacing w:val="0"/>
          <w:w w:val="100"/>
          <w:position w:val="0"/>
        </w:rPr>
        <w:t>元。</w:t>
      </w:r>
    </w:p>
    <w:p>
      <w:pPr>
        <w:pStyle w:val="Style26"/>
        <w:keepNext w:val="0"/>
        <w:keepLines w:val="0"/>
        <w:widowControl w:val="0"/>
        <w:shd w:val="clear" w:color="auto" w:fill="auto"/>
        <w:tabs>
          <w:tab w:pos="838" w:val="left"/>
        </w:tabs>
        <w:bidi w:val="0"/>
        <w:spacing w:before="0" w:after="120" w:line="360" w:lineRule="auto"/>
        <w:ind w:left="0" w:right="0" w:firstLine="460"/>
        <w:jc w:val="both"/>
      </w:pPr>
      <w:bookmarkStart w:id="1327" w:name="bookmark1327"/>
      <w:r>
        <w:rPr>
          <w:rFonts w:ascii="Times New Roman" w:eastAsia="Times New Roman" w:hAnsi="Times New Roman" w:cs="Times New Roman"/>
          <w:color w:val="000000"/>
          <w:spacing w:val="0"/>
          <w:w w:val="100"/>
          <w:position w:val="0"/>
          <w:sz w:val="18"/>
          <w:szCs w:val="18"/>
        </w:rPr>
        <w:t>（</w:t>
      </w:r>
      <w:bookmarkEnd w:id="1327"/>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流动风险</w:t>
      </w:r>
    </w:p>
    <w:p>
      <w:pPr>
        <w:pStyle w:val="Style26"/>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流动风险为本公司在到期日无法履行其财务义务的风险。本公司管理流动性风险的方法是确保有足够的资金流动性来 履行到期债务，而不至于造成不可接受的损失或对企业信誉造成损害。本公司定期分析负债结构和期限，以确保有充裕的资 金。本公司管理层对银行借款的使用情况进行监控并确保遵守借款协议。同时与金融机构进行融资磋商，以保持一定的授信 额度，减低流动性风险。</w:t>
      </w:r>
    </w:p>
    <w:p>
      <w:pPr>
        <w:pStyle w:val="Style78"/>
        <w:keepNext w:val="0"/>
        <w:keepLines w:val="0"/>
        <w:widowControl w:val="0"/>
        <w:shd w:val="clear" w:color="auto" w:fill="auto"/>
        <w:bidi w:val="0"/>
        <w:spacing w:before="0" w:after="220"/>
        <w:ind w:left="0" w:right="0"/>
        <w:jc w:val="both"/>
        <w:rPr>
          <w:sz w:val="17"/>
          <w:szCs w:val="17"/>
        </w:rPr>
      </w:pPr>
      <w:r>
        <w:rPr>
          <w:rFonts w:ascii="SimSun" w:eastAsia="SimSun" w:hAnsi="SimSun" w:cs="SimSun"/>
          <w:color w:val="000000"/>
          <w:spacing w:val="0"/>
          <w:w w:val="100"/>
          <w:position w:val="0"/>
          <w:sz w:val="17"/>
          <w:szCs w:val="17"/>
        </w:rPr>
        <w:t>本公司将银行借款作为主要资金来源。于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日，本公司尚未使用的银行借款额度为</w:t>
      </w:r>
      <w:r>
        <w:rPr>
          <w:color w:val="000000"/>
          <w:spacing w:val="0"/>
          <w:w w:val="100"/>
          <w:position w:val="0"/>
          <w:sz w:val="18"/>
          <w:szCs w:val="18"/>
        </w:rPr>
        <w:t>140,000,000.00</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100,000,000.00</w:t>
      </w:r>
      <w:r>
        <w:rPr>
          <w:rFonts w:ascii="SimSun" w:eastAsia="SimSun" w:hAnsi="SimSun" w:cs="SimSun"/>
          <w:color w:val="000000"/>
          <w:spacing w:val="0"/>
          <w:w w:val="100"/>
          <w:position w:val="0"/>
          <w:sz w:val="17"/>
          <w:szCs w:val="17"/>
        </w:rPr>
        <w:t>元）其中本公司尚未使用的短期银行借款额度为人民币</w:t>
      </w:r>
      <w:r>
        <w:rPr>
          <w:color w:val="000000"/>
          <w:spacing w:val="0"/>
          <w:w w:val="100"/>
          <w:position w:val="0"/>
          <w:sz w:val="18"/>
          <w:szCs w:val="18"/>
        </w:rPr>
        <w:t>140,000,000.00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100,000,000.00</w:t>
      </w:r>
      <w:r>
        <w:rPr>
          <w:rFonts w:ascii="SimSun" w:eastAsia="SimSun" w:hAnsi="SimSun" w:cs="SimSun"/>
          <w:color w:val="000000"/>
          <w:spacing w:val="0"/>
          <w:w w:val="100"/>
          <w:position w:val="0"/>
          <w:sz w:val="17"/>
          <w:szCs w:val="17"/>
        </w:rPr>
        <w:t>元）。</w:t>
      </w:r>
    </w:p>
    <w:p>
      <w:pPr>
        <w:pStyle w:val="Style26"/>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本公司持有的金融资产和金融负债按未折现剩余合同义务的到期期限分析如下：</w:t>
      </w:r>
      <w:r>
        <w:br w:type="page"/>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日金额:</w:t>
      </w:r>
    </w:p>
    <w:tbl>
      <w:tblPr>
        <w:tblOverlap w:val="never"/>
        <w:jc w:val="left"/>
        <w:tblLayout w:type="fixed"/>
      </w:tblPr>
      <w:tblGrid>
        <w:gridCol w:w="1454"/>
        <w:gridCol w:w="1738"/>
        <w:gridCol w:w="1234"/>
        <w:gridCol w:w="1498"/>
        <w:gridCol w:w="1090"/>
        <w:gridCol w:w="193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9"/>
                <w:szCs w:val="19"/>
              </w:rPr>
            </w:pPr>
            <w:r>
              <w:rPr>
                <w:b/>
                <w:bCs/>
                <w:color w:val="000000"/>
                <w:spacing w:val="0"/>
                <w:w w:val="100"/>
                <w:position w:val="0"/>
                <w:sz w:val="19"/>
                <w:szCs w:val="19"/>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二到五年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五年以上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b/>
                <w:bCs/>
                <w:color w:val="000000"/>
                <w:spacing w:val="0"/>
                <w:w w:val="100"/>
                <w:position w:val="0"/>
                <w:sz w:val="19"/>
                <w:szCs w:val="19"/>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120,578,134.21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120,578,134.21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149,468,604.71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149,468,604.71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其它应收款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112,395,140.33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112,395,140.33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32,324,921.64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32,324,921.64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其它应付款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2,093,937.02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2,093,937.02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12,567,705.06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12,567,705.06</w:t>
            </w:r>
          </w:p>
        </w:tc>
      </w:tr>
    </w:tbl>
    <w:p>
      <w:pPr>
        <w:widowControl w:val="0"/>
        <w:spacing w:after="199" w:line="1" w:lineRule="exact"/>
      </w:pPr>
    </w:p>
    <w:p>
      <w:pPr>
        <w:pStyle w:val="Style26"/>
        <w:keepNext w:val="0"/>
        <w:keepLines w:val="0"/>
        <w:widowControl w:val="0"/>
        <w:shd w:val="clear" w:color="auto" w:fill="auto"/>
        <w:bidi w:val="0"/>
        <w:spacing w:before="0" w:after="20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敏感性分析</w:t>
      </w:r>
    </w:p>
    <w:p>
      <w:pPr>
        <w:pStyle w:val="Style26"/>
        <w:keepNext w:val="0"/>
        <w:keepLines w:val="0"/>
        <w:widowControl w:val="0"/>
        <w:shd w:val="clear" w:color="auto" w:fill="auto"/>
        <w:bidi w:val="0"/>
        <w:spacing w:before="0" w:after="340" w:line="314" w:lineRule="exact"/>
        <w:ind w:left="0" w:right="0" w:firstLine="460"/>
        <w:jc w:val="both"/>
      </w:pPr>
      <w:r>
        <w:rPr>
          <w:color w:val="000000"/>
          <w:spacing w:val="0"/>
          <w:w w:val="100"/>
          <w:position w:val="0"/>
        </w:rPr>
        <w:t>本公司采用敏感性分析技术分析风险变量的合理、可能变化对当期损益或所有者权益可能产生的影响。由于任何风险 变量很少孤立的发生变化，而变量之间存在的相关性对某一风险变量变化的最终影响金额将产生重大作用，因此下述内容是 在假设每一变量的变化是独立的情况下进行的。</w:t>
      </w:r>
    </w:p>
    <w:p>
      <w:pPr>
        <w:pStyle w:val="Style26"/>
        <w:keepNext w:val="0"/>
        <w:keepLines w:val="0"/>
        <w:widowControl w:val="0"/>
        <w:shd w:val="clear" w:color="auto" w:fill="auto"/>
        <w:bidi w:val="0"/>
        <w:spacing w:before="0" w:after="100" w:line="36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外汇风险敏感性分析</w:t>
      </w:r>
    </w:p>
    <w:p>
      <w:pPr>
        <w:pStyle w:val="Style26"/>
        <w:keepNext w:val="0"/>
        <w:keepLines w:val="0"/>
        <w:widowControl w:val="0"/>
        <w:shd w:val="clear" w:color="auto" w:fill="auto"/>
        <w:bidi w:val="0"/>
        <w:spacing w:before="0" w:after="340" w:line="314" w:lineRule="exact"/>
        <w:ind w:left="0" w:right="0" w:firstLine="460"/>
        <w:jc w:val="both"/>
      </w:pPr>
      <w:r>
        <w:rPr>
          <w:color w:val="000000"/>
          <w:spacing w:val="0"/>
          <w:w w:val="100"/>
          <w:position w:val="0"/>
        </w:rPr>
        <w:t>外汇风险敏感性分析假设：所有境外经营净投资套期及现金流量套期均高度有效。</w:t>
      </w:r>
    </w:p>
    <w:p>
      <w:pPr>
        <w:pStyle w:val="Style30"/>
        <w:keepNext w:val="0"/>
        <w:keepLines w:val="0"/>
        <w:widowControl w:val="0"/>
        <w:shd w:val="clear" w:color="auto" w:fill="auto"/>
        <w:bidi w:val="0"/>
        <w:spacing w:before="0" w:after="0" w:line="240" w:lineRule="auto"/>
        <w:ind w:left="422" w:right="0" w:firstLine="0"/>
        <w:jc w:val="left"/>
      </w:pPr>
      <w:r>
        <w:rPr>
          <w:color w:val="000000"/>
          <w:spacing w:val="0"/>
          <w:w w:val="100"/>
          <w:position w:val="0"/>
        </w:rPr>
        <w:t>在上述假设的基础上，在其它变量不变的情况下，汇率可能发生的合理变动对当期损益和权益的税后影响如下:</w:t>
      </w:r>
    </w:p>
    <w:tbl>
      <w:tblPr>
        <w:tblOverlap w:val="never"/>
        <w:jc w:val="center"/>
        <w:tblLayout w:type="fixed"/>
      </w:tblPr>
      <w:tblGrid>
        <w:gridCol w:w="672"/>
        <w:gridCol w:w="1723"/>
        <w:gridCol w:w="1565"/>
        <w:gridCol w:w="1526"/>
        <w:gridCol w:w="1555"/>
        <w:gridCol w:w="1906"/>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b/>
                <w:bCs/>
                <w:color w:val="000000"/>
                <w:spacing w:val="0"/>
                <w:w w:val="100"/>
                <w:position w:val="0"/>
                <w:sz w:val="19"/>
                <w:szCs w:val="19"/>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汇率变动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2015</w:t>
            </w:r>
            <w:r>
              <w:rPr>
                <w:b/>
                <w:bCs/>
                <w:color w:val="000000"/>
                <w:spacing w:val="0"/>
                <w:w w:val="100"/>
                <w:position w:val="0"/>
                <w:sz w:val="19"/>
                <w:szCs w:val="19"/>
              </w:rPr>
              <w:t>年度</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对净利润的影响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对所有者权益的 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对净利润的影响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对所有者权益的影响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对人民币升值</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-141,344.17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-141,344.17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460,794.70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460,794.70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对人民币贬值</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141,344.17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141,344.17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-460,794.70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-460,794.70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对人民币升值</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172,830.43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172,830.43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1,068,257.37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1,068,257.37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对人民币贬值</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-172,830.43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-172,830.43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-1,068,257.37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-1,068,257.37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对人民币升值</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675,288.79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675,288.79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-113,889.18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-113,889.18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韩元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对人民币贬值</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-675,288.79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-675,288.79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113,889.18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113,889.18</w:t>
            </w:r>
          </w:p>
        </w:tc>
      </w:tr>
    </w:tbl>
    <w:p>
      <w:pPr>
        <w:widowControl w:val="0"/>
        <w:spacing w:after="279" w:line="1" w:lineRule="exact"/>
      </w:pPr>
    </w:p>
    <w:p>
      <w:pPr>
        <w:pStyle w:val="Style26"/>
        <w:keepNext w:val="0"/>
        <w:keepLines w:val="0"/>
        <w:widowControl w:val="0"/>
        <w:shd w:val="clear" w:color="auto" w:fill="auto"/>
        <w:bidi w:val="0"/>
        <w:spacing w:before="0" w:after="340" w:line="240" w:lineRule="auto"/>
        <w:ind w:left="0" w:right="0" w:firstLine="5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利率风险敏感性分析</w:t>
      </w:r>
    </w:p>
    <w:p>
      <w:pPr>
        <w:pStyle w:val="Style26"/>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利率风险敏感性分析基于下述假设：</w:t>
      </w:r>
    </w:p>
    <w:p>
      <w:pPr>
        <w:pStyle w:val="Style26"/>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市场利率变化影响可变利率金融工具的利息收入或费用；</w:t>
      </w:r>
    </w:p>
    <w:p>
      <w:pPr>
        <w:pStyle w:val="Style26"/>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对于以公允价值计量的固定利率金融工具，市场利率变化仅仅影响其利息收入或费用；</w:t>
      </w:r>
    </w:p>
    <w:p>
      <w:pPr>
        <w:pStyle w:val="Style26"/>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以资产负债表日市场利率采用现金流量折现法计算衍生金融工具及其它金融资产和负债的公允价值变化。</w:t>
      </w:r>
    </w:p>
    <w:p>
      <w:pPr>
        <w:pStyle w:val="Style26"/>
        <w:keepNext w:val="0"/>
        <w:keepLines w:val="0"/>
        <w:widowControl w:val="0"/>
        <w:shd w:val="clear" w:color="auto" w:fill="auto"/>
        <w:bidi w:val="0"/>
        <w:spacing w:before="0" w:after="340" w:line="240" w:lineRule="auto"/>
        <w:ind w:left="0" w:right="0" w:firstLine="460"/>
        <w:jc w:val="both"/>
      </w:pPr>
      <w:r>
        <w:rPr>
          <w:color w:val="000000"/>
          <w:spacing w:val="0"/>
          <w:w w:val="100"/>
          <w:position w:val="0"/>
        </w:rPr>
        <w:t>在上述假设的基础上，在其它变量不变的情况下，利率可能发生的合理变动对当期损益和权益的税后影响如下：</w:t>
      </w:r>
      <w:r>
        <w:br w:type="page"/>
      </w:r>
    </w:p>
    <w:tbl>
      <w:tblPr>
        <w:tblOverlap w:val="never"/>
        <w:jc w:val="left"/>
        <w:tblLayout w:type="fixed"/>
      </w:tblPr>
      <w:tblGrid>
        <w:gridCol w:w="1512"/>
        <w:gridCol w:w="917"/>
        <w:gridCol w:w="1474"/>
        <w:gridCol w:w="1848"/>
        <w:gridCol w:w="1387"/>
        <w:gridCol w:w="1598"/>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利率变动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2015</w:t>
            </w:r>
            <w:r>
              <w:rPr>
                <w:b/>
                <w:bCs/>
                <w:color w:val="000000"/>
                <w:spacing w:val="0"/>
                <w:w w:val="100"/>
                <w:position w:val="0"/>
                <w:sz w:val="19"/>
                <w:szCs w:val="19"/>
              </w:rPr>
              <w:t>年度</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对净利润的影响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对所有者权益的影响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对净利润的影 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对所有者权益的 影响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浮动利率借款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增加</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浮动利率借款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减少</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170,000.00</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328" w:name="bookmark1328"/>
      <w:bookmarkStart w:id="1329" w:name="bookmark1329"/>
      <w:bookmarkStart w:id="1330" w:name="bookmark1330"/>
      <w:r>
        <w:rPr>
          <w:color w:val="000000"/>
          <w:spacing w:val="0"/>
          <w:w w:val="100"/>
          <w:position w:val="0"/>
          <w:sz w:val="24"/>
          <w:szCs w:val="24"/>
        </w:rPr>
        <w:t>十一、关联方及关联交易</w:t>
      </w:r>
      <w:bookmarkEnd w:id="1328"/>
      <w:bookmarkEnd w:id="1329"/>
      <w:bookmarkEnd w:id="1330"/>
    </w:p>
    <w:p>
      <w:pPr>
        <w:pStyle w:val="Style32"/>
        <w:keepNext/>
        <w:keepLines/>
        <w:widowControl w:val="0"/>
        <w:shd w:val="clear" w:color="auto" w:fill="auto"/>
        <w:bidi w:val="0"/>
        <w:spacing w:before="0" w:after="320" w:line="240" w:lineRule="auto"/>
        <w:ind w:left="0" w:right="0" w:firstLine="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31"/>
      <w:bookmarkEnd w:id="1332"/>
      <w:bookmarkEnd w:id="1333"/>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服务器生产与销售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5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宝德控股直接持有本公司</w:t>
      </w:r>
      <w:r>
        <w:rPr>
          <w:color w:val="000000"/>
          <w:spacing w:val="0"/>
          <w:w w:val="100"/>
          <w:position w:val="0"/>
          <w:sz w:val="20"/>
          <w:szCs w:val="20"/>
        </w:rPr>
        <w:t>27.28%</w:t>
      </w:r>
      <w:r>
        <w:rPr>
          <w:color w:val="000000"/>
          <w:spacing w:val="0"/>
          <w:w w:val="100"/>
          <w:position w:val="0"/>
        </w:rPr>
        <w:t>股权，宝德科技直接持有本公司</w:t>
      </w:r>
      <w:r>
        <w:rPr>
          <w:color w:val="000000"/>
          <w:spacing w:val="0"/>
          <w:w w:val="100"/>
          <w:position w:val="0"/>
          <w:sz w:val="20"/>
          <w:szCs w:val="20"/>
        </w:rPr>
        <w:t>15.24%</w:t>
      </w:r>
      <w:r>
        <w:rPr>
          <w:color w:val="000000"/>
          <w:spacing w:val="0"/>
          <w:w w:val="100"/>
          <w:position w:val="0"/>
        </w:rPr>
        <w:t>股权。</w:t>
      </w:r>
    </w:p>
    <w:p>
      <w:pPr>
        <w:pStyle w:val="Style53"/>
        <w:keepNext w:val="0"/>
        <w:keepLines w:val="0"/>
        <w:widowControl w:val="0"/>
        <w:shd w:val="clear" w:color="auto" w:fill="auto"/>
        <w:bidi w:val="0"/>
        <w:spacing w:before="0" w:after="460" w:line="310" w:lineRule="exact"/>
        <w:ind w:left="0" w:right="0" w:firstLine="460"/>
        <w:jc w:val="both"/>
      </w:pPr>
      <w:r>
        <w:rPr>
          <w:color w:val="000000"/>
          <w:spacing w:val="0"/>
          <w:w w:val="100"/>
          <w:position w:val="0"/>
        </w:rPr>
        <w:t>李瑞杰与张云霞系夫妻关系，分别持有深圳前海宝德资产管理有限公司</w:t>
      </w:r>
      <w:r>
        <w:rPr>
          <w:color w:val="000000"/>
          <w:spacing w:val="0"/>
          <w:w w:val="100"/>
          <w:position w:val="0"/>
          <w:sz w:val="20"/>
          <w:szCs w:val="20"/>
        </w:rPr>
        <w:t>87.50%</w:t>
      </w:r>
      <w:r>
        <w:rPr>
          <w:color w:val="000000"/>
          <w:spacing w:val="0"/>
          <w:w w:val="100"/>
          <w:position w:val="0"/>
        </w:rPr>
        <w:t>和</w:t>
      </w:r>
      <w:r>
        <w:rPr>
          <w:color w:val="000000"/>
          <w:spacing w:val="0"/>
          <w:w w:val="100"/>
          <w:position w:val="0"/>
          <w:sz w:val="20"/>
          <w:szCs w:val="20"/>
        </w:rPr>
        <w:t>12.50%</w:t>
      </w:r>
      <w:r>
        <w:rPr>
          <w:color w:val="000000"/>
          <w:spacing w:val="0"/>
          <w:w w:val="100"/>
          <w:position w:val="0"/>
        </w:rPr>
        <w:t>股权。深圳前海宝 德资产管理有限公司、李瑞杰和张云霞分别持有宝德控股股权的</w:t>
      </w:r>
      <w:r>
        <w:rPr>
          <w:color w:val="000000"/>
          <w:spacing w:val="0"/>
          <w:w w:val="100"/>
          <w:position w:val="0"/>
          <w:sz w:val="20"/>
          <w:szCs w:val="20"/>
        </w:rPr>
        <w:t>57.33%</w:t>
      </w:r>
      <w:r>
        <w:rPr>
          <w:color w:val="000000"/>
          <w:spacing w:val="0"/>
          <w:w w:val="100"/>
          <w:position w:val="0"/>
        </w:rPr>
        <w:t>、</w:t>
      </w:r>
      <w:r>
        <w:rPr>
          <w:color w:val="000000"/>
          <w:spacing w:val="0"/>
          <w:w w:val="100"/>
          <w:position w:val="0"/>
          <w:sz w:val="20"/>
          <w:szCs w:val="20"/>
        </w:rPr>
        <w:t>37.34%</w:t>
      </w:r>
      <w:r>
        <w:rPr>
          <w:color w:val="000000"/>
          <w:spacing w:val="0"/>
          <w:w w:val="100"/>
          <w:position w:val="0"/>
        </w:rPr>
        <w:t>和</w:t>
      </w:r>
      <w:r>
        <w:rPr>
          <w:color w:val="000000"/>
          <w:spacing w:val="0"/>
          <w:w w:val="100"/>
          <w:position w:val="0"/>
          <w:sz w:val="20"/>
          <w:szCs w:val="20"/>
        </w:rPr>
        <w:t>5.33%；</w:t>
      </w:r>
      <w:r>
        <w:rPr>
          <w:color w:val="000000"/>
          <w:spacing w:val="0"/>
          <w:w w:val="100"/>
          <w:position w:val="0"/>
        </w:rPr>
        <w:t>宝德控股则持有宝德 科技股权的</w:t>
      </w:r>
      <w:r>
        <w:rPr>
          <w:color w:val="000000"/>
          <w:spacing w:val="0"/>
          <w:w w:val="100"/>
          <w:position w:val="0"/>
          <w:sz w:val="20"/>
          <w:szCs w:val="20"/>
        </w:rPr>
        <w:t>42.05% ；</w:t>
      </w:r>
      <w:r>
        <w:rPr>
          <w:color w:val="000000"/>
          <w:spacing w:val="0"/>
          <w:w w:val="100"/>
          <w:position w:val="0"/>
        </w:rPr>
        <w:t>李瑞杰与张云霞二人通过宝德控股、宝德科技间接控制本公司。</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本企业最终控制方是李瑞杰和张云霞夫妇。</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)控股股东的注册资本及其变化</w:t>
      </w:r>
    </w:p>
    <w:tbl>
      <w:tblPr>
        <w:tblOverlap w:val="never"/>
        <w:jc w:val="left"/>
        <w:tblLayout w:type="fixed"/>
      </w:tblPr>
      <w:tblGrid>
        <w:gridCol w:w="1286"/>
        <w:gridCol w:w="1877"/>
        <w:gridCol w:w="1848"/>
        <w:gridCol w:w="1651"/>
        <w:gridCol w:w="187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本年减少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年末余额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800,000,000.00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宝德科技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243,000,000.00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243,000,000.00</w:t>
            </w:r>
          </w:p>
        </w:tc>
      </w:tr>
    </w:tbl>
    <w:p>
      <w:pPr>
        <w:widowControl w:val="0"/>
        <w:spacing w:after="259" w:line="1" w:lineRule="exact"/>
      </w:pPr>
    </w:p>
    <w:p>
      <w:pPr>
        <w:pStyle w:val="Style30"/>
        <w:keepNext w:val="0"/>
        <w:keepLines w:val="0"/>
        <w:widowControl w:val="0"/>
        <w:shd w:val="clear" w:color="auto" w:fill="auto"/>
        <w:bidi w:val="0"/>
        <w:spacing w:before="0" w:after="0" w:line="240" w:lineRule="auto"/>
        <w:ind w:left="91" w:right="0" w:firstLine="0"/>
        <w:jc w:val="left"/>
        <w:rPr>
          <w:sz w:val="19"/>
          <w:szCs w:val="19"/>
        </w:rPr>
      </w:pPr>
      <w:r>
        <w:rPr>
          <w:color w:val="000000"/>
          <w:spacing w:val="0"/>
          <w:w w:val="100"/>
          <w:position w:val="0"/>
          <w:sz w:val="20"/>
          <w:szCs w:val="20"/>
        </w:rPr>
        <w:t>(2)</w:t>
      </w:r>
      <w:r>
        <w:rPr>
          <w:color w:val="000000"/>
          <w:spacing w:val="0"/>
          <w:w w:val="100"/>
          <w:position w:val="0"/>
          <w:sz w:val="19"/>
          <w:szCs w:val="19"/>
        </w:rPr>
        <w:t>控股股东的所持股份或权益及其变化</w:t>
      </w:r>
    </w:p>
    <w:tbl>
      <w:tblPr>
        <w:tblOverlap w:val="never"/>
        <w:jc w:val="left"/>
        <w:tblLayout w:type="fixed"/>
      </w:tblPr>
      <w:tblGrid>
        <w:gridCol w:w="1286"/>
        <w:gridCol w:w="1608"/>
        <w:gridCol w:w="1723"/>
        <w:gridCol w:w="2098"/>
        <w:gridCol w:w="1819"/>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9"/>
                <w:szCs w:val="19"/>
              </w:rPr>
            </w:pPr>
            <w:r>
              <w:rPr>
                <w:b/>
                <w:bCs/>
                <w:color w:val="000000"/>
                <w:spacing w:val="0"/>
                <w:w w:val="100"/>
                <w:position w:val="0"/>
                <w:sz w:val="19"/>
                <w:szCs w:val="19"/>
              </w:rPr>
              <w:t>控股股东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持股数量</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持股比例(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9"/>
                <w:szCs w:val="19"/>
              </w:rPr>
              <w:t>)</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年初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年末比例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年初比例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71,214,882.00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71,214,882.00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宝德科技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39,780,000.00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39,780,000.00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15.24</w:t>
            </w:r>
          </w:p>
        </w:tc>
      </w:tr>
    </w:tbl>
    <w:p>
      <w:pPr>
        <w:widowControl w:val="0"/>
        <w:spacing w:after="63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color w:val="000000"/>
          <w:spacing w:val="0"/>
          <w:w w:val="100"/>
          <w:position w:val="0"/>
        </w:rPr>
        <w:t>、</w:t>
        <w:tab/>
        <w:t>本企业的子公司情况</w:t>
      </w:r>
      <w:bookmarkEnd w:id="1334"/>
      <w:bookmarkEnd w:id="1335"/>
      <w:bookmarkEnd w:id="133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color w:val="000000"/>
          <w:spacing w:val="0"/>
          <w:w w:val="100"/>
          <w:position w:val="0"/>
        </w:rPr>
        <w:t>、</w:t>
        <w:tab/>
        <w:t>本企业合营和联营企业情况</w:t>
      </w:r>
      <w:bookmarkEnd w:id="1338"/>
      <w:bookmarkEnd w:id="1339"/>
      <w:bookmarkEnd w:id="1341"/>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上海顶势网络科技有限公司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广州卓游网络科技有限公司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color w:val="000000"/>
          <w:spacing w:val="0"/>
          <w:w w:val="100"/>
          <w:position w:val="0"/>
        </w:rPr>
        <w:t>、其他关联方情况</w:t>
      </w:r>
      <w:bookmarkEnd w:id="1342"/>
      <w:bookmarkEnd w:id="1343"/>
      <w:bookmarkEnd w:id="134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深圳市宝德计算机系统有限公司（以下简称宝德计算机）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母公司控制的企业（宝德科技占</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深圳市速必拓网络科技有限公司（以下简称速必拓）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实际控制人控制的企业（张云霞占</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，宝德控股占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深圳市宝德软件开发有限公司（以下简称宝德软件）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母公司控制的企业（宝德科技占</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宝德科技（香港）有限公司（以下简称宝德科技（香港））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母公司控制的企业（宝德科技占</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深圳市宝腾互联科技有限公司（以下简称深圳宝腾互联）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母公司控制的企业（宝德科技占</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深圳中付通电子商务有限公司（以下简称深圳中付通）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原全资子公司，现母公司控制的企业（宝德控股占</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四川宝腾互联科技有限公司（以下简称四川宝腾互联）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宝德科技持股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7"/>
                <w:szCs w:val="17"/>
              </w:rPr>
              <w:t>，四川名冠天下持股</w:t>
            </w: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副总经理、运维总监，网诚科技的股东（持股</w:t>
            </w:r>
            <w:r>
              <w:rPr>
                <w:rFonts w:ascii="Times New Roman" w:eastAsia="Times New Roman" w:hAnsi="Times New Roman" w:cs="Times New Roman"/>
                <w:color w:val="000000"/>
                <w:spacing w:val="0"/>
                <w:w w:val="100"/>
                <w:position w:val="0"/>
                <w:sz w:val="18"/>
                <w:szCs w:val="18"/>
              </w:rPr>
              <w:t>10.40%</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5</w:t>
      </w:r>
      <w:bookmarkEnd w:id="1348"/>
      <w:r>
        <w:rPr>
          <w:color w:val="000000"/>
          <w:spacing w:val="0"/>
          <w:w w:val="100"/>
          <w:position w:val="0"/>
        </w:rPr>
        <w:t>、关联交易情况</w:t>
      </w:r>
      <w:bookmarkEnd w:id="1346"/>
      <w:bookmarkEnd w:id="1347"/>
      <w:bookmarkEnd w:id="1349"/>
    </w:p>
    <w:p>
      <w:pPr>
        <w:pStyle w:val="Style36"/>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50"/>
      <w:bookmarkEnd w:id="1351"/>
      <w:bookmarkEnd w:id="135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深圳市宝德计算机 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服务器、电脑及配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深圳市速必拓网络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服务器托管服务 及宽带服务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2,370,679.28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3,178,833.68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深圳市宝腾互联科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服务器托管服务 及宽带服务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深圳市宝德软件开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服务器托管服务 及宽带服务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861,336.13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服务器托管服务 及宽带服务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服务器、电脑及配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2,971,815.97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4,408,869.81</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四川宝腾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速必拓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186,837.64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191,453.02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16,630.00</w:t>
            </w:r>
          </w:p>
        </w:tc>
      </w:tr>
    </w:tbl>
    <w:p>
      <w:pPr>
        <w:widowControl w:val="0"/>
        <w:spacing w:after="679" w:line="1" w:lineRule="exact"/>
      </w:pPr>
    </w:p>
    <w:p>
      <w:pPr>
        <w:pStyle w:val="Style36"/>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353"/>
      <w:bookmarkEnd w:id="1354"/>
      <w:bookmarkEnd w:id="135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2,415,005.18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1,994,050.00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2,352,603.45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1,926,150.00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4,767,608.63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3,920,200.00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37,714.29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37,714.29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6"/>
        <w:keepNext w:val="0"/>
        <w:keepLines w:val="0"/>
        <w:widowControl w:val="0"/>
        <w:numPr>
          <w:ilvl w:val="0"/>
          <w:numId w:val="25"/>
        </w:numPr>
        <w:shd w:val="clear" w:color="auto" w:fill="auto"/>
        <w:tabs>
          <w:tab w:pos="768" w:val="left"/>
        </w:tabs>
        <w:bidi w:val="0"/>
        <w:spacing w:before="0" w:after="280" w:line="319" w:lineRule="exact"/>
        <w:ind w:left="0" w:right="0" w:firstLine="460"/>
        <w:jc w:val="left"/>
      </w:pPr>
      <w:bookmarkStart w:id="1356" w:name="bookmark1356"/>
      <w:bookmarkEnd w:id="1356"/>
      <w:r>
        <w:rPr>
          <w:color w:val="000000"/>
          <w:spacing w:val="0"/>
          <w:w w:val="100"/>
          <w:position w:val="0"/>
        </w:rPr>
        <w:t>本公司与宝德控股签订《房屋出租合同》，约定将本公司向深圳市福田区政府物业管理中心承租的位于深圳市福田区 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号深圳国际创新中心（福田科技广场）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层，建筑面积</w:t>
      </w:r>
      <w:r>
        <w:rPr>
          <w:rFonts w:ascii="Times New Roman" w:eastAsia="Times New Roman" w:hAnsi="Times New Roman" w:cs="Times New Roman"/>
          <w:color w:val="000000"/>
          <w:spacing w:val="0"/>
          <w:w w:val="100"/>
          <w:position w:val="0"/>
          <w:sz w:val="18"/>
          <w:szCs w:val="18"/>
        </w:rPr>
        <w:t>1,395.02</w:t>
      </w:r>
      <w:r>
        <w:rPr>
          <w:color w:val="000000"/>
          <w:spacing w:val="0"/>
          <w:w w:val="100"/>
          <w:position w:val="0"/>
        </w:rPr>
        <w:t>平方米的房屋租赁给宝德控股使用，月租 金为</w:t>
      </w:r>
      <w:r>
        <w:rPr>
          <w:rFonts w:ascii="Times New Roman" w:eastAsia="Times New Roman" w:hAnsi="Times New Roman" w:cs="Times New Roman"/>
          <w:color w:val="000000"/>
          <w:spacing w:val="0"/>
          <w:w w:val="100"/>
          <w:position w:val="0"/>
          <w:sz w:val="18"/>
          <w:szCs w:val="18"/>
        </w:rPr>
        <w:t>165,600.00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日，同时本公司给予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个月免租期。</w:t>
      </w:r>
    </w:p>
    <w:p>
      <w:pPr>
        <w:pStyle w:val="Style26"/>
        <w:keepNext w:val="0"/>
        <w:keepLines w:val="0"/>
        <w:widowControl w:val="0"/>
        <w:numPr>
          <w:ilvl w:val="0"/>
          <w:numId w:val="25"/>
        </w:numPr>
        <w:shd w:val="clear" w:color="auto" w:fill="auto"/>
        <w:tabs>
          <w:tab w:pos="768" w:val="left"/>
        </w:tabs>
        <w:bidi w:val="0"/>
        <w:spacing w:before="0" w:after="280" w:line="319" w:lineRule="exact"/>
        <w:ind w:left="0" w:right="0" w:firstLine="460"/>
        <w:jc w:val="left"/>
      </w:pPr>
      <w:bookmarkStart w:id="1357" w:name="bookmark1357"/>
      <w:bookmarkEnd w:id="1357"/>
      <w:r>
        <w:rPr>
          <w:color w:val="000000"/>
          <w:spacing w:val="0"/>
          <w:w w:val="100"/>
          <w:position w:val="0"/>
        </w:rPr>
        <w:t>本公司与宝德科技签订《房屋出租合同》，约定将本公司向深圳市福田区政府物业管理中心承租的位于深圳市福田区 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号深圳国际创新中心（福田科技广场）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层，建筑面积</w:t>
      </w:r>
      <w:r>
        <w:rPr>
          <w:rFonts w:ascii="Times New Roman" w:eastAsia="Times New Roman" w:hAnsi="Times New Roman" w:cs="Times New Roman"/>
          <w:color w:val="000000"/>
          <w:spacing w:val="0"/>
          <w:w w:val="100"/>
          <w:position w:val="0"/>
          <w:sz w:val="18"/>
          <w:szCs w:val="18"/>
        </w:rPr>
        <w:t>1,400.59</w:t>
      </w:r>
      <w:r>
        <w:rPr>
          <w:color w:val="000000"/>
          <w:spacing w:val="0"/>
          <w:w w:val="100"/>
          <w:position w:val="0"/>
        </w:rPr>
        <w:t>平方米的房屋租赁给宝德科技使用，月租 金为</w:t>
      </w:r>
      <w:r>
        <w:rPr>
          <w:rFonts w:ascii="Times New Roman" w:eastAsia="Times New Roman" w:hAnsi="Times New Roman" w:cs="Times New Roman"/>
          <w:color w:val="000000"/>
          <w:spacing w:val="0"/>
          <w:w w:val="100"/>
          <w:position w:val="0"/>
          <w:sz w:val="18"/>
          <w:szCs w:val="18"/>
        </w:rPr>
        <w:t>171,500.00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日，同时本公司给予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个月免租期。</w:t>
      </w:r>
    </w:p>
    <w:p>
      <w:pPr>
        <w:pStyle w:val="Style26"/>
        <w:keepNext w:val="0"/>
        <w:keepLines w:val="0"/>
        <w:widowControl w:val="0"/>
        <w:numPr>
          <w:ilvl w:val="0"/>
          <w:numId w:val="25"/>
        </w:numPr>
        <w:shd w:val="clear" w:color="auto" w:fill="auto"/>
        <w:tabs>
          <w:tab w:pos="768" w:val="left"/>
        </w:tabs>
        <w:bidi w:val="0"/>
        <w:spacing w:before="0" w:after="280" w:line="319" w:lineRule="exact"/>
        <w:ind w:left="0" w:right="0" w:firstLine="460"/>
        <w:jc w:val="left"/>
      </w:pPr>
      <w:bookmarkStart w:id="1358" w:name="bookmark1358"/>
      <w:bookmarkEnd w:id="1358"/>
      <w:r>
        <w:rPr>
          <w:color w:val="000000"/>
          <w:spacing w:val="0"/>
          <w:w w:val="100"/>
          <w:position w:val="0"/>
        </w:rPr>
        <w:t>本公司与宝德控股签订《房屋出租合同》，约定将本公司向深圳市福田区政府物业管理中心承租的位于深圳市福田区 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号深圳国际创新中心（福田科技广场）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层，建筑面积</w:t>
      </w:r>
      <w:r>
        <w:rPr>
          <w:rFonts w:ascii="Times New Roman" w:eastAsia="Times New Roman" w:hAnsi="Times New Roman" w:cs="Times New Roman"/>
          <w:color w:val="000000"/>
          <w:spacing w:val="0"/>
          <w:w w:val="100"/>
          <w:position w:val="0"/>
          <w:sz w:val="18"/>
          <w:szCs w:val="18"/>
        </w:rPr>
        <w:t>1,395.02</w:t>
      </w:r>
      <w:r>
        <w:rPr>
          <w:color w:val="000000"/>
          <w:spacing w:val="0"/>
          <w:w w:val="100"/>
          <w:position w:val="0"/>
        </w:rPr>
        <w:t>平方米的房屋租赁给宝德控股使用，月租 金为</w:t>
      </w:r>
      <w:r>
        <w:rPr>
          <w:rFonts w:ascii="Times New Roman" w:eastAsia="Times New Roman" w:hAnsi="Times New Roman" w:cs="Times New Roman"/>
          <w:color w:val="000000"/>
          <w:spacing w:val="0"/>
          <w:w w:val="100"/>
          <w:position w:val="0"/>
          <w:sz w:val="18"/>
          <w:szCs w:val="18"/>
        </w:rPr>
        <w:t>170,700.00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numPr>
          <w:ilvl w:val="0"/>
          <w:numId w:val="25"/>
        </w:numPr>
        <w:shd w:val="clear" w:color="auto" w:fill="auto"/>
        <w:tabs>
          <w:tab w:pos="768" w:val="left"/>
        </w:tabs>
        <w:bidi w:val="0"/>
        <w:spacing w:before="0" w:after="280" w:line="319" w:lineRule="exact"/>
        <w:ind w:left="0" w:right="0" w:firstLine="460"/>
        <w:jc w:val="left"/>
      </w:pPr>
      <w:bookmarkStart w:id="1359" w:name="bookmark1359"/>
      <w:bookmarkEnd w:id="1359"/>
      <w:r>
        <w:rPr>
          <w:color w:val="000000"/>
          <w:spacing w:val="0"/>
          <w:w w:val="100"/>
          <w:position w:val="0"/>
        </w:rPr>
        <w:t>本公司与宝德科技签订《房屋出租合同》，约定将本公司向深圳市福田区政府物业管理中心承租的位于深圳市福田区 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号深圳国际创新中心（福田科技广场）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层，建筑面积</w:t>
      </w:r>
      <w:r>
        <w:rPr>
          <w:rFonts w:ascii="Times New Roman" w:eastAsia="Times New Roman" w:hAnsi="Times New Roman" w:cs="Times New Roman"/>
          <w:color w:val="000000"/>
          <w:spacing w:val="0"/>
          <w:w w:val="100"/>
          <w:position w:val="0"/>
          <w:sz w:val="18"/>
          <w:szCs w:val="18"/>
        </w:rPr>
        <w:t>1,400.59</w:t>
      </w:r>
      <w:r>
        <w:rPr>
          <w:color w:val="000000"/>
          <w:spacing w:val="0"/>
          <w:w w:val="100"/>
          <w:position w:val="0"/>
        </w:rPr>
        <w:t>平方米的房屋租赁给宝德科技使用，月租 金为</w:t>
      </w:r>
      <w:r>
        <w:rPr>
          <w:rFonts w:ascii="Times New Roman" w:eastAsia="Times New Roman" w:hAnsi="Times New Roman" w:cs="Times New Roman"/>
          <w:color w:val="000000"/>
          <w:spacing w:val="0"/>
          <w:w w:val="100"/>
          <w:position w:val="0"/>
          <w:sz w:val="18"/>
          <w:szCs w:val="18"/>
        </w:rPr>
        <w:t>176,700.00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numPr>
          <w:ilvl w:val="0"/>
          <w:numId w:val="25"/>
        </w:numPr>
        <w:shd w:val="clear" w:color="auto" w:fill="auto"/>
        <w:tabs>
          <w:tab w:pos="332" w:val="left"/>
        </w:tabs>
        <w:bidi w:val="0"/>
        <w:spacing w:before="0" w:after="280" w:line="319" w:lineRule="exact"/>
        <w:ind w:left="0" w:right="0" w:firstLine="460"/>
        <w:jc w:val="left"/>
      </w:pPr>
      <w:bookmarkStart w:id="1360" w:name="bookmark1360"/>
      <w:bookmarkEnd w:id="1360"/>
      <w:r>
        <w:rPr>
          <w:color w:val="000000"/>
          <w:spacing w:val="0"/>
          <w:w w:val="100"/>
          <w:position w:val="0"/>
        </w:rPr>
        <w:t xml:space="preserve">本公司与宝德控股签订《房屋出租合同》，约定将本公司向深圳市福田区政府物业管理中心承租的位于深圳市福田区 </w:t>
      </w:r>
      <w:r>
        <w:rPr>
          <w:color w:val="000000"/>
          <w:spacing w:val="0"/>
          <w:w w:val="100"/>
          <w:position w:val="0"/>
        </w:rPr>
        <w:t>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号深圳国际创新中心（福田科技广场）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层，建筑面积</w:t>
      </w:r>
      <w:r>
        <w:rPr>
          <w:rFonts w:ascii="Times New Roman" w:eastAsia="Times New Roman" w:hAnsi="Times New Roman" w:cs="Times New Roman"/>
          <w:color w:val="000000"/>
          <w:spacing w:val="0"/>
          <w:w w:val="100"/>
          <w:position w:val="0"/>
          <w:sz w:val="18"/>
          <w:szCs w:val="18"/>
        </w:rPr>
        <w:t>1,387.4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平方米的房屋租赁给宝德控股使用，月租 金为</w:t>
      </w:r>
      <w:r>
        <w:rPr>
          <w:rFonts w:ascii="Times New Roman" w:eastAsia="Times New Roman" w:hAnsi="Times New Roman" w:cs="Times New Roman"/>
          <w:color w:val="000000"/>
          <w:spacing w:val="0"/>
          <w:w w:val="100"/>
          <w:position w:val="0"/>
          <w:sz w:val="18"/>
          <w:szCs w:val="18"/>
        </w:rPr>
        <w:t>173,000</w:t>
      </w:r>
      <w:r>
        <w:rPr>
          <w:color w:val="000000"/>
          <w:spacing w:val="0"/>
          <w:w w:val="100"/>
          <w:position w:val="0"/>
        </w:rPr>
        <w:t>元、物业管理费每月</w:t>
      </w:r>
      <w:r>
        <w:rPr>
          <w:rFonts w:ascii="Times New Roman" w:eastAsia="Times New Roman" w:hAnsi="Times New Roman" w:cs="Times New Roman"/>
          <w:color w:val="000000"/>
          <w:spacing w:val="0"/>
          <w:w w:val="100"/>
          <w:position w:val="0"/>
          <w:sz w:val="18"/>
          <w:szCs w:val="18"/>
        </w:rPr>
        <w:t>18,3000</w:t>
      </w:r>
      <w:r>
        <w:rPr>
          <w:color w:val="000000"/>
          <w:spacing w:val="0"/>
          <w:w w:val="100"/>
          <w:position w:val="0"/>
        </w:rPr>
        <w:t>元、空调使用费每月</w:t>
      </w:r>
      <w:r>
        <w:rPr>
          <w:rFonts w:ascii="Times New Roman" w:eastAsia="Times New Roman" w:hAnsi="Times New Roman" w:cs="Times New Roman"/>
          <w:color w:val="000000"/>
          <w:spacing w:val="0"/>
          <w:w w:val="100"/>
          <w:position w:val="0"/>
          <w:sz w:val="18"/>
          <w:szCs w:val="18"/>
        </w:rPr>
        <w:t>15,960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numPr>
          <w:ilvl w:val="0"/>
          <w:numId w:val="25"/>
        </w:numPr>
        <w:shd w:val="clear" w:color="auto" w:fill="auto"/>
        <w:tabs>
          <w:tab w:pos="810" w:val="left"/>
        </w:tabs>
        <w:bidi w:val="0"/>
        <w:spacing w:before="0" w:after="280" w:line="319" w:lineRule="exact"/>
        <w:ind w:left="0" w:right="0" w:firstLine="460"/>
        <w:jc w:val="left"/>
      </w:pPr>
      <w:bookmarkStart w:id="1361" w:name="bookmark1361"/>
      <w:bookmarkEnd w:id="1361"/>
      <w:r>
        <w:rPr>
          <w:color w:val="000000"/>
          <w:spacing w:val="0"/>
          <w:w w:val="100"/>
          <w:position w:val="0"/>
        </w:rPr>
        <w:t>本公司与宝德科技签订《房屋出租合同》，约定将本公司向深圳市福田区政府物业管理中心承租的位于深圳市福田区 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号深圳国际创新中心（福田科技广场）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层，建筑面积</w:t>
      </w:r>
      <w:r>
        <w:rPr>
          <w:rFonts w:ascii="Times New Roman" w:eastAsia="Times New Roman" w:hAnsi="Times New Roman" w:cs="Times New Roman"/>
          <w:color w:val="000000"/>
          <w:spacing w:val="0"/>
          <w:w w:val="100"/>
          <w:position w:val="0"/>
          <w:sz w:val="18"/>
          <w:szCs w:val="18"/>
        </w:rPr>
        <w:t>1,392.8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平方米的房屋租赁给宝德科技使用，月租 金为</w:t>
      </w:r>
      <w:r>
        <w:rPr>
          <w:rFonts w:ascii="Times New Roman" w:eastAsia="Times New Roman" w:hAnsi="Times New Roman" w:cs="Times New Roman"/>
          <w:color w:val="000000"/>
          <w:spacing w:val="0"/>
          <w:w w:val="100"/>
          <w:position w:val="0"/>
          <w:sz w:val="18"/>
          <w:szCs w:val="18"/>
        </w:rPr>
        <w:t>179,000</w:t>
      </w:r>
      <w:r>
        <w:rPr>
          <w:color w:val="000000"/>
          <w:spacing w:val="0"/>
          <w:w w:val="100"/>
          <w:position w:val="0"/>
        </w:rPr>
        <w:t>元、物业管理费每月</w:t>
      </w:r>
      <w:r>
        <w:rPr>
          <w:rFonts w:ascii="Times New Roman" w:eastAsia="Times New Roman" w:hAnsi="Times New Roman" w:cs="Times New Roman"/>
          <w:color w:val="000000"/>
          <w:spacing w:val="0"/>
          <w:w w:val="100"/>
          <w:position w:val="0"/>
          <w:sz w:val="18"/>
          <w:szCs w:val="18"/>
        </w:rPr>
        <w:t>18,4000</w:t>
      </w:r>
      <w:r>
        <w:rPr>
          <w:color w:val="000000"/>
          <w:spacing w:val="0"/>
          <w:w w:val="100"/>
          <w:position w:val="0"/>
        </w:rPr>
        <w:t>元、空调使用费每月</w:t>
      </w:r>
      <w:r>
        <w:rPr>
          <w:rFonts w:ascii="Times New Roman" w:eastAsia="Times New Roman" w:hAnsi="Times New Roman" w:cs="Times New Roman"/>
          <w:color w:val="000000"/>
          <w:spacing w:val="0"/>
          <w:w w:val="100"/>
          <w:position w:val="0"/>
          <w:sz w:val="18"/>
          <w:szCs w:val="18"/>
        </w:rPr>
        <w:t>16,025</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numPr>
          <w:ilvl w:val="0"/>
          <w:numId w:val="25"/>
        </w:numPr>
        <w:shd w:val="clear" w:color="auto" w:fill="auto"/>
        <w:tabs>
          <w:tab w:pos="810" w:val="left"/>
        </w:tabs>
        <w:bidi w:val="0"/>
        <w:spacing w:before="0" w:after="280" w:line="317" w:lineRule="exact"/>
        <w:ind w:left="0" w:right="0" w:firstLine="460"/>
        <w:jc w:val="left"/>
      </w:pPr>
      <w:bookmarkStart w:id="1362" w:name="bookmark1362"/>
      <w:bookmarkEnd w:id="1362"/>
      <w:r>
        <w:rPr>
          <w:color w:val="000000"/>
          <w:spacing w:val="0"/>
          <w:w w:val="100"/>
          <w:position w:val="0"/>
        </w:rPr>
        <w:t>本公司与母公司宝德科技于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日签定房地产租赁合同：租用深圳市福田区深南路电子科技大厦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 xml:space="preserve">， </w:t>
      </w:r>
      <w:r>
        <w:rPr>
          <w:color w:val="000000"/>
          <w:spacing w:val="0"/>
          <w:w w:val="100"/>
          <w:position w:val="0"/>
        </w:rPr>
        <w:t>建筑面积</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平方米，合同约定租赁期限为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日，月租金总额为人民币</w:t>
      </w:r>
      <w:r>
        <w:rPr>
          <w:rFonts w:ascii="Times New Roman" w:eastAsia="Times New Roman" w:hAnsi="Times New Roman" w:cs="Times New Roman"/>
          <w:color w:val="000000"/>
          <w:spacing w:val="0"/>
          <w:w w:val="100"/>
          <w:position w:val="0"/>
          <w:sz w:val="18"/>
          <w:szCs w:val="18"/>
        </w:rPr>
        <w:t>3,300.00</w:t>
      </w:r>
      <w:r>
        <w:rPr>
          <w:color w:val="000000"/>
          <w:spacing w:val="0"/>
          <w:w w:val="100"/>
          <w:position w:val="0"/>
        </w:rPr>
        <w:t>元。</w:t>
      </w:r>
    </w:p>
    <w:p>
      <w:pPr>
        <w:pStyle w:val="Style26"/>
        <w:keepNext w:val="0"/>
        <w:keepLines w:val="0"/>
        <w:widowControl w:val="0"/>
        <w:numPr>
          <w:ilvl w:val="0"/>
          <w:numId w:val="25"/>
        </w:numPr>
        <w:shd w:val="clear" w:color="auto" w:fill="auto"/>
        <w:tabs>
          <w:tab w:pos="824" w:val="left"/>
        </w:tabs>
        <w:bidi w:val="0"/>
        <w:spacing w:before="0" w:after="680" w:line="317" w:lineRule="exact"/>
        <w:ind w:left="0" w:right="0" w:firstLine="460"/>
        <w:jc w:val="left"/>
      </w:pPr>
      <w:bookmarkStart w:id="1363" w:name="bookmark1363"/>
      <w:bookmarkEnd w:id="1363"/>
      <w:r>
        <w:rPr>
          <w:color w:val="000000"/>
          <w:spacing w:val="0"/>
          <w:w w:val="100"/>
          <w:position w:val="0"/>
        </w:rPr>
        <w:t>本公司与母公司宝德科技于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日签定房地产租赁合同：租用深圳市福田区深南中路电子科技大厦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r>
        <w:rPr>
          <w:color w:val="000000"/>
          <w:spacing w:val="0"/>
          <w:w w:val="100"/>
          <w:position w:val="0"/>
        </w:rPr>
        <w:t>建筑面积</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平方米，合同约定租赁期限为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日，月租金总额为人民币</w:t>
      </w:r>
      <w:r>
        <w:rPr>
          <w:rFonts w:ascii="Times New Roman" w:eastAsia="Times New Roman" w:hAnsi="Times New Roman" w:cs="Times New Roman"/>
          <w:color w:val="000000"/>
          <w:spacing w:val="0"/>
          <w:w w:val="100"/>
          <w:position w:val="0"/>
          <w:sz w:val="18"/>
          <w:szCs w:val="18"/>
        </w:rPr>
        <w:t>3,300.00</w:t>
      </w:r>
      <w:r>
        <w:rPr>
          <w:color w:val="000000"/>
          <w:spacing w:val="0"/>
          <w:w w:val="100"/>
          <w:position w:val="0"/>
        </w:rPr>
        <w:t>元。</w:t>
      </w:r>
    </w:p>
    <w:p>
      <w:pPr>
        <w:pStyle w:val="Style36"/>
        <w:keepNext/>
        <w:keepLines/>
        <w:widowControl w:val="0"/>
        <w:shd w:val="clear" w:color="auto" w:fill="auto"/>
        <w:bidi w:val="0"/>
        <w:spacing w:before="0" w:after="40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364"/>
      <w:bookmarkEnd w:id="1365"/>
      <w:bookmarkEnd w:id="136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宝德控股，李瑞杰，张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宝德控股，李瑞杰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宝德控股，李瑞杰，张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宝德控股，李瑞杰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债务履行期限届满之日 起两年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宝德控股，李瑞杰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宝德控股，李瑞杰，张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李瑞杰，张云霞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债务履行期限届满之日 起两年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宝德控股，李瑞杰，张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宝德控股，李瑞杰，张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36"/>
        <w:keepNext/>
        <w:keepLines/>
        <w:widowControl w:val="0"/>
        <w:numPr>
          <w:ilvl w:val="0"/>
          <w:numId w:val="23"/>
        </w:numPr>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关键管理人员报酬</w:t>
      </w:r>
      <w:bookmarkEnd w:id="1368"/>
      <w:bookmarkEnd w:id="1369"/>
      <w:bookmarkEnd w:id="13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2,111,307.56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2,528,688.49</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6</w:t>
      </w:r>
      <w:bookmarkEnd w:id="1374"/>
      <w:r>
        <w:rPr>
          <w:color w:val="000000"/>
          <w:spacing w:val="0"/>
          <w:w w:val="100"/>
          <w:position w:val="0"/>
        </w:rPr>
        <w:t>、关联方应收应付款项</w:t>
      </w:r>
      <w:bookmarkEnd w:id="1372"/>
      <w:bookmarkEnd w:id="1373"/>
      <w:bookmarkEnd w:id="1375"/>
    </w:p>
    <w:p>
      <w:pPr>
        <w:pStyle w:val="Style36"/>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376"/>
      <w:bookmarkEnd w:id="1377"/>
      <w:bookmarkEnd w:id="13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766,311.77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766,311.77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766,311.77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766,311.77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766,311.77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766,311.77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766,311.77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766,311.77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2,697,427.56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2,697,427.56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2,697,427.56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2,697,427.56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2,707,536.27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2,698,392.92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2,706,626.12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2,697,887.49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379"/>
      <w:bookmarkEnd w:id="1380"/>
      <w:bookmarkEnd w:id="13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速必拓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577,348.02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798,403.40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277,635.96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深圳宝腾互联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103,842.43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762,145.14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1,117,394.05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397,994.70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469,352.02</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461,406.40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461,269.24</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深圳中付通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107,814.42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3,700.11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972,150.73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1,042,135.79</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382" w:name="bookmark1382"/>
      <w:bookmarkStart w:id="1383" w:name="bookmark1383"/>
      <w:bookmarkStart w:id="1384" w:name="bookmark1384"/>
      <w:r>
        <w:rPr>
          <w:color w:val="000000"/>
          <w:spacing w:val="0"/>
          <w:w w:val="100"/>
          <w:position w:val="0"/>
          <w:sz w:val="24"/>
          <w:szCs w:val="24"/>
        </w:rPr>
        <w:t>十二、股份支付</w:t>
      </w:r>
      <w:bookmarkEnd w:id="1382"/>
      <w:bookmarkEnd w:id="1383"/>
      <w:bookmarkEnd w:id="1384"/>
    </w:p>
    <w:p>
      <w:pPr>
        <w:pStyle w:val="Style32"/>
        <w:keepNext/>
        <w:keepLines/>
        <w:widowControl w:val="0"/>
        <w:shd w:val="clear" w:color="auto" w:fill="auto"/>
        <w:bidi w:val="0"/>
        <w:spacing w:before="0" w:line="240" w:lineRule="auto"/>
        <w:ind w:left="0" w:right="0" w:firstLine="0"/>
        <w:jc w:val="both"/>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385"/>
      <w:bookmarkEnd w:id="1386"/>
      <w:bookmarkEnd w:id="1387"/>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1,227,600.00</w:t>
            </w:r>
          </w:p>
        </w:tc>
      </w:tr>
    </w:tbl>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388"/>
      <w:bookmarkEnd w:id="1389"/>
      <w:bookmarkEnd w:id="1390"/>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布莱克斯科尔斯默顿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期权定价公式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模型）确定 授予的期权的公允价值</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被授予期权的职工均为公司高管及核心管理人员，本公司 根据实际离职情况以及公司未来发展状况合理估计未来将 离职的职工人数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1,750,041.00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-189,557.10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00" w:line="317"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日召开的第三次临时股东大会审议通过了《深圳中青宝互动网络股份有限公司股权期权激励计 划（草案修订版）》的议案，拟授予激励对象</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万股股票期权，其中预留</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万股份给预留激励对象，预留股票期权应在本计 划生效后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个月内进行后期授予。每份股票期权拥有在授权日起五年内的可行权日以行权价格和行权条件购买一股本公司股 票的权利。</w:t>
      </w:r>
    </w:p>
    <w:p>
      <w:pPr>
        <w:pStyle w:val="Style26"/>
        <w:keepNext w:val="0"/>
        <w:keepLines w:val="0"/>
        <w:widowControl w:val="0"/>
        <w:shd w:val="clear" w:color="auto" w:fill="auto"/>
        <w:bidi w:val="0"/>
        <w:spacing w:before="0" w:after="300" w:line="314" w:lineRule="exact"/>
        <w:ind w:left="0" w:right="0" w:firstLine="460"/>
        <w:jc w:val="both"/>
      </w:pPr>
      <w:bookmarkStart w:id="1391" w:name="bookmark1391"/>
      <w:r>
        <w:rPr>
          <w:color w:val="000000"/>
          <w:spacing w:val="0"/>
          <w:w w:val="100"/>
          <w:position w:val="0"/>
        </w:rPr>
        <w:t>（</w:t>
      </w:r>
      <w:bookmarkEnd w:id="13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）股票期权激励计划首期期权情况</w:t>
      </w:r>
    </w:p>
    <w:p>
      <w:pPr>
        <w:pStyle w:val="Style26"/>
        <w:keepNext w:val="0"/>
        <w:keepLines w:val="0"/>
        <w:widowControl w:val="0"/>
        <w:shd w:val="clear" w:color="auto" w:fill="auto"/>
        <w:bidi w:val="0"/>
        <w:spacing w:before="0" w:after="300" w:line="310" w:lineRule="exact"/>
        <w:ind w:left="0" w:right="0" w:firstLine="460"/>
        <w:jc w:val="both"/>
      </w:pPr>
      <w:r>
        <w:rPr>
          <w:color w:val="000000"/>
          <w:spacing w:val="0"/>
          <w:w w:val="100"/>
          <w:position w:val="0"/>
        </w:rPr>
        <w:t>根据本公司第二届董事会第十六次会议决议，确定股票期权激励计划首期期权的授予日为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日。满足行权 条件的激励对象将在一年的等待期后，根据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年的行权达标情况分别予以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的行权，行权有效期均为首个可行权日至整个计划截止期。以授予日</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股股票收盘价</w:t>
      </w:r>
      <w:r>
        <w:rPr>
          <w:rFonts w:ascii="Times New Roman" w:eastAsia="Times New Roman" w:hAnsi="Times New Roman" w:cs="Times New Roman"/>
          <w:color w:val="000000"/>
          <w:spacing w:val="0"/>
          <w:w w:val="100"/>
          <w:position w:val="0"/>
          <w:sz w:val="18"/>
          <w:szCs w:val="18"/>
        </w:rPr>
        <w:t>10.35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股为依据。本公司采用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 莱克斯科尔斯默顿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期权定价公式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模型）确定授予的期权的公允价值。</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模型选取的参数为：</w:t>
      </w:r>
    </w:p>
    <w:p>
      <w:pPr>
        <w:pStyle w:val="Style26"/>
        <w:keepNext w:val="0"/>
        <w:keepLines w:val="0"/>
        <w:widowControl w:val="0"/>
        <w:shd w:val="clear" w:color="auto" w:fill="auto"/>
        <w:tabs>
          <w:tab w:pos="762" w:val="left"/>
        </w:tabs>
        <w:bidi w:val="0"/>
        <w:spacing w:before="0" w:after="300" w:line="312" w:lineRule="exact"/>
        <w:ind w:left="0" w:right="0" w:firstLine="460"/>
        <w:jc w:val="left"/>
      </w:pPr>
      <w:bookmarkStart w:id="1392" w:name="bookmark1392"/>
      <w:r>
        <w:rPr>
          <w:rFonts w:ascii="Times New Roman" w:eastAsia="Times New Roman" w:hAnsi="Times New Roman" w:cs="Times New Roman"/>
          <w:color w:val="000000"/>
          <w:spacing w:val="0"/>
          <w:w w:val="100"/>
          <w:position w:val="0"/>
          <w:sz w:val="18"/>
          <w:szCs w:val="18"/>
        </w:rPr>
        <w:t>1</w:t>
      </w:r>
      <w:bookmarkEnd w:id="1392"/>
      <w:r>
        <w:rPr>
          <w:color w:val="000000"/>
          <w:spacing w:val="0"/>
          <w:w w:val="100"/>
          <w:position w:val="0"/>
        </w:rPr>
        <w:t>）</w:t>
        <w:tab/>
        <w:t>标的股份的现行价格：取授予日的股票收盘价</w:t>
      </w:r>
      <w:r>
        <w:rPr>
          <w:rFonts w:ascii="Times New Roman" w:eastAsia="Times New Roman" w:hAnsi="Times New Roman" w:cs="Times New Roman"/>
          <w:color w:val="000000"/>
          <w:spacing w:val="0"/>
          <w:w w:val="100"/>
          <w:position w:val="0"/>
          <w:sz w:val="18"/>
          <w:szCs w:val="18"/>
        </w:rPr>
        <w:t>10.35</w:t>
      </w:r>
      <w:r>
        <w:rPr>
          <w:color w:val="000000"/>
          <w:spacing w:val="0"/>
          <w:w w:val="100"/>
          <w:position w:val="0"/>
        </w:rPr>
        <w:t>元；</w:t>
      </w:r>
    </w:p>
    <w:p>
      <w:pPr>
        <w:pStyle w:val="Style26"/>
        <w:keepNext w:val="0"/>
        <w:keepLines w:val="0"/>
        <w:widowControl w:val="0"/>
        <w:shd w:val="clear" w:color="auto" w:fill="auto"/>
        <w:tabs>
          <w:tab w:pos="781" w:val="left"/>
        </w:tabs>
        <w:bidi w:val="0"/>
        <w:spacing w:before="0" w:after="300" w:line="312" w:lineRule="exact"/>
        <w:ind w:left="0" w:right="0" w:firstLine="460"/>
        <w:jc w:val="left"/>
      </w:pPr>
      <w:bookmarkStart w:id="1393" w:name="bookmark1393"/>
      <w:r>
        <w:rPr>
          <w:rFonts w:ascii="Times New Roman" w:eastAsia="Times New Roman" w:hAnsi="Times New Roman" w:cs="Times New Roman"/>
          <w:color w:val="000000"/>
          <w:spacing w:val="0"/>
          <w:w w:val="100"/>
          <w:position w:val="0"/>
          <w:sz w:val="18"/>
          <w:szCs w:val="18"/>
        </w:rPr>
        <w:t>2</w:t>
      </w:r>
      <w:bookmarkEnd w:id="1393"/>
      <w:r>
        <w:rPr>
          <w:color w:val="000000"/>
          <w:spacing w:val="0"/>
          <w:w w:val="100"/>
          <w:position w:val="0"/>
        </w:rPr>
        <w:t>）</w:t>
        <w:tab/>
        <w:t>期权的行权价格：根据本公司第二届董事会第十六次会议决议，确定期权的行权价格为</w:t>
      </w:r>
      <w:r>
        <w:rPr>
          <w:rFonts w:ascii="Times New Roman" w:eastAsia="Times New Roman" w:hAnsi="Times New Roman" w:cs="Times New Roman"/>
          <w:color w:val="000000"/>
          <w:spacing w:val="0"/>
          <w:w w:val="100"/>
          <w:position w:val="0"/>
          <w:sz w:val="18"/>
          <w:szCs w:val="18"/>
        </w:rPr>
        <w:t>13.18</w:t>
      </w:r>
      <w:r>
        <w:rPr>
          <w:color w:val="000000"/>
          <w:spacing w:val="0"/>
          <w:w w:val="100"/>
          <w:position w:val="0"/>
        </w:rPr>
        <w:t>元；</w:t>
      </w:r>
    </w:p>
    <w:p>
      <w:pPr>
        <w:pStyle w:val="Style26"/>
        <w:keepNext w:val="0"/>
        <w:keepLines w:val="0"/>
        <w:widowControl w:val="0"/>
        <w:shd w:val="clear" w:color="auto" w:fill="auto"/>
        <w:tabs>
          <w:tab w:pos="781" w:val="left"/>
        </w:tabs>
        <w:bidi w:val="0"/>
        <w:spacing w:before="0" w:after="300" w:line="312" w:lineRule="exact"/>
        <w:ind w:left="0" w:right="0" w:firstLine="460"/>
        <w:jc w:val="left"/>
      </w:pPr>
      <w:bookmarkStart w:id="1394" w:name="bookmark1394"/>
      <w:r>
        <w:rPr>
          <w:rFonts w:ascii="Times New Roman" w:eastAsia="Times New Roman" w:hAnsi="Times New Roman" w:cs="Times New Roman"/>
          <w:color w:val="000000"/>
          <w:spacing w:val="0"/>
          <w:w w:val="100"/>
          <w:position w:val="0"/>
          <w:sz w:val="18"/>
          <w:szCs w:val="18"/>
        </w:rPr>
        <w:t>3</w:t>
      </w:r>
      <w:bookmarkEnd w:id="1394"/>
      <w:r>
        <w:rPr>
          <w:color w:val="000000"/>
          <w:spacing w:val="0"/>
          <w:w w:val="100"/>
          <w:position w:val="0"/>
        </w:rPr>
        <w:t>）</w:t>
        <w:tab/>
        <w:t>期权的有效期：每份期权的有效剩余期限分别为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26"/>
        <w:keepNext w:val="0"/>
        <w:keepLines w:val="0"/>
        <w:widowControl w:val="0"/>
        <w:shd w:val="clear" w:color="auto" w:fill="auto"/>
        <w:tabs>
          <w:tab w:pos="753" w:val="left"/>
        </w:tabs>
        <w:bidi w:val="0"/>
        <w:spacing w:before="0" w:after="300" w:line="312" w:lineRule="exact"/>
        <w:ind w:left="0" w:right="0" w:firstLine="460"/>
        <w:jc w:val="left"/>
      </w:pPr>
      <w:bookmarkStart w:id="1395" w:name="bookmark1395"/>
      <w:r>
        <w:rPr>
          <w:rFonts w:ascii="Times New Roman" w:eastAsia="Times New Roman" w:hAnsi="Times New Roman" w:cs="Times New Roman"/>
          <w:color w:val="000000"/>
          <w:spacing w:val="0"/>
          <w:w w:val="100"/>
          <w:position w:val="0"/>
          <w:sz w:val="18"/>
          <w:szCs w:val="18"/>
        </w:rPr>
        <w:t>4</w:t>
      </w:r>
      <w:bookmarkEnd w:id="1395"/>
      <w:r>
        <w:rPr>
          <w:color w:val="000000"/>
          <w:spacing w:val="0"/>
          <w:w w:val="100"/>
          <w:position w:val="0"/>
        </w:rPr>
        <w:t>）</w:t>
        <w:tab/>
        <w:t>期权有效期内的无风险利率：以中国人民银行的定期存款利率代替无风险收益率，其中二年期定期存款利率代替第 一个行权期无风险收益率，</w:t>
      </w:r>
      <w:r>
        <w:rPr>
          <w:rFonts w:ascii="Times New Roman" w:eastAsia="Times New Roman" w:hAnsi="Times New Roman" w:cs="Times New Roman"/>
          <w:color w:val="000000"/>
          <w:spacing w:val="0"/>
          <w:w w:val="100"/>
          <w:position w:val="0"/>
          <w:sz w:val="18"/>
          <w:szCs w:val="18"/>
        </w:rPr>
        <w:t>r=4.4%</w:t>
      </w:r>
      <w:r>
        <w:rPr>
          <w:color w:val="000000"/>
          <w:spacing w:val="0"/>
          <w:w w:val="100"/>
          <w:position w:val="0"/>
        </w:rPr>
        <w:t>；三年期定期存款利率代替第二和第三个行权期无风险收益率，</w:t>
      </w:r>
      <w:r>
        <w:rPr>
          <w:rFonts w:ascii="Times New Roman" w:eastAsia="Times New Roman" w:hAnsi="Times New Roman" w:cs="Times New Roman"/>
          <w:color w:val="000000"/>
          <w:spacing w:val="0"/>
          <w:w w:val="100"/>
          <w:position w:val="0"/>
          <w:sz w:val="18"/>
          <w:szCs w:val="18"/>
        </w:rPr>
        <w:t>r=5%</w:t>
      </w:r>
      <w:r>
        <w:rPr>
          <w:color w:val="000000"/>
          <w:spacing w:val="0"/>
          <w:w w:val="100"/>
          <w:position w:val="0"/>
        </w:rPr>
        <w:t>；五期定期存款利 率代替第四个行权期无风险收益率，</w:t>
      </w:r>
      <w:r>
        <w:rPr>
          <w:rFonts w:ascii="Times New Roman" w:eastAsia="Times New Roman" w:hAnsi="Times New Roman" w:cs="Times New Roman"/>
          <w:color w:val="000000"/>
          <w:spacing w:val="0"/>
          <w:w w:val="100"/>
          <w:position w:val="0"/>
          <w:sz w:val="18"/>
          <w:szCs w:val="18"/>
        </w:rPr>
        <w:t>r=5.5%</w:t>
      </w:r>
      <w:r>
        <w:rPr>
          <w:color w:val="000000"/>
          <w:spacing w:val="0"/>
          <w:w w:val="100"/>
          <w:position w:val="0"/>
        </w:rPr>
        <w:t>，并将上述利率换算成连续复利的无风险利率；</w:t>
      </w:r>
    </w:p>
    <w:p>
      <w:pPr>
        <w:pStyle w:val="Style26"/>
        <w:keepNext w:val="0"/>
        <w:keepLines w:val="0"/>
        <w:widowControl w:val="0"/>
        <w:shd w:val="clear" w:color="auto" w:fill="auto"/>
        <w:tabs>
          <w:tab w:pos="749" w:val="left"/>
        </w:tabs>
        <w:bidi w:val="0"/>
        <w:spacing w:before="0" w:after="300" w:line="312" w:lineRule="exact"/>
        <w:ind w:left="0" w:right="0" w:firstLine="460"/>
        <w:jc w:val="left"/>
      </w:pPr>
      <w:bookmarkStart w:id="1396" w:name="bookmark1396"/>
      <w:r>
        <w:rPr>
          <w:rFonts w:ascii="Times New Roman" w:eastAsia="Times New Roman" w:hAnsi="Times New Roman" w:cs="Times New Roman"/>
          <w:color w:val="000000"/>
          <w:spacing w:val="0"/>
          <w:w w:val="100"/>
          <w:position w:val="0"/>
          <w:sz w:val="18"/>
          <w:szCs w:val="18"/>
        </w:rPr>
        <w:t>5</w:t>
      </w:r>
      <w:bookmarkEnd w:id="1396"/>
      <w:r>
        <w:rPr>
          <w:color w:val="000000"/>
          <w:spacing w:val="0"/>
          <w:w w:val="100"/>
          <w:position w:val="0"/>
        </w:rPr>
        <w:t>）</w:t>
        <w:tab/>
        <w:t>股价预计波动率：本公司考察了不同期间公司股票历史价格波动情况，剔除股改等非经常性事件影响及考虑到未来 中国证券市场将逐步走向成熟，本公司选用</w:t>
      </w:r>
      <w:r>
        <w:rPr>
          <w:rFonts w:ascii="Times New Roman" w:eastAsia="Times New Roman" w:hAnsi="Times New Roman" w:cs="Times New Roman"/>
          <w:color w:val="000000"/>
          <w:spacing w:val="0"/>
          <w:w w:val="100"/>
          <w:position w:val="0"/>
          <w:sz w:val="18"/>
          <w:szCs w:val="18"/>
        </w:rPr>
        <w:t>53.41%</w:t>
      </w:r>
      <w:r>
        <w:rPr>
          <w:color w:val="000000"/>
          <w:spacing w:val="0"/>
          <w:w w:val="100"/>
          <w:position w:val="0"/>
        </w:rPr>
        <w:t>经验值作为股价预期波动率；</w:t>
      </w:r>
    </w:p>
    <w:p>
      <w:pPr>
        <w:pStyle w:val="Style26"/>
        <w:keepNext w:val="0"/>
        <w:keepLines w:val="0"/>
        <w:widowControl w:val="0"/>
        <w:shd w:val="clear" w:color="auto" w:fill="auto"/>
        <w:tabs>
          <w:tab w:pos="758" w:val="left"/>
        </w:tabs>
        <w:bidi w:val="0"/>
        <w:spacing w:before="0" w:after="300" w:line="314" w:lineRule="exact"/>
        <w:ind w:left="0" w:right="0" w:firstLine="460"/>
        <w:jc w:val="left"/>
      </w:pPr>
      <w:bookmarkStart w:id="1397" w:name="bookmark1397"/>
      <w:r>
        <w:rPr>
          <w:rFonts w:ascii="Times New Roman" w:eastAsia="Times New Roman" w:hAnsi="Times New Roman" w:cs="Times New Roman"/>
          <w:color w:val="000000"/>
          <w:spacing w:val="0"/>
          <w:w w:val="100"/>
          <w:position w:val="0"/>
          <w:sz w:val="18"/>
          <w:szCs w:val="18"/>
        </w:rPr>
        <w:t>6</w:t>
      </w:r>
      <w:bookmarkEnd w:id="1397"/>
      <w:r>
        <w:rPr>
          <w:color w:val="000000"/>
          <w:spacing w:val="0"/>
          <w:w w:val="100"/>
          <w:position w:val="0"/>
        </w:rPr>
        <w:t>）</w:t>
        <w:tab/>
        <w:t>股份的预计利润：因分红率对期权公允价值的影响很小，本公司未考虑分红因素。根据上述参数的选取，运用</w:t>
      </w:r>
      <w:r>
        <w:rPr>
          <w:rFonts w:ascii="Times New Roman" w:eastAsia="Times New Roman" w:hAnsi="Times New Roman" w:cs="Times New Roman"/>
          <w:color w:val="000000"/>
          <w:spacing w:val="0"/>
          <w:w w:val="100"/>
          <w:position w:val="0"/>
          <w:sz w:val="18"/>
          <w:szCs w:val="18"/>
        </w:rPr>
        <w:t xml:space="preserve">BS </w:t>
      </w:r>
      <w:r>
        <w:rPr>
          <w:color w:val="000000"/>
          <w:spacing w:val="0"/>
          <w:w w:val="100"/>
          <w:position w:val="0"/>
        </w:rPr>
        <w:t>模型期权定价公式计算出期权的公允价值，其中行权有效期为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年的每份期权公允价值为</w:t>
      </w:r>
      <w:r>
        <w:rPr>
          <w:rFonts w:ascii="Times New Roman" w:eastAsia="Times New Roman" w:hAnsi="Times New Roman" w:cs="Times New Roman"/>
          <w:color w:val="000000"/>
          <w:spacing w:val="0"/>
          <w:w w:val="100"/>
          <w:position w:val="0"/>
          <w:sz w:val="18"/>
          <w:szCs w:val="18"/>
        </w:rPr>
        <w:t>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元，行权有效期为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年的每份期 权公允价值为</w:t>
      </w:r>
      <w:r>
        <w:rPr>
          <w:rFonts w:ascii="Times New Roman" w:eastAsia="Times New Roman" w:hAnsi="Times New Roman" w:cs="Times New Roman"/>
          <w:color w:val="000000"/>
          <w:spacing w:val="0"/>
          <w:w w:val="100"/>
          <w:position w:val="0"/>
          <w:sz w:val="18"/>
          <w:szCs w:val="18"/>
        </w:rPr>
        <w:t>3.37</w:t>
      </w:r>
      <w:r>
        <w:rPr>
          <w:color w:val="000000"/>
          <w:spacing w:val="0"/>
          <w:w w:val="100"/>
          <w:position w:val="0"/>
        </w:rPr>
        <w:t>元，行权有效期为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年的每份期权公允价值为</w:t>
      </w:r>
      <w:r>
        <w:rPr>
          <w:rFonts w:ascii="Times New Roman" w:eastAsia="Times New Roman" w:hAnsi="Times New Roman" w:cs="Times New Roman"/>
          <w:color w:val="000000"/>
          <w:spacing w:val="0"/>
          <w:w w:val="100"/>
          <w:position w:val="0"/>
          <w:sz w:val="18"/>
          <w:szCs w:val="18"/>
        </w:rPr>
        <w:t>4.07</w:t>
      </w:r>
      <w:r>
        <w:rPr>
          <w:color w:val="000000"/>
          <w:spacing w:val="0"/>
          <w:w w:val="100"/>
          <w:position w:val="0"/>
        </w:rPr>
        <w:t>元，行权有效期为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年的每份期权公允价值为</w:t>
      </w:r>
      <w:r>
        <w:rPr>
          <w:rFonts w:ascii="Times New Roman" w:eastAsia="Times New Roman" w:hAnsi="Times New Roman" w:cs="Times New Roman"/>
          <w:color w:val="000000"/>
          <w:spacing w:val="0"/>
          <w:w w:val="100"/>
          <w:position w:val="0"/>
          <w:sz w:val="18"/>
          <w:szCs w:val="18"/>
        </w:rPr>
        <w:t>4.73</w:t>
      </w:r>
      <w:r>
        <w:rPr>
          <w:color w:val="000000"/>
          <w:spacing w:val="0"/>
          <w:w w:val="100"/>
          <w:position w:val="0"/>
        </w:rPr>
        <w:t>元。在 期权有效期内本公司合计应确认费用金额为</w:t>
      </w:r>
      <w:r>
        <w:rPr>
          <w:rFonts w:ascii="Times New Roman" w:eastAsia="Times New Roman" w:hAnsi="Times New Roman" w:cs="Times New Roman"/>
          <w:color w:val="000000"/>
          <w:spacing w:val="0"/>
          <w:w w:val="100"/>
          <w:position w:val="0"/>
          <w:sz w:val="18"/>
          <w:szCs w:val="18"/>
        </w:rPr>
        <w:t>2,282.09</w:t>
      </w:r>
      <w:r>
        <w:rPr>
          <w:color w:val="000000"/>
          <w:spacing w:val="0"/>
          <w:w w:val="100"/>
          <w:position w:val="0"/>
        </w:rPr>
        <w:t>万元。</w:t>
      </w:r>
    </w:p>
    <w:p>
      <w:pPr>
        <w:pStyle w:val="Style26"/>
        <w:keepNext w:val="0"/>
        <w:keepLines w:val="0"/>
        <w:widowControl w:val="0"/>
        <w:shd w:val="clear" w:color="auto" w:fill="auto"/>
        <w:bidi w:val="0"/>
        <w:spacing w:before="0" w:after="300" w:line="312" w:lineRule="exact"/>
        <w:ind w:left="0" w:right="0" w:firstLine="460"/>
        <w:jc w:val="left"/>
      </w:pPr>
      <w:bookmarkStart w:id="1398" w:name="bookmark1398"/>
      <w:r>
        <w:rPr>
          <w:color w:val="000000"/>
          <w:spacing w:val="0"/>
          <w:w w:val="100"/>
          <w:position w:val="0"/>
        </w:rPr>
        <w:t>（</w:t>
      </w:r>
      <w:bookmarkEnd w:id="13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）股票期权激励计划预留期权情况</w:t>
      </w:r>
    </w:p>
    <w:p>
      <w:pPr>
        <w:pStyle w:val="Style26"/>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根据本公司第二届董事会第二十四次（临时）会议决议，确定股票期权激励计划预留期权的授予日为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满足行权条件的激励对象将在一年的等待期后，根据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年的行权业绩达标情况分别予以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的行权，行权有效期均为首个可行权日至整个计划截止期。以授予日</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股股票收盘价</w:t>
      </w:r>
      <w:r>
        <w:rPr>
          <w:rFonts w:ascii="Times New Roman" w:eastAsia="Times New Roman" w:hAnsi="Times New Roman" w:cs="Times New Roman"/>
          <w:color w:val="000000"/>
          <w:spacing w:val="0"/>
          <w:w w:val="100"/>
          <w:position w:val="0"/>
          <w:sz w:val="18"/>
          <w:szCs w:val="18"/>
        </w:rPr>
        <w:t>10.35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股为依据。本 公司采用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布莱克斯科尔斯默顿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期权定价公式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模型）确定授予的期权的公允价值。</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模型选取的参数为：</w:t>
      </w:r>
    </w:p>
    <w:p>
      <w:pPr>
        <w:pStyle w:val="Style26"/>
        <w:keepNext w:val="0"/>
        <w:keepLines w:val="0"/>
        <w:widowControl w:val="0"/>
        <w:shd w:val="clear" w:color="auto" w:fill="auto"/>
        <w:tabs>
          <w:tab w:pos="762" w:val="left"/>
        </w:tabs>
        <w:bidi w:val="0"/>
        <w:spacing w:before="0" w:after="300" w:line="312" w:lineRule="exact"/>
        <w:ind w:left="0" w:right="0" w:firstLine="460"/>
        <w:jc w:val="left"/>
      </w:pPr>
      <w:bookmarkStart w:id="1399" w:name="bookmark1399"/>
      <w:r>
        <w:rPr>
          <w:rFonts w:ascii="Times New Roman" w:eastAsia="Times New Roman" w:hAnsi="Times New Roman" w:cs="Times New Roman"/>
          <w:color w:val="000000"/>
          <w:spacing w:val="0"/>
          <w:w w:val="100"/>
          <w:position w:val="0"/>
          <w:sz w:val="18"/>
          <w:szCs w:val="18"/>
        </w:rPr>
        <w:t>1</w:t>
      </w:r>
      <w:bookmarkEnd w:id="1399"/>
      <w:r>
        <w:rPr>
          <w:color w:val="000000"/>
          <w:spacing w:val="0"/>
          <w:w w:val="100"/>
          <w:position w:val="0"/>
        </w:rPr>
        <w:t>）</w:t>
        <w:tab/>
        <w:t>标的股份的现行价格：取授予日的股票收盘价</w:t>
      </w:r>
      <w:r>
        <w:rPr>
          <w:rFonts w:ascii="Times New Roman" w:eastAsia="Times New Roman" w:hAnsi="Times New Roman" w:cs="Times New Roman"/>
          <w:color w:val="000000"/>
          <w:spacing w:val="0"/>
          <w:w w:val="100"/>
          <w:position w:val="0"/>
          <w:sz w:val="18"/>
          <w:szCs w:val="18"/>
        </w:rPr>
        <w:t>44.70</w:t>
      </w:r>
      <w:r>
        <w:rPr>
          <w:color w:val="000000"/>
          <w:spacing w:val="0"/>
          <w:w w:val="100"/>
          <w:position w:val="0"/>
        </w:rPr>
        <w:t>元；</w:t>
      </w:r>
    </w:p>
    <w:p>
      <w:pPr>
        <w:pStyle w:val="Style26"/>
        <w:keepNext w:val="0"/>
        <w:keepLines w:val="0"/>
        <w:widowControl w:val="0"/>
        <w:shd w:val="clear" w:color="auto" w:fill="auto"/>
        <w:tabs>
          <w:tab w:pos="781" w:val="left"/>
        </w:tabs>
        <w:bidi w:val="0"/>
        <w:spacing w:before="0" w:after="300" w:line="312" w:lineRule="exact"/>
        <w:ind w:left="0" w:right="0" w:firstLine="460"/>
        <w:jc w:val="left"/>
      </w:pPr>
      <w:bookmarkStart w:id="1400" w:name="bookmark1400"/>
      <w:r>
        <w:rPr>
          <w:rFonts w:ascii="Times New Roman" w:eastAsia="Times New Roman" w:hAnsi="Times New Roman" w:cs="Times New Roman"/>
          <w:color w:val="000000"/>
          <w:spacing w:val="0"/>
          <w:w w:val="100"/>
          <w:position w:val="0"/>
          <w:sz w:val="18"/>
          <w:szCs w:val="18"/>
        </w:rPr>
        <w:t>2</w:t>
      </w:r>
      <w:bookmarkEnd w:id="1400"/>
      <w:r>
        <w:rPr>
          <w:color w:val="000000"/>
          <w:spacing w:val="0"/>
          <w:w w:val="100"/>
          <w:position w:val="0"/>
        </w:rPr>
        <w:t>）</w:t>
        <w:tab/>
        <w:t>期权的行权价格：根据本公司第二届董事会第二十四次（临时）会议决议，确定期权的行权价格为</w:t>
      </w:r>
      <w:r>
        <w:rPr>
          <w:rFonts w:ascii="Times New Roman" w:eastAsia="Times New Roman" w:hAnsi="Times New Roman" w:cs="Times New Roman"/>
          <w:color w:val="000000"/>
          <w:spacing w:val="0"/>
          <w:w w:val="100"/>
          <w:position w:val="0"/>
          <w:sz w:val="18"/>
          <w:szCs w:val="18"/>
        </w:rPr>
        <w:t>42.22</w:t>
      </w:r>
      <w:r>
        <w:rPr>
          <w:color w:val="000000"/>
          <w:spacing w:val="0"/>
          <w:w w:val="100"/>
          <w:position w:val="0"/>
        </w:rPr>
        <w:t>元；</w:t>
      </w:r>
    </w:p>
    <w:p>
      <w:pPr>
        <w:pStyle w:val="Style26"/>
        <w:keepNext w:val="0"/>
        <w:keepLines w:val="0"/>
        <w:widowControl w:val="0"/>
        <w:shd w:val="clear" w:color="auto" w:fill="auto"/>
        <w:tabs>
          <w:tab w:pos="781" w:val="left"/>
        </w:tabs>
        <w:bidi w:val="0"/>
        <w:spacing w:before="0" w:after="300" w:line="312" w:lineRule="exact"/>
        <w:ind w:left="0" w:right="0" w:firstLine="460"/>
        <w:jc w:val="left"/>
      </w:pPr>
      <w:bookmarkStart w:id="1401" w:name="bookmark1401"/>
      <w:r>
        <w:rPr>
          <w:rFonts w:ascii="Times New Roman" w:eastAsia="Times New Roman" w:hAnsi="Times New Roman" w:cs="Times New Roman"/>
          <w:color w:val="000000"/>
          <w:spacing w:val="0"/>
          <w:w w:val="100"/>
          <w:position w:val="0"/>
          <w:sz w:val="18"/>
          <w:szCs w:val="18"/>
        </w:rPr>
        <w:t>3</w:t>
      </w:r>
      <w:bookmarkEnd w:id="1401"/>
      <w:r>
        <w:rPr>
          <w:color w:val="000000"/>
          <w:spacing w:val="0"/>
          <w:w w:val="100"/>
          <w:position w:val="0"/>
        </w:rPr>
        <w:t>）</w:t>
        <w:tab/>
        <w:t>期权的有效期：每份期权的有效剩余期限分别为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26"/>
        <w:keepNext w:val="0"/>
        <w:keepLines w:val="0"/>
        <w:widowControl w:val="0"/>
        <w:shd w:val="clear" w:color="auto" w:fill="auto"/>
        <w:tabs>
          <w:tab w:pos="753" w:val="left"/>
        </w:tabs>
        <w:bidi w:val="0"/>
        <w:spacing w:before="0" w:after="300" w:line="312" w:lineRule="exact"/>
        <w:ind w:left="0" w:right="0" w:firstLine="460"/>
        <w:jc w:val="left"/>
      </w:pPr>
      <w:bookmarkStart w:id="1402" w:name="bookmark1402"/>
      <w:r>
        <w:rPr>
          <w:rFonts w:ascii="Times New Roman" w:eastAsia="Times New Roman" w:hAnsi="Times New Roman" w:cs="Times New Roman"/>
          <w:color w:val="000000"/>
          <w:spacing w:val="0"/>
          <w:w w:val="100"/>
          <w:position w:val="0"/>
          <w:sz w:val="18"/>
          <w:szCs w:val="18"/>
        </w:rPr>
        <w:t>4</w:t>
      </w:r>
      <w:bookmarkEnd w:id="1402"/>
      <w:r>
        <w:rPr>
          <w:color w:val="000000"/>
          <w:spacing w:val="0"/>
          <w:w w:val="100"/>
          <w:position w:val="0"/>
        </w:rPr>
        <w:t>）</w:t>
        <w:tab/>
        <w:t>期权有效期内的无风险利率：以中国人民银行的定期存款利率代替无风险收益率，其中二年期定期存款利率代替第 一个行权期无风险收益率，</w:t>
      </w:r>
      <w:r>
        <w:rPr>
          <w:rFonts w:ascii="Times New Roman" w:eastAsia="Times New Roman" w:hAnsi="Times New Roman" w:cs="Times New Roman"/>
          <w:color w:val="000000"/>
          <w:spacing w:val="0"/>
          <w:w w:val="100"/>
          <w:position w:val="0"/>
          <w:sz w:val="18"/>
          <w:szCs w:val="18"/>
        </w:rPr>
        <w:t>r=3.75%</w:t>
      </w:r>
      <w:r>
        <w:rPr>
          <w:color w:val="000000"/>
          <w:spacing w:val="0"/>
          <w:w w:val="100"/>
          <w:position w:val="0"/>
        </w:rPr>
        <w:t>；</w:t>
      </w:r>
      <w:r>
        <w:rPr>
          <w:color w:val="000000"/>
          <w:spacing w:val="0"/>
          <w:w w:val="100"/>
          <w:position w:val="0"/>
        </w:rPr>
        <w:t>三年期定期存款利率代替第二和第三个行权期无风险收益率，</w:t>
      </w:r>
      <w:r>
        <w:rPr>
          <w:rFonts w:ascii="Times New Roman" w:eastAsia="Times New Roman" w:hAnsi="Times New Roman" w:cs="Times New Roman"/>
          <w:color w:val="000000"/>
          <w:spacing w:val="0"/>
          <w:w w:val="100"/>
          <w:position w:val="0"/>
          <w:sz w:val="18"/>
          <w:szCs w:val="18"/>
        </w:rPr>
        <w:t>r=4.25%</w:t>
      </w:r>
      <w:r>
        <w:rPr>
          <w:color w:val="000000"/>
          <w:spacing w:val="0"/>
          <w:w w:val="100"/>
          <w:position w:val="0"/>
        </w:rPr>
        <w:t>；</w:t>
      </w:r>
      <w:r>
        <w:rPr>
          <w:color w:val="000000"/>
          <w:spacing w:val="0"/>
          <w:w w:val="100"/>
          <w:position w:val="0"/>
        </w:rPr>
        <w:t>五期定期存款 利率代替第四个行权期无风险收益率，</w:t>
      </w:r>
      <w:r>
        <w:rPr>
          <w:rFonts w:ascii="Times New Roman" w:eastAsia="Times New Roman" w:hAnsi="Times New Roman" w:cs="Times New Roman"/>
          <w:color w:val="000000"/>
          <w:spacing w:val="0"/>
          <w:w w:val="100"/>
          <w:position w:val="0"/>
          <w:sz w:val="18"/>
          <w:szCs w:val="18"/>
        </w:rPr>
        <w:t>r=4.75%</w:t>
      </w:r>
      <w:r>
        <w:rPr>
          <w:color w:val="000000"/>
          <w:spacing w:val="0"/>
          <w:w w:val="100"/>
          <w:position w:val="0"/>
        </w:rPr>
        <w:t>，并将上述利率换算成连续复利的无风险利率；</w:t>
      </w:r>
    </w:p>
    <w:p>
      <w:pPr>
        <w:pStyle w:val="Style26"/>
        <w:keepNext w:val="0"/>
        <w:keepLines w:val="0"/>
        <w:widowControl w:val="0"/>
        <w:shd w:val="clear" w:color="auto" w:fill="auto"/>
        <w:tabs>
          <w:tab w:pos="749" w:val="left"/>
        </w:tabs>
        <w:bidi w:val="0"/>
        <w:spacing w:before="0" w:after="300" w:line="307" w:lineRule="exact"/>
        <w:ind w:left="0" w:right="0" w:firstLine="460"/>
        <w:jc w:val="left"/>
      </w:pPr>
      <w:bookmarkStart w:id="1403" w:name="bookmark1403"/>
      <w:r>
        <w:rPr>
          <w:rFonts w:ascii="Times New Roman" w:eastAsia="Times New Roman" w:hAnsi="Times New Roman" w:cs="Times New Roman"/>
          <w:color w:val="000000"/>
          <w:spacing w:val="0"/>
          <w:w w:val="100"/>
          <w:position w:val="0"/>
          <w:sz w:val="18"/>
          <w:szCs w:val="18"/>
        </w:rPr>
        <w:t>5</w:t>
      </w:r>
      <w:bookmarkEnd w:id="1403"/>
      <w:r>
        <w:rPr>
          <w:color w:val="000000"/>
          <w:spacing w:val="0"/>
          <w:w w:val="100"/>
          <w:position w:val="0"/>
        </w:rPr>
        <w:t>）</w:t>
        <w:tab/>
        <w:t>股价预计波动率：本公司考察了不同期间公司股票历史价格波动情况，剔除股改等非经常性事件影响及考虑到未来 中国证券市场将逐步走向成熟，本公司选用</w:t>
      </w:r>
      <w:r>
        <w:rPr>
          <w:rFonts w:ascii="Times New Roman" w:eastAsia="Times New Roman" w:hAnsi="Times New Roman" w:cs="Times New Roman"/>
          <w:color w:val="000000"/>
          <w:spacing w:val="0"/>
          <w:w w:val="100"/>
          <w:position w:val="0"/>
          <w:sz w:val="18"/>
          <w:szCs w:val="18"/>
        </w:rPr>
        <w:t>68.87%</w:t>
      </w:r>
      <w:r>
        <w:rPr>
          <w:color w:val="000000"/>
          <w:spacing w:val="0"/>
          <w:w w:val="100"/>
          <w:position w:val="0"/>
        </w:rPr>
        <w:t>经验值作为股价预期波动率；</w:t>
      </w:r>
    </w:p>
    <w:p>
      <w:pPr>
        <w:pStyle w:val="Style26"/>
        <w:keepNext w:val="0"/>
        <w:keepLines w:val="0"/>
        <w:widowControl w:val="0"/>
        <w:shd w:val="clear" w:color="auto" w:fill="auto"/>
        <w:tabs>
          <w:tab w:pos="763" w:val="left"/>
        </w:tabs>
        <w:bidi w:val="0"/>
        <w:spacing w:before="0" w:after="300" w:line="314" w:lineRule="exact"/>
        <w:ind w:left="0" w:right="0" w:firstLine="460"/>
        <w:jc w:val="left"/>
      </w:pPr>
      <w:bookmarkStart w:id="1404" w:name="bookmark1404"/>
      <w:r>
        <w:rPr>
          <w:rFonts w:ascii="Times New Roman" w:eastAsia="Times New Roman" w:hAnsi="Times New Roman" w:cs="Times New Roman"/>
          <w:color w:val="000000"/>
          <w:spacing w:val="0"/>
          <w:w w:val="100"/>
          <w:position w:val="0"/>
          <w:sz w:val="18"/>
          <w:szCs w:val="18"/>
        </w:rPr>
        <w:t>6</w:t>
      </w:r>
      <w:bookmarkEnd w:id="1404"/>
      <w:r>
        <w:rPr>
          <w:color w:val="000000"/>
          <w:spacing w:val="0"/>
          <w:w w:val="100"/>
          <w:position w:val="0"/>
        </w:rPr>
        <w:t>）</w:t>
        <w:tab/>
        <w:t>股份的预计利润：因分红率对期权公允价值的影响很小，本公司未考虑分红因素。根据上述参数的选取，运用</w:t>
      </w:r>
      <w:r>
        <w:rPr>
          <w:rFonts w:ascii="Times New Roman" w:eastAsia="Times New Roman" w:hAnsi="Times New Roman" w:cs="Times New Roman"/>
          <w:color w:val="000000"/>
          <w:spacing w:val="0"/>
          <w:w w:val="100"/>
          <w:position w:val="0"/>
          <w:sz w:val="18"/>
          <w:szCs w:val="18"/>
        </w:rPr>
        <w:t xml:space="preserve">BS </w:t>
      </w:r>
      <w:r>
        <w:rPr>
          <w:color w:val="000000"/>
          <w:spacing w:val="0"/>
          <w:w w:val="100"/>
          <w:position w:val="0"/>
        </w:rPr>
        <w:t>模型期权定价公式计算出期权的公允价值，其中行权有效期为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年的每份期权公允价值为</w:t>
      </w:r>
      <w:r>
        <w:rPr>
          <w:rFonts w:ascii="Times New Roman" w:eastAsia="Times New Roman" w:hAnsi="Times New Roman" w:cs="Times New Roman"/>
          <w:color w:val="000000"/>
          <w:spacing w:val="0"/>
          <w:w w:val="100"/>
          <w:position w:val="0"/>
          <w:sz w:val="18"/>
          <w:szCs w:val="18"/>
        </w:rPr>
        <w:t>18.58</w:t>
      </w:r>
      <w:r>
        <w:rPr>
          <w:color w:val="000000"/>
          <w:spacing w:val="0"/>
          <w:w w:val="100"/>
          <w:position w:val="0"/>
        </w:rPr>
        <w:t>元，行权有效期为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年的每份 期权公允价值为</w:t>
      </w:r>
      <w:r>
        <w:rPr>
          <w:rFonts w:ascii="Times New Roman" w:eastAsia="Times New Roman" w:hAnsi="Times New Roman" w:cs="Times New Roman"/>
          <w:color w:val="000000"/>
          <w:spacing w:val="0"/>
          <w:w w:val="100"/>
          <w:position w:val="0"/>
          <w:sz w:val="18"/>
          <w:szCs w:val="18"/>
        </w:rPr>
        <w:t>22.35</w:t>
      </w:r>
      <w:r>
        <w:rPr>
          <w:color w:val="000000"/>
          <w:spacing w:val="0"/>
          <w:w w:val="100"/>
          <w:position w:val="0"/>
        </w:rPr>
        <w:t>元，行权有效期为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年的每份期权公允价值为</w:t>
      </w:r>
      <w:r>
        <w:rPr>
          <w:rFonts w:ascii="Times New Roman" w:eastAsia="Times New Roman" w:hAnsi="Times New Roman" w:cs="Times New Roman"/>
          <w:color w:val="000000"/>
          <w:spacing w:val="0"/>
          <w:w w:val="100"/>
          <w:position w:val="0"/>
          <w:sz w:val="18"/>
          <w:szCs w:val="18"/>
        </w:rPr>
        <w:t>25.22</w:t>
      </w:r>
      <w:r>
        <w:rPr>
          <w:color w:val="000000"/>
          <w:spacing w:val="0"/>
          <w:w w:val="100"/>
          <w:position w:val="0"/>
        </w:rPr>
        <w:t>元，行权有效期为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年的每份期权公允价值为</w:t>
      </w:r>
      <w:r>
        <w:rPr>
          <w:rFonts w:ascii="Times New Roman" w:eastAsia="Times New Roman" w:hAnsi="Times New Roman" w:cs="Times New Roman"/>
          <w:color w:val="000000"/>
          <w:spacing w:val="0"/>
          <w:w w:val="100"/>
          <w:position w:val="0"/>
          <w:sz w:val="18"/>
          <w:szCs w:val="18"/>
        </w:rPr>
        <w:t>27.8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 在期权有效期内本公司合计应确认费用金额为</w:t>
      </w:r>
      <w:r>
        <w:rPr>
          <w:rFonts w:ascii="Times New Roman" w:eastAsia="Times New Roman" w:hAnsi="Times New Roman" w:cs="Times New Roman"/>
          <w:color w:val="000000"/>
          <w:spacing w:val="0"/>
          <w:w w:val="100"/>
          <w:position w:val="0"/>
          <w:sz w:val="18"/>
          <w:szCs w:val="18"/>
        </w:rPr>
        <w:t>3,181.75</w:t>
      </w:r>
      <w:r>
        <w:rPr>
          <w:color w:val="000000"/>
          <w:spacing w:val="0"/>
          <w:w w:val="100"/>
          <w:position w:val="0"/>
        </w:rPr>
        <w:t>万元。</w:t>
      </w:r>
    </w:p>
    <w:p>
      <w:pPr>
        <w:pStyle w:val="Style26"/>
        <w:keepNext w:val="0"/>
        <w:keepLines w:val="0"/>
        <w:widowControl w:val="0"/>
        <w:shd w:val="clear" w:color="auto" w:fill="auto"/>
        <w:bidi w:val="0"/>
        <w:spacing w:before="0" w:after="300" w:line="314" w:lineRule="exact"/>
        <w:ind w:left="0" w:right="0" w:firstLine="420"/>
        <w:jc w:val="both"/>
      </w:pPr>
      <w:bookmarkStart w:id="1405" w:name="bookmark1405"/>
      <w:r>
        <w:rPr>
          <w:color w:val="000000"/>
          <w:spacing w:val="0"/>
          <w:w w:val="100"/>
          <w:position w:val="0"/>
        </w:rPr>
        <w:t>（</w:t>
      </w:r>
      <w:bookmarkEnd w:id="14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本年因以权益结算的股份支付而确认的费用总额：</w:t>
      </w:r>
      <w:r>
        <w:rPr>
          <w:rFonts w:ascii="Times New Roman" w:eastAsia="Times New Roman" w:hAnsi="Times New Roman" w:cs="Times New Roman"/>
          <w:color w:val="000000"/>
          <w:spacing w:val="0"/>
          <w:w w:val="100"/>
          <w:position w:val="0"/>
          <w:sz w:val="18"/>
          <w:szCs w:val="18"/>
        </w:rPr>
        <w:t>-189,557.10</w:t>
      </w:r>
      <w:r>
        <w:rPr>
          <w:color w:val="000000"/>
          <w:spacing w:val="0"/>
          <w:w w:val="100"/>
          <w:position w:val="0"/>
        </w:rPr>
        <w:t>元，资产负债表日对可行权权益工具数量的最佳估 计的确定方法：根据最新取得的可行权职工人数变动等后续信息做出最佳估计，修正后预计可行权的权益工具数量为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 股，其中首次股票期</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万股，预留股票期权</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万股。</w:t>
      </w:r>
    </w:p>
    <w:p>
      <w:pPr>
        <w:pStyle w:val="Style26"/>
        <w:keepNext w:val="0"/>
        <w:keepLines w:val="0"/>
        <w:widowControl w:val="0"/>
        <w:shd w:val="clear" w:color="auto" w:fill="auto"/>
        <w:bidi w:val="0"/>
        <w:spacing w:before="0" w:after="380" w:line="317" w:lineRule="exact"/>
        <w:ind w:left="0" w:right="0" w:firstLine="420"/>
        <w:jc w:val="both"/>
      </w:pPr>
      <w:bookmarkStart w:id="1406" w:name="bookmark1406"/>
      <w:r>
        <w:rPr>
          <w:color w:val="000000"/>
          <w:spacing w:val="0"/>
          <w:w w:val="100"/>
          <w:position w:val="0"/>
        </w:rPr>
        <w:t>（</w:t>
      </w:r>
      <w:bookmarkEnd w:id="14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日，本期期权累计应确认费用金额为人民币</w:t>
      </w:r>
      <w:r>
        <w:rPr>
          <w:rFonts w:ascii="Times New Roman" w:eastAsia="Times New Roman" w:hAnsi="Times New Roman" w:cs="Times New Roman"/>
          <w:color w:val="000000"/>
          <w:spacing w:val="0"/>
          <w:w w:val="100"/>
          <w:position w:val="0"/>
          <w:sz w:val="18"/>
          <w:szCs w:val="18"/>
        </w:rPr>
        <w:t>1,750,041.00</w:t>
      </w:r>
      <w:r>
        <w:rPr>
          <w:color w:val="000000"/>
          <w:spacing w:val="0"/>
          <w:w w:val="100"/>
          <w:position w:val="0"/>
        </w:rPr>
        <w:t>元，资本公积中以权益结算的股份支 付的累计金额为人民币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,750,041.00</w:t>
      </w:r>
      <w:r>
        <w:rPr>
          <w:color w:val="000000"/>
          <w:spacing w:val="0"/>
          <w:w w:val="100"/>
          <w:position w:val="0"/>
        </w:rPr>
        <w:t>元。</w:t>
      </w:r>
    </w:p>
    <w:p>
      <w:pPr>
        <w:pStyle w:val="Style32"/>
        <w:keepNext/>
        <w:keepLines/>
        <w:widowControl w:val="0"/>
        <w:shd w:val="clear" w:color="auto" w:fill="auto"/>
        <w:tabs>
          <w:tab w:pos="329" w:val="left"/>
        </w:tabs>
        <w:bidi w:val="0"/>
        <w:spacing w:before="0" w:after="30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color w:val="000000"/>
          <w:spacing w:val="0"/>
          <w:w w:val="100"/>
          <w:position w:val="0"/>
        </w:rPr>
        <w:t>、</w:t>
        <w:tab/>
        <w:t>以现金结算的股份支付情况</w:t>
      </w:r>
      <w:bookmarkEnd w:id="1407"/>
      <w:bookmarkEnd w:id="1408"/>
      <w:bookmarkEnd w:id="1410"/>
    </w:p>
    <w:p>
      <w:pPr>
        <w:pStyle w:val="Style26"/>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29" w:val="left"/>
        </w:tabs>
        <w:bidi w:val="0"/>
        <w:spacing w:before="0" w:after="30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color w:val="000000"/>
          <w:spacing w:val="0"/>
          <w:w w:val="100"/>
          <w:position w:val="0"/>
        </w:rPr>
        <w:t>、</w:t>
        <w:tab/>
        <w:t>股份支付的修改、终止情况</w:t>
      </w:r>
      <w:bookmarkEnd w:id="1411"/>
      <w:bookmarkEnd w:id="1412"/>
      <w:bookmarkEnd w:id="1414"/>
    </w:p>
    <w:p>
      <w:pPr>
        <w:pStyle w:val="Style26"/>
        <w:keepNext w:val="0"/>
        <w:keepLines w:val="0"/>
        <w:widowControl w:val="0"/>
        <w:shd w:val="clear" w:color="auto" w:fill="auto"/>
        <w:tabs>
          <w:tab w:pos="872" w:val="left"/>
        </w:tabs>
        <w:bidi w:val="0"/>
        <w:spacing w:before="0" w:after="300" w:line="312" w:lineRule="exact"/>
        <w:ind w:left="0" w:right="0" w:firstLine="420"/>
        <w:jc w:val="both"/>
      </w:pPr>
      <w:bookmarkStart w:id="1415" w:name="bookmark1415"/>
      <w:r>
        <w:rPr>
          <w:color w:val="000000"/>
          <w:spacing w:val="0"/>
          <w:w w:val="100"/>
          <w:position w:val="0"/>
        </w:rPr>
        <w:t>（</w:t>
      </w:r>
      <w:bookmarkEnd w:id="14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年度股东大会决议，公司实施了每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元的年度利润分配方案，根据本公 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年第二次临时股东大会决议，本公司实施了每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股资本公积转增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股的中期利润分配方案。</w:t>
      </w:r>
    </w:p>
    <w:p>
      <w:pPr>
        <w:pStyle w:val="Style26"/>
        <w:keepNext w:val="0"/>
        <w:keepLines w:val="0"/>
        <w:widowControl w:val="0"/>
        <w:shd w:val="clear" w:color="auto" w:fill="auto"/>
        <w:bidi w:val="0"/>
        <w:spacing w:before="0" w:after="300" w:line="312" w:lineRule="exact"/>
        <w:ind w:left="0" w:right="0" w:firstLine="420"/>
        <w:jc w:val="both"/>
      </w:pPr>
      <w:bookmarkStart w:id="1416" w:name="bookmark1416"/>
      <w:r>
        <w:rPr>
          <w:color w:val="000000"/>
          <w:spacing w:val="0"/>
          <w:w w:val="100"/>
          <w:position w:val="0"/>
        </w:rPr>
        <w:t>（</w:t>
      </w:r>
      <w:bookmarkEnd w:id="14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w:t>
      </w:r>
      <w:r>
        <w:rPr>
          <w:color w:val="000000"/>
          <w:spacing w:val="0"/>
          <w:w w:val="100"/>
          <w:position w:val="0"/>
        </w:rPr>
        <w:t>本公司召开第二届董事会第二十四次（临时）会议，审议通过了《关于对公司股票期权激励计划 中股票期权数量及行权价格调整的议案》，股票期权激励计划的期权数量由</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 xml:space="preserve">万份，其中首次授予部分由 </w:t>
      </w:r>
      <w:r>
        <w:rPr>
          <w:rFonts w:ascii="Times New Roman" w:eastAsia="Times New Roman" w:hAnsi="Times New Roman" w:cs="Times New Roman"/>
          <w:color w:val="000000"/>
          <w:spacing w:val="0"/>
          <w:w w:val="100"/>
          <w:position w:val="0"/>
          <w:sz w:val="18"/>
          <w:szCs w:val="18"/>
        </w:rPr>
        <w:t>585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1,17 0</w:t>
      </w:r>
      <w:r>
        <w:rPr>
          <w:color w:val="000000"/>
          <w:spacing w:val="0"/>
          <w:w w:val="100"/>
          <w:position w:val="0"/>
        </w:rPr>
        <w:t>万份，预留部分由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13 0</w:t>
      </w:r>
      <w:r>
        <w:rPr>
          <w:color w:val="000000"/>
          <w:spacing w:val="0"/>
          <w:w w:val="100"/>
          <w:position w:val="0"/>
        </w:rPr>
        <w:t>万份；首次授予的股票期权行权价格由</w:t>
      </w:r>
      <w:r>
        <w:rPr>
          <w:rFonts w:ascii="Times New Roman" w:eastAsia="Times New Roman" w:hAnsi="Times New Roman" w:cs="Times New Roman"/>
          <w:color w:val="000000"/>
          <w:spacing w:val="0"/>
          <w:w w:val="100"/>
          <w:position w:val="0"/>
          <w:sz w:val="18"/>
          <w:szCs w:val="18"/>
        </w:rPr>
        <w:t>13.18</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6.56</w:t>
      </w:r>
      <w:r>
        <w:rPr>
          <w:color w:val="000000"/>
          <w:spacing w:val="0"/>
          <w:w w:val="100"/>
          <w:position w:val="0"/>
        </w:rPr>
        <w:t>元。</w:t>
      </w:r>
    </w:p>
    <w:p>
      <w:pPr>
        <w:pStyle w:val="Style26"/>
        <w:keepNext w:val="0"/>
        <w:keepLines w:val="0"/>
        <w:widowControl w:val="0"/>
        <w:shd w:val="clear" w:color="auto" w:fill="auto"/>
        <w:tabs>
          <w:tab w:pos="886" w:val="left"/>
        </w:tabs>
        <w:bidi w:val="0"/>
        <w:spacing w:before="0" w:after="300" w:line="314" w:lineRule="exact"/>
        <w:ind w:left="0" w:right="0" w:firstLine="420"/>
        <w:jc w:val="both"/>
      </w:pPr>
      <w:bookmarkStart w:id="1417" w:name="bookmark1417"/>
      <w:r>
        <w:rPr>
          <w:color w:val="000000"/>
          <w:spacing w:val="0"/>
          <w:w w:val="100"/>
          <w:position w:val="0"/>
        </w:rPr>
        <w:t>（</w:t>
      </w:r>
      <w:bookmarkEnd w:id="14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根据公司第二届董事会第二十六次（临时）会议审议通过的《关于对公司股票期权激励计划中首次激励对象人员 及股票期权数量进行调整的议案》，公司激励对象因个人原因离职自愿放弃获授股票期权，根据《股票期权激励计划》，上述 人员已不具备《股票期权激励计划》规定的激励对象资格，公司董事会同意取消上述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名人员未登记的股票期权共计</w:t>
      </w:r>
      <w:r>
        <w:rPr>
          <w:rFonts w:ascii="Times New Roman" w:eastAsia="Times New Roman" w:hAnsi="Times New Roman" w:cs="Times New Roman"/>
          <w:color w:val="000000"/>
          <w:spacing w:val="0"/>
          <w:w w:val="100"/>
          <w:position w:val="0"/>
          <w:sz w:val="18"/>
          <w:szCs w:val="18"/>
        </w:rPr>
        <w:t xml:space="preserve">227.6 </w:t>
      </w:r>
      <w:r>
        <w:rPr>
          <w:color w:val="000000"/>
          <w:spacing w:val="0"/>
          <w:w w:val="100"/>
          <w:position w:val="0"/>
        </w:rPr>
        <w:t>万份。调整后公司《股票期权激励计划》中所涉首次授予股票期权数量为</w:t>
      </w:r>
      <w:r>
        <w:rPr>
          <w:rFonts w:ascii="Times New Roman" w:eastAsia="Times New Roman" w:hAnsi="Times New Roman" w:cs="Times New Roman"/>
          <w:color w:val="000000"/>
          <w:spacing w:val="0"/>
          <w:w w:val="100"/>
          <w:position w:val="0"/>
          <w:sz w:val="18"/>
          <w:szCs w:val="18"/>
        </w:rPr>
        <w:t>942.40</w:t>
      </w:r>
      <w:r>
        <w:rPr>
          <w:color w:val="000000"/>
          <w:spacing w:val="0"/>
          <w:w w:val="100"/>
          <w:position w:val="0"/>
        </w:rPr>
        <w:t>万股。</w:t>
      </w:r>
    </w:p>
    <w:p>
      <w:pPr>
        <w:pStyle w:val="Style26"/>
        <w:keepNext w:val="0"/>
        <w:keepLines w:val="0"/>
        <w:widowControl w:val="0"/>
        <w:shd w:val="clear" w:color="auto" w:fill="auto"/>
        <w:tabs>
          <w:tab w:pos="881" w:val="left"/>
        </w:tabs>
        <w:bidi w:val="0"/>
        <w:spacing w:before="0" w:after="300" w:line="317" w:lineRule="exact"/>
        <w:ind w:left="0" w:right="0" w:firstLine="420"/>
        <w:jc w:val="both"/>
      </w:pPr>
      <w:bookmarkStart w:id="1418" w:name="bookmark1418"/>
      <w:r>
        <w:rPr>
          <w:color w:val="000000"/>
          <w:spacing w:val="0"/>
          <w:w w:val="100"/>
          <w:position w:val="0"/>
        </w:rPr>
        <w:t>（</w:t>
      </w:r>
      <w:bookmarkEnd w:id="141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年度股东大会决议，公司实施了每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元的年度利润分配方案，利润分配 方案实施后首次授予的股票期权行权价格由</w:t>
      </w:r>
      <w:r>
        <w:rPr>
          <w:rFonts w:ascii="Times New Roman" w:eastAsia="Times New Roman" w:hAnsi="Times New Roman" w:cs="Times New Roman"/>
          <w:color w:val="000000"/>
          <w:spacing w:val="0"/>
          <w:w w:val="100"/>
          <w:position w:val="0"/>
          <w:sz w:val="18"/>
          <w:szCs w:val="18"/>
        </w:rPr>
        <w:t>6.56</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6.54</w:t>
      </w:r>
      <w:r>
        <w:rPr>
          <w:color w:val="000000"/>
          <w:spacing w:val="0"/>
          <w:w w:val="100"/>
          <w:position w:val="0"/>
        </w:rPr>
        <w:t>元，预留期权行权价格由</w:t>
      </w:r>
      <w:r>
        <w:rPr>
          <w:rFonts w:ascii="Times New Roman" w:eastAsia="Times New Roman" w:hAnsi="Times New Roman" w:cs="Times New Roman"/>
          <w:color w:val="000000"/>
          <w:spacing w:val="0"/>
          <w:w w:val="100"/>
          <w:position w:val="0"/>
          <w:sz w:val="18"/>
          <w:szCs w:val="18"/>
        </w:rPr>
        <w:t>42.22</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42.20</w:t>
      </w:r>
      <w:r>
        <w:rPr>
          <w:color w:val="000000"/>
          <w:spacing w:val="0"/>
          <w:w w:val="100"/>
          <w:position w:val="0"/>
        </w:rPr>
        <w:t>元。</w:t>
      </w:r>
    </w:p>
    <w:p>
      <w:pPr>
        <w:pStyle w:val="Style26"/>
        <w:keepNext w:val="0"/>
        <w:keepLines w:val="0"/>
        <w:widowControl w:val="0"/>
        <w:shd w:val="clear" w:color="auto" w:fill="auto"/>
        <w:bidi w:val="0"/>
        <w:spacing w:before="0" w:after="300" w:line="312" w:lineRule="exact"/>
        <w:ind w:left="0" w:right="0" w:firstLine="420"/>
        <w:jc w:val="both"/>
      </w:pPr>
      <w:bookmarkStart w:id="1419" w:name="bookmark1419"/>
      <w:r>
        <w:rPr>
          <w:color w:val="000000"/>
          <w:spacing w:val="0"/>
          <w:w w:val="100"/>
          <w:position w:val="0"/>
        </w:rPr>
        <w:t>（</w:t>
      </w:r>
      <w:bookmarkEnd w:id="1419"/>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日，本公司召开第三届董事会第八次会议，审议通过了《关于注销股票期权激励计划中首次授予部分 的第一个行权期未行权的股票期权的议案》。本次注销股票期权</w:t>
      </w:r>
      <w:r>
        <w:rPr>
          <w:rFonts w:ascii="Times New Roman" w:eastAsia="Times New Roman" w:hAnsi="Times New Roman" w:cs="Times New Roman"/>
          <w:color w:val="000000"/>
          <w:spacing w:val="0"/>
          <w:w w:val="100"/>
          <w:position w:val="0"/>
          <w:sz w:val="18"/>
          <w:szCs w:val="18"/>
        </w:rPr>
        <w:t>94.24</w:t>
      </w:r>
      <w:r>
        <w:rPr>
          <w:color w:val="000000"/>
          <w:spacing w:val="0"/>
          <w:w w:val="100"/>
          <w:position w:val="0"/>
        </w:rPr>
        <w:t>万股，注销后《股票期权激励计划》中所涉首次授予股 票期权数量为</w:t>
      </w:r>
      <w:r>
        <w:rPr>
          <w:rFonts w:ascii="Times New Roman" w:eastAsia="Times New Roman" w:hAnsi="Times New Roman" w:cs="Times New Roman"/>
          <w:color w:val="000000"/>
          <w:spacing w:val="0"/>
          <w:w w:val="100"/>
          <w:position w:val="0"/>
          <w:sz w:val="18"/>
          <w:szCs w:val="18"/>
        </w:rPr>
        <w:t>848.16</w:t>
      </w:r>
      <w:r>
        <w:rPr>
          <w:color w:val="000000"/>
          <w:spacing w:val="0"/>
          <w:w w:val="100"/>
          <w:position w:val="0"/>
        </w:rPr>
        <w:t>万股。</w:t>
      </w:r>
    </w:p>
    <w:p>
      <w:pPr>
        <w:pStyle w:val="Style26"/>
        <w:keepNext w:val="0"/>
        <w:keepLines w:val="0"/>
        <w:widowControl w:val="0"/>
        <w:shd w:val="clear" w:color="auto" w:fill="auto"/>
        <w:tabs>
          <w:tab w:pos="881" w:val="left"/>
        </w:tabs>
        <w:bidi w:val="0"/>
        <w:spacing w:before="0" w:after="300" w:line="317" w:lineRule="exact"/>
        <w:ind w:left="0" w:right="0" w:firstLine="420"/>
        <w:jc w:val="both"/>
      </w:pPr>
      <w:bookmarkStart w:id="1420" w:name="bookmark1420"/>
      <w:r>
        <w:rPr>
          <w:color w:val="000000"/>
          <w:spacing w:val="0"/>
          <w:w w:val="100"/>
          <w:position w:val="0"/>
        </w:rPr>
        <w:t>（</w:t>
      </w:r>
      <w:bookmarkEnd w:id="142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鉴于所涉预留股票期权激励对象中孙晖先生及石雄先生因个人原因离职自愿放弃获授的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万份股票期权，本公 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日的第三届董事会第八次会议及第三届监事会第五次会议审议通过了《关于调整公司股票期权激励 计划中预留股票期权激励对象及股票期权数量的议案》，注销后预留股票期权由</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万份。</w:t>
      </w:r>
    </w:p>
    <w:p>
      <w:pPr>
        <w:pStyle w:val="Style26"/>
        <w:keepNext w:val="0"/>
        <w:keepLines w:val="0"/>
        <w:widowControl w:val="0"/>
        <w:shd w:val="clear" w:color="auto" w:fill="auto"/>
        <w:tabs>
          <w:tab w:pos="829" w:val="left"/>
        </w:tabs>
        <w:bidi w:val="0"/>
        <w:spacing w:before="0" w:after="0" w:line="314" w:lineRule="exact"/>
        <w:ind w:left="0" w:right="0" w:firstLine="420"/>
        <w:jc w:val="both"/>
      </w:pPr>
      <w:bookmarkStart w:id="1421" w:name="bookmark1421"/>
      <w:r>
        <w:rPr>
          <w:color w:val="000000"/>
          <w:spacing w:val="0"/>
          <w:w w:val="100"/>
          <w:position w:val="0"/>
        </w:rPr>
        <w:t>（</w:t>
      </w:r>
      <w:bookmarkEnd w:id="142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日召开的第三届董事会第十四次（临时）会议及第三届监事会第九次（临时）会议审议通过了 《关于调整股票期权激励计划中行权价格及注销部分已获授但未行权股票期权的议案》，鉴于公司股票期权激励计划首次</w:t>
      </w:r>
    </w:p>
    <w:p>
      <w:pPr>
        <w:pStyle w:val="Style26"/>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授予激励对象中的范振兴先生、龚晓剑先生及张艳女士等共</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人和预留授予激励对象中的王凯先生、杨冏先生及戚海金 先生共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人，合计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人因个人原因离职自愿放弃获授但未行权的</w:t>
      </w:r>
      <w:r>
        <w:rPr>
          <w:rFonts w:ascii="Times New Roman" w:eastAsia="Times New Roman" w:hAnsi="Times New Roman" w:cs="Times New Roman"/>
          <w:color w:val="000000"/>
          <w:spacing w:val="0"/>
          <w:w w:val="100"/>
          <w:position w:val="0"/>
          <w:sz w:val="18"/>
          <w:szCs w:val="18"/>
        </w:rPr>
        <w:t>311.5</w:t>
      </w:r>
      <w:r>
        <w:rPr>
          <w:color w:val="000000"/>
          <w:spacing w:val="0"/>
          <w:w w:val="100"/>
          <w:position w:val="0"/>
        </w:rPr>
        <w:t>万份股票期权，对上述获授但未行权的股票期 权进行注销，注销后《股票期权激励计划》中所涉首次授予股票期权数量由</w:t>
      </w:r>
      <w:r>
        <w:rPr>
          <w:rFonts w:ascii="Times New Roman" w:eastAsia="Times New Roman" w:hAnsi="Times New Roman" w:cs="Times New Roman"/>
          <w:color w:val="000000"/>
          <w:spacing w:val="0"/>
          <w:w w:val="100"/>
          <w:position w:val="0"/>
          <w:sz w:val="18"/>
          <w:szCs w:val="18"/>
        </w:rPr>
        <w:t>848.16</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600.66</w:t>
      </w:r>
      <w:r>
        <w:rPr>
          <w:color w:val="000000"/>
          <w:spacing w:val="0"/>
          <w:w w:val="100"/>
          <w:position w:val="0"/>
        </w:rPr>
        <w:t>万份，注销后预留股票 期权由</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万份。</w:t>
      </w:r>
    </w:p>
    <w:p>
      <w:pPr>
        <w:pStyle w:val="Style26"/>
        <w:keepNext w:val="0"/>
        <w:keepLines w:val="0"/>
        <w:widowControl w:val="0"/>
        <w:shd w:val="clear" w:color="auto" w:fill="auto"/>
        <w:bidi w:val="0"/>
        <w:spacing w:before="0" w:after="300" w:line="322" w:lineRule="exact"/>
        <w:ind w:left="0" w:right="0" w:firstLine="420"/>
        <w:jc w:val="both"/>
      </w:pPr>
      <w:bookmarkStart w:id="1422" w:name="bookmark1422"/>
      <w:r>
        <w:rPr>
          <w:color w:val="000000"/>
          <w:spacing w:val="0"/>
          <w:w w:val="100"/>
          <w:position w:val="0"/>
        </w:rPr>
        <w:t>（</w:t>
      </w:r>
      <w:bookmarkEnd w:id="1422"/>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日召开的第三届董事会第十八次（临时）会议及第三届监事会第十二次（临时）会议审议通 过了《关于调整股票期权激励计划中激励对象及注销部分已获授但未行权股票期权的议案》，鉴于公司股票期权激励计划首 </w:t>
      </w:r>
      <w:r>
        <w:rPr>
          <w:color w:val="000000"/>
          <w:spacing w:val="0"/>
          <w:w w:val="100"/>
          <w:position w:val="0"/>
        </w:rPr>
        <w:t>次授予激励对象中的李明辉先生、张涛先生、王祎先生等共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人，预留授予激励对象中的刘立先生、李泽文先生、张文亮 先生共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人，合计</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人因个人原因离职自愿放弃获授但未行权的合计</w:t>
      </w:r>
      <w:r>
        <w:rPr>
          <w:rFonts w:ascii="Times New Roman" w:eastAsia="Times New Roman" w:hAnsi="Times New Roman" w:cs="Times New Roman"/>
          <w:color w:val="000000"/>
          <w:spacing w:val="0"/>
          <w:w w:val="100"/>
          <w:position w:val="0"/>
          <w:sz w:val="18"/>
          <w:szCs w:val="18"/>
        </w:rPr>
        <w:t>228.78</w:t>
      </w:r>
      <w:r>
        <w:rPr>
          <w:color w:val="000000"/>
          <w:spacing w:val="0"/>
          <w:w w:val="100"/>
          <w:position w:val="0"/>
        </w:rPr>
        <w:t>万份股票期权，同时首次授予股票期权的 激励对象郑楠芳女士、张宇庆先生及夏玄先生第二个行权期可行权的</w:t>
      </w:r>
      <w:r>
        <w:rPr>
          <w:rFonts w:ascii="Times New Roman" w:eastAsia="Times New Roman" w:hAnsi="Times New Roman" w:cs="Times New Roman"/>
          <w:color w:val="000000"/>
          <w:spacing w:val="0"/>
          <w:w w:val="100"/>
          <w:position w:val="0"/>
          <w:sz w:val="18"/>
          <w:szCs w:val="18"/>
        </w:rPr>
        <w:t>38.1</w:t>
      </w:r>
      <w:r>
        <w:rPr>
          <w:color w:val="000000"/>
          <w:spacing w:val="0"/>
          <w:w w:val="100"/>
          <w:position w:val="0"/>
        </w:rPr>
        <w:t>万份期权放弃行权，公司根据相关规定，对上述 获授但未行权的合计</w:t>
      </w:r>
      <w:r>
        <w:rPr>
          <w:rFonts w:ascii="Times New Roman" w:eastAsia="Times New Roman" w:hAnsi="Times New Roman" w:cs="Times New Roman"/>
          <w:color w:val="000000"/>
          <w:spacing w:val="0"/>
          <w:w w:val="100"/>
          <w:position w:val="0"/>
          <w:sz w:val="18"/>
          <w:szCs w:val="18"/>
        </w:rPr>
        <w:t>266.88</w:t>
      </w:r>
      <w:r>
        <w:rPr>
          <w:color w:val="000000"/>
          <w:spacing w:val="0"/>
          <w:w w:val="100"/>
          <w:position w:val="0"/>
        </w:rPr>
        <w:t>万份股票期权进行注销，注销后《股票期权激励计划》中所涉首次授予股票期权数量由</w:t>
      </w:r>
      <w:r>
        <w:rPr>
          <w:rFonts w:ascii="Times New Roman" w:eastAsia="Times New Roman" w:hAnsi="Times New Roman" w:cs="Times New Roman"/>
          <w:color w:val="000000"/>
          <w:spacing w:val="0"/>
          <w:w w:val="100"/>
          <w:position w:val="0"/>
          <w:sz w:val="18"/>
          <w:szCs w:val="18"/>
        </w:rPr>
        <w:t xml:space="preserve">600.66 </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387.78</w:t>
      </w:r>
      <w:r>
        <w:rPr>
          <w:color w:val="000000"/>
          <w:spacing w:val="0"/>
          <w:w w:val="100"/>
          <w:position w:val="0"/>
        </w:rPr>
        <w:t>万份，注销后预留股票期权由</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万份。</w:t>
      </w:r>
    </w:p>
    <w:p>
      <w:pPr>
        <w:pStyle w:val="Style26"/>
        <w:keepNext w:val="0"/>
        <w:keepLines w:val="0"/>
        <w:widowControl w:val="0"/>
        <w:shd w:val="clear" w:color="auto" w:fill="auto"/>
        <w:tabs>
          <w:tab w:pos="886" w:val="left"/>
        </w:tabs>
        <w:bidi w:val="0"/>
        <w:spacing w:before="0" w:after="300" w:line="312" w:lineRule="exact"/>
        <w:ind w:left="0" w:right="0" w:firstLine="420"/>
        <w:jc w:val="both"/>
      </w:pPr>
      <w:bookmarkStart w:id="1423" w:name="bookmark1423"/>
      <w:r>
        <w:rPr>
          <w:color w:val="000000"/>
          <w:spacing w:val="0"/>
          <w:w w:val="100"/>
          <w:position w:val="0"/>
        </w:rPr>
        <w:t>（</w:t>
      </w:r>
      <w:bookmarkEnd w:id="1423"/>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日召开的第三届董事会第十八次（临时）会议，审议通过公司《关于股票期权激励计 划中首次授予的期权第二个行权期可行权的议案》，公司股票期权激励计划中首次授予股票期权的</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名激励对象在第二个 行权期可行权的股票期权共计</w:t>
      </w:r>
      <w:r>
        <w:rPr>
          <w:rFonts w:ascii="Times New Roman" w:eastAsia="Times New Roman" w:hAnsi="Times New Roman" w:cs="Times New Roman"/>
          <w:color w:val="000000"/>
          <w:spacing w:val="0"/>
          <w:w w:val="100"/>
          <w:position w:val="0"/>
          <w:sz w:val="18"/>
          <w:szCs w:val="18"/>
        </w:rPr>
        <w:t>103.86</w:t>
      </w:r>
      <w:r>
        <w:rPr>
          <w:color w:val="000000"/>
          <w:spacing w:val="0"/>
          <w:w w:val="100"/>
          <w:position w:val="0"/>
        </w:rPr>
        <w:t>万份，公司于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日办理完首次授予期权第二个行权期行权登记手续，</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名 激励对象行权共计</w:t>
      </w:r>
      <w:r>
        <w:rPr>
          <w:rFonts w:ascii="Times New Roman" w:eastAsia="Times New Roman" w:hAnsi="Times New Roman" w:cs="Times New Roman"/>
          <w:color w:val="000000"/>
          <w:spacing w:val="0"/>
          <w:w w:val="100"/>
          <w:position w:val="0"/>
          <w:sz w:val="18"/>
          <w:szCs w:val="18"/>
        </w:rPr>
        <w:t>103.86</w:t>
      </w:r>
      <w:r>
        <w:rPr>
          <w:color w:val="000000"/>
          <w:spacing w:val="0"/>
          <w:w w:val="100"/>
          <w:position w:val="0"/>
        </w:rPr>
        <w:t>万份，公司股本总额由</w:t>
      </w:r>
      <w:r>
        <w:rPr>
          <w:rFonts w:ascii="Times New Roman" w:eastAsia="Times New Roman" w:hAnsi="Times New Roman" w:cs="Times New Roman"/>
          <w:color w:val="000000"/>
          <w:spacing w:val="0"/>
          <w:w w:val="100"/>
          <w:position w:val="0"/>
          <w:sz w:val="18"/>
          <w:szCs w:val="18"/>
        </w:rPr>
        <w:t>26,000</w:t>
      </w:r>
      <w:r>
        <w:rPr>
          <w:color w:val="000000"/>
          <w:spacing w:val="0"/>
          <w:w w:val="100"/>
          <w:position w:val="0"/>
        </w:rPr>
        <w:t>万股增至</w:t>
      </w:r>
      <w:r>
        <w:rPr>
          <w:rFonts w:ascii="Times New Roman" w:eastAsia="Times New Roman" w:hAnsi="Times New Roman" w:cs="Times New Roman"/>
          <w:color w:val="000000"/>
          <w:spacing w:val="0"/>
          <w:w w:val="100"/>
          <w:position w:val="0"/>
          <w:sz w:val="18"/>
          <w:szCs w:val="18"/>
        </w:rPr>
        <w:t>26,103.86</w:t>
      </w:r>
      <w:r>
        <w:rPr>
          <w:color w:val="000000"/>
          <w:spacing w:val="0"/>
          <w:w w:val="100"/>
          <w:position w:val="0"/>
        </w:rPr>
        <w:t>万股。</w:t>
      </w:r>
    </w:p>
    <w:p>
      <w:pPr>
        <w:pStyle w:val="Style26"/>
        <w:keepNext w:val="0"/>
        <w:keepLines w:val="0"/>
        <w:widowControl w:val="0"/>
        <w:shd w:val="clear" w:color="auto" w:fill="auto"/>
        <w:bidi w:val="0"/>
        <w:spacing w:before="0" w:after="300" w:line="314" w:lineRule="exact"/>
        <w:ind w:left="0" w:right="0" w:firstLine="420"/>
        <w:jc w:val="both"/>
      </w:pPr>
      <w:bookmarkStart w:id="1424" w:name="bookmark1424"/>
      <w:r>
        <w:rPr>
          <w:color w:val="000000"/>
          <w:spacing w:val="0"/>
          <w:w w:val="100"/>
          <w:position w:val="0"/>
        </w:rPr>
        <w:t>（</w:t>
      </w:r>
      <w:bookmarkEnd w:id="1424"/>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日，本公司召开第三届董事会第二十二次（临时）会议，审议并通过《关于注销部分已获授但未行 权股票期权的议案》。鉴于公司股票期权激励计划首次授予的股票期权激励对象中的符吉萍女士自愿放弃其剩余的全部获授 未行权的股票期权，张宇庆先生因个人原因离职自愿放弃其剩余的全部获授未行权的股票期权，公司根据相关规定，注销上 述首次授予的未行权股票期权</w:t>
      </w:r>
      <w:r>
        <w:rPr>
          <w:rFonts w:ascii="Times New Roman" w:eastAsia="Times New Roman" w:hAnsi="Times New Roman" w:cs="Times New Roman"/>
          <w:color w:val="000000"/>
          <w:spacing w:val="0"/>
          <w:w w:val="100"/>
          <w:position w:val="0"/>
          <w:sz w:val="18"/>
          <w:szCs w:val="18"/>
        </w:rPr>
        <w:t>163.56</w:t>
      </w:r>
      <w:r>
        <w:rPr>
          <w:color w:val="000000"/>
          <w:spacing w:val="0"/>
          <w:w w:val="100"/>
          <w:position w:val="0"/>
        </w:rPr>
        <w:t>万份，注销后公司首次授予的未行权股票期权剩余</w:t>
      </w:r>
      <w:r>
        <w:rPr>
          <w:rFonts w:ascii="Times New Roman" w:eastAsia="Times New Roman" w:hAnsi="Times New Roman" w:cs="Times New Roman"/>
          <w:color w:val="000000"/>
          <w:spacing w:val="0"/>
          <w:w w:val="100"/>
          <w:position w:val="0"/>
          <w:sz w:val="18"/>
          <w:szCs w:val="18"/>
        </w:rPr>
        <w:t>120.36</w:t>
      </w:r>
      <w:r>
        <w:rPr>
          <w:color w:val="000000"/>
          <w:spacing w:val="0"/>
          <w:w w:val="100"/>
          <w:position w:val="0"/>
        </w:rPr>
        <w:t>万份。</w:t>
      </w:r>
    </w:p>
    <w:p>
      <w:pPr>
        <w:pStyle w:val="Style26"/>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同时，公司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年度业绩未达到公司《股票期权激励计划》预留授予的股票期权第二个行权期规定的绩效考核目标， 且预留授予激励对象郑婷婷女士在预留授予的股票期权对应的第一个可行权期（暨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日）放弃行 权，公司根据相关规定，注销上述预留授予的未行权股票期权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万份，注销后公司预留授予的未行权股票期权剩余</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万份。</w:t>
      </w:r>
    </w:p>
    <w:p>
      <w:pPr>
        <w:pStyle w:val="Style26"/>
        <w:keepNext w:val="0"/>
        <w:keepLines w:val="0"/>
        <w:widowControl w:val="0"/>
        <w:shd w:val="clear" w:color="auto" w:fill="auto"/>
        <w:tabs>
          <w:tab w:pos="970" w:val="left"/>
        </w:tabs>
        <w:bidi w:val="0"/>
        <w:spacing w:before="0" w:after="300" w:line="317" w:lineRule="exact"/>
        <w:ind w:left="0" w:right="0" w:firstLine="420"/>
        <w:jc w:val="both"/>
      </w:pPr>
      <w:bookmarkStart w:id="1425" w:name="bookmark1425"/>
      <w:r>
        <w:rPr>
          <w:color w:val="000000"/>
          <w:spacing w:val="0"/>
          <w:w w:val="100"/>
          <w:position w:val="0"/>
        </w:rPr>
        <w:t>（</w:t>
      </w:r>
      <w:bookmarkEnd w:id="1425"/>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年年度股东大会决议，公司实施了每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元（含税）的年度利润分配方案， 利润分配方案实施后首次授予的股票期权行权价格由</w:t>
      </w:r>
      <w:r>
        <w:rPr>
          <w:rFonts w:ascii="Times New Roman" w:eastAsia="Times New Roman" w:hAnsi="Times New Roman" w:cs="Times New Roman"/>
          <w:color w:val="000000"/>
          <w:spacing w:val="0"/>
          <w:w w:val="100"/>
          <w:position w:val="0"/>
          <w:sz w:val="18"/>
          <w:szCs w:val="18"/>
        </w:rPr>
        <w:t>6.54</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 xml:space="preserve">6.5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元，预留期权行权价格由</w:t>
      </w:r>
      <w:r>
        <w:rPr>
          <w:rFonts w:ascii="Times New Roman" w:eastAsia="Times New Roman" w:hAnsi="Times New Roman" w:cs="Times New Roman"/>
          <w:color w:val="000000"/>
          <w:spacing w:val="0"/>
          <w:w w:val="100"/>
          <w:position w:val="0"/>
          <w:sz w:val="18"/>
          <w:szCs w:val="18"/>
        </w:rPr>
        <w:t>42.20</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42.18</w:t>
      </w:r>
      <w:r>
        <w:rPr>
          <w:color w:val="000000"/>
          <w:spacing w:val="0"/>
          <w:w w:val="100"/>
          <w:position w:val="0"/>
        </w:rPr>
        <w:t>元。</w:t>
      </w:r>
    </w:p>
    <w:p>
      <w:pPr>
        <w:pStyle w:val="Style26"/>
        <w:keepNext w:val="0"/>
        <w:keepLines w:val="0"/>
        <w:widowControl w:val="0"/>
        <w:shd w:val="clear" w:color="auto" w:fill="auto"/>
        <w:tabs>
          <w:tab w:pos="970" w:val="left"/>
        </w:tabs>
        <w:bidi w:val="0"/>
        <w:spacing w:before="0" w:after="300" w:line="312" w:lineRule="exact"/>
        <w:ind w:left="0" w:right="0" w:firstLine="420"/>
        <w:jc w:val="both"/>
      </w:pPr>
      <w:bookmarkStart w:id="1426" w:name="bookmark1426"/>
      <w:r>
        <w:rPr>
          <w:color w:val="000000"/>
          <w:spacing w:val="0"/>
          <w:w w:val="100"/>
          <w:position w:val="0"/>
        </w:rPr>
        <w:t>（</w:t>
      </w:r>
      <w:bookmarkEnd w:id="1426"/>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日，本公司召开第三届董事会第二十九次会议，审议通过了《关于调整股票期权激励计划中行权 价格及注销部分已获授但未行权股票期权的议案》。本次注销首次授予的未行权股票期权</w:t>
      </w:r>
      <w:r>
        <w:rPr>
          <w:rFonts w:ascii="Times New Roman" w:eastAsia="Times New Roman" w:hAnsi="Times New Roman" w:cs="Times New Roman"/>
          <w:color w:val="000000"/>
          <w:spacing w:val="0"/>
          <w:w w:val="100"/>
          <w:position w:val="0"/>
          <w:sz w:val="18"/>
          <w:szCs w:val="18"/>
        </w:rPr>
        <w:t>120.36</w:t>
      </w:r>
      <w:r>
        <w:rPr>
          <w:color w:val="000000"/>
          <w:spacing w:val="0"/>
          <w:w w:val="100"/>
          <w:position w:val="0"/>
        </w:rPr>
        <w:t>万份，注销后公司首次授予 的股票期权剩余</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w:t>
      </w:r>
    </w:p>
    <w:p>
      <w:pPr>
        <w:pStyle w:val="Style26"/>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同时公司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年度业绩未达到公司《股票期权激励计划》中预留授予的股票期权第三个行权期规定的绩效考核目标且 预留授予激励对象郑婷婷女士因个人原因离职自愿放弃其剩余的全部获授未行权的股票期权。根据公司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 东大会授权，公司董事会将注销预留授予的股票期权激励对象所对应的全部已获授但未行权的股票期权</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万份，注销后公 司预留授予的股票期权剩余</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w:t>
      </w:r>
    </w:p>
    <w:p>
      <w:pPr>
        <w:pStyle w:val="Style26"/>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本次注销后，公司《股票期权激励计划》全部实施完毕，授予激励对象的股票期权数量为零。</w:t>
      </w:r>
    </w:p>
    <w:p>
      <w:pPr>
        <w:pStyle w:val="Style24"/>
        <w:keepNext/>
        <w:keepLines/>
        <w:widowControl w:val="0"/>
        <w:shd w:val="clear" w:color="auto" w:fill="auto"/>
        <w:bidi w:val="0"/>
        <w:spacing w:before="0" w:line="240" w:lineRule="auto"/>
        <w:ind w:left="0" w:right="0" w:firstLine="0"/>
        <w:jc w:val="both"/>
      </w:pPr>
      <w:bookmarkStart w:id="1427" w:name="bookmark1427"/>
      <w:bookmarkStart w:id="1428" w:name="bookmark1428"/>
      <w:bookmarkStart w:id="1429" w:name="bookmark1429"/>
      <w:r>
        <w:rPr>
          <w:color w:val="000000"/>
          <w:spacing w:val="0"/>
          <w:w w:val="100"/>
          <w:position w:val="0"/>
          <w:sz w:val="24"/>
          <w:szCs w:val="24"/>
        </w:rPr>
        <w:t>十三、承诺及或有事项</w:t>
      </w:r>
      <w:bookmarkEnd w:id="1427"/>
      <w:bookmarkEnd w:id="1428"/>
      <w:bookmarkEnd w:id="1429"/>
    </w:p>
    <w:p>
      <w:pPr>
        <w:pStyle w:val="Style32"/>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30"/>
      <w:bookmarkEnd w:id="1431"/>
      <w:bookmarkEnd w:id="143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tbl>
      <w:tblPr>
        <w:tblOverlap w:val="never"/>
        <w:jc w:val="left"/>
        <w:tblLayout w:type="fixed"/>
      </w:tblPr>
      <w:tblGrid>
        <w:gridCol w:w="2846"/>
        <w:gridCol w:w="2846"/>
        <w:gridCol w:w="285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年末金额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年初金额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2,360,161.00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377,360,161.00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p>
        </w:tc>
      </w:tr>
    </w:tbl>
    <w:p>
      <w:pPr>
        <w:pStyle w:val="Style26"/>
        <w:keepNext w:val="0"/>
        <w:keepLines w:val="0"/>
        <w:widowControl w:val="0"/>
        <w:shd w:val="clear" w:color="auto" w:fill="auto"/>
        <w:bidi w:val="0"/>
        <w:spacing w:before="0" w:after="34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日，本公司尚有已签订合同但未付的约定重大对外投资支出共计</w:t>
      </w:r>
      <w:r>
        <w:rPr>
          <w:rFonts w:ascii="Times New Roman" w:eastAsia="Times New Roman" w:hAnsi="Times New Roman" w:cs="Times New Roman"/>
          <w:color w:val="000000"/>
          <w:spacing w:val="0"/>
          <w:w w:val="100"/>
          <w:position w:val="0"/>
          <w:sz w:val="18"/>
          <w:szCs w:val="18"/>
        </w:rPr>
        <w:t>375,000,000.00</w:t>
      </w:r>
      <w:r>
        <w:rPr>
          <w:color w:val="000000"/>
          <w:spacing w:val="0"/>
          <w:w w:val="100"/>
          <w:position w:val="0"/>
        </w:rPr>
        <w:t>元，具体情况 如下：</w:t>
      </w:r>
    </w:p>
    <w:tbl>
      <w:tblPr>
        <w:tblOverlap w:val="never"/>
        <w:jc w:val="left"/>
        <w:tblLayout w:type="fixed"/>
      </w:tblPr>
      <w:tblGrid>
        <w:gridCol w:w="1066"/>
        <w:gridCol w:w="1694"/>
        <w:gridCol w:w="1680"/>
        <w:gridCol w:w="1790"/>
        <w:gridCol w:w="1680"/>
        <w:gridCol w:w="638"/>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投资项目名 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rPr>
              <w:t>合同投资额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已付投资额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9"/>
                <w:szCs w:val="19"/>
              </w:rPr>
            </w:pPr>
            <w:r>
              <w:rPr>
                <w:b/>
                <w:bCs/>
                <w:color w:val="000000"/>
                <w:spacing w:val="0"/>
                <w:w w:val="100"/>
                <w:position w:val="0"/>
                <w:sz w:val="19"/>
                <w:szCs w:val="19"/>
              </w:rPr>
              <w:t>未付投资额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预计投资期间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备注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宝腾互联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9"/>
                <w:szCs w:val="19"/>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020</w:t>
            </w:r>
            <w:r>
              <w:rPr>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20"/>
                <w:szCs w:val="20"/>
              </w:rPr>
              <w:t>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125,000,000.00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0"/>
                <w:szCs w:val="20"/>
              </w:rPr>
              <w:t>375,000,000.00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6"/>
        <w:keepNext w:val="0"/>
        <w:keepLines w:val="0"/>
        <w:widowControl w:val="0"/>
        <w:shd w:val="clear" w:color="auto" w:fill="auto"/>
        <w:tabs>
          <w:tab w:pos="972" w:val="left"/>
        </w:tabs>
        <w:bidi w:val="0"/>
        <w:spacing w:before="0" w:after="0" w:line="312"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年第一次临时股东大会审议通过《关于以现金收购宝腾互联股权暨关联交易的议案》，</w:t>
      </w:r>
    </w:p>
    <w:p>
      <w:pPr>
        <w:pStyle w:val="Style2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与上述交易有利害关系的关联人及关联法人对相关议案回避表决。截至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日，宝德科技相关审批程序仍在进行中。 详见十五、其他重要事项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以现金收购宝腾互联股权。</w:t>
      </w:r>
    </w:p>
    <w:p>
      <w:pPr>
        <w:pStyle w:val="Style26"/>
        <w:keepNext w:val="0"/>
        <w:keepLines w:val="0"/>
        <w:widowControl w:val="0"/>
        <w:shd w:val="clear" w:color="auto" w:fill="auto"/>
        <w:bidi w:val="0"/>
        <w:spacing w:before="0" w:after="340" w:line="312" w:lineRule="exact"/>
        <w:ind w:left="0" w:right="0" w:firstLine="440"/>
        <w:jc w:val="left"/>
      </w:pPr>
      <w:bookmarkStart w:id="1433" w:name="bookmark1433"/>
      <w:r>
        <w:rPr>
          <w:color w:val="000000"/>
          <w:spacing w:val="0"/>
          <w:w w:val="100"/>
          <w:position w:val="0"/>
        </w:rPr>
        <w:t>（</w:t>
      </w:r>
      <w:bookmarkEnd w:id="14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日，本公司尚有已签订但未支付的约定大额发包合同支出共计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,360,161.00</w:t>
      </w:r>
      <w:r>
        <w:rPr>
          <w:color w:val="000000"/>
          <w:spacing w:val="0"/>
          <w:w w:val="100"/>
          <w:position w:val="0"/>
        </w:rPr>
        <w:t>元，具体情况如下：</w:t>
      </w:r>
    </w:p>
    <w:tbl>
      <w:tblPr>
        <w:tblOverlap w:val="never"/>
        <w:jc w:val="left"/>
        <w:tblLayout w:type="fixed"/>
      </w:tblPr>
      <w:tblGrid>
        <w:gridCol w:w="2059"/>
        <w:gridCol w:w="1555"/>
        <w:gridCol w:w="1622"/>
        <w:gridCol w:w="1608"/>
        <w:gridCol w:w="1066"/>
        <w:gridCol w:w="638"/>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rPr>
              <w:t>合同金额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已付金额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00"/>
              <w:jc w:val="left"/>
              <w:rPr>
                <w:sz w:val="19"/>
                <w:szCs w:val="19"/>
              </w:rPr>
            </w:pPr>
            <w:r>
              <w:rPr>
                <w:b/>
                <w:bCs/>
                <w:color w:val="000000"/>
                <w:spacing w:val="0"/>
                <w:w w:val="100"/>
                <w:position w:val="0"/>
                <w:sz w:val="19"/>
                <w:szCs w:val="19"/>
              </w:rPr>
              <w:t>未付金额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预计投资期 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9"/>
                <w:szCs w:val="19"/>
              </w:rPr>
            </w:pPr>
            <w:r>
              <w:rPr>
                <w:b/>
                <w:bCs/>
                <w:color w:val="000000"/>
                <w:spacing w:val="0"/>
                <w:w w:val="100"/>
                <w:position w:val="0"/>
                <w:sz w:val="19"/>
                <w:szCs w:val="19"/>
              </w:rPr>
              <w:t>备注</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 xml:space="preserve">北京八达岭水关长城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九腾九州</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5,778,970.00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3,418,809.00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2,360,161.00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19"/>
                <w:szCs w:val="19"/>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19"/>
                <w:szCs w:val="19"/>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5,778,970.00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b/>
                <w:bCs/>
                <w:color w:val="000000"/>
                <w:spacing w:val="0"/>
                <w:w w:val="100"/>
                <w:position w:val="0"/>
                <w:sz w:val="20"/>
                <w:szCs w:val="20"/>
              </w:rPr>
              <w:t>3,418,809.00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0"/>
                <w:szCs w:val="20"/>
              </w:rPr>
              <w:t>2,360,161.00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2"/>
        <w:keepNext/>
        <w:keepLines/>
        <w:widowControl w:val="0"/>
        <w:shd w:val="clear" w:color="auto" w:fill="auto"/>
        <w:bidi w:val="0"/>
        <w:spacing w:before="0" w:after="340" w:line="240" w:lineRule="auto"/>
        <w:ind w:left="0" w:right="0" w:firstLine="0"/>
        <w:jc w:val="left"/>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日，本公司无需披露的其他重大承诺或或有事项。</w:t>
      </w:r>
      <w:bookmarkEnd w:id="1434"/>
      <w:bookmarkEnd w:id="1435"/>
      <w:bookmarkEnd w:id="1436"/>
    </w:p>
    <w:p>
      <w:pPr>
        <w:pStyle w:val="Style24"/>
        <w:keepNext/>
        <w:keepLines/>
        <w:widowControl w:val="0"/>
        <w:shd w:val="clear" w:color="auto" w:fill="auto"/>
        <w:bidi w:val="0"/>
        <w:spacing w:before="0" w:after="340" w:line="240" w:lineRule="auto"/>
        <w:ind w:left="0" w:right="0" w:firstLine="0"/>
        <w:jc w:val="left"/>
      </w:pPr>
      <w:bookmarkStart w:id="1437" w:name="bookmark1437"/>
      <w:bookmarkStart w:id="1438" w:name="bookmark1438"/>
      <w:bookmarkStart w:id="1439" w:name="bookmark1439"/>
      <w:r>
        <w:rPr>
          <w:color w:val="000000"/>
          <w:spacing w:val="0"/>
          <w:w w:val="100"/>
          <w:position w:val="0"/>
          <w:sz w:val="24"/>
          <w:szCs w:val="24"/>
        </w:rPr>
        <w:t>十四、资产负债表日后事项</w:t>
      </w:r>
      <w:bookmarkEnd w:id="1437"/>
      <w:bookmarkEnd w:id="1438"/>
      <w:bookmarkEnd w:id="1439"/>
    </w:p>
    <w:p>
      <w:pPr>
        <w:pStyle w:val="Style32"/>
        <w:keepNext/>
        <w:keepLines/>
        <w:widowControl w:val="0"/>
        <w:shd w:val="clear" w:color="auto" w:fill="auto"/>
        <w:bidi w:val="0"/>
        <w:spacing w:before="0" w:after="340" w:line="240" w:lineRule="auto"/>
        <w:ind w:left="0" w:right="0" w:firstLine="0"/>
        <w:jc w:val="left"/>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r>
        <w:rPr>
          <w:color w:val="000000"/>
          <w:spacing w:val="0"/>
          <w:w w:val="100"/>
          <w:position w:val="0"/>
        </w:rPr>
        <w:t>、截至财务报告批准日，本公司无需披露的重大资产负债表日后事项。</w:t>
      </w:r>
      <w:bookmarkEnd w:id="1440"/>
      <w:bookmarkEnd w:id="1441"/>
      <w:bookmarkEnd w:id="1442"/>
    </w:p>
    <w:p>
      <w:pPr>
        <w:pStyle w:val="Style24"/>
        <w:keepNext/>
        <w:keepLines/>
        <w:widowControl w:val="0"/>
        <w:shd w:val="clear" w:color="auto" w:fill="auto"/>
        <w:bidi w:val="0"/>
        <w:spacing w:before="0" w:after="340" w:line="240" w:lineRule="auto"/>
        <w:ind w:left="0" w:right="0" w:firstLine="0"/>
        <w:jc w:val="left"/>
      </w:pPr>
      <w:bookmarkStart w:id="1443" w:name="bookmark1443"/>
      <w:bookmarkStart w:id="1444" w:name="bookmark1444"/>
      <w:bookmarkStart w:id="1445" w:name="bookmark1445"/>
      <w:r>
        <w:rPr>
          <w:color w:val="000000"/>
          <w:spacing w:val="0"/>
          <w:w w:val="100"/>
          <w:position w:val="0"/>
          <w:sz w:val="24"/>
          <w:szCs w:val="24"/>
        </w:rPr>
        <w:t>十五、其他重要事项</w:t>
      </w:r>
      <w:bookmarkEnd w:id="1443"/>
      <w:bookmarkEnd w:id="1444"/>
      <w:bookmarkEnd w:id="1445"/>
    </w:p>
    <w:p>
      <w:pPr>
        <w:pStyle w:val="Style32"/>
        <w:keepNext/>
        <w:keepLines/>
        <w:widowControl w:val="0"/>
        <w:shd w:val="clear" w:color="auto" w:fill="auto"/>
        <w:bidi w:val="0"/>
        <w:spacing w:before="0" w:after="240" w:line="240" w:lineRule="auto"/>
        <w:ind w:left="0" w:right="0" w:firstLine="0"/>
        <w:jc w:val="left"/>
      </w:pPr>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46"/>
      <w:bookmarkEnd w:id="1447"/>
      <w:bookmarkEnd w:id="1448"/>
    </w:p>
    <w:p>
      <w:pPr>
        <w:pStyle w:val="Style26"/>
        <w:keepNext w:val="0"/>
        <w:keepLines w:val="0"/>
        <w:widowControl w:val="0"/>
        <w:shd w:val="clear" w:color="auto" w:fill="auto"/>
        <w:bidi w:val="0"/>
        <w:spacing w:before="0" w:after="240" w:line="320" w:lineRule="exact"/>
        <w:ind w:left="0" w:right="0" w:firstLine="0"/>
        <w:jc w:val="left"/>
      </w:pPr>
      <w:bookmarkStart w:id="1449" w:name="bookmark1449"/>
      <w:r>
        <w:rPr>
          <w:rFonts w:ascii="Times New Roman" w:eastAsia="Times New Roman" w:hAnsi="Times New Roman" w:cs="Times New Roman"/>
          <w:color w:val="000000"/>
          <w:spacing w:val="0"/>
          <w:w w:val="100"/>
          <w:position w:val="0"/>
          <w:sz w:val="18"/>
          <w:szCs w:val="18"/>
        </w:rPr>
        <w:t>1</w:t>
      </w:r>
      <w:bookmarkEnd w:id="1449"/>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与上海美峰股东签订兜底还款协议</w:t>
      </w:r>
    </w:p>
    <w:p>
      <w:pPr>
        <w:pStyle w:val="Style26"/>
        <w:keepNext w:val="0"/>
        <w:keepLines w:val="0"/>
        <w:widowControl w:val="0"/>
        <w:shd w:val="clear" w:color="auto" w:fill="auto"/>
        <w:bidi w:val="0"/>
        <w:spacing w:before="0" w:after="240" w:line="322" w:lineRule="exact"/>
        <w:ind w:left="0" w:right="0" w:firstLine="46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日召开的第三届董事会第三十一次（临时）会议审议通过了《关于与上海美峰股东签订兜底还 款协议的议案》，协议的主要内容如下：</w:t>
      </w:r>
    </w:p>
    <w:p>
      <w:pPr>
        <w:pStyle w:val="Style26"/>
        <w:keepNext w:val="0"/>
        <w:keepLines w:val="0"/>
        <w:widowControl w:val="0"/>
        <w:shd w:val="clear" w:color="auto" w:fill="auto"/>
        <w:bidi w:val="0"/>
        <w:spacing w:before="0" w:after="240" w:line="319" w:lineRule="exact"/>
        <w:ind w:left="0" w:right="0" w:firstLine="0"/>
        <w:jc w:val="left"/>
      </w:pPr>
      <w:bookmarkStart w:id="1450" w:name="bookmark1450"/>
      <w:r>
        <w:rPr>
          <w:color w:val="000000"/>
          <w:spacing w:val="0"/>
          <w:w w:val="100"/>
          <w:position w:val="0"/>
        </w:rPr>
        <w:t>（</w:t>
      </w:r>
      <w:bookmarkEnd w:id="14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日上海集美与环球互动数码科技有限公司（以下简称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环球互动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）签订了《软件著作权转让协议》，协议 约定了环球互动以</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万美元的对价购买上海集美游戏《君王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》的著作权，以上收入合并计入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年上海美峰营业收入以 及利润；</w:t>
      </w:r>
    </w:p>
    <w:p>
      <w:pPr>
        <w:pStyle w:val="Style26"/>
        <w:keepNext w:val="0"/>
        <w:keepLines w:val="0"/>
        <w:widowControl w:val="0"/>
        <w:shd w:val="clear" w:color="auto" w:fill="auto"/>
        <w:bidi w:val="0"/>
        <w:spacing w:before="0" w:after="240" w:line="326" w:lineRule="exact"/>
        <w:ind w:left="0" w:right="0" w:firstLine="0"/>
        <w:jc w:val="left"/>
      </w:pPr>
      <w:bookmarkStart w:id="1451" w:name="bookmark1451"/>
      <w:r>
        <w:rPr>
          <w:color w:val="000000"/>
          <w:spacing w:val="0"/>
          <w:w w:val="100"/>
          <w:position w:val="0"/>
        </w:rPr>
        <w:t>（</w:t>
      </w:r>
      <w:bookmarkEnd w:id="14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截至本协议签署之日（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日），环球互动尚有</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万美元未向上海美峰支付，以上款项未按时支付的情况可 能会损害本公司中小股东的合法权益；</w:t>
      </w:r>
    </w:p>
    <w:p>
      <w:pPr>
        <w:pStyle w:val="Style26"/>
        <w:keepNext w:val="0"/>
        <w:keepLines w:val="0"/>
        <w:widowControl w:val="0"/>
        <w:shd w:val="clear" w:color="auto" w:fill="auto"/>
        <w:tabs>
          <w:tab w:pos="536" w:val="left"/>
        </w:tabs>
        <w:bidi w:val="0"/>
        <w:spacing w:before="0" w:after="340" w:line="312" w:lineRule="exact"/>
        <w:ind w:left="0" w:right="0" w:firstLine="0"/>
        <w:jc w:val="left"/>
      </w:pPr>
      <w:bookmarkStart w:id="1452" w:name="bookmark1452"/>
      <w:r>
        <w:rPr>
          <w:color w:val="000000"/>
          <w:spacing w:val="0"/>
          <w:w w:val="100"/>
          <w:position w:val="0"/>
        </w:rPr>
        <w:t>（</w:t>
      </w:r>
      <w:bookmarkEnd w:id="14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上海美峰股东李杰、郭瑜、钟松不可撤销的同意并承诺承担环球互动对上海集美</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万美元的债务；并同意以人民币支 付上述款项，汇率以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日当日中国人民银行公布的美元兑人民币汇率</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6.4916）</w:t>
      </w:r>
      <w:r>
        <w:rPr>
          <w:color w:val="000000"/>
          <w:spacing w:val="0"/>
          <w:w w:val="100"/>
          <w:position w:val="0"/>
        </w:rPr>
        <w:t>计算，合计人民币</w:t>
      </w:r>
      <w:r>
        <w:rPr>
          <w:rFonts w:ascii="Times New Roman" w:eastAsia="Times New Roman" w:hAnsi="Times New Roman" w:cs="Times New Roman"/>
          <w:color w:val="000000"/>
          <w:spacing w:val="0"/>
          <w:w w:val="100"/>
          <w:position w:val="0"/>
          <w:sz w:val="18"/>
          <w:szCs w:val="18"/>
        </w:rPr>
        <w:t>4,050.80</w:t>
      </w:r>
      <w:r>
        <w:rPr>
          <w:color w:val="000000"/>
          <w:spacing w:val="0"/>
          <w:w w:val="100"/>
          <w:position w:val="0"/>
        </w:rPr>
        <w:t>万元；</w:t>
      </w:r>
    </w:p>
    <w:p>
      <w:pPr>
        <w:pStyle w:val="Style26"/>
        <w:keepNext w:val="0"/>
        <w:keepLines w:val="0"/>
        <w:widowControl w:val="0"/>
        <w:shd w:val="clear" w:color="auto" w:fill="auto"/>
        <w:tabs>
          <w:tab w:pos="419" w:val="left"/>
        </w:tabs>
        <w:bidi w:val="0"/>
        <w:spacing w:before="0" w:after="220" w:line="311" w:lineRule="exact"/>
        <w:ind w:left="0" w:right="0" w:firstLine="0"/>
        <w:jc w:val="left"/>
      </w:pPr>
      <w:bookmarkStart w:id="1453" w:name="bookmark1453"/>
      <w:r>
        <w:rPr>
          <w:color w:val="000000"/>
          <w:spacing w:val="0"/>
          <w:w w:val="100"/>
          <w:position w:val="0"/>
        </w:rPr>
        <w:t>（</w:t>
      </w:r>
      <w:bookmarkEnd w:id="145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付款方式：</w:t>
      </w:r>
    </w:p>
    <w:p>
      <w:pPr>
        <w:pStyle w:val="Style26"/>
        <w:keepNext w:val="0"/>
        <w:keepLines w:val="0"/>
        <w:widowControl w:val="0"/>
        <w:shd w:val="clear" w:color="auto" w:fill="auto"/>
        <w:tabs>
          <w:tab w:pos="559" w:val="left"/>
        </w:tabs>
        <w:bidi w:val="0"/>
        <w:spacing w:before="0" w:after="220" w:line="311" w:lineRule="exact"/>
        <w:ind w:left="0" w:right="0" w:firstLine="0"/>
        <w:jc w:val="left"/>
      </w:pPr>
      <w:bookmarkStart w:id="1454" w:name="bookmark1454"/>
      <w:r>
        <w:rPr>
          <w:color w:val="000000"/>
          <w:spacing w:val="0"/>
          <w:w w:val="100"/>
          <w:position w:val="0"/>
        </w:rPr>
        <w:t>（</w:t>
      </w:r>
      <w:bookmarkEnd w:id="1454"/>
      <w:r>
        <w:rPr>
          <w:rFonts w:ascii="Times New Roman" w:eastAsia="Times New Roman" w:hAnsi="Times New Roman" w:cs="Times New Roman"/>
          <w:color w:val="000000"/>
          <w:spacing w:val="0"/>
          <w:w w:val="100"/>
          <w:position w:val="0"/>
          <w:sz w:val="18"/>
          <w:szCs w:val="18"/>
        </w:rPr>
        <w:t>4.1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日前通过转账方式向上海集美支付人民币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26"/>
        <w:keepNext w:val="0"/>
        <w:keepLines w:val="0"/>
        <w:widowControl w:val="0"/>
        <w:shd w:val="clear" w:color="auto" w:fill="auto"/>
        <w:tabs>
          <w:tab w:pos="559" w:val="left"/>
        </w:tabs>
        <w:bidi w:val="0"/>
        <w:spacing w:before="0" w:after="220" w:line="311" w:lineRule="exact"/>
        <w:ind w:left="0" w:right="0" w:firstLine="0"/>
        <w:jc w:val="left"/>
      </w:pPr>
      <w:bookmarkStart w:id="1455" w:name="bookmark1455"/>
      <w:r>
        <w:rPr>
          <w:color w:val="000000"/>
          <w:spacing w:val="0"/>
          <w:w w:val="100"/>
          <w:position w:val="0"/>
        </w:rPr>
        <w:t>（</w:t>
      </w:r>
      <w:bookmarkEnd w:id="1455"/>
      <w:r>
        <w:rPr>
          <w:rFonts w:ascii="Times New Roman" w:eastAsia="Times New Roman" w:hAnsi="Times New Roman" w:cs="Times New Roman"/>
          <w:color w:val="000000"/>
          <w:spacing w:val="0"/>
          <w:w w:val="100"/>
          <w:position w:val="0"/>
          <w:sz w:val="18"/>
          <w:szCs w:val="18"/>
        </w:rPr>
        <w:t>4.2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日前通过转账方式向上海集美支付人民币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26"/>
        <w:keepNext w:val="0"/>
        <w:keepLines w:val="0"/>
        <w:widowControl w:val="0"/>
        <w:shd w:val="clear" w:color="auto" w:fill="auto"/>
        <w:tabs>
          <w:tab w:pos="559" w:val="left"/>
        </w:tabs>
        <w:bidi w:val="0"/>
        <w:spacing w:before="0" w:after="220" w:line="311" w:lineRule="exact"/>
        <w:ind w:left="0" w:right="0" w:firstLine="0"/>
        <w:jc w:val="left"/>
      </w:pPr>
      <w:bookmarkStart w:id="1456" w:name="bookmark1456"/>
      <w:r>
        <w:rPr>
          <w:color w:val="000000"/>
          <w:spacing w:val="0"/>
          <w:w w:val="100"/>
          <w:position w:val="0"/>
        </w:rPr>
        <w:t>（</w:t>
      </w:r>
      <w:bookmarkEnd w:id="1456"/>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日前通过转账方式向上海集美支付人民币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26"/>
        <w:keepNext w:val="0"/>
        <w:keepLines w:val="0"/>
        <w:widowControl w:val="0"/>
        <w:shd w:val="clear" w:color="auto" w:fill="auto"/>
        <w:tabs>
          <w:tab w:pos="559" w:val="left"/>
        </w:tabs>
        <w:bidi w:val="0"/>
        <w:spacing w:before="0" w:after="220" w:line="311" w:lineRule="exact"/>
        <w:ind w:left="0" w:right="0" w:firstLine="0"/>
        <w:jc w:val="left"/>
      </w:pPr>
      <w:bookmarkStart w:id="1457" w:name="bookmark1457"/>
      <w:r>
        <w:rPr>
          <w:color w:val="000000"/>
          <w:spacing w:val="0"/>
          <w:w w:val="100"/>
          <w:position w:val="0"/>
        </w:rPr>
        <w:t>（</w:t>
      </w:r>
      <w:bookmarkEnd w:id="1457"/>
      <w:r>
        <w:rPr>
          <w:rFonts w:ascii="Times New Roman" w:eastAsia="Times New Roman" w:hAnsi="Times New Roman" w:cs="Times New Roman"/>
          <w:color w:val="000000"/>
          <w:spacing w:val="0"/>
          <w:w w:val="100"/>
          <w:position w:val="0"/>
          <w:sz w:val="18"/>
          <w:szCs w:val="18"/>
        </w:rPr>
        <w:t>4.4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日前通过转账方式向上海集美支付人民币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26"/>
        <w:keepNext w:val="0"/>
        <w:keepLines w:val="0"/>
        <w:widowControl w:val="0"/>
        <w:shd w:val="clear" w:color="auto" w:fill="auto"/>
        <w:tabs>
          <w:tab w:pos="559" w:val="left"/>
        </w:tabs>
        <w:bidi w:val="0"/>
        <w:spacing w:before="0" w:after="220" w:line="311" w:lineRule="exact"/>
        <w:ind w:left="0" w:right="0" w:firstLine="0"/>
        <w:jc w:val="left"/>
      </w:pPr>
      <w:bookmarkStart w:id="1458" w:name="bookmark1458"/>
      <w:r>
        <w:rPr>
          <w:color w:val="000000"/>
          <w:spacing w:val="0"/>
          <w:w w:val="100"/>
          <w:position w:val="0"/>
        </w:rPr>
        <w:t>（</w:t>
      </w:r>
      <w:bookmarkEnd w:id="1458"/>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日前通过转账方式向上海集美支付剩余的全部款项；</w:t>
      </w:r>
    </w:p>
    <w:p>
      <w:pPr>
        <w:pStyle w:val="Style26"/>
        <w:keepNext w:val="0"/>
        <w:keepLines w:val="0"/>
        <w:widowControl w:val="0"/>
        <w:shd w:val="clear" w:color="auto" w:fill="auto"/>
        <w:tabs>
          <w:tab w:pos="515" w:val="left"/>
        </w:tabs>
        <w:bidi w:val="0"/>
        <w:spacing w:before="0" w:after="0" w:line="317" w:lineRule="exact"/>
        <w:ind w:left="0" w:right="0" w:firstLine="0"/>
        <w:jc w:val="left"/>
      </w:pPr>
      <w:bookmarkStart w:id="1459" w:name="bookmark1459"/>
      <w:r>
        <w:rPr>
          <w:color w:val="000000"/>
          <w:spacing w:val="0"/>
          <w:w w:val="100"/>
          <w:position w:val="0"/>
        </w:rPr>
        <w:t>（</w:t>
      </w:r>
      <w:bookmarkEnd w:id="145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李杰、郭瑜、钟松同意以各自持有的上海美峰的全部股权质押给本公司，若李杰、郭瑜、钟松未能按照本协议约定的 方式支付款项，本公司有权行使质权。李杰、郭瑜、钟松须于本协议签署之后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个工作日内完成办理股权质押相关手续。若 李杰、郭瑜、钟松按本协议约定的方式履约完毕，本公司应在上海集美收到李杰、郭瑜、钟松支付的最后一笔款项后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 作日内无条件解除质押手续。</w:t>
      </w:r>
    </w:p>
    <w:p>
      <w:pPr>
        <w:pStyle w:val="Style26"/>
        <w:keepNext w:val="0"/>
        <w:keepLines w:val="0"/>
        <w:widowControl w:val="0"/>
        <w:shd w:val="clear" w:color="auto" w:fill="auto"/>
        <w:tabs>
          <w:tab w:pos="408" w:val="left"/>
        </w:tabs>
        <w:bidi w:val="0"/>
        <w:spacing w:before="0" w:after="220" w:line="311" w:lineRule="exact"/>
        <w:ind w:left="0" w:right="0" w:firstLine="0"/>
        <w:jc w:val="left"/>
      </w:pPr>
      <w:bookmarkStart w:id="1460" w:name="bookmark1460"/>
      <w:r>
        <w:rPr>
          <w:rFonts w:ascii="Times New Roman" w:eastAsia="Times New Roman" w:hAnsi="Times New Roman" w:cs="Times New Roman"/>
          <w:color w:val="000000"/>
          <w:spacing w:val="0"/>
          <w:w w:val="100"/>
          <w:position w:val="0"/>
          <w:sz w:val="18"/>
          <w:szCs w:val="18"/>
        </w:rPr>
        <w:t>2</w:t>
      </w:r>
      <w:bookmarkEnd w:id="1460"/>
      <w:r>
        <w:rPr>
          <w:color w:val="000000"/>
          <w:spacing w:val="0"/>
          <w:w w:val="100"/>
          <w:position w:val="0"/>
        </w:rPr>
        <w:t>、</w:t>
        <w:tab/>
        <w:t>以现金收购宝腾互联股权</w:t>
      </w:r>
    </w:p>
    <w:p>
      <w:pPr>
        <w:pStyle w:val="Style26"/>
        <w:keepNext w:val="0"/>
        <w:keepLines w:val="0"/>
        <w:widowControl w:val="0"/>
        <w:shd w:val="clear" w:color="auto" w:fill="auto"/>
        <w:tabs>
          <w:tab w:pos="419" w:val="left"/>
        </w:tabs>
        <w:bidi w:val="0"/>
        <w:spacing w:before="0" w:after="0" w:line="311" w:lineRule="exact"/>
        <w:ind w:left="0" w:right="0" w:firstLine="0"/>
        <w:jc w:val="left"/>
      </w:pPr>
      <w:bookmarkStart w:id="1461" w:name="bookmark1461"/>
      <w:r>
        <w:rPr>
          <w:color w:val="000000"/>
          <w:spacing w:val="0"/>
          <w:w w:val="100"/>
          <w:position w:val="0"/>
          <w:sz w:val="18"/>
          <w:szCs w:val="18"/>
        </w:rPr>
        <w:t>（</w:t>
      </w:r>
      <w:bookmarkEnd w:id="1461"/>
      <w:r>
        <w:rPr>
          <w:color w:val="000000"/>
          <w:spacing w:val="0"/>
          <w:w w:val="100"/>
          <w:position w:val="0"/>
          <w:sz w:val="18"/>
          <w:szCs w:val="18"/>
        </w:rPr>
        <w:t>1）</w:t>
        <w:tab/>
      </w:r>
      <w:r>
        <w:rPr>
          <w:color w:val="000000"/>
          <w:spacing w:val="0"/>
          <w:w w:val="100"/>
          <w:position w:val="0"/>
        </w:rPr>
        <w:t>支付现金购买资产协议内容描述</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日本公司与宝德科技签署《支付现金购买资产协议》，本公司拟以现金人民币</w:t>
      </w:r>
      <w:r>
        <w:rPr>
          <w:color w:val="000000"/>
          <w:spacing w:val="0"/>
          <w:w w:val="100"/>
          <w:position w:val="0"/>
          <w:sz w:val="18"/>
          <w:szCs w:val="18"/>
        </w:rPr>
        <w:t>50,000</w:t>
      </w:r>
      <w:r>
        <w:rPr>
          <w:color w:val="000000"/>
          <w:spacing w:val="0"/>
          <w:w w:val="100"/>
          <w:position w:val="0"/>
        </w:rPr>
        <w:t>万元收购宝德科技持 有的完成业务整合后的宝腾互联</w:t>
      </w:r>
      <w:r>
        <w:rPr>
          <w:color w:val="000000"/>
          <w:spacing w:val="0"/>
          <w:w w:val="100"/>
          <w:position w:val="0"/>
          <w:sz w:val="18"/>
          <w:szCs w:val="18"/>
        </w:rPr>
        <w:t>100%</w:t>
      </w:r>
      <w:r>
        <w:rPr>
          <w:color w:val="000000"/>
          <w:spacing w:val="0"/>
          <w:w w:val="100"/>
          <w:position w:val="0"/>
        </w:rPr>
        <w:t>股权（以下简称目标资产）。</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双方同意，本协议签署后如最终未能正式生效的，宝德科技应当将已收取的相应现金价款的本金加上银行同期利息（按 照本公司支付款项时银行同期贷款利率上浮</w:t>
      </w:r>
      <w:r>
        <w:rPr>
          <w:color w:val="000000"/>
          <w:spacing w:val="0"/>
          <w:w w:val="100"/>
          <w:position w:val="0"/>
          <w:sz w:val="18"/>
          <w:szCs w:val="18"/>
        </w:rPr>
        <w:t>10%</w:t>
      </w:r>
      <w:r>
        <w:rPr>
          <w:color w:val="000000"/>
          <w:spacing w:val="0"/>
          <w:w w:val="100"/>
          <w:position w:val="0"/>
        </w:rPr>
        <w:t>计算的利息）全额返还本公司本公司。</w:t>
      </w:r>
    </w:p>
    <w:p>
      <w:pPr>
        <w:pStyle w:val="Style26"/>
        <w:keepNext w:val="0"/>
        <w:keepLines w:val="0"/>
        <w:widowControl w:val="0"/>
        <w:shd w:val="clear" w:color="auto" w:fill="auto"/>
        <w:tabs>
          <w:tab w:pos="419" w:val="left"/>
        </w:tabs>
        <w:bidi w:val="0"/>
        <w:spacing w:before="0" w:after="0" w:line="311" w:lineRule="exact"/>
        <w:ind w:left="0" w:right="0" w:firstLine="0"/>
        <w:jc w:val="left"/>
      </w:pPr>
      <w:bookmarkStart w:id="1462" w:name="bookmark1462"/>
      <w:r>
        <w:rPr>
          <w:color w:val="000000"/>
          <w:spacing w:val="0"/>
          <w:w w:val="100"/>
          <w:position w:val="0"/>
          <w:sz w:val="18"/>
          <w:szCs w:val="18"/>
        </w:rPr>
        <w:t>（</w:t>
      </w:r>
      <w:bookmarkEnd w:id="1462"/>
      <w:r>
        <w:rPr>
          <w:color w:val="000000"/>
          <w:spacing w:val="0"/>
          <w:w w:val="100"/>
          <w:position w:val="0"/>
          <w:sz w:val="18"/>
          <w:szCs w:val="18"/>
        </w:rPr>
        <w:t>2）</w:t>
        <w:tab/>
      </w:r>
      <w:r>
        <w:rPr>
          <w:color w:val="000000"/>
          <w:spacing w:val="0"/>
          <w:w w:val="100"/>
          <w:position w:val="0"/>
        </w:rPr>
        <w:t>盈利预测补偿协议内容描述</w:t>
      </w:r>
    </w:p>
    <w:p>
      <w:pPr>
        <w:pStyle w:val="Style26"/>
        <w:keepNext w:val="0"/>
        <w:keepLines w:val="0"/>
        <w:widowControl w:val="0"/>
        <w:shd w:val="clear" w:color="auto" w:fill="auto"/>
        <w:bidi w:val="0"/>
        <w:spacing w:before="0" w:after="0" w:line="311" w:lineRule="exact"/>
        <w:ind w:left="0" w:right="0" w:firstLine="2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日本公司与宝德科技签署《盈利预测补偿协议》，协议中约定</w:t>
      </w:r>
    </w:p>
    <w:p>
      <w:pPr>
        <w:pStyle w:val="Style26"/>
        <w:keepNext w:val="0"/>
        <w:keepLines w:val="0"/>
        <w:widowControl w:val="0"/>
        <w:numPr>
          <w:ilvl w:val="0"/>
          <w:numId w:val="27"/>
        </w:numPr>
        <w:shd w:val="clear" w:color="auto" w:fill="auto"/>
        <w:tabs>
          <w:tab w:pos="352" w:val="left"/>
        </w:tabs>
        <w:bidi w:val="0"/>
        <w:spacing w:before="0" w:after="0" w:line="311" w:lineRule="exact"/>
        <w:ind w:left="0" w:right="0" w:firstLine="0"/>
        <w:jc w:val="left"/>
      </w:pPr>
      <w:bookmarkStart w:id="1463" w:name="bookmark1463"/>
      <w:bookmarkEnd w:id="1463"/>
      <w:r>
        <w:rPr>
          <w:color w:val="000000"/>
          <w:spacing w:val="0"/>
          <w:w w:val="100"/>
          <w:position w:val="0"/>
        </w:rPr>
        <w:t>宝德科技确认并承诺，宝腾互联</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w:t>
      </w:r>
      <w:r>
        <w:rPr>
          <w:color w:val="000000"/>
          <w:spacing w:val="0"/>
          <w:w w:val="100"/>
          <w:position w:val="0"/>
          <w:sz w:val="18"/>
          <w:szCs w:val="18"/>
        </w:rPr>
        <w:t>2019</w:t>
      </w:r>
      <w:r>
        <w:rPr>
          <w:color w:val="000000"/>
          <w:spacing w:val="0"/>
          <w:w w:val="100"/>
          <w:position w:val="0"/>
        </w:rPr>
        <w:t>年度经审计扣除非经常性损益后归属于母公司股东的净利润合 计不低于人民币</w:t>
      </w:r>
      <w:r>
        <w:rPr>
          <w:color w:val="000000"/>
          <w:spacing w:val="0"/>
          <w:w w:val="100"/>
          <w:position w:val="0"/>
          <w:sz w:val="18"/>
          <w:szCs w:val="18"/>
        </w:rPr>
        <w:t>110,361,605.80</w:t>
      </w:r>
      <w:r>
        <w:rPr>
          <w:color w:val="000000"/>
          <w:spacing w:val="0"/>
          <w:w w:val="100"/>
          <w:position w:val="0"/>
        </w:rPr>
        <w:t>元。</w:t>
      </w:r>
    </w:p>
    <w:p>
      <w:pPr>
        <w:pStyle w:val="Style26"/>
        <w:keepNext w:val="0"/>
        <w:keepLines w:val="0"/>
        <w:widowControl w:val="0"/>
        <w:numPr>
          <w:ilvl w:val="0"/>
          <w:numId w:val="27"/>
        </w:numPr>
        <w:shd w:val="clear" w:color="auto" w:fill="auto"/>
        <w:tabs>
          <w:tab w:pos="352" w:val="left"/>
        </w:tabs>
        <w:bidi w:val="0"/>
        <w:spacing w:before="0" w:after="0" w:line="311" w:lineRule="exact"/>
        <w:ind w:left="0" w:right="0" w:firstLine="0"/>
        <w:jc w:val="left"/>
      </w:pPr>
      <w:bookmarkStart w:id="1464" w:name="bookmark1464"/>
      <w:bookmarkEnd w:id="1464"/>
      <w:r>
        <w:rPr>
          <w:color w:val="000000"/>
          <w:spacing w:val="0"/>
          <w:w w:val="100"/>
          <w:position w:val="0"/>
        </w:rPr>
        <w:t>若经注册会计师审核确认，宝腾互联在盈利补偿期间最终结束后的实际净利润数未能达到宝德科技承诺的净利润预测数， 宝德科技将以现金形式对本公司进行补偿。</w:t>
      </w:r>
    </w:p>
    <w:p>
      <w:pPr>
        <w:pStyle w:val="Style26"/>
        <w:keepNext w:val="0"/>
        <w:keepLines w:val="0"/>
        <w:widowControl w:val="0"/>
        <w:numPr>
          <w:ilvl w:val="0"/>
          <w:numId w:val="27"/>
        </w:numPr>
        <w:shd w:val="clear" w:color="auto" w:fill="auto"/>
        <w:tabs>
          <w:tab w:pos="352" w:val="left"/>
        </w:tabs>
        <w:bidi w:val="0"/>
        <w:spacing w:before="0" w:after="0" w:line="311" w:lineRule="exact"/>
        <w:ind w:left="0" w:right="0" w:firstLine="0"/>
        <w:jc w:val="left"/>
      </w:pPr>
      <w:bookmarkStart w:id="1465" w:name="bookmark1465"/>
      <w:bookmarkEnd w:id="1465"/>
      <w:r>
        <w:rPr>
          <w:color w:val="000000"/>
          <w:spacing w:val="0"/>
          <w:w w:val="100"/>
          <w:position w:val="0"/>
        </w:rPr>
        <w:t>在盈利补偿期间届满时，由经双方一致认可的具有证券从业资格的会计师事务所对目标资产进行盈利补偿期间的减值测试, 并出具专项审核意见。若盈利补偿期间期末目标资产的减值额大于宝德科技已就以上条款向本公司补偿总额，则宝德科技同 意除上述〈盈利预测及补偿方案〉所述补偿外，将另行向本公司作出资产减值补偿。</w:t>
      </w:r>
    </w:p>
    <w:p>
      <w:pPr>
        <w:pStyle w:val="Style26"/>
        <w:keepNext w:val="0"/>
        <w:keepLines w:val="0"/>
        <w:widowControl w:val="0"/>
        <w:shd w:val="clear" w:color="auto" w:fill="auto"/>
        <w:bidi w:val="0"/>
        <w:spacing w:before="0" w:after="0" w:line="311" w:lineRule="exact"/>
        <w:ind w:left="0" w:right="0" w:firstLine="22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日，本公司、宝德科技、李瑞杰及张云霞订立补充协议以对利润担保补偿协议作出若干修订。根据利润担保 补偿协议之补充协议，订约各方同意本公司将予以支付的利润担保补偿及资产减值补偿最高总额将不超过人民币 </w:t>
      </w:r>
      <w:r>
        <w:rPr>
          <w:color w:val="000000"/>
          <w:spacing w:val="0"/>
          <w:w w:val="100"/>
          <w:position w:val="0"/>
          <w:sz w:val="18"/>
          <w:szCs w:val="18"/>
        </w:rPr>
        <w:t>110,361,605.8</w:t>
      </w:r>
      <w:r>
        <w:rPr>
          <w:color w:val="000000"/>
          <w:spacing w:val="0"/>
          <w:w w:val="100"/>
          <w:position w:val="0"/>
          <w:sz w:val="18"/>
          <w:szCs w:val="18"/>
        </w:rPr>
        <w:t>0</w:t>
      </w:r>
      <w:r>
        <w:rPr>
          <w:color w:val="000000"/>
          <w:spacing w:val="0"/>
          <w:w w:val="100"/>
          <w:position w:val="0"/>
        </w:rPr>
        <w:t>元，且超过该限额的利润担保补偿及资产减值补偿部分将由李瑞杰及张云霞承担。</w:t>
      </w:r>
    </w:p>
    <w:p>
      <w:pPr>
        <w:pStyle w:val="Style26"/>
        <w:keepNext w:val="0"/>
        <w:keepLines w:val="0"/>
        <w:widowControl w:val="0"/>
        <w:shd w:val="clear" w:color="auto" w:fill="auto"/>
        <w:bidi w:val="0"/>
        <w:spacing w:before="0" w:after="0" w:line="311" w:lineRule="exact"/>
        <w:ind w:left="0" w:right="0" w:firstLine="220"/>
        <w:jc w:val="left"/>
      </w:pPr>
      <w:bookmarkStart w:id="1466" w:name="bookmark1466"/>
      <w:r>
        <w:rPr>
          <w:color w:val="000000"/>
          <w:spacing w:val="0"/>
          <w:w w:val="100"/>
          <w:position w:val="0"/>
          <w:sz w:val="18"/>
          <w:szCs w:val="18"/>
        </w:rPr>
        <w:t>（</w:t>
      </w:r>
      <w:bookmarkEnd w:id="1466"/>
      <w:r>
        <w:rPr>
          <w:color w:val="000000"/>
          <w:spacing w:val="0"/>
          <w:w w:val="100"/>
          <w:position w:val="0"/>
          <w:sz w:val="18"/>
          <w:szCs w:val="18"/>
        </w:rPr>
        <w:t>3）</w:t>
      </w:r>
      <w:r>
        <w:rPr>
          <w:color w:val="000000"/>
          <w:spacing w:val="0"/>
          <w:w w:val="100"/>
          <w:position w:val="0"/>
        </w:rPr>
        <w:t>收购宝腾互联进展情况</w:t>
      </w:r>
    </w:p>
    <w:p>
      <w:pPr>
        <w:pStyle w:val="Style26"/>
        <w:keepNext w:val="0"/>
        <w:keepLines w:val="0"/>
        <w:widowControl w:val="0"/>
        <w:shd w:val="clear" w:color="auto" w:fill="auto"/>
        <w:bidi w:val="0"/>
        <w:spacing w:before="0" w:after="120" w:line="311" w:lineRule="exact"/>
        <w:ind w:left="0" w:right="0" w:firstLine="220"/>
        <w:jc w:val="left"/>
      </w:pPr>
      <w:r>
        <w:rPr>
          <w:color w:val="000000"/>
          <w:spacing w:val="0"/>
          <w:w w:val="100"/>
          <w:position w:val="0"/>
        </w:rPr>
        <w:t>本公司已于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日应向宝德科技支付第一期现金价款</w:t>
      </w:r>
      <w:r>
        <w:rPr>
          <w:color w:val="000000"/>
          <w:spacing w:val="0"/>
          <w:w w:val="100"/>
          <w:position w:val="0"/>
          <w:sz w:val="18"/>
          <w:szCs w:val="18"/>
        </w:rPr>
        <w:t>1</w:t>
      </w:r>
      <w:r>
        <w:rPr>
          <w:color w:val="000000"/>
          <w:spacing w:val="0"/>
          <w:w w:val="100"/>
          <w:position w:val="0"/>
          <w:sz w:val="18"/>
          <w:szCs w:val="18"/>
        </w:rPr>
        <w:t>.25</w:t>
      </w:r>
      <w:r>
        <w:rPr>
          <w:color w:val="000000"/>
          <w:spacing w:val="0"/>
          <w:w w:val="100"/>
          <w:position w:val="0"/>
        </w:rPr>
        <w:t>亿元，目前该交易正在香港联合交易所审核过程中。</w:t>
      </w:r>
    </w:p>
    <w:p>
      <w:pPr>
        <w:pStyle w:val="Style26"/>
        <w:keepNext w:val="0"/>
        <w:keepLines w:val="0"/>
        <w:widowControl w:val="0"/>
        <w:shd w:val="clear" w:color="auto" w:fill="auto"/>
        <w:tabs>
          <w:tab w:pos="333" w:val="left"/>
        </w:tabs>
        <w:bidi w:val="0"/>
        <w:spacing w:before="0" w:after="220" w:line="311" w:lineRule="exact"/>
        <w:ind w:left="0" w:right="0" w:firstLine="0"/>
        <w:jc w:val="left"/>
      </w:pPr>
      <w:bookmarkStart w:id="1467" w:name="bookmark1467"/>
      <w:r>
        <w:rPr>
          <w:rFonts w:ascii="Times New Roman" w:eastAsia="Times New Roman" w:hAnsi="Times New Roman" w:cs="Times New Roman"/>
          <w:color w:val="000000"/>
          <w:spacing w:val="0"/>
          <w:w w:val="100"/>
          <w:position w:val="0"/>
          <w:sz w:val="18"/>
          <w:szCs w:val="18"/>
        </w:rPr>
        <w:t>3</w:t>
      </w:r>
      <w:bookmarkEnd w:id="1467"/>
      <w:r>
        <w:rPr>
          <w:color w:val="000000"/>
          <w:spacing w:val="0"/>
          <w:w w:val="100"/>
          <w:position w:val="0"/>
        </w:rPr>
        <w:t>、</w:t>
        <w:tab/>
        <w:t>上海美峰业绩补偿</w:t>
      </w:r>
    </w:p>
    <w:p>
      <w:pPr>
        <w:pStyle w:val="Style26"/>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日与上海美峰股东李杰、郭瑜、钟松签订了关于股权收购协议之补充协议，根据协议约定，李杰 向本公司承诺上海美峰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年经各方认可的、具有证券期货从业资格的会计师事务所审计的净利润（以下简称实际 净利润）分别不应低于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万元（以下简称承诺净利润）。若上海美峰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年度实际净利润之和未达到 </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万元，则李杰以所获得的本公司股票对上述差额部分向本公司进行补偿，如以所获得股票无法弥补上述差额的，或因 任何原因导致后续收购标的资产未完成的，李杰应当以现金进行补足。经计算，李杰就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年业绩不足部分应补偿 本公司 </w:t>
      </w:r>
      <w:r>
        <w:rPr>
          <w:rFonts w:ascii="Times New Roman" w:eastAsia="Times New Roman" w:hAnsi="Times New Roman" w:cs="Times New Roman"/>
          <w:color w:val="000000"/>
          <w:spacing w:val="0"/>
          <w:w w:val="100"/>
          <w:position w:val="0"/>
          <w:sz w:val="18"/>
          <w:szCs w:val="18"/>
        </w:rPr>
        <w:t xml:space="preserve">60,030,248.11 </w:t>
      </w:r>
      <w:r>
        <w:rPr>
          <w:color w:val="000000"/>
          <w:spacing w:val="0"/>
          <w:w w:val="100"/>
          <w:position w:val="0"/>
        </w:rPr>
        <w:t>元。</w:t>
      </w:r>
      <w:r>
        <w:br w:type="page"/>
      </w:r>
    </w:p>
    <w:p>
      <w:pPr>
        <w:pStyle w:val="Style24"/>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r>
        <w:rPr>
          <w:color w:val="000000"/>
          <w:spacing w:val="0"/>
          <w:w w:val="100"/>
          <w:position w:val="0"/>
          <w:sz w:val="24"/>
          <w:szCs w:val="24"/>
        </w:rPr>
        <w:t>十六、母公司财务报表主要项目注释</w:t>
      </w:r>
      <w:bookmarkEnd w:id="1468"/>
      <w:bookmarkEnd w:id="1469"/>
      <w:bookmarkEnd w:id="1470"/>
    </w:p>
    <w:p>
      <w:pPr>
        <w:pStyle w:val="Style32"/>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71"/>
      <w:bookmarkEnd w:id="1472"/>
      <w:bookmarkEnd w:id="1473"/>
    </w:p>
    <w:p>
      <w:pPr>
        <w:pStyle w:val="Style36"/>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74"/>
      <w:bookmarkEnd w:id="1475"/>
      <w:bookmarkEnd w:id="14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71,473,9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6,667,06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50,906,907.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71,473,9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6,667,06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50,906,907.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51,071,468.71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2,553,573.44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7,515,576.90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190,645.45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3,323,807.52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3,323,807.52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62,101,498.58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6,667,067.74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77"/>
      <w:bookmarkEnd w:id="1478"/>
      <w:bookmarkEnd w:id="1479"/>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575,478.18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6"/>
        <w:keepNext/>
        <w:keepLines/>
        <w:widowControl w:val="0"/>
        <w:shd w:val="clear" w:color="auto" w:fill="auto"/>
        <w:bidi w:val="0"/>
        <w:spacing w:before="0" w:after="34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80"/>
      <w:bookmarkEnd w:id="1481"/>
      <w:bookmarkEnd w:id="1483"/>
    </w:p>
    <w:tbl>
      <w:tblPr>
        <w:tblOverlap w:val="never"/>
        <w:jc w:val="left"/>
        <w:tblLayout w:type="fixed"/>
      </w:tblPr>
      <w:tblGrid>
        <w:gridCol w:w="2976"/>
        <w:gridCol w:w="1589"/>
        <w:gridCol w:w="1022"/>
        <w:gridCol w:w="1646"/>
        <w:gridCol w:w="1714"/>
      </w:tblGrid>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b/>
                <w:bCs/>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占应收账款年末余 额合计数的比例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坏账准备期末余额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成都兴兴四方科技有限公司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25,196,490.00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35.25</w:t>
            </w: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1,259,824.50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大庆市萨尔图区世纪讯捷电子产 品经销部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19,079,788.20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26.69</w:t>
            </w: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953,989.41</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杭州烈焰网络技术有限公司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975,770.42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11.41</w:t>
            </w:r>
            <w:r>
              <w:rPr>
                <w:rFonts w:ascii="Times New Roman" w:eastAsia="Times New Roman" w:hAnsi="Times New Roman" w:cs="Times New Roman"/>
                <w:b/>
                <w:bCs/>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767,017.38</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7,182,288.56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上海布帆网络科技有限公司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19"/>
                <w:szCs w:val="19"/>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w:t>
            </w:r>
            <w:r>
              <w:rPr>
                <w:rFonts w:ascii="Times New Roman" w:eastAsia="Times New Roman" w:hAnsi="Times New Roman" w:cs="Times New Roman"/>
                <w:b/>
                <w:bCs/>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2,487,124.53</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2,485,391.94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年以上</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深圳市腾讯计算机系统有限公司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2,328,087.63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w:t>
            </w: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116,404.38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rPr>
              <w:t>57,256,479.68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80.10%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b/>
                <w:bCs/>
                <w:color w:val="000000"/>
                <w:spacing w:val="0"/>
                <w:w w:val="100"/>
                <w:position w:val="0"/>
                <w:sz w:val="20"/>
                <w:szCs w:val="20"/>
              </w:rPr>
              <w:t>5,584,360.20</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84"/>
      <w:bookmarkEnd w:id="1485"/>
      <w:bookmarkEnd w:id="1486"/>
    </w:p>
    <w:p>
      <w:pPr>
        <w:pStyle w:val="Style36"/>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87"/>
      <w:bookmarkEnd w:id="1488"/>
      <w:bookmarkEnd w:id="14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3,233,35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3,233,350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194,858,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1,533,19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187,145,01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198,091,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4,766,54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9,192,303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187,145,01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北京创世奇迹广告有限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3,233,350.00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该公司业务缩减，预计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3,233,350.00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3,233,350.00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组合中，按账龄分析法计提坏账准备的其他应收款:</w:t>
      </w:r>
      <w:r>
        <w:br w:type="page"/>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1,260,597.85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1,291,248.51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6,453,781.78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1,290,756.36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9,055,909.35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1,533,192.31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490"/>
      <w:bookmarkEnd w:id="1491"/>
      <w:bookmarkEnd w:id="149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-4,425,761.63</w:t>
      </w:r>
      <w:r>
        <w:rPr>
          <w:color w:val="000000"/>
          <w:spacing w:val="0"/>
          <w:w w:val="100"/>
          <w:position w:val="0"/>
        </w:rPr>
        <w:t>元；本期收回或转回坏账准备金额元。</w:t>
      </w:r>
    </w:p>
    <w:p>
      <w:pPr>
        <w:pStyle w:val="Style36"/>
        <w:keepNext/>
        <w:keepLines/>
        <w:widowControl w:val="0"/>
        <w:shd w:val="clear" w:color="auto" w:fill="auto"/>
        <w:tabs>
          <w:tab w:pos="493" w:val="left"/>
        </w:tabs>
        <w:bidi w:val="0"/>
        <w:spacing w:before="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494"/>
      <w:bookmarkEnd w:id="1495"/>
      <w:bookmarkEnd w:id="14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125,772,415.10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86,059,319.68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60,030,248.11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广告框架押金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9,313,350.00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14,133,350.00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1,767,002.54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1,617,247.76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239,627.96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93,920,000.00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1,029,849.85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367,774.94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198,091,922.56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196,337,320.34</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498"/>
      <w:bookmarkEnd w:id="1499"/>
      <w:bookmarkEnd w:id="15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60,030,248.11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深圳中青聚宝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40,264,580.70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10,210,553.43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深圳时代首游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13,392,596.32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33,058,793.55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深圳卓页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3,563,748.80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17,569,355.90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北京思恩客广告有限 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广告框架押金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1,114,000.00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184,169,876.81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color w:val="000000"/>
          <w:spacing w:val="0"/>
          <w:w w:val="100"/>
          <w:position w:val="0"/>
        </w:rPr>
        <w:t>、长期股权投资</w:t>
      </w:r>
      <w:bookmarkEnd w:id="1502"/>
      <w:bookmarkEnd w:id="1503"/>
      <w:bookmarkEnd w:id="15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642,937,665.20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240,201,524.97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402,736,140.23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628,622,665.20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628,622,665.20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7,982,762.65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7,982,762.65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7,834,948.70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7,834,948.70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650,920,427.85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240,201,524.97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410,718,902.88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636,457,613.90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636,457,613.90</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06"/>
      <w:bookmarkEnd w:id="1507"/>
      <w:bookmarkEnd w:id="15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168,429,014.34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168,429,014.34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深圳中青聚宝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15,949,858.01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15,949,858.01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87,465,000.00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87,465,000.00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35,900,226.00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35,900,226.00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753,940.93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深圳卓页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18,913,485.69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18,913,485.69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苏州中青宝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老友互动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CUPLAY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5,989,965.20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5,989,965.20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北京乐乐堂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福州卓越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深圳五秒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中青宝文化科技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前海今古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北京中青宝长城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628,622,665.20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14,650,000.00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642,937,665.20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240,201,524.97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240,201,524.97</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09"/>
      <w:bookmarkEnd w:id="1510"/>
      <w:bookmarkEnd w:id="15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贵州国信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7,834,948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7,982,762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7,834,948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7,982,762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7,834,948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7,982,762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24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512"/>
      <w:bookmarkEnd w:id="1513"/>
      <w:bookmarkEnd w:id="1515"/>
    </w:p>
    <w:p>
      <w:pPr>
        <w:pStyle w:val="Style26"/>
        <w:keepNext w:val="0"/>
        <w:keepLines w:val="0"/>
        <w:widowControl w:val="0"/>
        <w:shd w:val="clear" w:color="auto" w:fill="auto"/>
        <w:bidi w:val="0"/>
        <w:spacing w:before="0" w:after="240" w:line="314" w:lineRule="exact"/>
        <w:ind w:left="0" w:right="0" w:firstLine="460"/>
        <w:jc w:val="left"/>
      </w:pPr>
      <w:r>
        <w:rPr>
          <w:color w:val="000000"/>
          <w:spacing w:val="0"/>
          <w:w w:val="100"/>
          <w:position w:val="0"/>
        </w:rPr>
        <w:t>母公司长期股权投资减值说明：</w:t>
      </w:r>
    </w:p>
    <w:p>
      <w:pPr>
        <w:pStyle w:val="Style26"/>
        <w:keepNext w:val="0"/>
        <w:keepLines w:val="0"/>
        <w:widowControl w:val="0"/>
        <w:shd w:val="clear" w:color="auto" w:fill="auto"/>
        <w:tabs>
          <w:tab w:pos="774" w:val="left"/>
        </w:tabs>
        <w:bidi w:val="0"/>
        <w:spacing w:before="0" w:after="240" w:line="314" w:lineRule="exact"/>
        <w:ind w:left="0" w:right="0" w:firstLine="460"/>
        <w:jc w:val="left"/>
      </w:pPr>
      <w:bookmarkStart w:id="1516" w:name="bookmark1516"/>
      <w:r>
        <w:rPr>
          <w:rFonts w:ascii="Times New Roman" w:eastAsia="Times New Roman" w:hAnsi="Times New Roman" w:cs="Times New Roman"/>
          <w:color w:val="000000"/>
          <w:spacing w:val="0"/>
          <w:w w:val="100"/>
          <w:position w:val="0"/>
          <w:sz w:val="18"/>
          <w:szCs w:val="18"/>
        </w:rPr>
        <w:t>1</w:t>
      </w:r>
      <w:bookmarkEnd w:id="1516"/>
      <w:r>
        <w:rPr>
          <w:color w:val="000000"/>
          <w:spacing w:val="0"/>
          <w:w w:val="100"/>
          <w:position w:val="0"/>
        </w:rPr>
        <w:t>）</w:t>
        <w:tab/>
        <w:t>上海美峰：母公司对上海美峰的长期股权投资账面投资成本为</w:t>
      </w:r>
      <w:r>
        <w:rPr>
          <w:rFonts w:ascii="Times New Roman" w:eastAsia="Times New Roman" w:hAnsi="Times New Roman" w:cs="Times New Roman"/>
          <w:color w:val="000000"/>
          <w:spacing w:val="0"/>
          <w:w w:val="100"/>
          <w:position w:val="0"/>
          <w:sz w:val="18"/>
          <w:szCs w:val="18"/>
        </w:rPr>
        <w:t>357,000,000.00</w:t>
      </w:r>
      <w:r>
        <w:rPr>
          <w:color w:val="000000"/>
          <w:spacing w:val="0"/>
          <w:w w:val="100"/>
          <w:position w:val="0"/>
        </w:rPr>
        <w:t>元，持有上海美峰</w:t>
      </w:r>
      <w:r>
        <w:rPr>
          <w:rFonts w:ascii="Times New Roman" w:eastAsia="Times New Roman" w:hAnsi="Times New Roman" w:cs="Times New Roman"/>
          <w:color w:val="000000"/>
          <w:spacing w:val="0"/>
          <w:w w:val="100"/>
          <w:position w:val="0"/>
          <w:sz w:val="18"/>
          <w:szCs w:val="18"/>
        </w:rPr>
        <w:t>71.6334%</w:t>
      </w:r>
      <w:r>
        <w:rPr>
          <w:color w:val="000000"/>
          <w:spacing w:val="0"/>
          <w:w w:val="100"/>
          <w:position w:val="0"/>
        </w:rPr>
        <w:t xml:space="preserve">的股权，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年末上海美峰公司净资产估值为</w:t>
      </w:r>
      <w:r>
        <w:rPr>
          <w:rFonts w:ascii="Times New Roman" w:eastAsia="Times New Roman" w:hAnsi="Times New Roman" w:cs="Times New Roman"/>
          <w:color w:val="000000"/>
          <w:spacing w:val="0"/>
          <w:w w:val="100"/>
          <w:position w:val="0"/>
          <w:sz w:val="18"/>
          <w:szCs w:val="18"/>
        </w:rPr>
        <w:t>26,324.45</w:t>
      </w:r>
      <w:r>
        <w:rPr>
          <w:color w:val="000000"/>
          <w:spacing w:val="0"/>
          <w:w w:val="100"/>
          <w:position w:val="0"/>
        </w:rPr>
        <w:t>万元，按照</w:t>
      </w:r>
      <w:r>
        <w:rPr>
          <w:rFonts w:ascii="Times New Roman" w:eastAsia="Times New Roman" w:hAnsi="Times New Roman" w:cs="Times New Roman"/>
          <w:color w:val="000000"/>
          <w:spacing w:val="0"/>
          <w:w w:val="100"/>
          <w:position w:val="0"/>
          <w:sz w:val="18"/>
          <w:szCs w:val="18"/>
        </w:rPr>
        <w:t>71.6334%</w:t>
      </w:r>
      <w:r>
        <w:rPr>
          <w:color w:val="000000"/>
          <w:spacing w:val="0"/>
          <w:w w:val="100"/>
          <w:position w:val="0"/>
        </w:rPr>
        <w:t>的持股比例，估计资产的可回收金额为</w:t>
      </w:r>
      <w:r>
        <w:rPr>
          <w:rFonts w:ascii="Times New Roman" w:eastAsia="Times New Roman" w:hAnsi="Times New Roman" w:cs="Times New Roman"/>
          <w:color w:val="000000"/>
          <w:spacing w:val="0"/>
          <w:w w:val="100"/>
          <w:position w:val="0"/>
          <w:sz w:val="18"/>
          <w:szCs w:val="18"/>
        </w:rPr>
        <w:t>188,570,985.66</w:t>
      </w:r>
      <w:r>
        <w:rPr>
          <w:color w:val="000000"/>
          <w:spacing w:val="0"/>
          <w:w w:val="100"/>
          <w:position w:val="0"/>
        </w:rPr>
        <w:t>元， 母公司对此项长期股权投资计提减值准备</w:t>
      </w:r>
      <w:r>
        <w:rPr>
          <w:rFonts w:ascii="Times New Roman" w:eastAsia="Times New Roman" w:hAnsi="Times New Roman" w:cs="Times New Roman"/>
          <w:color w:val="000000"/>
          <w:spacing w:val="0"/>
          <w:w w:val="100"/>
          <w:position w:val="0"/>
          <w:sz w:val="18"/>
          <w:szCs w:val="18"/>
        </w:rPr>
        <w:t>168,429,014.34</w:t>
      </w:r>
      <w:r>
        <w:rPr>
          <w:color w:val="000000"/>
          <w:spacing w:val="0"/>
          <w:w w:val="100"/>
          <w:position w:val="0"/>
        </w:rPr>
        <w:t>元；</w:t>
      </w:r>
    </w:p>
    <w:p>
      <w:pPr>
        <w:pStyle w:val="Style26"/>
        <w:keepNext w:val="0"/>
        <w:keepLines w:val="0"/>
        <w:widowControl w:val="0"/>
        <w:shd w:val="clear" w:color="auto" w:fill="auto"/>
        <w:tabs>
          <w:tab w:pos="765" w:val="left"/>
        </w:tabs>
        <w:bidi w:val="0"/>
        <w:spacing w:before="0" w:after="240" w:line="314" w:lineRule="exact"/>
        <w:ind w:left="0" w:right="0" w:firstLine="460"/>
        <w:jc w:val="left"/>
      </w:pPr>
      <w:bookmarkStart w:id="1517" w:name="bookmark1517"/>
      <w:r>
        <w:rPr>
          <w:rFonts w:ascii="Times New Roman" w:eastAsia="Times New Roman" w:hAnsi="Times New Roman" w:cs="Times New Roman"/>
          <w:color w:val="000000"/>
          <w:spacing w:val="0"/>
          <w:w w:val="100"/>
          <w:position w:val="0"/>
          <w:sz w:val="18"/>
          <w:szCs w:val="18"/>
        </w:rPr>
        <w:t>2</w:t>
      </w:r>
      <w:bookmarkEnd w:id="1517"/>
      <w:r>
        <w:rPr>
          <w:color w:val="000000"/>
          <w:spacing w:val="0"/>
          <w:w w:val="100"/>
          <w:position w:val="0"/>
        </w:rPr>
        <w:t>）</w:t>
        <w:tab/>
        <w:t>深圳中青聚宝：母公司对深圳中青聚宝的长期股权投资账面投资成本为</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元，持有深圳中青聚宝</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年末深圳中青聚宝净资产为</w:t>
      </w:r>
      <w:r>
        <w:rPr>
          <w:rFonts w:ascii="Times New Roman" w:eastAsia="Times New Roman" w:hAnsi="Times New Roman" w:cs="Times New Roman"/>
          <w:color w:val="000000"/>
          <w:spacing w:val="0"/>
          <w:w w:val="100"/>
          <w:position w:val="0"/>
          <w:sz w:val="18"/>
          <w:szCs w:val="18"/>
        </w:rPr>
        <w:t>84,050,141.99</w:t>
      </w:r>
      <w:r>
        <w:rPr>
          <w:color w:val="000000"/>
          <w:spacing w:val="0"/>
          <w:w w:val="100"/>
          <w:position w:val="0"/>
        </w:rPr>
        <w:t>元，按照</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的持股比例，估计资产的可回收金额为</w:t>
      </w:r>
      <w:r>
        <w:rPr>
          <w:rFonts w:ascii="Times New Roman" w:eastAsia="Times New Roman" w:hAnsi="Times New Roman" w:cs="Times New Roman"/>
          <w:color w:val="000000"/>
          <w:spacing w:val="0"/>
          <w:w w:val="100"/>
          <w:position w:val="0"/>
          <w:sz w:val="18"/>
          <w:szCs w:val="18"/>
        </w:rPr>
        <w:t xml:space="preserve">84,050,141.99 </w:t>
      </w:r>
      <w:r>
        <w:rPr>
          <w:color w:val="000000"/>
          <w:spacing w:val="0"/>
          <w:w w:val="100"/>
          <w:position w:val="0"/>
        </w:rPr>
        <w:t>元，母公司对此项长期股权投资计提减值准备</w:t>
      </w:r>
      <w:r>
        <w:rPr>
          <w:rFonts w:ascii="Times New Roman" w:eastAsia="Times New Roman" w:hAnsi="Times New Roman" w:cs="Times New Roman"/>
          <w:color w:val="000000"/>
          <w:spacing w:val="0"/>
          <w:w w:val="100"/>
          <w:position w:val="0"/>
          <w:sz w:val="18"/>
          <w:szCs w:val="18"/>
        </w:rPr>
        <w:t>15,949,858.01</w:t>
      </w:r>
      <w:r>
        <w:rPr>
          <w:color w:val="000000"/>
          <w:spacing w:val="0"/>
          <w:w w:val="100"/>
          <w:position w:val="0"/>
        </w:rPr>
        <w:t>元；</w:t>
      </w:r>
    </w:p>
    <w:p>
      <w:pPr>
        <w:pStyle w:val="Style26"/>
        <w:keepNext w:val="0"/>
        <w:keepLines w:val="0"/>
        <w:widowControl w:val="0"/>
        <w:shd w:val="clear" w:color="auto" w:fill="auto"/>
        <w:tabs>
          <w:tab w:pos="774" w:val="left"/>
        </w:tabs>
        <w:bidi w:val="0"/>
        <w:spacing w:before="0" w:after="240" w:line="312" w:lineRule="exact"/>
        <w:ind w:left="0" w:right="0" w:firstLine="460"/>
        <w:jc w:val="left"/>
      </w:pPr>
      <w:bookmarkStart w:id="1518" w:name="bookmark1518"/>
      <w:r>
        <w:rPr>
          <w:rFonts w:ascii="Times New Roman" w:eastAsia="Times New Roman" w:hAnsi="Times New Roman" w:cs="Times New Roman"/>
          <w:color w:val="000000"/>
          <w:spacing w:val="0"/>
          <w:w w:val="100"/>
          <w:position w:val="0"/>
          <w:sz w:val="18"/>
          <w:szCs w:val="18"/>
        </w:rPr>
        <w:t>3</w:t>
      </w:r>
      <w:bookmarkEnd w:id="1518"/>
      <w:r>
        <w:rPr>
          <w:color w:val="000000"/>
          <w:spacing w:val="0"/>
          <w:w w:val="100"/>
          <w:position w:val="0"/>
        </w:rPr>
        <w:t>）</w:t>
        <w:tab/>
        <w:t>深圳苏摩：母公司对深圳苏摩的长期股权投资账面投资成本为</w:t>
      </w:r>
      <w:r>
        <w:rPr>
          <w:rFonts w:ascii="Times New Roman" w:eastAsia="Times New Roman" w:hAnsi="Times New Roman" w:cs="Times New Roman"/>
          <w:color w:val="000000"/>
          <w:spacing w:val="0"/>
          <w:w w:val="100"/>
          <w:position w:val="0"/>
          <w:sz w:val="18"/>
          <w:szCs w:val="18"/>
        </w:rPr>
        <w:t>87,465,000.00</w:t>
      </w:r>
      <w:r>
        <w:rPr>
          <w:color w:val="000000"/>
          <w:spacing w:val="0"/>
          <w:w w:val="100"/>
          <w:position w:val="0"/>
        </w:rPr>
        <w:t>元，持有深圳苏摩</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末深圳苏摩公司净资产估值为</w:t>
      </w:r>
      <w:r>
        <w:rPr>
          <w:rFonts w:ascii="Times New Roman" w:eastAsia="Times New Roman" w:hAnsi="Times New Roman" w:cs="Times New Roman"/>
          <w:color w:val="000000"/>
          <w:spacing w:val="0"/>
          <w:w w:val="100"/>
          <w:position w:val="0"/>
          <w:sz w:val="18"/>
          <w:szCs w:val="18"/>
        </w:rPr>
        <w:t>10,110.74</w:t>
      </w:r>
      <w:r>
        <w:rPr>
          <w:color w:val="000000"/>
          <w:spacing w:val="0"/>
          <w:w w:val="100"/>
          <w:position w:val="0"/>
        </w:rPr>
        <w:t>万元，按照</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的持股比例，估计资产的可回收金额为</w:t>
      </w:r>
      <w:r>
        <w:rPr>
          <w:rFonts w:ascii="Times New Roman" w:eastAsia="Times New Roman" w:hAnsi="Times New Roman" w:cs="Times New Roman"/>
          <w:color w:val="000000"/>
          <w:spacing w:val="0"/>
          <w:w w:val="100"/>
          <w:position w:val="0"/>
          <w:sz w:val="18"/>
          <w:szCs w:val="18"/>
        </w:rPr>
        <w:t>51,564,774.00</w:t>
      </w:r>
      <w:r>
        <w:rPr>
          <w:color w:val="000000"/>
          <w:spacing w:val="0"/>
          <w:w w:val="100"/>
          <w:position w:val="0"/>
        </w:rPr>
        <w:t>元，母公司对此 项长期股权投资计提减值准备</w:t>
      </w:r>
      <w:r>
        <w:rPr>
          <w:rFonts w:ascii="Times New Roman" w:eastAsia="Times New Roman" w:hAnsi="Times New Roman" w:cs="Times New Roman"/>
          <w:color w:val="000000"/>
          <w:spacing w:val="0"/>
          <w:w w:val="100"/>
          <w:position w:val="0"/>
          <w:sz w:val="18"/>
          <w:szCs w:val="18"/>
        </w:rPr>
        <w:t>35,900,226.00</w:t>
      </w:r>
      <w:r>
        <w:rPr>
          <w:color w:val="000000"/>
          <w:spacing w:val="0"/>
          <w:w w:val="100"/>
          <w:position w:val="0"/>
        </w:rPr>
        <w:t>元；</w:t>
      </w:r>
    </w:p>
    <w:p>
      <w:pPr>
        <w:pStyle w:val="Style26"/>
        <w:keepNext w:val="0"/>
        <w:keepLines w:val="0"/>
        <w:widowControl w:val="0"/>
        <w:shd w:val="clear" w:color="auto" w:fill="auto"/>
        <w:tabs>
          <w:tab w:pos="765" w:val="left"/>
        </w:tabs>
        <w:bidi w:val="0"/>
        <w:spacing w:before="0" w:after="240" w:line="312" w:lineRule="exact"/>
        <w:ind w:left="0" w:right="0" w:firstLine="460"/>
        <w:jc w:val="left"/>
      </w:pPr>
      <w:bookmarkStart w:id="1519" w:name="bookmark1519"/>
      <w:r>
        <w:rPr>
          <w:rFonts w:ascii="Times New Roman" w:eastAsia="Times New Roman" w:hAnsi="Times New Roman" w:cs="Times New Roman"/>
          <w:color w:val="000000"/>
          <w:spacing w:val="0"/>
          <w:w w:val="100"/>
          <w:position w:val="0"/>
          <w:sz w:val="18"/>
          <w:szCs w:val="18"/>
        </w:rPr>
        <w:t>4</w:t>
      </w:r>
      <w:bookmarkEnd w:id="1519"/>
      <w:r>
        <w:rPr>
          <w:color w:val="000000"/>
          <w:spacing w:val="0"/>
          <w:w w:val="100"/>
          <w:position w:val="0"/>
        </w:rPr>
        <w:t>）</w:t>
        <w:tab/>
        <w:t>苏州华娱：母公司对苏州华娱的长期股权投资账面投资成本为</w:t>
      </w:r>
      <w:r>
        <w:rPr>
          <w:rFonts w:ascii="Times New Roman" w:eastAsia="Times New Roman" w:hAnsi="Times New Roman" w:cs="Times New Roman"/>
          <w:color w:val="000000"/>
          <w:spacing w:val="0"/>
          <w:w w:val="100"/>
          <w:position w:val="0"/>
          <w:sz w:val="18"/>
          <w:szCs w:val="18"/>
        </w:rPr>
        <w:t>37,500,000.00</w:t>
      </w:r>
      <w:r>
        <w:rPr>
          <w:color w:val="000000"/>
          <w:spacing w:val="0"/>
          <w:w w:val="100"/>
          <w:position w:val="0"/>
        </w:rPr>
        <w:t>元，持有苏州华娱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年末苏州华娱净资产为</w:t>
      </w:r>
      <w:r>
        <w:rPr>
          <w:rFonts w:ascii="Times New Roman" w:eastAsia="Times New Roman" w:hAnsi="Times New Roman" w:cs="Times New Roman"/>
          <w:color w:val="000000"/>
          <w:spacing w:val="0"/>
          <w:w w:val="100"/>
          <w:position w:val="0"/>
          <w:sz w:val="18"/>
          <w:szCs w:val="18"/>
        </w:rPr>
        <w:t>36,746,059.07</w:t>
      </w:r>
      <w:r>
        <w:rPr>
          <w:color w:val="000000"/>
          <w:spacing w:val="0"/>
          <w:w w:val="100"/>
          <w:position w:val="0"/>
        </w:rPr>
        <w:t>元，按照</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的持股比例，估计资产的可回收金额为</w:t>
      </w:r>
      <w:r>
        <w:rPr>
          <w:rFonts w:ascii="Times New Roman" w:eastAsia="Times New Roman" w:hAnsi="Times New Roman" w:cs="Times New Roman"/>
          <w:color w:val="000000"/>
          <w:spacing w:val="0"/>
          <w:w w:val="100"/>
          <w:position w:val="0"/>
          <w:sz w:val="18"/>
          <w:szCs w:val="18"/>
        </w:rPr>
        <w:t>36,746,059.07</w:t>
      </w:r>
      <w:r>
        <w:rPr>
          <w:color w:val="000000"/>
          <w:spacing w:val="0"/>
          <w:w w:val="100"/>
          <w:position w:val="0"/>
        </w:rPr>
        <w:t>元，母公司对此项长</w:t>
      </w:r>
    </w:p>
    <w:p>
      <w:pPr>
        <w:pStyle w:val="Style26"/>
        <w:keepNext w:val="0"/>
        <w:keepLines w:val="0"/>
        <w:widowControl w:val="0"/>
        <w:shd w:val="clear" w:color="auto" w:fill="auto"/>
        <w:bidi w:val="0"/>
        <w:spacing w:before="0" w:after="220" w:line="314" w:lineRule="exact"/>
        <w:ind w:left="0" w:right="0" w:firstLine="0"/>
        <w:jc w:val="left"/>
      </w:pPr>
      <w:r>
        <w:rPr>
          <w:color w:val="000000"/>
          <w:spacing w:val="0"/>
          <w:w w:val="100"/>
          <w:position w:val="0"/>
        </w:rPr>
        <w:t>期股权投资计提减值准备</w:t>
      </w:r>
      <w:r>
        <w:rPr>
          <w:rFonts w:ascii="Times New Roman" w:eastAsia="Times New Roman" w:hAnsi="Times New Roman" w:cs="Times New Roman"/>
          <w:color w:val="000000"/>
          <w:spacing w:val="0"/>
          <w:w w:val="100"/>
          <w:position w:val="0"/>
          <w:sz w:val="18"/>
          <w:szCs w:val="18"/>
        </w:rPr>
        <w:t>753,940.93</w:t>
      </w:r>
      <w:r>
        <w:rPr>
          <w:color w:val="000000"/>
          <w:spacing w:val="0"/>
          <w:w w:val="100"/>
          <w:position w:val="0"/>
        </w:rPr>
        <w:t>元；</w:t>
      </w:r>
    </w:p>
    <w:p>
      <w:pPr>
        <w:pStyle w:val="Style26"/>
        <w:keepNext w:val="0"/>
        <w:keepLines w:val="0"/>
        <w:widowControl w:val="0"/>
        <w:shd w:val="clear" w:color="auto" w:fill="auto"/>
        <w:tabs>
          <w:tab w:pos="800" w:val="left"/>
        </w:tabs>
        <w:bidi w:val="0"/>
        <w:spacing w:before="0" w:after="220" w:line="314" w:lineRule="exact"/>
        <w:ind w:left="0" w:right="0" w:firstLine="460"/>
        <w:jc w:val="left"/>
      </w:pPr>
      <w:bookmarkStart w:id="1520" w:name="bookmark1520"/>
      <w:r>
        <w:rPr>
          <w:rFonts w:ascii="Times New Roman" w:eastAsia="Times New Roman" w:hAnsi="Times New Roman" w:cs="Times New Roman"/>
          <w:color w:val="000000"/>
          <w:spacing w:val="0"/>
          <w:w w:val="100"/>
          <w:position w:val="0"/>
          <w:sz w:val="18"/>
          <w:szCs w:val="18"/>
        </w:rPr>
        <w:t>5</w:t>
      </w:r>
      <w:bookmarkEnd w:id="1520"/>
      <w:r>
        <w:rPr>
          <w:color w:val="000000"/>
          <w:spacing w:val="0"/>
          <w:w w:val="100"/>
          <w:position w:val="0"/>
        </w:rPr>
        <w:t>）</w:t>
        <w:tab/>
        <w:t>深圳卓页：母公司对深圳卓页的长期股权投资账面投资成本为</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元，持有深圳卓页</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末深圳卓页净资产为</w:t>
      </w:r>
      <w:r>
        <w:rPr>
          <w:rFonts w:ascii="Times New Roman" w:eastAsia="Times New Roman" w:hAnsi="Times New Roman" w:cs="Times New Roman"/>
          <w:color w:val="000000"/>
          <w:spacing w:val="0"/>
          <w:w w:val="100"/>
          <w:position w:val="0"/>
          <w:sz w:val="18"/>
          <w:szCs w:val="18"/>
        </w:rPr>
        <w:t>2,716,285.77</w:t>
      </w:r>
      <w:r>
        <w:rPr>
          <w:color w:val="000000"/>
          <w:spacing w:val="0"/>
          <w:w w:val="100"/>
          <w:position w:val="0"/>
        </w:rPr>
        <w:t>元，按照</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的持股比例，估计资产的可回收金额为</w:t>
      </w:r>
      <w:r>
        <w:rPr>
          <w:rFonts w:ascii="Times New Roman" w:eastAsia="Times New Roman" w:hAnsi="Times New Roman" w:cs="Times New Roman"/>
          <w:color w:val="000000"/>
          <w:spacing w:val="0"/>
          <w:w w:val="100"/>
          <w:position w:val="0"/>
          <w:sz w:val="18"/>
          <w:szCs w:val="18"/>
        </w:rPr>
        <w:t>1,086,514.31</w:t>
      </w:r>
      <w:r>
        <w:rPr>
          <w:color w:val="000000"/>
          <w:spacing w:val="0"/>
          <w:w w:val="100"/>
          <w:position w:val="0"/>
        </w:rPr>
        <w:t>元，母公司对此项长期股 权投资计提减值准备</w:t>
      </w:r>
      <w:r>
        <w:rPr>
          <w:rFonts w:ascii="Times New Roman" w:eastAsia="Times New Roman" w:hAnsi="Times New Roman" w:cs="Times New Roman"/>
          <w:color w:val="000000"/>
          <w:spacing w:val="0"/>
          <w:w w:val="100"/>
          <w:position w:val="0"/>
          <w:sz w:val="18"/>
          <w:szCs w:val="18"/>
        </w:rPr>
        <w:t>18,913,485.69</w:t>
      </w:r>
      <w:r>
        <w:rPr>
          <w:color w:val="000000"/>
          <w:spacing w:val="0"/>
          <w:w w:val="100"/>
          <w:position w:val="0"/>
        </w:rPr>
        <w:t>元；</w:t>
      </w:r>
    </w:p>
    <w:p>
      <w:pPr>
        <w:pStyle w:val="Style26"/>
        <w:keepNext w:val="0"/>
        <w:keepLines w:val="0"/>
        <w:widowControl w:val="0"/>
        <w:shd w:val="clear" w:color="auto" w:fill="auto"/>
        <w:tabs>
          <w:tab w:pos="800" w:val="left"/>
        </w:tabs>
        <w:bidi w:val="0"/>
        <w:spacing w:before="0" w:after="120" w:line="312" w:lineRule="exact"/>
        <w:ind w:left="0" w:right="0" w:firstLine="460"/>
        <w:jc w:val="left"/>
        <w:rPr>
          <w:sz w:val="18"/>
          <w:szCs w:val="18"/>
        </w:rPr>
      </w:pPr>
      <w:bookmarkStart w:id="1521" w:name="bookmark1521"/>
      <w:r>
        <w:rPr>
          <w:rFonts w:ascii="Times New Roman" w:eastAsia="Times New Roman" w:hAnsi="Times New Roman" w:cs="Times New Roman"/>
          <w:color w:val="000000"/>
          <w:spacing w:val="0"/>
          <w:w w:val="100"/>
          <w:position w:val="0"/>
          <w:sz w:val="18"/>
          <w:szCs w:val="18"/>
        </w:rPr>
        <w:t>6</w:t>
      </w:r>
      <w:bookmarkEnd w:id="1521"/>
      <w:r>
        <w:rPr>
          <w:color w:val="000000"/>
          <w:spacing w:val="0"/>
          <w:w w:val="100"/>
          <w:position w:val="0"/>
          <w:sz w:val="17"/>
          <w:szCs w:val="17"/>
        </w:rPr>
        <w:t>）</w:t>
        <w:tab/>
        <w:t>福州卓越：母公司对福州卓越的长期股权投资账面投资成本为</w:t>
      </w:r>
      <w:r>
        <w:rPr>
          <w:rFonts w:ascii="Times New Roman" w:eastAsia="Times New Roman" w:hAnsi="Times New Roman" w:cs="Times New Roman"/>
          <w:color w:val="000000"/>
          <w:spacing w:val="0"/>
          <w:w w:val="100"/>
          <w:position w:val="0"/>
          <w:sz w:val="18"/>
          <w:szCs w:val="18"/>
        </w:rPr>
        <w:t>255,000.00</w:t>
      </w:r>
      <w:r>
        <w:rPr>
          <w:color w:val="000000"/>
          <w:spacing w:val="0"/>
          <w:w w:val="100"/>
          <w:position w:val="0"/>
          <w:sz w:val="17"/>
          <w:szCs w:val="17"/>
        </w:rPr>
        <w:t>元，持有福州卓越</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的股权，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 福州卓越净资产为</w:t>
      </w:r>
      <w:r>
        <w:rPr>
          <w:rFonts w:ascii="Times New Roman" w:eastAsia="Times New Roman" w:hAnsi="Times New Roman" w:cs="Times New Roman"/>
          <w:color w:val="000000"/>
          <w:spacing w:val="0"/>
          <w:w w:val="100"/>
          <w:position w:val="0"/>
          <w:sz w:val="18"/>
          <w:szCs w:val="18"/>
        </w:rPr>
        <w:t>-1,050,057.47</w:t>
      </w:r>
      <w:r>
        <w:rPr>
          <w:color w:val="000000"/>
          <w:spacing w:val="0"/>
          <w:w w:val="100"/>
          <w:position w:val="0"/>
          <w:sz w:val="17"/>
          <w:szCs w:val="17"/>
        </w:rPr>
        <w:t>元，估计资产的可回收金额为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元，母公司对此项长期股权投资计提减值准备</w:t>
      </w:r>
      <w:r>
        <w:rPr>
          <w:rFonts w:ascii="Times New Roman" w:eastAsia="Times New Roman" w:hAnsi="Times New Roman" w:cs="Times New Roman"/>
          <w:color w:val="000000"/>
          <w:spacing w:val="0"/>
          <w:w w:val="100"/>
          <w:position w:val="0"/>
          <w:sz w:val="18"/>
          <w:szCs w:val="18"/>
        </w:rPr>
        <w:t>255,000.00</w:t>
      </w:r>
    </w:p>
    <w:p>
      <w:pPr>
        <w:pStyle w:val="Style26"/>
        <w:keepNext w:val="0"/>
        <w:keepLines w:val="0"/>
        <w:widowControl w:val="0"/>
        <w:shd w:val="clear" w:color="auto" w:fill="auto"/>
        <w:bidi w:val="0"/>
        <w:spacing w:before="0" w:after="7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2"/>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color w:val="000000"/>
          <w:spacing w:val="0"/>
          <w:w w:val="100"/>
          <w:position w:val="0"/>
        </w:rPr>
        <w:t>、营业收入和营业成本</w:t>
      </w:r>
      <w:bookmarkEnd w:id="1522"/>
      <w:bookmarkEnd w:id="1523"/>
      <w:bookmarkEnd w:id="15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187,397,330.32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61,478,988.80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122,891,424.76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101,320,264.07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4,769,306.74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4,911,029.47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4,671,591.48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4,069,989.75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192,166,637.06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66,390,018.27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127,563,016.24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105,390,253.82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0"/>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）主营业务（分运营模式）</w:t>
      </w:r>
    </w:p>
    <w:tbl>
      <w:tblPr>
        <w:tblOverlap w:val="never"/>
        <w:jc w:val="left"/>
        <w:tblLayout w:type="fixed"/>
      </w:tblPr>
      <w:tblGrid>
        <w:gridCol w:w="2078"/>
        <w:gridCol w:w="1642"/>
        <w:gridCol w:w="1675"/>
        <w:gridCol w:w="1704"/>
        <w:gridCol w:w="1637"/>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left"/>
              <w:rPr>
                <w:sz w:val="19"/>
                <w:szCs w:val="19"/>
              </w:rPr>
            </w:pPr>
            <w:r>
              <w:rPr>
                <w:b/>
                <w:bCs/>
                <w:color w:val="000000"/>
                <w:spacing w:val="0"/>
                <w:w w:val="100"/>
                <w:position w:val="0"/>
                <w:sz w:val="19"/>
                <w:szCs w:val="19"/>
              </w:rPr>
              <w:t>行业名称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本年发生额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上年发生额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b/>
                <w:bCs/>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rPr>
              <w:t>营业成本</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官方运营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173,015,613.49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56,293,939.04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67,195,152.57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61,035,754.99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其中：公司自主运营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164,658,289.60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43,009,050.65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61,693,691.69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47,717,465.42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与平台联合运营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8,357,323.89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13,284,888.39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5,501,460.88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13,318,289.57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分服运营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1,618,745.14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1,174,293.29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6,325,508.04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3,729,254.60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著作权转让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3,815,371.59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12,941,400.00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5,817,665.21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运营权转让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30,174,382.88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762,971.69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195,384.88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2,429,364.15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563,206.39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rPr>
              <w:t>187,397,330.32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b/>
                <w:bCs/>
                <w:color w:val="000000"/>
                <w:spacing w:val="0"/>
                <w:w w:val="100"/>
                <w:position w:val="0"/>
                <w:sz w:val="20"/>
                <w:szCs w:val="20"/>
              </w:rPr>
              <w:t>61,478,988.80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b/>
                <w:bCs/>
                <w:color w:val="000000"/>
                <w:spacing w:val="0"/>
                <w:w w:val="100"/>
                <w:position w:val="0"/>
                <w:sz w:val="20"/>
                <w:szCs w:val="20"/>
              </w:rPr>
              <w:t>122,891,424.76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101,320,264.07</w:t>
            </w:r>
          </w:p>
        </w:tc>
      </w:tr>
    </w:tbl>
    <w:p>
      <w:pPr>
        <w:widowControl w:val="0"/>
        <w:spacing w:after="119" w:line="1" w:lineRule="exact"/>
      </w:pPr>
    </w:p>
    <w:p>
      <w:pPr>
        <w:pStyle w:val="Style30"/>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）主营业务（分游戏类型）</w:t>
      </w:r>
    </w:p>
    <w:tbl>
      <w:tblPr>
        <w:tblOverlap w:val="never"/>
        <w:jc w:val="left"/>
        <w:tblLayout w:type="fixed"/>
      </w:tblPr>
      <w:tblGrid>
        <w:gridCol w:w="2035"/>
        <w:gridCol w:w="1618"/>
        <w:gridCol w:w="1661"/>
        <w:gridCol w:w="1670"/>
        <w:gridCol w:w="1752"/>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产品名称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本年发生额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上年发生额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9"/>
                <w:szCs w:val="19"/>
              </w:rPr>
            </w:pPr>
            <w:r>
              <w:rPr>
                <w:b/>
                <w:bCs/>
                <w:color w:val="000000"/>
                <w:spacing w:val="0"/>
                <w:w w:val="100"/>
                <w:position w:val="0"/>
                <w:sz w:val="19"/>
                <w:szCs w:val="19"/>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营业成本</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MMO</w:t>
            </w:r>
            <w:r>
              <w:rPr>
                <w:color w:val="000000"/>
                <w:spacing w:val="0"/>
                <w:w w:val="100"/>
                <w:position w:val="0"/>
                <w:sz w:val="19"/>
                <w:szCs w:val="19"/>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171,650,615.87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37,315,912.68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99,652,137.58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74,206,246.15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6,494,562.71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2,946,054.55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12,947,676.42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3,959,076.58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9,252,151.74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21,217,021.57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10,291,610.76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23,154,941.34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187,397,330.32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61,478,988.80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b/>
                <w:bCs/>
                <w:color w:val="000000"/>
                <w:spacing w:val="0"/>
                <w:w w:val="100"/>
                <w:position w:val="0"/>
                <w:sz w:val="20"/>
                <w:szCs w:val="20"/>
              </w:rPr>
              <w:t>122,891,424.76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101,320,264.07</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color w:val="000000"/>
          <w:spacing w:val="0"/>
          <w:w w:val="100"/>
          <w:position w:val="0"/>
        </w:rPr>
        <w:t>、投资收益</w:t>
      </w:r>
      <w:bookmarkEnd w:id="1526"/>
      <w:bookmarkEnd w:id="1527"/>
      <w:bookmarkEnd w:id="152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17,630,807.86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93,625,145.51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长期股权投资转可供出售金融资产的投资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176,325,333.31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416,219.20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229,033.15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317,416,286.68</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1530" w:name="bookmark1530"/>
      <w:bookmarkStart w:id="1531" w:name="bookmark1531"/>
      <w:bookmarkStart w:id="1532" w:name="bookmark1532"/>
      <w:r>
        <w:rPr>
          <w:color w:val="000000"/>
          <w:spacing w:val="0"/>
          <w:w w:val="100"/>
          <w:position w:val="0"/>
          <w:sz w:val="24"/>
          <w:szCs w:val="24"/>
        </w:rPr>
        <w:t>十七、补充资料</w:t>
      </w:r>
      <w:bookmarkEnd w:id="1530"/>
      <w:bookmarkEnd w:id="1531"/>
      <w:bookmarkEnd w:id="1532"/>
    </w:p>
    <w:p>
      <w:pPr>
        <w:pStyle w:val="Style32"/>
        <w:keepNext/>
        <w:keepLines/>
        <w:widowControl w:val="0"/>
        <w:shd w:val="clear" w:color="auto" w:fill="auto"/>
        <w:bidi w:val="0"/>
        <w:spacing w:before="0" w:after="380" w:line="240" w:lineRule="auto"/>
        <w:ind w:left="0" w:right="0" w:firstLine="0"/>
        <w:jc w:val="both"/>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33"/>
      <w:bookmarkEnd w:id="1534"/>
      <w:bookmarkEnd w:id="1535"/>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79,112.89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14,948,889.99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67,088,572.08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54,857.91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3,308,576.44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850,244.36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78,012,612.07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6"/>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both"/>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36"/>
      <w:bookmarkEnd w:id="1537"/>
      <w:bookmarkEnd w:id="1538"/>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spacing w:lineRule="exact" w:line="1"/>
        <w:rPr>
          <w:sz w:val="2"/>
          <w:szCs w:val="2"/>
        </w:rPr>
      </w:pPr>
      <w:r>
        <w:br w:type="page"/>
      </w:r>
    </w:p>
    <w:tbl>
      <w:tblPr>
        <w:tblOverlap w:val="never"/>
        <w:jc w:val="center"/>
        <w:tblLayout w:type="fixed"/>
      </w:tblPr>
      <w:tblGrid>
        <w:gridCol w:w="2664"/>
        <w:gridCol w:w="3082"/>
        <w:gridCol w:w="1915"/>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bl>
    <w:p>
      <w:pPr>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64" w:right="822" w:bottom="1445" w:left="855" w:header="0" w:footer="3" w:gutter="0"/>
          <w:cols w:space="720"/>
          <w:noEndnote/>
          <w:titlePg/>
          <w:rtlGutter w:val="0"/>
          <w:docGrid w:linePitch="360"/>
        </w:sectPr>
      </w:pPr>
    </w:p>
    <w:p>
      <w:pPr>
        <w:pStyle w:val="Style15"/>
        <w:keepNext/>
        <w:keepLines/>
        <w:widowControl w:val="0"/>
        <w:shd w:val="clear" w:color="auto" w:fill="auto"/>
        <w:bidi w:val="0"/>
        <w:spacing w:before="0" w:after="600" w:line="240" w:lineRule="auto"/>
        <w:ind w:left="2940" w:right="0" w:firstLine="0"/>
        <w:jc w:val="left"/>
      </w:pPr>
      <w:bookmarkStart w:id="1539" w:name="bookmark1539"/>
      <w:bookmarkStart w:id="1540" w:name="bookmark1540"/>
      <w:bookmarkStart w:id="1541" w:name="bookmark1541"/>
      <w:r>
        <w:rPr>
          <w:color w:val="000000"/>
          <w:spacing w:val="0"/>
          <w:w w:val="100"/>
          <w:position w:val="0"/>
        </w:rPr>
        <w:t>第十二节备查文件目录</w:t>
      </w:r>
      <w:bookmarkEnd w:id="1539"/>
      <w:bookmarkEnd w:id="1540"/>
      <w:bookmarkEnd w:id="1541"/>
    </w:p>
    <w:p>
      <w:pPr>
        <w:pStyle w:val="Style26"/>
        <w:keepNext w:val="0"/>
        <w:keepLines w:val="0"/>
        <w:widowControl w:val="0"/>
        <w:shd w:val="clear" w:color="auto" w:fill="auto"/>
        <w:tabs>
          <w:tab w:pos="430" w:val="left"/>
        </w:tabs>
        <w:bidi w:val="0"/>
        <w:spacing w:before="0" w:after="100" w:line="240" w:lineRule="auto"/>
        <w:ind w:left="0" w:right="0" w:firstLine="0"/>
        <w:jc w:val="left"/>
      </w:pPr>
      <w:bookmarkStart w:id="1542" w:name="bookmark1542"/>
      <w:bookmarkStart w:id="1543" w:name="bookmark1543"/>
      <w:r>
        <w:rPr>
          <w:color w:val="000000"/>
          <w:spacing w:val="0"/>
          <w:w w:val="100"/>
          <w:position w:val="0"/>
        </w:rPr>
        <w:t>一</w:t>
      </w:r>
      <w:bookmarkEnd w:id="1543"/>
      <w:r>
        <w:rPr>
          <w:color w:val="000000"/>
          <w:spacing w:val="0"/>
          <w:w w:val="100"/>
          <w:position w:val="0"/>
        </w:rPr>
        <w:t>、</w:t>
        <w:tab/>
        <w:t>载有公司盖章、法定代表人、主管会计工作负责人、会计主管人员签名并盖章的财务报表。</w:t>
      </w:r>
      <w:bookmarkEnd w:id="1542"/>
    </w:p>
    <w:p>
      <w:pPr>
        <w:pStyle w:val="Style26"/>
        <w:keepNext w:val="0"/>
        <w:keepLines w:val="0"/>
        <w:widowControl w:val="0"/>
        <w:shd w:val="clear" w:color="auto" w:fill="auto"/>
        <w:tabs>
          <w:tab w:pos="430" w:val="left"/>
        </w:tabs>
        <w:bidi w:val="0"/>
        <w:spacing w:before="0" w:after="100" w:line="240" w:lineRule="auto"/>
        <w:ind w:left="0" w:right="0" w:firstLine="0"/>
        <w:jc w:val="left"/>
      </w:pPr>
      <w:bookmarkStart w:id="1544" w:name="bookmark1544"/>
      <w:r>
        <w:rPr>
          <w:color w:val="000000"/>
          <w:spacing w:val="0"/>
          <w:w w:val="100"/>
          <w:position w:val="0"/>
        </w:rPr>
        <w:t>二</w:t>
      </w:r>
      <w:bookmarkEnd w:id="1544"/>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430" w:val="left"/>
        </w:tabs>
        <w:bidi w:val="0"/>
        <w:spacing w:before="0" w:after="100" w:line="240" w:lineRule="auto"/>
        <w:ind w:left="0" w:right="0" w:firstLine="0"/>
        <w:jc w:val="left"/>
      </w:pPr>
      <w:bookmarkStart w:id="1545" w:name="bookmark1545"/>
      <w:r>
        <w:rPr>
          <w:color w:val="000000"/>
          <w:spacing w:val="0"/>
          <w:w w:val="100"/>
          <w:position w:val="0"/>
        </w:rPr>
        <w:t>三</w:t>
      </w:r>
      <w:bookmarkEnd w:id="1545"/>
      <w:r>
        <w:rPr>
          <w:color w:val="000000"/>
          <w:spacing w:val="0"/>
          <w:w w:val="100"/>
          <w:position w:val="0"/>
        </w:rPr>
        <w:t>、</w:t>
        <w:tab/>
        <w:t>报告期内在中国证监会指定网站上公开披露过的所有公司文件的正本及公告的原稿。</w:t>
      </w:r>
    </w:p>
    <w:p>
      <w:pPr>
        <w:pStyle w:val="Style26"/>
        <w:keepNext w:val="0"/>
        <w:keepLines w:val="0"/>
        <w:widowControl w:val="0"/>
        <w:shd w:val="clear" w:color="auto" w:fill="auto"/>
        <w:tabs>
          <w:tab w:pos="430" w:val="left"/>
        </w:tabs>
        <w:bidi w:val="0"/>
        <w:spacing w:before="0" w:after="100" w:line="240" w:lineRule="auto"/>
        <w:ind w:left="0" w:right="0" w:firstLine="0"/>
        <w:jc w:val="left"/>
      </w:pPr>
      <w:bookmarkStart w:id="1546" w:name="bookmark1546"/>
      <w:r>
        <w:rPr>
          <w:color w:val="000000"/>
          <w:spacing w:val="0"/>
          <w:w w:val="100"/>
          <w:position w:val="0"/>
        </w:rPr>
        <w:t>四</w:t>
      </w:r>
      <w:bookmarkEnd w:id="1546"/>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年度报告文本原件。</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以上备查文件的备置地点：公司董事会秘书办公室</w:t>
      </w:r>
    </w:p>
    <w:sectPr>
      <w:footnotePr>
        <w:pos w:val="pageBottom"/>
        <w:numFmt w:val="decimal"/>
        <w:numRestart w:val="continuous"/>
      </w:footnotePr>
      <w:pgSz w:w="11900" w:h="16840"/>
      <w:pgMar w:top="1906" w:right="2991" w:bottom="1906" w:left="131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6717030</wp:posOffset>
              </wp:positionH>
              <wp:positionV relativeFrom="page">
                <wp:posOffset>9958070</wp:posOffset>
              </wp:positionV>
              <wp:extent cx="94615" cy="79375"/>
              <wp:wrapNone/>
              <wp:docPr id="9" name="Shape 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89999999999998pt;margin-top:784.10000000000002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6717030</wp:posOffset>
              </wp:positionH>
              <wp:positionV relativeFrom="page">
                <wp:posOffset>9958070</wp:posOffset>
              </wp:positionV>
              <wp:extent cx="94615" cy="79375"/>
              <wp:wrapNone/>
              <wp:docPr id="48" name="Shape 4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28.89999999999998pt;margin-top:784.10000000000002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6344285</wp:posOffset>
              </wp:positionH>
              <wp:positionV relativeFrom="page">
                <wp:posOffset>9754235</wp:posOffset>
              </wp:positionV>
              <wp:extent cx="499745" cy="106680"/>
              <wp:wrapNone/>
              <wp:docPr id="53" name="Shape 53"/>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9" type="#_x0000_t202" style="position:absolute;margin-left:499.55000000000001pt;margin-top:768.05000000000007pt;width:39.3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6689090</wp:posOffset>
              </wp:positionH>
              <wp:positionV relativeFrom="page">
                <wp:posOffset>10177780</wp:posOffset>
              </wp:positionV>
              <wp:extent cx="152400" cy="79375"/>
              <wp:wrapNone/>
              <wp:docPr id="55" name="Shape 5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6.70000000000005pt;margin-top:801.39999999999998pt;width:12.pt;height:6.25pt;z-index:-18874404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6717030</wp:posOffset>
              </wp:positionH>
              <wp:positionV relativeFrom="page">
                <wp:posOffset>9958070</wp:posOffset>
              </wp:positionV>
              <wp:extent cx="94615" cy="79375"/>
              <wp:wrapNone/>
              <wp:docPr id="60" name="Shape 6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28.89999999999998pt;margin-top:784.10000000000002pt;width:7.4500000000000002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6344285</wp:posOffset>
              </wp:positionH>
              <wp:positionV relativeFrom="page">
                <wp:posOffset>9754235</wp:posOffset>
              </wp:positionV>
              <wp:extent cx="499745" cy="106680"/>
              <wp:wrapNone/>
              <wp:docPr id="65" name="Shape 65"/>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1" type="#_x0000_t202" style="position:absolute;margin-left:499.55000000000001pt;margin-top:768.05000000000007pt;width:39.35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6689090</wp:posOffset>
              </wp:positionH>
              <wp:positionV relativeFrom="page">
                <wp:posOffset>10177780</wp:posOffset>
              </wp:positionV>
              <wp:extent cx="152400" cy="79375"/>
              <wp:wrapNone/>
              <wp:docPr id="67" name="Shape 6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26.70000000000005pt;margin-top:801.39999999999998pt;width:12.pt;height:6.25pt;z-index:-18874403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35000000000002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4157345</wp:posOffset>
              </wp:positionH>
              <wp:positionV relativeFrom="page">
                <wp:posOffset>555625</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27.35000000000002pt;margin-top:43.75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4157345</wp:posOffset>
              </wp:positionH>
              <wp:positionV relativeFrom="page">
                <wp:posOffset>555625</wp:posOffset>
              </wp:positionV>
              <wp:extent cx="2675890" cy="106680"/>
              <wp:wrapNone/>
              <wp:docPr id="45" name="Shape 4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1" type="#_x0000_t202" style="position:absolute;margin-left:327.35000000000002pt;margin-top:43.75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4168140</wp:posOffset>
              </wp:positionH>
              <wp:positionV relativeFrom="page">
                <wp:posOffset>750570</wp:posOffset>
              </wp:positionV>
              <wp:extent cx="2675890" cy="106680"/>
              <wp:wrapNone/>
              <wp:docPr id="50" name="Shape 5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6" type="#_x0000_t202" style="position:absolute;margin-left:328.19999999999999pt;margin-top:59.100000000000001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927100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7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4157345</wp:posOffset>
              </wp:positionH>
              <wp:positionV relativeFrom="page">
                <wp:posOffset>555625</wp:posOffset>
              </wp:positionV>
              <wp:extent cx="2675890" cy="106680"/>
              <wp:wrapNone/>
              <wp:docPr id="57" name="Shape 5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3" type="#_x0000_t202" style="position:absolute;margin-left:327.35000000000002pt;margin-top:43.75pt;width:210.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4168140</wp:posOffset>
              </wp:positionH>
              <wp:positionV relativeFrom="page">
                <wp:posOffset>750570</wp:posOffset>
              </wp:positionV>
              <wp:extent cx="2675890" cy="106680"/>
              <wp:wrapNone/>
              <wp:docPr id="62" name="Shape 6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8" type="#_x0000_t202" style="position:absolute;margin-left:328.19999999999999pt;margin-top:59.100000000000001pt;width:210.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927100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7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4">
    <w:name w:val="正文文本 (5)_"/>
    <w:basedOn w:val="DefaultParagraphFont"/>
    <w:link w:val="Style53"/>
    <w:rPr>
      <w:rFonts w:ascii="SimSun" w:eastAsia="SimSun" w:hAnsi="SimSun" w:cs="SimSun"/>
      <w:b w:val="0"/>
      <w:bCs w:val="0"/>
      <w:i w:val="0"/>
      <w:iCs w:val="0"/>
      <w:smallCaps w:val="0"/>
      <w:strike w:val="0"/>
      <w:sz w:val="19"/>
      <w:szCs w:val="19"/>
      <w:u w:val="none"/>
      <w:shd w:val="clear" w:color="auto" w:fill="auto"/>
    </w:rPr>
  </w:style>
  <w:style w:type="character" w:customStyle="1" w:styleId="CharStyle57">
    <w:name w:val="正文文本 (7)_"/>
    <w:basedOn w:val="DefaultParagraphFont"/>
    <w:link w:val="Style56"/>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59">
    <w:name w:val="正文文本 (6)_"/>
    <w:basedOn w:val="DefaultParagraphFont"/>
    <w:link w:val="Style58"/>
    <w:rPr>
      <w:rFonts w:ascii="SimSun" w:eastAsia="SimSun" w:hAnsi="SimSun" w:cs="SimSun"/>
      <w:b/>
      <w:bCs/>
      <w:i w:val="0"/>
      <w:iCs w:val="0"/>
      <w:smallCaps w:val="0"/>
      <w:strike w:val="0"/>
      <w:sz w:val="22"/>
      <w:szCs w:val="22"/>
      <w:u w:val="none"/>
      <w:shd w:val="clear" w:color="auto" w:fill="auto"/>
    </w:rPr>
  </w:style>
  <w:style w:type="character" w:customStyle="1" w:styleId="CharStyle61">
    <w:name w:val="图片标题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72">
    <w:name w:val="页眉或页脚_"/>
    <w:basedOn w:val="DefaultParagraphFont"/>
    <w:link w:val="Style71"/>
    <w:rPr>
      <w:rFonts w:ascii="SimSun" w:eastAsia="SimSun" w:hAnsi="SimSun" w:cs="SimSun"/>
      <w:b w:val="0"/>
      <w:bCs w:val="0"/>
      <w:i w:val="0"/>
      <w:iCs w:val="0"/>
      <w:smallCaps w:val="0"/>
      <w:strike w:val="0"/>
      <w:sz w:val="17"/>
      <w:szCs w:val="17"/>
      <w:u w:val="none"/>
      <w:shd w:val="clear" w:color="auto" w:fill="auto"/>
    </w:rPr>
  </w:style>
  <w:style w:type="character" w:customStyle="1" w:styleId="CharStyle79">
    <w:name w:val="正文文本 (8)_"/>
    <w:basedOn w:val="DefaultParagraphFont"/>
    <w:link w:val="Style78"/>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5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标题 #2"/>
    <w:basedOn w:val="Normal"/>
    <w:link w:val="CharStyle25"/>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正文文本"/>
    <w:basedOn w:val="Normal"/>
    <w:link w:val="CharStyle27"/>
    <w:pPr>
      <w:widowControl w:val="0"/>
      <w:shd w:val="clear" w:color="auto" w:fill="auto"/>
      <w:spacing w:after="80" w:line="382" w:lineRule="auto"/>
      <w:ind w:firstLine="10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正文文本 (5)"/>
    <w:basedOn w:val="Normal"/>
    <w:link w:val="CharStyle54"/>
    <w:pPr>
      <w:widowControl w:val="0"/>
      <w:shd w:val="clear" w:color="auto" w:fill="auto"/>
      <w:spacing w:after="140" w:line="314" w:lineRule="exact"/>
      <w:ind w:firstLine="440"/>
    </w:pPr>
    <w:rPr>
      <w:rFonts w:ascii="SimSun" w:eastAsia="SimSun" w:hAnsi="SimSun" w:cs="SimSun"/>
      <w:b w:val="0"/>
      <w:bCs w:val="0"/>
      <w:i w:val="0"/>
      <w:iCs w:val="0"/>
      <w:smallCaps w:val="0"/>
      <w:strike w:val="0"/>
      <w:sz w:val="19"/>
      <w:szCs w:val="19"/>
      <w:u w:val="none"/>
      <w:shd w:val="clear" w:color="auto" w:fill="auto"/>
    </w:rPr>
  </w:style>
  <w:style w:type="paragraph" w:customStyle="1" w:styleId="Style56">
    <w:name w:val="正文文本 (7)"/>
    <w:basedOn w:val="Normal"/>
    <w:link w:val="CharStyle57"/>
    <w:pPr>
      <w:widowControl w:val="0"/>
      <w:shd w:val="clear" w:color="auto" w:fill="auto"/>
      <w:spacing w:after="280" w:line="298" w:lineRule="auto"/>
      <w:jc w:val="right"/>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58">
    <w:name w:val="正文文本 (6)"/>
    <w:basedOn w:val="Normal"/>
    <w:link w:val="CharStyle59"/>
    <w:pPr>
      <w:widowControl w:val="0"/>
      <w:shd w:val="clear" w:color="auto" w:fill="auto"/>
      <w:spacing w:after="280"/>
    </w:pPr>
    <w:rPr>
      <w:rFonts w:ascii="SimSun" w:eastAsia="SimSun" w:hAnsi="SimSun" w:cs="SimSun"/>
      <w:b/>
      <w:bCs/>
      <w:i w:val="0"/>
      <w:iCs w:val="0"/>
      <w:smallCaps w:val="0"/>
      <w:strike w:val="0"/>
      <w:sz w:val="22"/>
      <w:szCs w:val="22"/>
      <w:u w:val="none"/>
      <w:shd w:val="clear" w:color="auto" w:fill="auto"/>
    </w:rPr>
  </w:style>
  <w:style w:type="paragraph" w:customStyle="1" w:styleId="Style60">
    <w:name w:val="图片标题"/>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1">
    <w:name w:val="页眉或页脚"/>
    <w:basedOn w:val="Normal"/>
    <w:link w:val="CharStyle7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8">
    <w:name w:val="正文文本 (8)"/>
    <w:basedOn w:val="Normal"/>
    <w:link w:val="CharStyle79"/>
    <w:pPr>
      <w:widowControl w:val="0"/>
      <w:shd w:val="clear" w:color="auto" w:fill="auto"/>
      <w:spacing w:after="300" w:line="312" w:lineRule="exact"/>
      <w:ind w:firstLine="46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深圳中青宝互动网络股份有限公司2016年年度报告全文</dc:title>
  <dc:subject/>
  <dc:creator>深圳中青宝互动网络股份有限公司</dc:creator>
  <cp:keywords/>
</cp:coreProperties>
</file>